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333-280909</w:t>
      </w: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173990</wp:posOffset>
            </wp:positionV>
            <wp:extent cx="128587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587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2,969,583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offer and resale or other disposition from time to time by the selling stockholders identified in this prospectus of up to an aggregate of 2,969,583 shares of common stock, par value $0.0001 per share, of Tectonic Therapeutic, Inc.</w:t>
      </w:r>
    </w:p>
    <w:p>
      <w:pPr>
        <w:spacing w:after="0" w:line="162" w:lineRule="exact"/>
        <w:rPr>
          <w:sz w:val="24"/>
          <w:szCs w:val="24"/>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registering the resale of the shares of common stock pursuant to the selling stockholders’ registration rights under the Subscription Agreement between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which may involve crosses or block transactions. The shares of common stock may be sold in one or more transactions at fixed prices, at prevailing market prices at the time of the sale, at varying prices determined at the time of sale or at negotiated prices.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89" w:lineRule="exact"/>
        <w:rPr>
          <w:sz w:val="24"/>
          <w:szCs w:val="24"/>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except for any underwriting discounts and commissions or transfer taxes relating to the sale of common stock, which will be borne by the selling stockholders.</w:t>
      </w:r>
    </w:p>
    <w:p>
      <w:pPr>
        <w:spacing w:after="0" w:line="180" w:lineRule="exact"/>
        <w:rPr>
          <w:sz w:val="24"/>
          <w:szCs w:val="24"/>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(“Nasdaq”) under the symbol “TECX.” On July 29, 2024, the closing price for our common stock, as reported on Nasdaq, was $18.13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120" w:right="46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See the section entitled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9 of this prospectus to read about factors you should consider before buying our securities.</w:t>
      </w:r>
    </w:p>
    <w:p>
      <w:pPr>
        <w:spacing w:after="0" w:line="159"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30, 2024.</w:t>
      </w:r>
    </w:p>
    <w:p>
      <w:pPr>
        <w:sectPr>
          <w:pgSz w:w="11900" w:h="16838" w:orient="portrait"/>
          <w:cols w:equalWidth="0" w:num="1">
            <w:col w:w="11140"/>
          </w:cols>
          <w:pgMar w:left="320" w:top="225"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980" w:type="dxa"/>
            <w:vAlign w:val="bottom"/>
            <w:gridSpan w:val="7"/>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7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00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20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70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200" w:type="dxa"/>
            <w:vAlign w:val="bottom"/>
            <w:gridSpan w:val="1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r>
      <w:tr>
        <w:trPr>
          <w:trHeight w:val="196"/>
        </w:trPr>
        <w:tc>
          <w:tcPr>
            <w:tcW w:w="120" w:type="dxa"/>
            <w:vAlign w:val="bottom"/>
          </w:tcPr>
          <w:p>
            <w:pPr>
              <w:spacing w:after="0"/>
              <w:rPr>
                <w:sz w:val="17"/>
                <w:szCs w:val="17"/>
                <w:color w:val="auto"/>
              </w:rPr>
            </w:pPr>
          </w:p>
        </w:tc>
        <w:tc>
          <w:tcPr>
            <w:tcW w:w="60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INFORMATION FOR COMMON STOCK AND DIVIDEND POLICY</w:t>
            </w:r>
          </w:p>
        </w:tc>
        <w:tc>
          <w:tcPr>
            <w:tcW w:w="378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120" w:type="dxa"/>
            <w:vAlign w:val="bottom"/>
          </w:tcPr>
          <w:p>
            <w:pPr>
              <w:spacing w:after="0"/>
              <w:rPr>
                <w:sz w:val="17"/>
                <w:szCs w:val="17"/>
                <w:color w:val="auto"/>
              </w:rPr>
            </w:pPr>
          </w:p>
        </w:tc>
        <w:tc>
          <w:tcPr>
            <w:tcW w:w="65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2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20" w:type="dxa"/>
            <w:vAlign w:val="bottom"/>
          </w:tcPr>
          <w:p>
            <w:pPr>
              <w:spacing w:after="0"/>
              <w:rPr>
                <w:sz w:val="17"/>
                <w:szCs w:val="17"/>
                <w:color w:val="auto"/>
              </w:rPr>
            </w:pPr>
          </w:p>
        </w:tc>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120" w:type="dxa"/>
            <w:vAlign w:val="bottom"/>
          </w:tcPr>
          <w:p>
            <w:pPr>
              <w:spacing w:after="0"/>
              <w:rPr>
                <w:sz w:val="17"/>
                <w:szCs w:val="17"/>
                <w:color w:val="auto"/>
              </w:rPr>
            </w:pPr>
          </w:p>
        </w:tc>
        <w:tc>
          <w:tcPr>
            <w:tcW w:w="88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92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8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6"/>
        </w:trPr>
        <w:tc>
          <w:tcPr>
            <w:tcW w:w="120" w:type="dxa"/>
            <w:vAlign w:val="bottom"/>
          </w:tcPr>
          <w:p>
            <w:pPr>
              <w:spacing w:after="0"/>
              <w:rPr>
                <w:sz w:val="17"/>
                <w:szCs w:val="17"/>
                <w:color w:val="auto"/>
              </w:rPr>
            </w:pPr>
          </w:p>
        </w:tc>
        <w:tc>
          <w:tcPr>
            <w:tcW w:w="24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4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r>
      <w:tr>
        <w:trPr>
          <w:trHeight w:val="196"/>
        </w:trPr>
        <w:tc>
          <w:tcPr>
            <w:tcW w:w="120" w:type="dxa"/>
            <w:vAlign w:val="bottom"/>
          </w:tcPr>
          <w:p>
            <w:pPr>
              <w:spacing w:after="0"/>
              <w:rPr>
                <w:sz w:val="17"/>
                <w:szCs w:val="17"/>
                <w:color w:val="auto"/>
              </w:rPr>
            </w:pPr>
          </w:p>
        </w:tc>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120" w:type="dxa"/>
            <w:vAlign w:val="bottom"/>
          </w:tcPr>
          <w:p>
            <w:pPr>
              <w:spacing w:after="0"/>
              <w:rPr>
                <w:sz w:val="17"/>
                <w:szCs w:val="17"/>
                <w:color w:val="auto"/>
              </w:rPr>
            </w:pPr>
          </w:p>
        </w:tc>
        <w:tc>
          <w:tcPr>
            <w:tcW w:w="546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PRINCIPAL SECURITYHOLDERS</w:t>
            </w:r>
          </w:p>
        </w:tc>
        <w:tc>
          <w:tcPr>
            <w:tcW w:w="432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160" w:type="dxa"/>
            <w:vAlign w:val="bottom"/>
            <w:tcBorders>
              <w:top w:val="single" w:sz="8" w:color="0000EE"/>
            </w:tcBorders>
          </w:tcPr>
          <w:p>
            <w:pPr>
              <w:spacing w:after="0"/>
              <w:rPr>
                <w:sz w:val="17"/>
                <w:szCs w:val="17"/>
                <w:color w:val="auto"/>
              </w:rPr>
            </w:pPr>
          </w:p>
        </w:tc>
        <w:tc>
          <w:tcPr>
            <w:tcW w:w="712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173</w:t>
            </w:r>
          </w:p>
        </w:tc>
      </w:tr>
      <w:tr>
        <w:trPr>
          <w:trHeight w:val="196"/>
        </w:trPr>
        <w:tc>
          <w:tcPr>
            <w:tcW w:w="120" w:type="dxa"/>
            <w:vAlign w:val="bottom"/>
          </w:tcPr>
          <w:p>
            <w:pPr>
              <w:spacing w:after="0"/>
              <w:rPr>
                <w:sz w:val="17"/>
                <w:szCs w:val="17"/>
                <w:color w:val="auto"/>
              </w:rPr>
            </w:pPr>
          </w:p>
        </w:tc>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90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196"/>
        </w:trPr>
        <w:tc>
          <w:tcPr>
            <w:tcW w:w="120" w:type="dxa"/>
            <w:vAlign w:val="bottom"/>
          </w:tcPr>
          <w:p>
            <w:pPr>
              <w:spacing w:after="0"/>
              <w:rPr>
                <w:sz w:val="17"/>
                <w:szCs w:val="17"/>
                <w:color w:val="auto"/>
              </w:rPr>
            </w:pPr>
          </w:p>
        </w:tc>
        <w:tc>
          <w:tcPr>
            <w:tcW w:w="58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90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774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196"/>
        </w:trPr>
        <w:tc>
          <w:tcPr>
            <w:tcW w:w="120" w:type="dxa"/>
            <w:vAlign w:val="bottom"/>
          </w:tcPr>
          <w:p>
            <w:pPr>
              <w:spacing w:after="0"/>
              <w:rPr>
                <w:sz w:val="17"/>
                <w:szCs w:val="17"/>
                <w:color w:val="auto"/>
              </w:rPr>
            </w:pPr>
          </w:p>
        </w:tc>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280" w:type="dxa"/>
            <w:vAlign w:val="bottom"/>
            <w:gridSpan w:val="1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CHANGE IN CERTIFYING ACCOUNTANT</w:t>
            </w:r>
          </w:p>
        </w:tc>
        <w:tc>
          <w:tcPr>
            <w:tcW w:w="642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r>
      <w:tr>
        <w:trPr>
          <w:trHeight w:val="196"/>
        </w:trPr>
        <w:tc>
          <w:tcPr>
            <w:tcW w:w="120" w:type="dxa"/>
            <w:vAlign w:val="bottom"/>
          </w:tcPr>
          <w:p>
            <w:pPr>
              <w:spacing w:after="0"/>
              <w:rPr>
                <w:sz w:val="17"/>
                <w:szCs w:val="17"/>
                <w:color w:val="auto"/>
              </w:rPr>
            </w:pPr>
          </w:p>
        </w:tc>
        <w:tc>
          <w:tcPr>
            <w:tcW w:w="978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r>
      <w:tr>
        <w:trPr>
          <w:trHeight w:val="196"/>
        </w:trPr>
        <w:tc>
          <w:tcPr>
            <w:tcW w:w="12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2"/>
          </w:tcPr>
          <w:p>
            <w:pPr>
              <w:spacing w:after="0"/>
              <w:rPr>
                <w:sz w:val="17"/>
                <w:szCs w:val="17"/>
                <w:color w:val="auto"/>
              </w:rPr>
            </w:pPr>
          </w:p>
        </w:tc>
        <w:tc>
          <w:tcPr>
            <w:tcW w:w="5980" w:type="dxa"/>
            <w:vAlign w:val="bottom"/>
            <w:gridSpan w:val="7"/>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6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to exhibits to the registration statement of which this prospectus forms a part and any applicable prospectus supplement or amendment. Neither we nor the selling stockholders have authorized anyone to provide you with different information. Neither we nor the selling stockholders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761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47618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On June 20, 2024 (the “Closing Date”), Tectonic Therapeutic, Inc., a Delaware corporation (previously named AVROBIO, Inc. and our predecessor company (“AVROBIO”)), consummated the previously announced merger pursuant to the terms of the Agreement and Plan of Merger and Reorganization, dated as of January 30, 2024 (the “Merger Agreement”), by and among AVROBIO, Alpine Merger Subsidiary, Inc., a Delaware corporation and direct wholly owned subsidiary of AVROBIO (“Merger Sub”), and Tectonic Operating Company, Inc., a Delaware corporation (previously named Tectonic Therapeutic, Inc. (“Legacy Tectonic”)).</w:t>
      </w:r>
    </w:p>
    <w:p>
      <w:pPr>
        <w:spacing w:after="0" w:line="183"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on the Closing Date, (i) AVROBIO effected a reverse stock split of AVROBIO’s issued and outstanding common stock at a ratio of 1:12 (the “Reverse Stock Split”), (ii) AVROBIO changed its name to “Tectonic Therapeutic, Inc.” and Legacy Tectonic changed its name to “Tectonic Operating Company, Inc.,” and (iii) Merger Sub merged with and into Legacy Tectonic (the “Merger”), with Legacy Tectonic continuing as the surviving company in the Merger and as a wholly-owned subsidiary of Tectonic Therapeutic, Inc. (the “Company” and together with its consolidated subsidiaries, “Tectonic,” “we” or “us”).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accordance with the terms and subject to the conditions of the Merger Agreement, (i) immediately prior to the effective time of the Merger, each share of Legacy Tectonic preferred stock was converted into one share of Legacy Tectonic common stock, and (ii) at the effective time of the Merger, the Company issued an aggregate of approximately 5,322,169 shares of its common stock to Legacy Tectonic stockholders, based on an exchange ratio (after giving effect to the Reverse Stock Split) of 0.53441999 shares of the Company’s common stock for each share of Legacy Tectonic common stock outstanding immediately prior to the Merger, including those shares of Legacy Tectonic common stock issued upon conversion of the Legacy Tectonic preferred stock and simple agreements for future equity (“SAFEs”) and those shares of Legacy Tectonic common stock issued in the Pre-Closing Financing (defined below), but excluding shares to be canceled pursuant to the Merger Agreement, resulting in approximately 14,734,323 shares of the Company’s common stock being issued and outstanding immediately following the effective time of the Merger.</w:t>
      </w:r>
    </w:p>
    <w:p>
      <w:pPr>
        <w:spacing w:after="0" w:line="188"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On January 30, 2024, Legacy Tectonic entered into a subscription agreement (the “Subscription Agreement”), with certain institutional investors named therein. Pursuant to the Subscription Agreement, immediately prior to consummation of the Merger, Legacy Tectonic issued and sold an aggregate of 7,790,889 shares of its common stock at a purchase price of approximately $12.39908 per share, for an aggregate purchase price of approximately $96.6 million (the “Pre-Closing Financing”), and the shares of Legacy Tectonic common stock issued to investors in the Pre-Closing Financing were exchanged at the closing of the Merger at the exchange ratio for an aggregate of 4,163,606 shares of the Company’s common stock.</w:t>
      </w:r>
    </w:p>
    <w:p>
      <w:pPr>
        <w:spacing w:after="0" w:line="187"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As of the open of trading on June 21, 2024, the common stock of the Company began trading on the Nasdaq Global Market under the symbol “TECX.”</w:t>
      </w:r>
    </w:p>
    <w:p>
      <w:pPr>
        <w:sectPr>
          <w:pgSz w:w="11900" w:h="16838" w:orient="portrait"/>
          <w:cols w:equalWidth="0" w:num="1">
            <w:col w:w="10940"/>
          </w:cols>
          <w:pgMar w:left="320" w:top="455" w:right="6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899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48990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identified in this prospectus under the caption “Selling Stockholders,” from time to time, of up to an aggregate of 2,969,583 shares of common stock. We are not selling any shares of common stock under this prospectus, and we will not receive any proceeds from the sale of shares of common stock offered hereby by the Selling Stockholders.</w:t>
      </w:r>
    </w:p>
    <w:p>
      <w:pPr>
        <w:spacing w:after="0" w:line="176" w:lineRule="exact"/>
        <w:rPr>
          <w:sz w:val="20"/>
          <w:szCs w:val="20"/>
          <w:color w:val="auto"/>
        </w:rPr>
      </w:pPr>
    </w:p>
    <w:p>
      <w:pPr>
        <w:ind w:left="300" w:right="60" w:firstLine="426"/>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95" w:lineRule="exact"/>
        <w:rPr>
          <w:sz w:val="20"/>
          <w:szCs w:val="20"/>
          <w:color w:val="auto"/>
        </w:rPr>
      </w:pPr>
    </w:p>
    <w:p>
      <w:pPr>
        <w:ind w:left="300" w:right="140" w:firstLine="426"/>
        <w:spacing w:after="0" w:line="289" w:lineRule="auto"/>
        <w:rPr>
          <w:sz w:val="20"/>
          <w:szCs w:val="20"/>
          <w:color w:val="auto"/>
        </w:rPr>
      </w:pPr>
      <w:r>
        <w:rPr>
          <w:rFonts w:ascii="Times New Roman" w:cs="Times New Roman" w:eastAsia="Times New Roman" w:hAnsi="Times New Roman"/>
          <w:sz w:val="17"/>
          <w:szCs w:val="17"/>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w:t>
      </w:r>
    </w:p>
    <w:p>
      <w:pPr>
        <w:spacing w:after="0" w:line="158"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“Company,” “we,” “our” and “us” refer, collectively to Tectonic Therapeutic, Inc., a Delaware corporation, and its consolidated subsidiaries (including Legacy Tectonic).</w:t>
      </w:r>
    </w:p>
    <w:p>
      <w:pPr>
        <w:spacing w:after="0" w:line="162" w:lineRule="exact"/>
        <w:rPr>
          <w:sz w:val="20"/>
          <w:szCs w:val="20"/>
          <w:color w:val="auto"/>
        </w:rPr>
      </w:pPr>
    </w:p>
    <w:p>
      <w:pPr>
        <w:jc w:val="both"/>
        <w:ind w:left="300" w:right="80" w:firstLine="426"/>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24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300" w:firstLine="426"/>
        <w:spacing w:after="0" w:line="272" w:lineRule="auto"/>
        <w:rPr>
          <w:sz w:val="20"/>
          <w:szCs w:val="20"/>
          <w:color w:val="auto"/>
        </w:rPr>
      </w:pPr>
      <w:r>
        <w:rPr>
          <w:rFonts w:ascii="Times New Roman" w:cs="Times New Roman" w:eastAsia="Times New Roman" w:hAnsi="Times New Roman"/>
          <w:sz w:val="17"/>
          <w:szCs w:val="17"/>
          <w:color w:val="auto"/>
        </w:rPr>
        <w:t>This prospectus contains and/or incorporates by reference statements that are not historical facts and are considered forward-looking within the meaning of Section 27A of the Securities Act of 1933, as amended (the “Securities Act”), and Section 21E of the Securities Exchange Act of 1934, as amended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 looking statements in this prospectus may include, for example, statements about:</w:t>
      </w:r>
    </w:p>
    <w:p>
      <w:pPr>
        <w:spacing w:after="0" w:line="77" w:lineRule="exact"/>
        <w:rPr>
          <w:sz w:val="20"/>
          <w:szCs w:val="20"/>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of management for our future operations;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progress, scope or timing of the development of our product candidates;</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surrounding the potential safety, efficacy, and regulatory and clinical progress of TX45 and any other product candidates, and our anticipated milestones and timing therefor;</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that may be derived from any of our future products or the commercial or market opportunity with respect to any of our future products;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operations, financial position, ability to raise capital to fund our operations, revenues, costs or expenses; and</w:t>
      </w:r>
    </w:p>
    <w:p>
      <w:pPr>
        <w:spacing w:after="0" w:line="130" w:lineRule="exact"/>
        <w:rPr>
          <w:rFonts w:ascii="Times New Roman" w:cs="Times New Roman" w:eastAsia="Times New Roman" w:hAnsi="Times New Roman"/>
          <w:sz w:val="18"/>
          <w:szCs w:val="18"/>
          <w:color w:val="auto"/>
        </w:rPr>
      </w:pPr>
    </w:p>
    <w:p>
      <w:pPr>
        <w:ind w:left="1240" w:right="5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regarding our future economic conditions or performance, statements of belief and any statement of assumptions underlying any of the foregoing.</w:t>
      </w:r>
    </w:p>
    <w:p>
      <w:pPr>
        <w:spacing w:after="0" w:line="162"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prospectus or the documents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prospectus in the section entitled “Risk Factors” and in our periodic filings with the Securities and Exchange Commission (the “SEC”). Our SEC filings are available publicly on the SEC’s website at www.sec.gov.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w:t>
      </w:r>
    </w:p>
    <w:p>
      <w:pPr>
        <w:spacing w:after="0" w:line="188" w:lineRule="exact"/>
        <w:rPr>
          <w:sz w:val="20"/>
          <w:szCs w:val="20"/>
          <w:color w:val="auto"/>
        </w:rPr>
      </w:pPr>
    </w:p>
    <w:p>
      <w:pPr>
        <w:ind w:left="300" w:right="8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if any, completely and with the understanding that our actual future results, levels of activity and performance as well as other events and</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47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w:t>
      </w:r>
    </w:p>
    <w:p>
      <w:pPr>
        <w:spacing w:after="0" w:line="29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320" w:top="455"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40" w:firstLine="426"/>
        <w:spacing w:after="0" w:line="236" w:lineRule="auto"/>
        <w:rPr>
          <w:sz w:val="20"/>
          <w:szCs w:val="20"/>
          <w:color w:val="auto"/>
        </w:rPr>
      </w:pPr>
      <w:r>
        <w:rPr>
          <w:rFonts w:ascii="Times New Roman" w:cs="Times New Roman" w:eastAsia="Times New Roman" w:hAnsi="Times New Roman"/>
          <w:sz w:val="18"/>
          <w:szCs w:val="18"/>
          <w:color w:val="auto"/>
        </w:rPr>
        <w:t>We are a biotechnology company focused on the discovery and development of therapeutic proteins and antibodies that modulate the activity of G-protein coupled receptors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200" w:lineRule="exact"/>
        <w:rPr>
          <w:sz w:val="20"/>
          <w:szCs w:val="20"/>
          <w:color w:val="auto"/>
        </w:rPr>
      </w:pPr>
    </w:p>
    <w:p>
      <w:pPr>
        <w:ind w:left="300" w:right="80" w:firstLine="426"/>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92" w:lineRule="exact"/>
        <w:rPr>
          <w:sz w:val="20"/>
          <w:szCs w:val="20"/>
          <w:color w:val="auto"/>
        </w:rPr>
      </w:pPr>
    </w:p>
    <w:p>
      <w:pPr>
        <w:ind w:left="300" w:right="60" w:firstLine="426"/>
        <w:spacing w:after="0" w:line="234" w:lineRule="auto"/>
        <w:rPr>
          <w:sz w:val="20"/>
          <w:szCs w:val="20"/>
          <w:color w:val="auto"/>
        </w:rPr>
      </w:pPr>
      <w:r>
        <w:rPr>
          <w:rFonts w:ascii="Times New Roman" w:cs="Times New Roman" w:eastAsia="Times New Roman" w:hAnsi="Times New Roman"/>
          <w:sz w:val="18"/>
          <w:szCs w:val="18"/>
          <w:color w:val="auto"/>
        </w:rPr>
        <w:t>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 The initial platform components, first generation yeast library design and initial yeast selection protocols, were developed in Dr. Andrew Kruse’s lab at Harvard Medical School. However, over the last few years our team has made many improvements and modifications to all aspects of the platform including second and third generation library designs, optimized GPCR engineering strategies and yeast selection protocols better suited to GPCR antibody discovery. These modifications have resulted in selection campaigns that have a higher hit rate with molecules that have higher affinity and potency compared to hits identified from initial antibody selection campaigns. The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includes components aimed at optimizing the expression, purification, and stabilization of GPCRs and pairs these advances with our protein engineering and structural biology capabilities. While the current libraries, receptor engineering and selection strategies are producing GPCR-targeted antibodies, our team continues to evolve and modify aspects of the platform, which we believe will lead to even better results.</w:t>
      </w:r>
    </w:p>
    <w:p>
      <w:pPr>
        <w:spacing w:after="0" w:line="207"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lead asset, TX000045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30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development of a viable therapeutic has been challenging, primarily because of relaxin’s very short half-life. We believe TX45’s pharmacological profile, the direct result of applying our protein engineering capabilities, has the potential to overcome the limitations that have impeded previous attempts to develop relaxin as a therapeutic protein. To interrogate the therapeutic potential of relaxin, we have identified Group 2 Pulmonary Hypertension (“PH”) in the setting of Heart Failure with Preserved Ejection Fraction (“HFpEF”) referred to as Group 2 PH / HFpEF hereafter, as the initial disease setting. We hypothesize that in this setting,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planned to confirm this hypothesis. Despite this belief, our business carries substantial risks, including our limited experience in therapeutic discovery and development, and the risk that that the platform may never result in the regulatory approval of a product candidate.</w:t>
      </w:r>
    </w:p>
    <w:p>
      <w:pPr>
        <w:spacing w:after="0" w:line="18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Our second program is aimed at the discovery and development of a GPCR targeting biotherapeutic as a potential treatment for Hereditary Hemorrhagic Telangiectasia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 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planned GPCR target for our HHT program is a receptor for an angiogenic factor known to be upregulated in HHT animal models. By blocking the signaling of this receptor, we anticipate the potential for decreased bleeding resulting from the abnormal angiogenesis seen in HHT, a hypothesis we plan to investigate in the clinical setting following the selection of a development candidate to evaluate its safety and efficacy.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Pipeline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development programs and other pipeline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61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8618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490 Arsenal Way, Suite 210, Watertown, Massachusetts 02472, and our telephone number is (339) 666-3320. Our website address is </w:t>
      </w:r>
      <w:r>
        <w:rPr>
          <w:rFonts w:ascii="Times New Roman" w:cs="Times New Roman" w:eastAsia="Times New Roman" w:hAnsi="Times New Roman"/>
          <w:sz w:val="18"/>
          <w:szCs w:val="18"/>
          <w:i w:val="1"/>
          <w:iCs w:val="1"/>
          <w:color w:val="auto"/>
        </w:rPr>
        <w:t>www.tectonictx.com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following this prospectus summary. These risks include the following, among others:</w:t>
      </w:r>
    </w:p>
    <w:p>
      <w:pPr>
        <w:spacing w:after="0" w:line="81" w:lineRule="exact"/>
        <w:rPr>
          <w:sz w:val="20"/>
          <w:szCs w:val="20"/>
          <w:color w:val="auto"/>
        </w:rPr>
      </w:pPr>
    </w:p>
    <w:p>
      <w:pPr>
        <w:ind w:left="1240" w:right="34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incurred net losses in every year since our inception, and expect to continue to incur net losses in the future.</w:t>
      </w:r>
    </w:p>
    <w:p>
      <w:pPr>
        <w:spacing w:after="0" w:line="67" w:lineRule="exact"/>
        <w:rPr>
          <w:rFonts w:ascii="Times New Roman" w:cs="Times New Roman" w:eastAsia="Times New Roman" w:hAnsi="Times New Roman"/>
          <w:sz w:val="18"/>
          <w:szCs w:val="18"/>
          <w:color w:val="auto"/>
        </w:rPr>
      </w:pPr>
    </w:p>
    <w:p>
      <w:pPr>
        <w:ind w:left="1240" w:right="24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81" w:lineRule="exact"/>
        <w:rPr>
          <w:rFonts w:ascii="Times New Roman" w:cs="Times New Roman" w:eastAsia="Times New Roman" w:hAnsi="Times New Roman"/>
          <w:sz w:val="18"/>
          <w:szCs w:val="18"/>
          <w:color w:val="auto"/>
        </w:rPr>
      </w:pPr>
    </w:p>
    <w:p>
      <w:pPr>
        <w:ind w:left="1240" w:right="140" w:hanging="415"/>
        <w:spacing w:after="0" w:line="213"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in therapeutic discovery and development and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may never result in the regulatory approval of a product candidate.</w:t>
      </w:r>
    </w:p>
    <w:p>
      <w:pPr>
        <w:spacing w:after="0" w:line="104"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67"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commercialize any product candidate for which we receive regulatory approval,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67" w:lineRule="exact"/>
        <w:rPr>
          <w:rFonts w:ascii="Times New Roman" w:cs="Times New Roman" w:eastAsia="Times New Roman" w:hAnsi="Times New Roman"/>
          <w:sz w:val="18"/>
          <w:szCs w:val="18"/>
          <w:color w:val="auto"/>
        </w:rPr>
      </w:pPr>
    </w:p>
    <w:p>
      <w:pPr>
        <w:ind w:left="1240" w:right="46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intellectual property licensed from third parties and termination of any of these licenses could result in the loss of significant rights, which would harm our business.</w:t>
      </w:r>
    </w:p>
    <w:p>
      <w:pPr>
        <w:spacing w:after="0" w:line="67" w:lineRule="exact"/>
        <w:rPr>
          <w:rFonts w:ascii="Times New Roman" w:cs="Times New Roman" w:eastAsia="Times New Roman" w:hAnsi="Times New Roman"/>
          <w:sz w:val="18"/>
          <w:szCs w:val="18"/>
          <w:color w:val="auto"/>
        </w:rPr>
      </w:pPr>
    </w:p>
    <w:p>
      <w:pPr>
        <w:ind w:left="1240" w:right="480" w:hanging="415"/>
        <w:spacing w:after="0" w:line="266"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w:t>
      </w:r>
    </w:p>
    <w:p>
      <w:pPr>
        <w:spacing w:after="0" w:line="81" w:lineRule="exact"/>
        <w:rPr>
          <w:rFonts w:ascii="Times New Roman" w:cs="Times New Roman" w:eastAsia="Times New Roman" w:hAnsi="Times New Roman"/>
          <w:sz w:val="18"/>
          <w:szCs w:val="18"/>
          <w:color w:val="auto"/>
        </w:rPr>
      </w:pPr>
    </w:p>
    <w:p>
      <w:pPr>
        <w:ind w:left="1240" w:right="2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if we are unable to use third-party manufacturing suites or if the third-party manufacturers encounter difficulties in production.</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other biotechnology and pharmaceutical companies, and our operating results will suffer if we fail to compete effectively.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and the market price of the common stock may drop.</w:t>
      </w:r>
    </w:p>
    <w:p>
      <w:pPr>
        <w:spacing w:after="0" w:line="130"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490 Arsenal Way, Suite 210, Watertown, Massachusetts 02472, and our telephone number is (339) 666-3320. Our website address is www.tectonictx.com. We do not incorporate</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0186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2018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the information on or accessible through our website into this prospectus, and you should not consider any information on, or that can be accessed through, our website as part of this prospectus. Our common stock is listed on Nasdaq under the symbol “TECX.”</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Exchange Act.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w:t>
      </w:r>
    </w:p>
    <w:p>
      <w:pPr>
        <w:spacing w:after="0" w:line="183"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320" w:top="455" w:right="6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30041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30041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40"/>
          </w:cols>
          <w:pgMar w:left="320" w:top="455" w:right="739" w:bottom="1440" w:gutter="0" w:footer="0" w:header="0"/>
        </w:sectPr>
      </w:pP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Tectonic Therapeutic, Inc.</w:t>
      </w:r>
    </w:p>
    <w:p>
      <w:pPr>
        <w:spacing w:after="0" w:line="156"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Offered by the Selling</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Up to an aggregate of 2,969,583 shares of common stock.</w:t>
      </w:r>
    </w:p>
    <w:p>
      <w:pPr>
        <w:spacing w:after="0" w:line="360" w:lineRule="exact"/>
        <w:rPr>
          <w:sz w:val="20"/>
          <w:szCs w:val="20"/>
          <w:color w:val="auto"/>
        </w:rPr>
      </w:pPr>
    </w:p>
    <w:p>
      <w:pPr>
        <w:sectPr>
          <w:pgSz w:w="11900" w:h="16838" w:orient="portrait"/>
          <w:cols w:equalWidth="0" w:num="2">
            <w:col w:w="3780" w:space="56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Shares of Common Stock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14,734,325 shares of common stock as of July 6, 2024</w:t>
      </w:r>
    </w:p>
    <w:p>
      <w:pPr>
        <w:spacing w:after="0" w:line="156"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We will not receive any proceeds from the sale of the shares of common stock covered by this prospectus.</w:t>
      </w:r>
    </w:p>
    <w:p>
      <w:pPr>
        <w:spacing w:after="0" w:line="85"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TECX</w:t>
      </w:r>
    </w:p>
    <w:p>
      <w:pPr>
        <w:spacing w:after="0" w:line="156"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 w:lineRule="exact"/>
        <w:rPr>
          <w:sz w:val="20"/>
          <w:szCs w:val="20"/>
          <w:color w:val="auto"/>
        </w:rPr>
      </w:pPr>
      <w:r>
        <w:rPr>
          <w:sz w:val="20"/>
          <w:szCs w:val="20"/>
          <w:color w:val="auto"/>
        </w:rPr>
        <w:br w:type="column"/>
      </w:r>
    </w:p>
    <w:p>
      <w:pPr>
        <w:ind w:right="80"/>
        <w:spacing w:after="0" w:line="282" w:lineRule="auto"/>
        <w:rPr>
          <w:sz w:val="20"/>
          <w:szCs w:val="20"/>
          <w:color w:val="auto"/>
        </w:rPr>
      </w:pPr>
      <w:r>
        <w:rPr>
          <w:rFonts w:ascii="Times New Roman" w:cs="Times New Roman" w:eastAsia="Times New Roman" w:hAnsi="Times New Roman"/>
          <w:sz w:val="18"/>
          <w:szCs w:val="18"/>
          <w:color w:val="auto"/>
        </w:rPr>
        <w:t>The selling stockholders will offer the shares of common stock offered by this prospectus at the prevailing market prices or at privately negotiated prices.</w:t>
      </w:r>
    </w:p>
    <w:p>
      <w:pPr>
        <w:spacing w:after="0" w:line="67"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You should read the “Risk Factors” section of this prospectus for a discussion of factors to consider carefully before deciding to invest in shares of our common stock.</w:t>
      </w:r>
    </w:p>
    <w:p>
      <w:pPr>
        <w:spacing w:after="0" w:line="160"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185.</w:t>
      </w:r>
    </w:p>
    <w:p>
      <w:pPr>
        <w:spacing w:after="0" w:line="36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40"/>
          </w:cols>
          <w:pgMar w:left="320" w:top="455" w:right="7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When determining whether to invest, you should also refer to the other information contained in this prospectus, including our financial statements and the related notes thereto, and the other financial information concerning us included elsewhere in this prospectus.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Cash Needs</w:t>
      </w:r>
    </w:p>
    <w:p>
      <w:pPr>
        <w:spacing w:after="0" w:line="117"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incurred net losses in every year since our inception. We expect to continue to incur net losses in the future.</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Since our inception in 2019, we have invested most of our resources in organizing and staffing our company, developing our technology and product candidates, building our intellectual property portfolio, conducting business planning, raising capital and providing general and administrative support for these operations. We also completed the Merger in June 2024 and have been operating under this structure for only a short time. Consequently, we have no meaningful operations upon which to evaluate our business, and predictions about our future success or viability may not be as accurate as they could be if we had a longer operating history or a history of successfully developing and commercializing drug products. We continue to incur significant research and development and other expenses related to our ongoing operations. As a result, we are not profitable and have incurred losses in each period since our inception. For the three months ended March 31, 2024 and 2023, Legacy Tectonic reported a net loss of $15.2 million and $14.4 million, respectively. As of March 31, 2024, Legacy Tectonic had an accumulated deficit of $105.8 million. We expect to continue to incur significant losses for the foreseeable future, and expect these losses to increase as we continue our research and development of, and seek regulatory approvals for, our lead product candidate, TX45, along with any future product candidates we may develop.</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right="1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clinical- and preclinical-stage product candidates and discovery-stage programs, including the continued development of our lead product candidate TX45;</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 using our proprietary discovery approach;</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under in-license or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right="9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medical affairs and distribution infrastructure to commercialize any products for which we may obtain marketing approval and intend to commercialize on our own or jointly with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and</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7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manufacturing challenges, safety issues or other regulatory challenges.</w:t>
      </w:r>
    </w:p>
    <w:p>
      <w:pPr>
        <w:spacing w:after="0" w:line="16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our collaborators and any potential future collaborators must develop and eventually commercialize products with significant market potential. This will require us to be successful in a range of challenging activities, including completing preclinical studies and clinical trials, producing biologics with contract manufacturing development organizations (“CDMOs”) in the United States and in other countries,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the company and could impair our ability to raise capital, maintain our research and development efforts, expand our business or continue our operations.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and other expenditures to develop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jc w:val="both"/>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the development and commence commercialization of our product candidates. Failure to obtain this necessary capital when needed may force us to delay, reduce or eliminate certain of our product development or research operations.</w:t>
      </w:r>
    </w:p>
    <w:p>
      <w:pPr>
        <w:spacing w:after="0" w:line="6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To date, Legacy Tectonic has funded its operations primarily with proceeds from the sale of Series A convertible preferred stock, convertible promissory notes and the issuance of SAFEs. We are also planning to fund our operations with the funds we received in the Merger and pursuant to the Subscription Agreement. We expect our expenses to increase in connection with our ongoing activities, particularly as we complete the Phase 1 clinical trial of TX45, continue our Phase 1b clinical trial and initiate the planned Phase 2 clinical trial of TX45, and continue to research, develop and initiate clinical trials of any other future product candidates. In addition, if we successfully complete development through Phase 3 and obtain regulatory approval for any of our product candidates, we expect to incur significant commercialization expenses related to product manufacturing, marketing, sales and distribution. Accordingly, we will need to obtain substantial additional funding in connection with our continuing operations. If we are unable to raise capital when needed or on attractive terms, we could be forced to delay, reduce or eliminate our product development programs or any future commercialization efforts.</w:t>
      </w:r>
    </w:p>
    <w:p>
      <w:pPr>
        <w:spacing w:after="0" w:line="188"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operating expenses and capital expenditure requirements into mid-2027. We have based this estimate on assumptions that may prove to be wrong, and we could use our capital resources sooner than we currently expect. Future capital requirements for TX45 or our preclinical programs will depend on many factors, including:</w:t>
      </w:r>
    </w:p>
    <w:p>
      <w:pPr>
        <w:spacing w:after="0" w:line="81" w:lineRule="exact"/>
        <w:rPr>
          <w:sz w:val="20"/>
          <w:szCs w:val="20"/>
          <w:color w:val="auto"/>
        </w:rPr>
      </w:pPr>
    </w:p>
    <w:p>
      <w:pPr>
        <w:ind w:left="1080" w:right="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timing and completion of preclinical studies and clinical trials for our current or any future product candidates, as well as the associated costs, including any unforeseen costs we may incur as a result of preclinical study or clinical trial delays due to disease outbreaks, epidemics and pandemics or other causes;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we are required to make or are eligible to receive under our license agreements with President and Fellows of Harvard College (“Harvard”) and other license agreements, as applicable;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identify and decide to develop;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or expanded pre-clinical studies and clinical trials beyond those that we plan to conduct with respect to our current and future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the organization to the size needed to allow for the research, development and potential commercialization of our current or any future product candidates;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maintaining and enforcing patents or defending against infringement or other claims raised by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our existing license and collaboration agreements and the entry into new license and collaboration agreements;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67"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if any, we may derive either directly or in the form of royalty payments from future sales of our product candidates, if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225"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ability to raise additional funds will depend on financial, economic and market conditions and other factors, over which we may have no or limited control. Market volatility resulting from geopolitical and economic instability, including the conflicts between Russia and Ukraine and Israel and Hamas or other factors could also adversely impact our ability to access capital as and when needed.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w:t>
      </w:r>
    </w:p>
    <w:p>
      <w:pPr>
        <w:spacing w:after="0" w:line="28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will cause dilution to our stockholders, and may restrict our operations, or require us to relinquish rights to its product candidates.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through the sale of equity or convertible debt securities, the ownership interest of our current stockholders will be diluted, and the terms of these securities may include liquidation or other preferences. Debt and equity financings, if available, may involve agreements that include covenants limiting or restricting our ability to take specific actions, such as redeeming shares, making investments, incurring additional debt, making capital expenditures, declaring dividends or placing limitations on our ability to acquire, sell or license intellectual property rights.</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we raise additional capital through future collaborations, strategic alliances, or third-party licensing arrangements, it may have to relinquish certain valuable rights to its intellectual property, future revenue streams, research programs or product candidates, or grant licenses on terms that may not be favorable to us. If we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980"/>
        <w:spacing w:after="0" w:line="312" w:lineRule="auto"/>
        <w:rPr>
          <w:sz w:val="20"/>
          <w:szCs w:val="20"/>
          <w:color w:val="auto"/>
        </w:rPr>
      </w:pPr>
      <w:r>
        <w:rPr>
          <w:rFonts w:ascii="Times New Roman" w:cs="Times New Roman" w:eastAsia="Times New Roman" w:hAnsi="Times New Roman"/>
          <w:sz w:val="17"/>
          <w:szCs w:val="17"/>
          <w:color w:val="auto"/>
        </w:rPr>
        <w:t>unable to raise additional capital when needed, we may be required to delay, limit, reduce or terminate our clinical development or future commercialization efforts, or grant rights to develop and market product candidates that we would otherwise develop and market ourselves.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117" w:lineRule="exact"/>
        <w:rPr>
          <w:sz w:val="20"/>
          <w:szCs w:val="20"/>
          <w:color w:val="auto"/>
        </w:rPr>
      </w:pPr>
    </w:p>
    <w:p>
      <w:pPr>
        <w:ind w:left="120" w:right="220"/>
        <w:spacing w:after="0" w:line="215"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in therapeutic discovery and development and our GEODe</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platform may never result in the regulatory approval of a product candidate.</w:t>
      </w:r>
    </w:p>
    <w:p>
      <w:pPr>
        <w:spacing w:after="0" w:line="91" w:lineRule="exact"/>
        <w:rPr>
          <w:sz w:val="20"/>
          <w:szCs w:val="20"/>
          <w:color w:val="auto"/>
        </w:rPr>
      </w:pPr>
    </w:p>
    <w:p>
      <w:pPr>
        <w:ind w:left="120" w:right="100" w:firstLine="440"/>
        <w:spacing w:after="0" w:line="236" w:lineRule="auto"/>
        <w:rPr>
          <w:sz w:val="20"/>
          <w:szCs w:val="20"/>
          <w:color w:val="auto"/>
        </w:rPr>
      </w:pPr>
      <w:r>
        <w:rPr>
          <w:rFonts w:ascii="Times New Roman" w:cs="Times New Roman" w:eastAsia="Times New Roman" w:hAnsi="Times New Roman"/>
          <w:sz w:val="18"/>
          <w:szCs w:val="18"/>
          <w:color w:val="auto"/>
        </w:rPr>
        <w:t>Notwithstanding the prior experience of individuals on our management team in drug discovery and development, we are still a relatively young organization that has not yet completed the full cycle of activities from discovery through regulatory approval for any of our portfolio projects. Our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discovery platform has been the focus of technology development efforts over the last four years and is in the early stages of being applied to novel therapeutic target opportunities. There is no guarantee the platform’s capabilities or its application to targets of interest will lead to therapeutic product candidates that can be successfully developed through different stages of clinical trials and registered for marketing as therapeutic drugs in the United States or any other territory.</w:t>
      </w:r>
    </w:p>
    <w:p>
      <w:pPr>
        <w:spacing w:after="0" w:line="30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If we are unable to advance TX45 or any of our other product candidates through clinical development, obtain regulatory approval and ultimately commercialize TX45 or any of our other product candidates, or experience significant delays in doing so, our business will be materially harmed.</w:t>
      </w:r>
    </w:p>
    <w:p>
      <w:pPr>
        <w:spacing w:after="0" w:line="67"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no products approved for sale and our lead product candidate, TX45, will require clinical development, regulatory review and approval in each jurisdiction in which we intend to market it, access to sufficient commercial manufacturing capacity, and significant sales and marketing efforts before we can generate any revenue from product sales.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We are early in our product candidate development efforts, as TX45 is still in Phase 1 clinical trials.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in the foreseeable future, if ever, will depend heavily on the successful development and eventual commercialization of TX45 and any future product candidates we develop, which may never occur. TX45 and any future product candidates we develop will require additional preclinical and clinical development, management of clinical, preclinical and manufacturing activities, marketing approval in the United States and other jurisdictions for specific indications for use,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The success of our current and future product candidates will depend on several factors, including the following:</w:t>
      </w:r>
    </w:p>
    <w:p>
      <w:pPr>
        <w:spacing w:after="0" w:line="94" w:lineRule="exact"/>
        <w:rPr>
          <w:sz w:val="20"/>
          <w:szCs w:val="20"/>
          <w:color w:val="auto"/>
        </w:rPr>
      </w:pPr>
    </w:p>
    <w:p>
      <w:pPr>
        <w:ind w:left="1080" w:right="6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completion of preclinical studies and clinical trials for which the FDA, or any comparable foreign regulatory authority agree with the design, endpoints or implementation;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regulatory approvals or authorizations for conducting our planned clinical trials or future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and successful patient enrollment in, and completion of, additional clinical trials on a timely basis;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 is safe, pure, and potent for its targeted indications;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marketing approvals for our product candidates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scaling up, either alone or with third-party manufacturers, manufacturing capabilities of clinical supply for our clinical trials and commercial manufacturing, if any of our product candidates are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proprietary information protection or regulatory exclusivity for our product candidates, both in the United States and internationally;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scaling a sales and marketing organization and launching commercial sales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benefits and uses,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 candidates following approval;</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companies developing and commercializing other therapies in the indications which our product candidates target;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TX45 or any future product candidates we develop, which would materially harm our business. If we do not receive marketing approvals for our current and future product candidates, we may not be able to continue our operations.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All of our product candidates are in discovery, preclinical or early clinical development. Clinical trials are difficult to design and implement, and they involve a lengthy and expensive process with uncertain outcomes. We may experience delays in completing, or ultimately be unable to complete, the development and commercialization of TX45 or any future product candidates.</w:t>
      </w:r>
    </w:p>
    <w:p>
      <w:pPr>
        <w:spacing w:after="0" w:line="6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and our future clinical trial results may not be successful. We cannot guarantee that any of our ongoing and planned clinical trials will be conducted as planned or completed on schedule, if at all. Moreover, even if these trials are initiated or conducted on a timely basis, issues may arise that could result in the suspension or termination of such clinical trials.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To date, we have not completed any clinical trials required for the approval of any of our product candidates. Although we have completed dosing in our Phase 1a clinical trial of TX45 in healthy volunteers, and we have initiated a Phase 1b clinical trial in Group 2 PH patients with HFpEF, we may experience delays in our ongoing clinical trials or preclinical studies and we do not know whether planned clinical trials will begin on time, need to be redesigned, enroll patients on time, have sufficient drug supply for our product candidates on a timely basis or be completed on schedule, if at all. A failure of one or more clinical trials can occur at any stage of testing, and our ongoing and future clinical trials may not be successful. We also may experience numerous unforeseen events during our clinical trials that could delay or prevent our ability to receive marketing approval or commercialize TX45 or any future product candidates, including:</w:t>
      </w:r>
    </w:p>
    <w:p>
      <w:pPr>
        <w:spacing w:after="0" w:line="94" w:lineRule="exact"/>
        <w:rPr>
          <w:sz w:val="20"/>
          <w:szCs w:val="20"/>
          <w:color w:val="auto"/>
        </w:rPr>
      </w:pPr>
    </w:p>
    <w:p>
      <w:pPr>
        <w:ind w:left="5540" w:right="4640" w:hanging="4884"/>
        <w:spacing w:after="0" w:line="454" w:lineRule="auto"/>
        <w:tabs>
          <w:tab w:leader="none" w:pos="10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authorizations to commence a trial; 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as to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contract research organizations (“CROs”) and clinical trial sites,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approval at each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a sufficient number of suitable patients to participate in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manufacture sufficient quantities of our product candidates for use in clinical trials in a timely manner;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such as complications with pharmacokinetic behaviors, or safety or tolerability concerns that could cause us or our collaborators, as applicable, to suspend or terminate a trial if we or our collaborators find that the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or any other regulatory authority’s good clinical practices (“GCP”) requirements, or regulatory guidelines in other countries;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to the satisfaction of the FDA or any comparable foreign regulatory authority that the applicable product candidate’s risk-benefit ratio for its proposed indication is acceptable;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establishing the appropriate dosage levels in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our product candidates falling below acceptable standards;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natural disasters, political, geopolitical and economic instability, including political unrest or unstable economic conditions in China, the war between Russia and Ukraine, the conflict in the Middle East, terrorism, political turmoil, disease outbreaks, epidemics and pandemics.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we could also encounter delays if a clinical trial is suspended or terminated by us, the IRBs of the institutions in which such trials are being conducted, or the FDA or comparable foreign regulatory authorities, or recommended for suspension or termination by the Data Safety Monitoring Board for such trial. A suspension or termination may be imposed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product or treatment, failure to establish or achieve clinically meaningful trial endpoints,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or comparable foreign regulatory authorities may disagree with our clinical trial design and our interpretation of data from clinical trials, or may change the requirements for approval even after they have reviewed and commented on the design for our clinical trials.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marketing approvals. We do not know whether any of our clinical trials will begin as planned, will need to be restructured or will be completed on schedule, or at all. Significant clinical trial delays also could shorten any period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291"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substantial evidence of the safety, efficacy, purity and potency of our product candidates or any future product candidates, which would prevent or delay or limit the scope of regulatory approval and commercialization.</w:t>
      </w:r>
    </w:p>
    <w:p>
      <w:pPr>
        <w:spacing w:after="0" w:line="51"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any of our product candidates, including TX45 and any other future product candidates, we must demonstrate through extensive preclinical studies and clinical trials that our biologic products, including TX45, are safe and effective for use in each targeted indication. 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 We may be unable to establish clinical endpoints that applicable regulatory authorities would consider clinically meaningful, and a clinical trial can fail at any stage of testing. Further, the process of obtaining regulatory approval is expensive, often takes many years following the commencement of clinical trials and can vary substantially based upon the type, complexity and novelty of the product candidates involved, as well as the target indications, patient population and regulatory agency. Prior to obtaining approval to commercialize TX45 and any future product candidates in the United States or abroad, we, our collaborators or our potential future collaborators must demonstrate with substantial evidence from adequate and well-controlled clinical trials, and to the satisfaction of the FDA or comparable foreign regulatory authorities, that such product candidates are safe and effective for their intended uses.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Clinical trials that we conduct may not demonstrate the efficacy and safety necessary to obtain regulatory approval to market our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If the results of our ongoing or future clinical trials are inconclusive with respect to the efficacy of our product candidates, if we do not meet the clinical endpoints with statistical and clinically meaningful significance, or if there are safety concerns associated with its product candidates, we may be delayed in obtaining marketing approval, if at all. Additionally, any safety concerns observed in any one of our clinical trials in our targeted indications could limit the prospects for regulatory approval of our product candidates in those and other indications.</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Even if the trials are successfully completed, clinical data are often susceptible to varying interpretations and analyses or may not provide a sufficient risk-benefit ratio, and we cannot guarantee that the FDA or comparable foreign regulatory authorities will interpret the results as we do or find a risk-benefit ratio for a proposed indication acceptable, and more trials could be required before we submit our product candidates for approval. We cannot guarantee that the FDA or comparable foreign regulatory authorities will view our product candidates as having efficacy even if positive results are observed in clinical trials.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approval of TX45 and any future product candidates may be significantly delayed, or we may be required to expend significant additional resources, which may not be available to us, to conduct additional trials in support of potential approval of our product candidates. Even if regulatory approval is secured for a product candidate, the terms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approval may limit the scope and use of the specific product candidate, which may also limit our commercial potential.</w:t>
      </w:r>
    </w:p>
    <w:p>
      <w:pPr>
        <w:spacing w:after="0" w:line="329" w:lineRule="exact"/>
        <w:rPr>
          <w:sz w:val="20"/>
          <w:szCs w:val="20"/>
          <w:color w:val="auto"/>
        </w:rPr>
      </w:pPr>
    </w:p>
    <w:p>
      <w:pPr>
        <w:jc w:val="both"/>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results of preclinical studies and early-stage clinical trials of our product candidates may not be predictive of the results of later-stage clinical trials. Initial success in our ongoing clinical trials may not be indicative of results obtained when these trials are completed or in later-stage trials.</w:t>
      </w:r>
    </w:p>
    <w:p>
      <w:pPr>
        <w:spacing w:after="0" w:line="2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results of nonclinical, preclinical and early-stage clinical trials may not be predictive of the results of later-stage clinical trials. Product candidates in later stages of clinical trials may fail to show the desired safety and efficacy traits despite having progressed through preclinical studies and initial clinical trials. Furthermore, there can be no assurance that any of our clinical trials will ultimately be successful or support further clinical development of any of our product candidates. There is a high failure rate for product candidates proceeding through clinical trials. Many companies in the biotechnology and pharmaceutical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Any such setbacks in our clinical development could have a material adverse effect on our business, financial condition and results of operations.</w:t>
      </w:r>
    </w:p>
    <w:p>
      <w:pPr>
        <w:spacing w:after="0" w:line="29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be associated with serious adverse, undesirable or unacceptable side effects or other properties or safety risks, which may delay or halt their clinical development, or prevent marketing approval. If such side effects are identified during the development of our product candidates or following approval, we may suspend or abandon our development of such product candidates, the commercial profile of any approved label may be limited, or we may be subject to other significant negative consequences following marketing approval.</w:t>
      </w:r>
    </w:p>
    <w:p>
      <w:pPr>
        <w:spacing w:after="0" w:line="7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Undesirable side effects that may be caused by our product candidates could cause us or regulatory authorities to interrupt, delay or halt clinical trials and could result in a more restrictive label or the delay or denial of regulatory approval by the FDA or comparable foreign regulatory authorities. While our lead product candidate, TX45, has been generally well tolerated in its preclinical studies and the Phase 1a healthy volunteer trial to date, the results from future preclinical studies and clinical trials, including of our other product candidates, may identify safety concerns or other undesirable properties of our product candidates.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results of our ongoing Phase 1 clinical trials of TX45, the planned Phase 2 clinical trials of TX45, and future clinical trials of these and other product candidates may show that our product candidates cause undesirable or unacceptable side effects or even death. In such an event, our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significantly.</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Moreover, if our product candidates are associated with undesirable side effects in preclinical studies or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Additionally, adverse developments in clinical trials of pharmaceutical and biopharmaceutical products conducted by others may cause the FDA or other regulatory oversight bodies to suspend or terminate our clinical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trials or to change the requirements for approval of any of our product candidates. For example, immunogenicity is a concern for all protein therapeutics in human clinical trials, and immunogenic reactions in patients in our trials may lead to adverse effects and/or impact exposure, which in turn may lead to protocol amendments, clinical holds, or other actions that delay or significantly impact the prospects for our product candidates.</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Additionally, if any of our product candidates receive marketing approval and we or others later identify undesirable or unacceptable side effects caused by such products, a number of potentially significant negative consequences could result, including:</w:t>
      </w:r>
    </w:p>
    <w:p>
      <w:pPr>
        <w:spacing w:after="0" w:line="6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and require us to take such approved product off the market;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risk evaluation and mitigation strategy (“REMS”) plan to ensure that the benefits of the product outweigh its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 candidates, if approved.</w:t>
      </w:r>
    </w:p>
    <w:p>
      <w:pPr>
        <w:spacing w:after="0" w:line="28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us from proceeding with, or otherwise adversely affect, clinical trials of our product candidates.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Identifying and qualifying patients to participate in clinical trials of our product candidates is critical to its success. The timely completion of our clinical trials in accordance with our protocols depends, among other things, on our ability to recruit a sufficient number of eligible patients to participate and remain in the trial until its conclusion. Patients may be unwilling to participate in our clinical trials because of negative publicity from adverse events related to novel therapeutic approaches, competitive clinical trials for similar patient populations, the existence of current treatments or for other reasons. Any delays related to patient enrollment could result in increased costs, delays in advancing our product candidates, delays in testing the effectiveness of our product candidates or termination of the clinical trials altogether. We may not be able to identify, recruit and enroll a sufficient number of patients, or those with the required or desired characteristics, to complete our clinical trials in a timely manner. Patient enrollment and trial completion is affected by many factors, including the:</w:t>
      </w:r>
    </w:p>
    <w:p>
      <w:pPr>
        <w:spacing w:after="0" w:line="97" w:lineRule="exact"/>
        <w:rPr>
          <w:sz w:val="20"/>
          <w:szCs w:val="20"/>
          <w:color w:val="auto"/>
        </w:rPr>
      </w:pPr>
    </w:p>
    <w:p>
      <w:pPr>
        <w:ind w:left="1080" w:right="5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location of one of our expected trial sites in Moldova for the Phase 1b trial and its proximity to the conflict between Russia and the Ukraine;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 and process for identifying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and exclusion criteria for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clinical trial;</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profile, to date,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our approach;</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competing product candidates currently under investigation for the treatment of similar diseases or conditions, or competing clinical trials for similar product candidates or targeting patient populations meeting our patient eligibility criteria;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degree of progression of the patient’s disease at the time of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patient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patients will drop out before completion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adequately monitor patients during and after treatment.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266"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From time to time, we may publish interim, topline or preliminary data from our clinical trials. Preliminary and interim data from our clinical trials may change as more patient data become available. Preliminary or interim data from our clinical trials are not necessarily predictive of final results. Preliminary and interim data are subject to the risk that one or more of the clinical outcomes may materially change as patient enrollment continues, more patient data become available and we issue our final clinical trial report. Interim, topline and preliminary data also remain subject to audit and verification procedures that may result in the final data being materially different from the preliminary data we previously published. As a result, preliminary, topline and interim data should be viewed with caution until the final data are available. Material adverse changes in the final data compared to the interim data could significantly harm our business prospects.</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if any, and the company in general. In addition, the information we choose to publicly disclose regarding a particular preclinical study or clinical trial is based on what is typically extensive information, and you or others may not agree with what we determine is the material or otherwise appropriate information to include in its disclosure, and any information we determine not to disclose may ultimately be deemed significant with respect to future decisions, conclusions, views, activities or otherwise regarding a particular product, if any, product candidate or its business. If the preliminary and interim data that we report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66"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spacing w:after="0" w:line="67" w:lineRule="exact"/>
        <w:rPr>
          <w:sz w:val="20"/>
          <w:szCs w:val="20"/>
          <w:color w:val="auto"/>
        </w:rPr>
      </w:pPr>
    </w:p>
    <w:p>
      <w:pPr>
        <w:ind w:left="120" w:right="120" w:firstLine="440"/>
        <w:spacing w:after="0" w:line="269" w:lineRule="auto"/>
        <w:rPr>
          <w:sz w:val="20"/>
          <w:szCs w:val="20"/>
          <w:color w:val="auto"/>
        </w:rPr>
      </w:pPr>
      <w:r>
        <w:rPr>
          <w:rFonts w:ascii="Times New Roman" w:cs="Times New Roman" w:eastAsia="Times New Roman" w:hAnsi="Times New Roman"/>
          <w:sz w:val="17"/>
          <w:szCs w:val="17"/>
          <w:color w:val="auto"/>
        </w:rPr>
        <w:t>Before we can commence clinical trials for any product candidate, we must complete extensive preclinical studies that support any future Investigational New Drug (“IND”) applications in the United States, or similar applications in other jurisdictions. We have completed a pre-IND consultation with the FDA for our TX45 program but we do not yet have an approved IND in the US and as of July 6, 2024, studies are only being conducted in Australia, Moldova and the Netherlands. Conducting preclinical testing is a lengthy, time-consuming and expensive process and delays associated with product candidates for which we are directly conducting preclinical testing and studies may cause us to incur additional operating expenses. While we are currently conducting Phase 1a and Phase 1b clinical trials for TX45, and plan to initially conduct Phase 2 clinical trials for TX45, including some trials which may be outside of the United States, we cannot be certain of the timely completion or outcome of our preclinical testing and studies for our other product candidates and cannot predict if the FDA will accept our proposed clinical programs or if the outcome of our preclinical testing and foreign clinical trials will ultimately support the further development of our other product candidates. As a result, we cannot be sure that we will be able to submit INDs or similar applications for our preclinical programs on the timelines we expect, if at all, and we cannot be sure that submission of INDs or similar applications will result in the FDA or comparable foreign regulatory authorities allowing clinical trials to begin.</w:t>
      </w:r>
    </w:p>
    <w:p>
      <w:pPr>
        <w:spacing w:after="0" w:line="286" w:lineRule="exact"/>
        <w:rPr>
          <w:sz w:val="20"/>
          <w:szCs w:val="20"/>
          <w:color w:val="auto"/>
        </w:rPr>
      </w:pPr>
    </w:p>
    <w:p>
      <w:pPr>
        <w:ind w:left="12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comparable foreign regulatory authorities are lengthy, time consuming and inherently unpredictable, and if we are ultimately unable to obtain regulatory approval for our product candidates, our business will be substantially harmed.</w:t>
      </w:r>
    </w:p>
    <w:p>
      <w:pPr>
        <w:spacing w:after="0" w:line="28"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regulatory authorities is unpredictable but typically takes many years following the commencement of clinical trials and depends upon numerous factors, including the substantial discretion of the regulatory authorities. In addition, approval policies, laws or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pure and potent for its proposed indication;</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may not be sufficiently broad or representative to assure safety or efficacy in the population for which we seek approval;</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clinical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30" w:lineRule="exact"/>
        <w:rPr>
          <w:rFonts w:ascii="Times New Roman" w:cs="Times New Roman" w:eastAsia="Times New Roman" w:hAnsi="Times New Roman"/>
          <w:sz w:val="18"/>
          <w:szCs w:val="18"/>
          <w:color w:val="auto"/>
        </w:rPr>
      </w:pPr>
    </w:p>
    <w:p>
      <w:pPr>
        <w:ind w:left="5540" w:hanging="4884"/>
        <w:spacing w:after="0" w:line="454" w:lineRule="auto"/>
        <w:tabs>
          <w:tab w:leader="none" w:pos="10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 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require additional preclinical studies or clinical trials beyond those that we currently anticipate;</w:t>
      </w:r>
    </w:p>
    <w:p>
      <w:pPr>
        <w:spacing w:after="0" w:line="67" w:lineRule="exact"/>
        <w:rPr>
          <w:rFonts w:ascii="Times New Roman" w:cs="Times New Roman" w:eastAsia="Times New Roman" w:hAnsi="Times New Roman"/>
          <w:sz w:val="18"/>
          <w:szCs w:val="18"/>
          <w:color w:val="auto"/>
        </w:rPr>
      </w:pPr>
    </w:p>
    <w:p>
      <w:pPr>
        <w:jc w:val="both"/>
        <w:ind w:left="1080" w:right="360" w:hanging="424"/>
        <w:spacing w:after="0" w:line="312" w:lineRule="auto"/>
        <w:tabs>
          <w:tab w:leader="none" w:pos="108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product candidates may not be sufficient to support the submission of a Biologics License Application (“BLA”) as applicable, to the FDA or other submission or to obtain regulatory approval in the United States or elsewhere;</w:t>
      </w:r>
    </w:p>
    <w:p>
      <w:pPr>
        <w:spacing w:after="0" w:line="45" w:lineRule="exact"/>
        <w:rPr>
          <w:rFonts w:ascii="Times New Roman" w:cs="Times New Roman" w:eastAsia="Times New Roman" w:hAnsi="Times New Roman"/>
          <w:sz w:val="17"/>
          <w:szCs w:val="17"/>
          <w:color w:val="auto"/>
        </w:rPr>
      </w:pPr>
    </w:p>
    <w:p>
      <w:pPr>
        <w:ind w:left="1080" w:right="6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any comparable foreign regulatory authorities or the laws they enforce may significantly change in a manner rendering our clinical data insufficient for approval.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regulatory approval to market any of its product candidates, which would significantly harm our business, financial condition and results of operations. The FDA and comparable foreign regulatory authorities have substantial discretion in the approval process, and determining when or whether regulatory approval will be obtained for any of its product candidates. Even if we believe the data collected from clinical trials of its product candidates are promising, such data may not be sufficient to support approval by the FDA or comparable foreign regulatory authorities.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product candidates for fewer or more limited indications than we request, may not approve the price we intend to charge for our products, if any,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 and any comparable foreign regulatory authorities may not accept data from trials conducted in locations outside of their jurisdiction.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presently conducting clinical development in Australia, Moldova and the Netherlands and will likely choose to conduct additional international clinical trials in the future. The acceptance of study data by the FDA or any comparable foreign regulatory authority from clinical trials conducted outside of their respective jurisdictions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compliance with current GCP requirements and (iii) the FDA is able to validate the data through an on-site inspection or other appropriate mean.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its product candidates not receiving approval for commercialization in the applicable jurisdiction.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such product candidate.</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Practices (“cGMPs”) and GCP requirements for any clinical trials that we conduct post-approval.</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Manufacturers and manufacturers’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its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93" w:lineRule="exact"/>
        <w:rPr>
          <w:sz w:val="20"/>
          <w:szCs w:val="20"/>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including, among other things, adverse publicity, warning letters, corrective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 approved labeling.</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holder of a BLA must submit new or supplemental applications and obtain approval for certain changes to the approved product, product labeling, or manufacturing process. We could also be asked to conduct post-marketing clinical trials to verify the safety and efficacy of its products in general or in specific patient subsets. If original marketing approval was obtained via the accelerated approval pathway, we could be required to conduct a successful post-marketing clinical trial to confirm clinical benefit for its products. An unsuccessful post-marketing study or failure to complete such a study could result in the withdrawal of marketing approval.</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policies of the FDA and of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investigational products may face competition from biosimilars approved through an abbreviated regulatory pathway.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developing TX45 initially for the treatment of Group 2 Pulmonary Hypertension (“PH”), which we anticipate will be regulated as a biological product. The Patient Protection and Affordable Care Act, as amended by the Health Care and Education Reconciliation Act of 2010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19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litigation. Moreover, the extent to which a biosimilar, once licensed, will be substituted for any one of our reference products in a way that is similar to traditional generic substitution for non-biological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products is not yet clear, and will depend on a number of marketplace and regulatory factors that are still developing.</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biotechnology products. Currently, we have no products that have been approved for commercial sale; however, the current and future use of product candidates by us and our collaborators in clinical trials, and the potential sale of any approved products in the future, may expose us to liability claims. These claims might be made by patients who use the product, healthcare providers, pharmaceutical companies, its collaborators or others selling such products. Any claims against us, regardless of their merit, could be difficult and costly to defend and could materially adversely affect the market for our product candidates or any prospects for commercialization of our product candidates. Although the clinical trial process is designed to identify and assess potential side effects, it is always possible that a product,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and patients who should not use our product candidates. Regardless of the merits or eventual outcome, liability claims may result in:</w:t>
      </w:r>
    </w:p>
    <w:p>
      <w:pPr>
        <w:spacing w:after="0" w:line="100"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due to negative public perception;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or difficulties in recruiting new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or settle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our product candidates, if approved.</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we believe we maintain adequate product liability insurance for our product candidates,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Should any of the events described above occur, this could have a material adverse effect on our business, financial condition and results of operations.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and have in the past decided to, prioritize development of certain product candidates over other potential product candidates. These decisions may prove to have been wrong and may adversely affect our ability to develop our own programs, our attractiveness as a commercial partner and may ultimately have an impact on our commercial success.</w:t>
      </w:r>
    </w:p>
    <w:p>
      <w:pPr>
        <w:spacing w:after="0" w:line="6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Because we have limited resources and access to capital to fund our operations, we must decide which product candidates to pursue and the amount of resources to allocate to each. Our decisions concerning the allocation of research, collaboration, management and financial resources toward particular proprietary molecules in its library, product candidates or therapeutic areas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market potential of its product candidates or misread trends in the biotechnology industry, in particular for our lead product candidate, TX45, our business, financial condition and results of operations could be materially adversely affected.</w:t>
      </w:r>
    </w:p>
    <w:p>
      <w:pPr>
        <w:spacing w:after="0" w:line="29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for any product candidates we develop, and we may be unsuccessful. While we have not made a determination on whether we intend to seek orphan drug designation for any of our product candidates at this time, we may do so in the future. Regulatory authorities in some jurisdictions, including the United States, may designate drugs for relatively small patient populations as orphan drugs. Under the Orphan Drug Act in the United States,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certain clinical trial costs, tax advantages and user-fee waivers.</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Generally, in the United States, if a drug with an orphan drug designation subsequently receives the first marketing approval for the indication for which it has such designation, the drug is entitled to a period of marketing exclusivity, which precludes the FDA from approving another marketing application for the same indication for seven years, except in limited circumstances.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Even if we obtain orphan drug exclusivity for any of our product candidates,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commercialize any product candidate for which we receive regulatory approval, or experience significant delays in doing so, our business will be materially harmed.</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successful in obtaining marketing approval from applicable regulatory authorities for TX45 or any other product candidate, our ability to generate revenues from any such products will depend on its success in:</w:t>
      </w:r>
    </w:p>
    <w:p>
      <w:pPr>
        <w:spacing w:after="0" w:line="67"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such products, whether alone or in collaboration with others;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approved labels with claims that are necessary or desirable for successful marketing, and that do not contain safety or other limitations that would impede our ability to market such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market demand for such products through marketing, sales and promotion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training, and deploying a sales force or contracting with third parties to commercialize such products in the United States;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strategic collaborations with, or offering licenses to, third parties to promote and sell such products in foreign markets where we receive marketing approval;</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such products (i) in sufficient quantities, (ii) at acceptable quality and cost and (iii) in a presentation that is practical and compatible with the intended clinical use to meet commercial demand at launch and thereafter;</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wholesalers, distributors, and group purchasing organizations on commercially reasonable terms;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patent and trade secret protection and regulatory exclusivity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market acceptance of such products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coverage and adequate reimbursement from third-party payors for such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such coverage and adequate reimbursement from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such products following launch.</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are not able to do any of the foregoing, our business, financial condition, results of operations, stock price and prospects will be materially harmed.</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The biotechnology industry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55"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We believe the key competitive factors that will affect the development and commercial success of its product candidates are efficacy, safety, tolerability, reliability, convenience of use, price and reimbursement.</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compete in the segments of the biotechnology, pharmaceutical and other related industries that develop and market therapies for the treatment of Group 2 PH with HFpEF and Hereditary Hemorrhagic Telangiectasia (“HHT”) disorders. Although there are no other companies who have commercialized therapies for the same therapeutic areas that our product candidates target, there are many other companies, including large biotechnology and pharmaceutical companies, that are developing therapies for the same therapeutic areas. For example, AstraZeneca for the treatment of Group 2 PH and Diagonal Therapeutics and Vaderis Therapeutics for the treatment of HHT. Also, treatments that could potentially be of use across all HFpEF patients, such as are currently being developed by Lilly and others, could also benefit the Group 2 PH subgroup of the HFpEF population and thus represent competition for us in this segment as well.</w:t>
      </w:r>
    </w:p>
    <w:p>
      <w:pPr>
        <w:spacing w:after="0" w:line="18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anticipate that we will continue to face intense and increasing competition as new treatments enter the market and advanced technologies become available. There can be no assurance that our competitors are not currently developing, or will not in the future develop, products that are equally or more effective or are more economically attractive than any of our current or future product candidates. Competing products may gain faster or greater market acceptance than our products, if any, and medical advances or rapid technological development by competitors may result in our product candidates becoming non-competitive or obsolete before we are able to recover our research and development and commercialization expenses. If we or our product candidates do not compete effectively, it may have a material adverse effect on its business, financial condition and results of operations.</w:t>
      </w:r>
    </w:p>
    <w:p>
      <w:pPr>
        <w:spacing w:after="0" w:line="293"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a sales or marketing infrastructure and have no experience in the sale or marketing of biotechnology products. To achieve commercial success for any approved product, we must develop or acquire a sales and marketing organization, outsource these functions to third parties or enter into strategic collaborations.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decide to establish our own sales and marketing capabilities and promote our product candidates if and when regulatory approval has been obtained in the United States or in other jurisdictions. There are risks involved if we decide to establish our own sales and marketing capabilities or enter into arrangements with third parties to perform these services. Even if we establish sales and marketing capabilities, we may fail to launch our products effectively or to market our products effectively since we have no experience in the sales and marketing of biotechnology products. In addition, recruiting and training a sales force is expensive and time consuming and could delay any product launch. In the event that any such launch is delayed or does not occur for any reason, we would have prematurely or unnecessarily incurred these commercialization expenses, and our investment would be lost if we cannot retain or reposition our sales and marketing personnel. Factors that may inhibit our efforts to commercialize our products on our own include:</w:t>
      </w:r>
    </w:p>
    <w:p>
      <w:pPr>
        <w:spacing w:after="0" w:line="9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adequate numbers of physicians on the benefits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marketing and promotion above those anticipated by us.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and marketing services, our product revenues or the profitability of these product revenues to us could be lower than if we were to market and sell any products that we develop ourselves. Such collaborative arrangements with partners may place the commercialization of our products outside of our control and would make us subject to a number of risks including that we may not be able to control the amount or timing of resources that our collaborative partner devotes to our products or that our collaborator’s willingness or ability to complete its obligations, and our obligations under our arrangements may be adversely affected by business combinations or significant changes in our collaborator’s business strategy. In addition, we may not be successful in entering into arrangements with third parties to sell and market our products or may be unable to do so on terms that are favorable to us. Acceptable third parties may fail to devote the necessary resources and attention to sell and market our products effectively.</w:t>
      </w:r>
    </w:p>
    <w:p>
      <w:pPr>
        <w:spacing w:after="0" w:line="19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may not be successful in commercializing our products, if any, which in turn would have a material adverse effect on our business, financial condition and results of operations.</w:t>
      </w:r>
    </w:p>
    <w:p>
      <w:pPr>
        <w:spacing w:after="0" w:line="280"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 The revenues that we generate from our sales may be limited, and we may never become profitable.</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have never commercialized a product candidate for any indication. Even if our product candidates are approved by the appropriate regulatory authorities for marketing and sale, they may not gain acceptance among physicians, patients, third-party payors and others in the medical community. If any product candidates for which we obtain regulatory approval does not gain an adequate level of market acceptance, we could be prevented from or significantly delayed in achieving profitability. Market acceptance of our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 candidates may require significant resources and may not be successful. If any of our product candidates are approved but do not achieve an adequate level of market acceptance, we could be prevented from or significantly delayed in achieving profitability. The degree of market acceptance of any product for which we receive marketing approval will depend on a number of factors, including:</w:t>
      </w:r>
    </w:p>
    <w:p>
      <w:pPr>
        <w:spacing w:after="0" w:line="85"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its product candidates over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 or comparable foreign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in relation to other potentially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product candidates in relation to alternative treatments;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upfront costs or training required for physicians to administer our product candidates;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from third-party payors and government authorities;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comprehensive coverage and reimbursement by third-party payors and government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including as compared to alternative treatments and competitive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 distribution support;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or perceived risk of potential product liability claims.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may negatively impact our ability to profitably sell TX45 and any potential future product candidates, if approved.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Third-party payors, whether domestic or foreign, or governmental or commercial, are developing increasingly sophisticated methods of controlling healthcare costs. The United States and many foreign jurisdictions have enacted or proposed legislative and regulatory changes affecting the healthcare system that could prevent or delay marketing approval of TX45 or any potential future product candidates, restrict or regulate post-approval activities and affect our ability to profitably sell any product for which we obtain marketing approval.</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the Health Care and Education Reconciliation Act, collectively referred to as the ACA, was enacted, which includes measures that have significantly changed the way health care is financed by both governmental and private insurers. There have been executive, judicial and congressional challenges to certain aspects of the ACA. While Congress has not passed comprehensive legislation repealing the ACA, such legislation may be reintroduced. Members of Congress have introduced legislation to modify or replace certain provisions of the ACA. It is unclear how these efforts to repeal and/or replace the ACA will impact the ACA and our business. For example, the Tax Cuts and Jobs Act, repealed the tax-based shared responsibility payment imposed by the ACA on certain individuals who fail to maintain qualifying health coverage that is commonly referred to as the “individual mandate.” On June 17, 2021, the Supreme Court dismissed a challenge on procedural grounds that argued the ACA is unconstitutional in its entirety because the “individual mandate” was repealed by Congress. Prior to the United States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Further, on July 9, 2021, President Biden issued an executive order directing the FDA to, among other things, continue to clarify and improve the approval framework for generic drugs and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generic drug and biosimilar competition.</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Additionally, on August 16, 2022, President Biden signed the Inflation Reduction Act (the “IRA”), into law, which among other things, (1) directs the Department of Health and Human Services (the “HHS”), to negotiate the price of certain single-source drugs and biologics covered under Medicare and (2) imposes rebates under Medicare Part B and Medicare Part D to penalize price increases that outpace inflation. The IRA includes certain exemptions to the price negotiation program, including a limited exemption for products with orphan drug designation. This exemption applies only to products with one orphan drug designation that is (i) for a rare disease or condition and (ii) is approved for indication(s) for such rare disease or condition. By limiting price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negotiation exemption to products with only one orphan drug designation, the IRA may decrease our interest in pursuing orphan drug designation for its product candidates in multiple indications. The IRA also, among other things, extends enhanced subsidies for individuals purchasing health insurance coverage in ACA marketplaces through plan year 2025 and eliminates the “donut hole” under the Medicare Part D program beginning in 2025 by significantly lowering the beneficiary maximum out-of-pocket cost through a newly established manufacturer discount program. These provisions take effect progressively starting in fiscal year 2023. On August 29, 2023, HHS announced the list of the first ten drugs that will be subject to price negotiations, although the Medicare drug pricing negotiation program is currently subject to legal challenges. The IRA permits HHS to implement many of these provisions through guidance, as opposed to regulation, for the initial years. HHS has and will continue to issue and update guidance as these programs are implemented. It is currently unclear how the IRA will be implemented but is likely to have a significant impact on the pharmaceutical industry. It is possible that the ACA and IRA may be subject to judicial or Congressional challenges in the future. It is unclear how any additional healthcare reform measures may impact the ACA or IRA, increase the pressure on drug pricing or limit the availability of coverage and adequate reimbursement for TX45 and any potential future product candidates, which would adversely affect our business.</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has also been increasing executive, legislative and enforcement interest in the United States with respect to drug pricing practices. There have been U.S. congressional inquiries, presidential executive orders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an executive order, the administration of President Biden expressed its intent to pursue certain policy initiatives to reduce drug prices and, in response, HHS released a Comprehensive Plan for Addressing High Drug Prices that outlines principles for drug pricing reform and sets out a variety of potential legislative policies that Congress could pursue to lower drug prices. Further, in response to the Biden administration’s October 2022 executive order, on February 14, 2023, HHS released a report outlining three new models for testing by the Centers for Medicare &amp; Medicaid Services (“CMS”), Innovation Center which will be evaluated on their ability to lower the cost of drugs, promote accessibility, and improve the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expect that the healthcare reform measures that have been adopted and may be adopted in the future may result in more rigorous coverage criteria and additional downward pressure on the price that we receive for any approved product and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Such reforms could have an adverse effect on anticipated revenue from TX45 and any potential future product candidates that we may successfully develop and for which we may obtain regulatory approval and may affect our overall financial condition and ability to develop product candidates.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and/or difficulty in understanding the value of medicines, governments and payors in many countries are applying a variety of measures to exert downward price pressure and we expect that legislators, policy makers and healthcare insurance funds in the EU Member States will continue to propose and implement cost cutting measures. These measures include mandatory price controls,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price referencing, therapeutic-reference pricing, increases in mandates, incentives for generic substitution and biosimilar usage, government-mandated price cuts, limitations on coverage of target population and introduction of volume caps.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Many countries implement health technology assessment (“HTA”), procedures that use formal economic metrics such as cost-effectiveness to determine prices, coverage and reimbursement of new therapies. These assessments are increasingly implemented in established and emerging markets. In the EU, Regulation (EU) 2021/2282 on Health Technology Assessment, which will become effective on January 12, 2025, will allow EU member states to use common HTA tools, methodologies and procedures to conduct joint clinical assessments and joint scientific consultations whereby HTA authorities may provide advice to health technology developers. Each EU member state will, however, remain exclusively competent for assessing the relative effectiveness of health technologies and making pricing and reimbursement decisions. Given that the extent to which pricing and reimbursement decisions are influenced by the HTA process currently varies between EU member states, it is possible that our products may be subject to favorable pricing and reimbursement status only in certain EU countries. If we are unable to maintain favorable pricing and reimbursement status in EU member states that represent significant markets, including following periodic review, our anticipated revenue from and growth prospects for our products in the EU could be negatively affected. Moreover, in order to obtain reimbursement for its products in some EU member states, we may be required to compile additional data comparing the cost- effectiveness of our products to other available therapies. Efforts to generate additional data for the HTA process will involve additional expenses which may substantially increase the cost of commercializing and marketing our products in certain EU member states.</w:t>
      </w:r>
    </w:p>
    <w:p>
      <w:pPr>
        <w:spacing w:after="0" w:line="190"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We cannot predict the likelihood, nature or extent of healthcare reform initiatives that may arise from future legislation or administrative action. However, it is possible that countries will continue taking aggressive actions to seek to reduce expenditures on drugs. Similarly, fiscal constraints may also affect the extent to which countries are willing to approve new and innovative therapies and/or allow access to new technologies.</w:t>
      </w:r>
    </w:p>
    <w:p>
      <w:pPr>
        <w:spacing w:after="0" w:line="158"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280"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its operation.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40"/>
          </w:cols>
          <w:pgMar w:left="320" w:top="455"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customers and third-party payors will be subject to applicable anti-kickback, fraud and abuse, transparency and other healthcare laws and regulations, which, if violated,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will play a primary role in the recommendation and prescription of any product candidates for which we or our partner obtains marketing approval. Our arrangements with healthcare providers, third-party payors and customers may expose us to broadly applicable fraud and abuse and other healthcare laws and regulations that may constrain the business or financial arrangements and relationships through which we research, market, sell and distribute our products for which we or our partner obtain marketing approval. Restrictions under applicable federal and state healthcare laws and regulations, include the following:</w:t>
      </w:r>
    </w:p>
    <w:p>
      <w:pPr>
        <w:spacing w:after="0" w:line="89" w:lineRule="exact"/>
        <w:rPr>
          <w:sz w:val="20"/>
          <w:szCs w:val="20"/>
          <w:color w:val="auto"/>
        </w:rPr>
      </w:pPr>
    </w:p>
    <w:p>
      <w:pPr>
        <w:ind w:left="1080" w:right="180" w:hanging="424"/>
        <w:spacing w:after="0" w:line="254"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(the “FCA”) or federal civil monetary penalties;</w:t>
      </w:r>
    </w:p>
    <w:p>
      <w:pPr>
        <w:spacing w:after="0" w:line="93"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9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liability for knowingly and willfully executing a scheme to defraud any healthcare benefit program, knowingly and willfully embezzling or stealing from a healthcare benefit program, willfully obstructing a criminal investigation of a healthcare offense or knowingly and willfully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8" w:lineRule="exact"/>
        <w:rPr>
          <w:rFonts w:ascii="Times New Roman" w:cs="Times New Roman" w:eastAsia="Times New Roman" w:hAnsi="Times New Roman"/>
          <w:sz w:val="18"/>
          <w:szCs w:val="18"/>
          <w:color w:val="auto"/>
        </w:rPr>
      </w:pPr>
    </w:p>
    <w:p>
      <w:pPr>
        <w:ind w:left="1080" w:right="120" w:hanging="424"/>
        <w:spacing w:after="0" w:line="254"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also imposes obligations on certain covered entity healthcare providers, health plans and healthcare clearinghouses, and their business associates that perform certain services involving the use or disclosure of individually identifiable health information as well as their covered subcontractors, including mandatory contractual terms, with respect to safeguarding the privacy, security, processing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440"/>
        <w:spacing w:after="0" w:line="282" w:lineRule="auto"/>
        <w:rPr>
          <w:sz w:val="20"/>
          <w:szCs w:val="20"/>
          <w:color w:val="auto"/>
        </w:rPr>
      </w:pPr>
      <w:r>
        <w:rPr>
          <w:rFonts w:ascii="Times New Roman" w:cs="Times New Roman" w:eastAsia="Times New Roman" w:hAnsi="Times New Roman"/>
          <w:sz w:val="18"/>
          <w:szCs w:val="18"/>
          <w:color w:val="auto"/>
        </w:rPr>
        <w:t>certain circumstances, many of which differ from each other in significant ways and may not have the same effect, thus complicating compliance efforts;</w:t>
      </w:r>
    </w:p>
    <w:p>
      <w:pPr>
        <w:spacing w:after="0" w:line="67" w:lineRule="exact"/>
        <w:rPr>
          <w:sz w:val="20"/>
          <w:szCs w:val="20"/>
          <w:color w:val="auto"/>
        </w:rPr>
      </w:pPr>
    </w:p>
    <w:p>
      <w:pPr>
        <w:ind w:left="1080" w:right="20" w:hanging="424"/>
        <w:spacing w:after="0" w:line="25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Sunshine Act, as amended, and its implementing regulations, requires manufacturers of drugs, devices, biologics and medical supplies for which payment is available under Medicare, Medicaid or the Children’s Health Insurance Program (with certain exceptions) to report annually to the HHS information related to “payments or other transfers of value” made to physicians (defined to include doctors, dentists, optometrists, podiatrists and chiropractors), other health care professionals (such as physician assistants and nurse practitioners) and teaching hospitals, as well as information regarding ownership and investment interests held by physicians and their immediate family members; and</w:t>
      </w:r>
    </w:p>
    <w:p>
      <w:pPr>
        <w:spacing w:after="0" w:line="92"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local laws requiring the registration of pharmaceutical sales representatives; state and foreign laws that require drug manufacturers to report information related to payments and other transfers of value to physicians and other healthcare providers, marketing expenditures or pricing; federal consumer protection and unfair competition laws, which broadly regulate marketplace activities and activities that potentially harm consumers; and state and foreign laws that govern the privacy and security and other processing of health information in certain circumstances, many of which differ from each other in significant ways and often are not preempted by HIPAA, thus complicating compliance efforts.</w:t>
      </w:r>
    </w:p>
    <w:p>
      <w:pPr>
        <w:spacing w:after="0" w:line="194"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it, we may be subject to significant civil, criminal and administrative penalties, damages, fines, additional regulatory oversight, litigation, imprisonment, exclusion from government funded healthcare programs, such as Medicare and Medicaid, and the curtailment or restructuring of its operations.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Outside the United States, interactions between pharmaceutical companies and health care professionals are also governed by strict laws, such as national anti-bribery laws of EU member states,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284"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political unrest in China, as well as the effects of disease outbreaks, epidemics and pandemics.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its business, including by causing significant disruptions in our operations and/or in the operations of third-party manufacturers and CROs upon whom we rely. Disease outbreaks, epidemics and pandemics have negative impacts on our ability to initiate new clinical trial sites, to enroll new patients and to maintain existing patients who are participating in its clinical trials, which may include increased clinical trial costs, longer timelines and delay in our ability to obtain regulatory approvals of TX45 and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any potential future product candidates, if at all. Disease outbreaks, epidemics and pandemics also could adversely impact clinical trial results for TX45 or other future potential product candidates, such as by diminishing or eliminating their efficacy or by producing a safety concern, either through direct biological effects or through confounding of the data collection and analysis. This adverse impact could terminate further development of TX45, result in a lack of product approval by the FDA or other regulatory authorities, delay the timing (and/or increase the cost) of a product approval by the FDA or other regulatory authorities, lead to a restrictive product label that significantly limits prescribing of an approved product, delay or preclude reimbursement by payors, or significantly limit or preclude the commercialization of TX45.</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addition, because our key manufacturer and supplier for TX45 is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components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 may not continue to provide us with battery components in our required quantities, to our required specifications and quality levels or at attractive prices. In addition, certain Chinese biotechnology companies and CDMOs may become subject to trade restrictions, sanctions, other regulatory requirements, or proposed legislation by the U.S. government, which could restrict or even prohibit our ability to work with such entities, thereby potentially disrupting the supply of material to us. For example, the recently proposed BIOSECURE Act introduced in the U.S. House of Representatives, as well as a substantially similar bill in the U.S. Senate, target U.S. government contracts, grants, and loans for entities that use equipment and services from certain named Chinese biotechnology companies, and would authorize the U.S. government to name additional Chinese biotechnology companies of concern. If these bills become law, or similar laws are passed, they would have the potential to severely restrict the ability of companies to work with certain Chinese biotechnology companies of concern without losing the ability to contract with, or otherwise receive funding from, the U.S. government. Such disruption could have adverse effects on the development of our product candidates and our business operations.</w:t>
      </w:r>
    </w:p>
    <w:p>
      <w:pPr>
        <w:spacing w:after="0" w:line="29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supply chain issues may be exacerbated during disease outbreaks, epidemics and pandemics and may also impact the ability of our clinical trial sites to obtain basic medical supplies used in our trials in a timely fashion, if at all.</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our CMOs are required to obtain an alternative source of certain raw materials and components, for example, additional testing, validation activities and regulatory approvals may be required which can also have a negative impact on timelines. Any associated delays in the manufacturing and supply of drug substance and drug product for our clinical trials could adversely affect our ability to conduct ongoing and future clinical trials of TX45 on our anticipated development timelines. Likewise, the operations of our third-party manufacturers may be requisitioned, diverted or allocated by U.S. or foreign government orders. If any of our CMOs or raw materials or components suppliers become subject to acts or orders of U.S. or foreign government entities to allocate or prioritize manufacturing capacity,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meets its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the ability to gain market share and whether we own the commercial rights for that territory. If the number of our addressable patients is not as significant as we estimate, the indication approved by regulatory authorities is narrower than our expects or the treatment population is narrowed by competition, physician choice or treatment guidelines, we may not generate significant revenue from sales of such products, even if approved.</w:t>
      </w:r>
    </w:p>
    <w:p>
      <w:pPr>
        <w:spacing w:after="0" w:line="287"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approval to market TX45 or other potential future product candidates, these products may become subject to unfavorable pricing regulations, reimbursement practices from third-party payors or healthcare reform initiatives in the United States and abroad, which could harm our business.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regions, including the EU, Japan and Canada, the pricing of prescription drugs is controlled by the government and some countries require approval of the sale price of a drug before it can be marketed. In many countries, the pricing review period begins after regulatory approval for the product is granted. Regulatory agencies in those countries could determine that the pricing for our products should be based on prices of other commercially available drugs for the same disease, rather than allowing us to market our products at a premium as new drugs. As a result, we might obtain marketing approval for a product in a particular country, but then be subject to price regulations that delay or limit commercial launch of the product, possibly for lengthy time periods, which could negatively impact the revenue we generate from the sale of the product in that particular country. In some foreign markets, prescription pharmaceutical pricing remains subject to continuing governmental control even after initial approval is granted. Adverse pricing limitations may hinder our ability to recoup our investment in one or more product candidates, even if our product candidates obtains marketing approval.</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commercial success also depends on coverage and adequate reimbursement of our product candidates by third-party payors, including government payors, private health insurers, health maintenance organizations and other organizations, which may be difficult or time-consuming to obtain, may be limited in scope and may not be obtained in all jurisdictions in which we may seek to market our products. In the United States and markets in other countries, governments and private insurers closely examine medical products to determine whether they should be covered by reimbursement and, if so, the level of reimbursement that will apply. In the United States, the principal decisions about reimbursement for new medicines are typically made by the CMS an agency within the HHS. CMS decides whether and to what extent a new medicine will be covered and reimbursed under Medicare and private payors tend to follow CMS to a substantial degree.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 products. We cannot be sure that coverage and reimbursement will be available for any product that we or our partners commercialize and, if reimbursement is available, what the level of reimbursement will be. Coverage and reimbursement may impact the demand for, or the price of, any product candidate for which we or our partners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obtain regulatory approval. If coverage and reimbursement are not available or reimbursement is available only to limited levels, we and our partners may not be able to successfully commercialize any product candidate for which marketing approval is obtained.</w:t>
      </w:r>
    </w:p>
    <w:p>
      <w:pPr>
        <w:spacing w:after="0" w:line="16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health authorities. Moreover, eligibility for coverage and reimbursement does not imply that a drug will be paid for in all cases or at a rate that covers our costs, including costs of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Our inability to promptly obtain coverage and profitable reimbursement rates from both government-funded and private payors for any approved products that we develop could have a material adverse effect on our operating results, ability to raise capital needed to commercialize products and overall financial condition.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commercial success will depend in large part on obtaining and maintaining patent, trademark and trade secret protection of our proprietary technologies and our product candidates, their respective components, formulations, combination therapies, methods used to manufacture them and methods of treatment, as well as successfully defending these patents against third-party challenges. Our ability to stop unauthorized third parties from making, using, selling, offering to sell or importing its product candidates is dependent upon the extent to which we have rights under valid and enforceable patents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 The patenting process is expensive and time-consuming, and we may not be able to file, prosecute and maintain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strength of patents in the biotechnology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Furthermore, even if they are unchallenged, our patents and patent applications may not adequately protect our intellectual property or prevent others from designing around its claims. If the breadth or strength of protection provided by the patent applications, we hold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with respect to our product candidates is threatened, we could dissuade companies from collaborating with us to develop, and threaten our ability to commercialize, our product candidates. Further, if we encounter delays in its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preissuance submission of prior art to the USPTO.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its issued patents. Under the enacted Leahy-Smith America Invents Act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its issued patents, all of which could have a material adverse effect on our business and financial condition.</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its competitive advantage. For example:</w:t>
      </w:r>
    </w:p>
    <w:p>
      <w:pPr>
        <w:spacing w:after="0" w:line="67" w:lineRule="exact"/>
        <w:rPr>
          <w:sz w:val="20"/>
          <w:szCs w:val="20"/>
          <w:color w:val="auto"/>
        </w:rPr>
      </w:pPr>
    </w:p>
    <w:p>
      <w:pPr>
        <w:ind w:left="1080" w:right="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or cells that are similar to the biological compositions of our product candidates but that are not covered by the claims of its patents;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active biological ingredients in our current product candidates will eventually become commercially available in biosimilar drug products, and no patent protection may be available with regard to formulation or method of use;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its obligations to the U.S. government in regards to any in-licensed patents and patent applications funded by U.S. government grants, leading to the loss of patent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us or our licensors’ patents, as the case may be, or parts of ours or their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its own;</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ours or our licensors’, as the case may be, proprietary rights to the same extent as the laws of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its patents, or become hostile to us or the patents or patent applications on which they are named as inventors;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we develop may be covered by third parties’ patents or other exclusive rights;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2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5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both our own and licensed from others. Any termination of these licenses could result in the loss of significant rights and could harm our ability to commercialize our product candidates. Please see the section titled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Business—Collaboration, License and Services Agreements</w:t>
      </w:r>
      <w:r>
        <w:rPr>
          <w:rFonts w:ascii="Times New Roman" w:cs="Times New Roman" w:eastAsia="Times New Roman" w:hAnsi="Times New Roman"/>
          <w:sz w:val="18"/>
          <w:szCs w:val="18"/>
          <w:color w:val="auto"/>
        </w:rPr>
        <w:t>” located elsewhere in this prospectus for additional information regarding our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right="6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 whether and the extent to which our technology and processes infringe on intellectual property of the licensor that is not subject to the licensing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or ownership of inventions and know-how resulting from the joint creation or use of intellectual property by our licensors and us and our partners.</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intellectual property license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If disputes over intellectual property that we have licensed prevent or impair our ability to maintain our current licensing arrangements on acceptable terms, we may be unable to successfully develop and commercialize the affected product candidates. We are generally also subject to all of the same risks with respect to protection of intellectual property that we license, as we are for intellectual property that we own, which is described below. If we or our licensors fail to adequately protect this intellectual property, our ability to commercialize products could suffer.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patent license with a third party, we could lose license rights that are important to our business.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 party to a license agreement pursuant to which we in-license key patent and patent applications for our product candidates. These existing licenses impose various diligence, milestone payment, royalty, insurance and other obligations on us. If we fail to comply with these obligations, our licensors may have the right to terminate the license, in which event we would not be able to develop or market the products covered by such licensed intellectual property. Termination of these agreements or reduction or elimination of our rights under these agreements, or restrictions on our ability to freely assign or sublicense our rights under such agreements when it is in the interest of our business to do so, may impede, delay or prohibit the further development or commercialization of one or more product candidates that rely on such agreements.</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may have limited control over the maintenance and prosecution of these in-licensed patents and patent applications, activities or any other intellectual property that may be related to our in-licensed intellectual property. For example, we cannot be certain that such activities by our licensor have been or will be conducted in compliance with applicable laws and regulations or will result in valid and enforceable patents and other intellectual property rights.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its proprietary information, our business and competitive position would be harmed.</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patent protection, we rely upon know-how,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by an employee or third party with authorized access, provide adequate protection for our proprietary information. Our security measures may not prevent an employee or consultant from misappropriating our proprietary information and providing them to a competitor, and recourse we take against such misconduct may not provide an adequate remedy to protect our interests fully. Enforcing a claim that a party illegally disclosed or misappropriated proprietary information can be difficult, expensive, and time-</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consuming, and the outcome is unpredictable. In addition, proprietary information may be independently developed by others in a manner that could prevent legal recourse by us. If any of our confidential or proprietary information were to be disclosed or misappropriated, or if any such information was independently developed by a competitor, our competitive position could be harmed.</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proprietary information. If we choose to go to court to stop a third party from using any of our proprietary information, we may incur substantial costs. These lawsuits may consume our time and other resources even if we are successful. Although we take steps to protect our proprietary information and proprietary information, including through contractual means with our employees and consultants, third parties may independently develop substantially equivalent proprietary information and techniques or otherwise gain access to, or disclose, our technology.</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proprietary information.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its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its premises or using its equipment or proprietary information, are our exclusive property. In addition, we take other appropriate precautions, such as physical and technological security measures, to guard against misappropriation of our proprietary information by third parties. We have also adopted policies and conduct training that provides guidance on our expectations, and our advice for best practices, in protecting our proprietary information.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There may be third-party patents or patent applications with claims to materials, formulations, methods of manufacture or methods for treatment related to our product candidates and programs.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a third-party claims that we infringe its intellectual property rights, we may face a number of issues, including, but not limited to:</w:t>
      </w:r>
    </w:p>
    <w:p>
      <w:pPr>
        <w:spacing w:after="0" w:line="131" w:lineRule="exact"/>
        <w:rPr>
          <w:sz w:val="20"/>
          <w:szCs w:val="20"/>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that the infringement was willful, we could be ordered to pay treble damages and the patent owner’s attorneys’ fees;</w:t>
      </w:r>
    </w:p>
    <w:p>
      <w:pPr>
        <w:spacing w:after="0" w:line="131" w:lineRule="exact"/>
        <w:rPr>
          <w:sz w:val="20"/>
          <w:szCs w:val="20"/>
          <w:color w:val="auto"/>
        </w:rPr>
      </w:pPr>
    </w:p>
    <w:p>
      <w:pPr>
        <w:ind w:left="1080" w:right="70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its products; and</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clinical trials and other development activities in the United States is protected under the Safe Harbor exemption as set forth in 35 U.S.C. § 271. If and when TX45 or another one of our product candidates is approved by the FDA, that certain third party may then seek to enforce its patent by filing a patent infringement lawsuit against us. While we do not believe that any claims of such patent that could otherwise materially adversely affect commercialization of its product candidates, if approved, are valid and enforceable, we may be incorrect in this belief, or we may not be able to prove it in a litigation. In this regard, patents issued in the United States by law enjoy a presumption of validity that can be rebutted only with evidence that is “clear and convincing,” a heightened standard of proof.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its ability to further develop and commercialize its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one or more licenses from third parties, pay royalties or redesign its infringing products, which may be impossible or require substantial time and monetary expenditure. We cannot predict whether any such license would be available at all or whether it would be available on commercially reasonable terms. Even if such a license is available, it may be non-exclusive, which could result in our competitors gaining access to the same intellectual property.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Lastly, we may need to indemnify our customers and distributors against claims relating to the infringement of intellectual property rights of third parties related to our product candidates, including TX45. Third parties may assert infringement claims against our customers or distributors. These claims may require us to initiate or defend protracted and costly litigation on behalf of our customers or distributors, regardless of the merits of these claims. If any of these claims succeed, we may be forced to pay damages on behalf of our customers, suppliers or distributors, or may be required to obtain licenses for the product candidates or services they use. If we cannot obtain all necessary licenses on commercially reasonable terms, our customers may be forced to stop using our products or services.</w:t>
      </w:r>
    </w:p>
    <w:p>
      <w:pPr>
        <w:spacing w:after="0" w:line="291"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proprietary information.</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employed at universities or other biopharmaceutical or 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w:t>
      </w:r>
    </w:p>
    <w:p>
      <w:pPr>
        <w:spacing w:after="0" w:line="18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Uncertainties resulting from the initiation and continuation of patent litigation or other intellectual property related proceedings could adversely affect our ability to compete in the marketplace.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its compounds and pre-existing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its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it.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licensors. To counter infringement or unauthorized use, we may be required to file infringement claims, which can be expensive and time- consuming. In addition, in an infringement proceeding, a court may decide that one or more of our patents is not valid or is unenforceable, or may refuse to stop the other party from using the technology at issue on the grounds that its patents do not cover the technology in question.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an </w:t>
      </w:r>
      <w:r>
        <w:rPr>
          <w:rFonts w:ascii="Times New Roman" w:cs="Times New Roman" w:eastAsia="Times New Roman" w:hAnsi="Times New Roman"/>
          <w:sz w:val="18"/>
          <w:szCs w:val="18"/>
          <w:i w:val="1"/>
          <w:iCs w:val="1"/>
          <w:color w:val="auto"/>
        </w:rPr>
        <w:t xml:space="preserve">ex-parte </w:t>
      </w:r>
      <w:r>
        <w:rPr>
          <w:rFonts w:ascii="Times New Roman" w:cs="Times New Roman" w:eastAsia="Times New Roman" w:hAnsi="Times New Roman"/>
          <w:sz w:val="18"/>
          <w:szCs w:val="18"/>
          <w:color w:val="auto"/>
        </w:rPr>
        <w:t>re-exam,</w:t>
      </w:r>
      <w:r>
        <w:rPr>
          <w:rFonts w:ascii="Times New Roman" w:cs="Times New Roman" w:eastAsia="Times New Roman" w:hAnsi="Times New Roman"/>
          <w:sz w:val="18"/>
          <w:szCs w:val="18"/>
          <w:i w:val="1"/>
          <w:iCs w:val="1"/>
          <w:color w:val="auto"/>
        </w:rPr>
        <w:t xml:space="preserve"> inter partes </w:t>
      </w:r>
      <w:r>
        <w:rPr>
          <w:rFonts w:ascii="Times New Roman" w:cs="Times New Roman" w:eastAsia="Times New Roman" w:hAnsi="Times New Roman"/>
          <w:sz w:val="18"/>
          <w:szCs w:val="18"/>
          <w:color w:val="auto"/>
        </w:rPr>
        <w:t>review or post-grant review proceedings. These proceedings are expensive and may consume our time or other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choose to challenge a third party’s patent in patent opposition proceedings in the foreign patent offices. The costs of these opposition proceedings could be substantial, and may consume our time or other resources. If we fail to obtain a favorable result at the USPTO or other patent office then we may be exposed to litigation by a third party alleging that the patent may be infringed by our product candidates or proprietary technologies.</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owned and in-licensed issued patents or our pending applications, or that we or, if applicable, a licensor were the first to invent the technology. Our competitors may have filed, and may in the future file, patent applications covering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proprietary or confidential information, particularly in countries where the laws may not protect those rights as fully as in the United States.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84"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the USPTO.</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mechanisms include re-examination,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Moreover, the patents included in our patent portfolio may expire before, or soon after, our first product achieves marketing approval in the United States or foreign jurisdictions. Upon the expiration of our current or future owned or licensed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2041 through 2042, without taking into account any possible patent term adjustments or extensions. However, we cannot be assured that the USPTO or relevant foreign patent offices will grant any of these patent applications.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ex-U.S. jurisdictions could diminish the value of patents in general, thereby impairing our ability to protect our products.</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Changes in either the patent laws or interpretation of the patent laws in the United States or in ex-U.S. jurisdictions could increase the uncertainties and costs surrounding the prosecution of patent applications and the enforcement or defense of issued patents. In addition, the United States has recently enacted and is currently implementing wide-ranging patent reform legislation. Recent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case </w:t>
      </w:r>
      <w:r>
        <w:rPr>
          <w:rFonts w:ascii="Times New Roman" w:cs="Times New Roman" w:eastAsia="Times New Roman" w:hAnsi="Times New Roman"/>
          <w:sz w:val="18"/>
          <w:szCs w:val="18"/>
          <w:i w:val="1"/>
          <w:iCs w:val="1"/>
          <w:color w:val="auto"/>
        </w:rPr>
        <w:t>Amgen Inc. v. Sanofi,</w:t>
      </w:r>
      <w:r>
        <w:rPr>
          <w:rFonts w:ascii="Times New Roman" w:cs="Times New Roman" w:eastAsia="Times New Roman" w:hAnsi="Times New Roman"/>
          <w:sz w:val="18"/>
          <w:szCs w:val="18"/>
          <w:color w:val="auto"/>
        </w:rPr>
        <w:t xml:space="preserve"> the Federal Circuit held that a well-characterized antigen is insufficient to satisfy the written description requirement of certain claims directed to a genus of antibodies that are solely defined by function; and in the case of </w:t>
      </w:r>
      <w:r>
        <w:rPr>
          <w:rFonts w:ascii="Times New Roman" w:cs="Times New Roman" w:eastAsia="Times New Roman" w:hAnsi="Times New Roman"/>
          <w:sz w:val="18"/>
          <w:szCs w:val="18"/>
          <w:i w:val="1"/>
          <w:iCs w:val="1"/>
          <w:color w:val="auto"/>
        </w:rPr>
        <w:t>Assoc.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Molecular Pathology v. Myriad Genetics, Inc., </w:t>
      </w:r>
      <w:r>
        <w:rPr>
          <w:rFonts w:ascii="Times New Roman" w:cs="Times New Roman" w:eastAsia="Times New Roman" w:hAnsi="Times New Roman"/>
          <w:sz w:val="18"/>
          <w:szCs w:val="18"/>
          <w:color w:val="auto"/>
        </w:rPr>
        <w:t>the Supreme Court held that certain claims to DNA molecules are not patentable. We cannot predict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decisions or any future decisions by the courts, the U.S. Congress or the USPTO may impact the value of our patents. Similarly, any adverse changes in the patent laws of other jurisdictions could have a material adverse effect on our business and financial condition.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do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Many countries have compulsory licensing laws under which a patent owner may be compelled to grant licenses to third parties. In addition, many countries limit the enforceability of patents against government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agencies or government contractors. In these countries, the patent owner may have limited remedies, which could materially diminish the value of such patent. If we or any of our licensors are forced to grant a license to third parties with respect to any patents relevant to its business, our competitive position may be impaired, and our business, financial condition, results of operations and prospects may be adversely affected. Also, competitors may use our technologies in jurisdictions where we have not obtained patent protection to develop our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against third parties in violation of its proprietary rights generally. The initiation of proceedings by third parties to challenge the scope or validity of our patent rights in foreign jurisdictions could result in substantial cost and divert its efforts and attention from other aspects of its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8"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patents, and we may be unable to protect our rights to our products and technology.</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 these patents are not valid and that we or they, as the case may be, do not have the right to stop others from using the inventions.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another party questions the patentability of any of our claims in our owned or in-licensed U.S. patents, the third-party can request that the USPTO review the patent claims such as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foreign patent offices, where either our owned or in-licensed foreign patents are challenged.</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the future, we may be involved in similar proceedings challenging the patent rights of others, and the outcome of such proceedings is highly uncertain. An adverse determination in any such proceeding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The costs of these opposition or similar proceedings could be substantial, and may result in a loss of scope of some claims or a loss of the entire patent. An unfavorable result at the USPTO or other patent office may result in the loss of our right to exclude others from practicing one or more of our inventions in the relevant country or jurisdiction, which could have a material adverse effect on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 Further, for our licensed patents, we may not have the right to control prosecution, including filing with the USPTO, of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 names or trademarks that incorporate variations of our unregistered trade names or trademarks. If we are unable to establish name recognition based on our trademarks and trade names, we may not be able to compete effectively and our business may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manufacturing suites in third-party facilities or on third parties to manufacture TX45 and any other product candidates, and we may rely on third parties to produce and process our products, if approved. Our business could be adversely affected if we are unable to use third-party manufacturing suites or if the third-party manufacturers encounter difficulties in production.</w:t>
      </w:r>
    </w:p>
    <w:p>
      <w:pPr>
        <w:spacing w:after="0" w:line="67"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do not currently lease or own any facility that may be used as our clinical-scale manufacturing and processing facility and currently rely on a contract manufacturing organization (“CMO”), WuXi Biologics (Hong Kong) Limited (“WuXi Biologics”), to manufacture TX45 our product candidate used in our Phase 1a and Phase Ib clinical trials. We currently have a sole source relationship with WuXi Biologics for our supply of TX45 (see the section titled “</w:t>
      </w:r>
      <w:r>
        <w:rPr>
          <w:rFonts w:ascii="Times New Roman" w:cs="Times New Roman" w:eastAsia="Times New Roman" w:hAnsi="Times New Roman"/>
          <w:sz w:val="18"/>
          <w:szCs w:val="18"/>
          <w:i w:val="1"/>
          <w:iCs w:val="1"/>
          <w:color w:val="auto"/>
        </w:rPr>
        <w:t>Our Business–Collaboration, License and Services Agreements</w:t>
      </w:r>
      <w:r>
        <w:rPr>
          <w:rFonts w:ascii="Times New Roman" w:cs="Times New Roman" w:eastAsia="Times New Roman" w:hAnsi="Times New Roman"/>
          <w:sz w:val="18"/>
          <w:szCs w:val="18"/>
          <w:color w:val="auto"/>
        </w:rPr>
        <w:t>” located elsewhere in this prospectus for additional information on our relationship with WuXi Biologics). If there should be any disruption in such supply arrangement, including any adverse events affecting our sole supplier, Wuxi Biologics, it could have a negative effect on the clinical development of our product candidates and other operations while we work to identify and qualify an alternate supply source. We may not control the manufacturing process of, and may be completely dependent on, our contract manufacturing partner for compliance with cGMP requirements and any other regulatory requirements of the FDA or comparable foreign regulatory authorities for the manufacture of a product candidate. We perform periodic audits of each CMO facility that supports our supply of TX45 and reviews and approves all TX45 cGMP-related documentation. We also have a quality agreement with WuXi Biologics that documents our mutual agreement on compliance with cGMPs and expectations on quality-required communications to us. Beyond this, we have no control over the ability of its CMO to maintain adequate quality control, quality assurance and qualified personnel. If the FDA or a comparable foreign regulatory authority does not approve these facilities and the associated Quality Management System for the manufacture of a product candidate or if it withdraws any approval in the future, we may need to find alternative manufacturing facilities, which would require the incurrence of significant additional costs and materially and adversely affect our ability to develop, obtain regulatory approval for or market such product candidate, if approved. Similarly, our failure, or the failure of our CMO,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 product candidate or drug and harm our business and results of operations. In addition, we have not yet caused any product candidates to be manufactured on a commercial scale and may not be able to do so for any of our product candidates, if approved.</w:t>
      </w:r>
    </w:p>
    <w:p>
      <w:pPr>
        <w:spacing w:after="0" w:line="189" w:lineRule="exact"/>
        <w:rPr>
          <w:sz w:val="20"/>
          <w:szCs w:val="20"/>
          <w:color w:val="auto"/>
        </w:rPr>
      </w:pPr>
    </w:p>
    <w:p>
      <w:pPr>
        <w:jc w:val="both"/>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Moreover, our CMO may experience manufacturing difficulties due to resource constraints, governmental restrictions or as a result of labor disputes or unstable political environments. Supply chain issues, including those resulting from the COVID-19 pandemic and the ongoing military conflict between Russia and Ukraine, may affect our third-party vendors and cause delays. Furthermore, since we have engaged WuXi Biologics, a manufacturer located in China, we are exposed to the possibility of product supply disruption and increased costs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the event of changes in the policies of the United States or Chinese governments or political unrest or unstable economic conditions in China. For example, the recently proposed BIOSECURE Act introduced in the U.S. House of Representatives, as well as a substantially similar bill in the U.S. Senate, target U.S. government contracts, loans, and grants to entities that use equipment or services from certain Chinese biotechnology companies and would authorize the U.S. government to name other Chinese biotechnology companies of concern. If these bills become law, or similar laws are passed, they would have the potential to severely restrict the ability of companies to contract with certain Chinese biotechnology companies of concern without losing the ability to contract with, or otherwise receive funding from, the U.S. government. If we are required to change manufacturers for any reason, we will be required to verify that the new manufacturer maintains facilities and procedures that comply with quality standards and with all applicable regulations and guidelines. For example, in the event that we need to transfer from WuXi Biologics, which is our sole manufacturing source for TX45, we anticipate that the complexity of the manufacturing process may materially impact the amount of time it would take to secure a replacement manufacturer. The delays associated with the verification of a new manufacturer, if we are able to identify an alternative source, could negatively affect our ability to supply product candidates, including TX45, in a timely manner or within budget. If any CMO on which we will rely fails to manufacture quantities of a product candidate at quality levels necessary to meet regulatory requirements and at a scale sufficient to meet anticipated demand at a cost that allows us to achieve profitability, our business, financial condition, cash flows, and prospects could be materially and adversely affected. In addition, our CMO and/or distribution partners are responsible for transporting temperature-controlled materials that can be inadvertently degraded during transport due to several factors, rendering certain batches unsuitable for trial use for failure to meet, among others, our integrity and purity specifications. We and our CMO may also face product seizure or detention or refusal to permit the import or export of products. Our business could be materially adversely affected by business disruptions to our third-party providers that could materially adversely affect our anticipated timelines, potential future revenue and financial condition and increase our costs and expenses. Each of these risks could delay or prevent the completion of our preclinical studies and clinical trials or the approval of any of our product candidates by the FDA, result in higher costs or adversely impact commercialization of our products.</w:t>
      </w:r>
    </w:p>
    <w:p>
      <w:pPr>
        <w:spacing w:after="0" w:line="293" w:lineRule="exact"/>
        <w:rPr>
          <w:sz w:val="20"/>
          <w:szCs w:val="20"/>
          <w:color w:val="auto"/>
        </w:rPr>
      </w:pPr>
    </w:p>
    <w:p>
      <w:pPr>
        <w:jc w:val="both"/>
        <w:ind w:left="120" w:righ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and expect to continue to rely, on third parties, including independent clinical investigators, contracted laboratories and CROs,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4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contracted laboratories and third-party CROs, to conduct our preclinical studies and clinical trials in accordance with applicable regulatory requirements, to validate our assays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and regulatory requirements and scientific standards, and our reliance on these third parties does not relieve us of our regulatory responsibilities. We and our third-party contractors and CROs are required to comply with good laboratory practices (“GLPs”), as applicable, and GCP requirements, which are regulations and guidelines enforced by the FDA and comparable foreign regulatory authorities for conducting, recording and reporting the results of clinical trials to assure that data and reported results are credible, reproducible and accurate and that the rights, integrity, and confidentiality of trial participants are protected. Regulatory authorities enforce these GLPs and GCPs through periodic inspections of laboratories conducting GLP studies, trial sponsors, principal investigators and trial sites. If we, our investigators or any of our CROs or contracted laboratories fail to comply with applicable GLPs and GCPs, the clinical data generated in its clinical trials may be deemed unreliable and the FDA or comparable foreign regulatory authorities may require us to perform additional preclinical studies or clinical trials before approving its marketing applications. We cannot assure you that upon inspection by a given regulatory authority, such regulatory authority will determine that any of our preclinical studies or clinical trials comply with applicable GLP or GCP regulations. In addition, our clinical trials must be conducted with product,</w:t>
      </w:r>
    </w:p>
    <w:p>
      <w:pPr>
        <w:spacing w:after="0" w:line="1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including biologic product, produced in compliance with applicable cGMP regulations. Our failure to comply with these regulations may require us to repeat preclinical studies or clinical trials, which would delay the regulatory approval process.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Further, these laboratories, investigators and CROs are not our employees and we will not be able to control, other than by contract, the amount of resources, including time, which they devote to our product candidates and clinical trials. If independent laboratories,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we can be reasonably demonstrated that the safety of the subjects participating in our clinical trials warrants such termination, if we make a general assignment for the benefit of our creditors or if we are liquidated.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is a limited number of third-party service providers that specialize or have the expertise required to achieve our business objectives. If any of our relationships with these third-party laboratories, CROs or clinical investigators terminate, we may not be able to enter into arrangements with alternative laboratories, CROs or investigators or to do so in a timely manner or on commercially reasonable terms. If laboratories, CROs or clinical investigators do not successfully carry out their contractual duties or obligations or meet expected deadlines, if they need to be replaced or if the quality or accuracy of the clinical data they obtain is compromised due to the failure to adhere to its preclinical or clinical protocols, regulatory requirements or for other reasons, its preclinical or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Switching or adding additional laboratories or CROs (or investigators) involves additional cost and requires management time and focus. In addition, there is a natural transition period when a new laboratory or CRO commences work. As a result, delays occur, which can materially impact our ability to meet its desired clinical development timelines. Though we carefully manage our relationships with our contracted laboratories and CROs, there can be no assurance that we will not encounter similar challenges or delays in the future or that these delays or challenges will not have a material adverse impact on our business, financial condition and results of operations.</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addition, clinical investigators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preclinical study or clinical trial, the integrity of the data generated at the applicable preclinical study or clinical trial site may be questioned and the utility of the preclinical study or clinical trial itself may be jeopardized, which could result in the delay or rejection by the FDA. Any such delay or rejection could prevent us from commercializing our clinical-stage product candidate or any future product candidates.</w:t>
      </w:r>
    </w:p>
    <w:p>
      <w:pPr>
        <w:spacing w:after="0" w:line="29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collaborations will be important to our business. If we are unable to enter into new collaborations, or if these collaborations are not successful, our business could be adversely affected.</w:t>
      </w:r>
    </w:p>
    <w:p>
      <w:pPr>
        <w:spacing w:after="0" w:line="5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A part of our strategy is to strategically evaluate and, as deemed appropriate, enter into additional strategic collaborations in the future when strategically attractive, including potentially with major biotechnology or pharmaceutical companies. We have limited capabilities for product development and do not yet have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capability for commercialization. Accordingly, we may enter into collaborations with other companies to provide us with important technologies and funding for its programs and technology. If we fail to enter into or maintain collaborations on reasonable terms or at all, our ability to develop our existing or future research programs and product candidates could be delayed, the commercial potential of our product could change and our costs of development and commercialization could increase. Furthermore, we may find that our programs require the use of intellectual property rights held by third parties, and the growth of our business may depend in part on our ability to acquire or in-license these intellectual property rights.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future collaborations we enter into may pose a number of risks, including, but not limited to, the following:</w:t>
      </w:r>
    </w:p>
    <w:p>
      <w:pPr>
        <w:spacing w:after="0" w:line="13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85"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1080" w:right="340" w:hanging="424"/>
        <w:spacing w:after="0" w:line="312" w:lineRule="auto"/>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ours may be viewed by our collaborators as competitive with their own product candidates or products, which may cause collaborators to cease to devote resources to the commercialization of its product candidates;</w:t>
      </w:r>
    </w:p>
    <w:p>
      <w:pPr>
        <w:spacing w:after="0" w:line="45" w:lineRule="exact"/>
        <w:rPr>
          <w:rFonts w:ascii="Times New Roman" w:cs="Times New Roman" w:eastAsia="Times New Roman" w:hAnsi="Times New Roman"/>
          <w:sz w:val="17"/>
          <w:szCs w:val="17"/>
          <w:color w:val="auto"/>
        </w:rPr>
      </w:pPr>
    </w:p>
    <w:p>
      <w:pPr>
        <w:ind w:left="1080" w:right="6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our collaborations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prospectus also apply to the activities of its therapeutic collaborators.</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Additionally, if one of our collaborators terminates its agreement with us, we may find it more difficult to attract new collaborators and our perception in the business and financial communities could be adversely affected.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collaborative partners. Our ability to reach a definitive agreement for a collaboration will depend, among other things, upon an assessment of the collaborator’s resources and expertise, the terms and conditions of the proposed collaboration and the proposed collaborator’s evaluation of a number of factors. These factors may include the design or results of preclinical studies or clinical trials, the likelihood of regulatory approval, the potential market for the subject product candidate, the costs and complexities of manufacturing and delivering such product candidate to patients, the potential of competing products, the existence of any uncertainty with respect to our ownership of technology (which can exist if there is a challenge to such ownership regardless of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91"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research requires the use of Non-Human Primates (“NHP”), the supply of which could delay or prevent development of product candidates.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Consistent with various rules, regulations and cGMP requirements, our ability to advance our pre-clinical programs and successfully develop our product candidates requires access to animal research models sufficient to assess safety and in some cases to establish the rationale for therapeutic use. Failure to access or a significant delay in accessing animal research models that meet our needs or that fulfil regulatory requirements may materially adversely affect our ability to advance our pre-clinical programs and successfully develop our product candidates and this could result in significant harm to our business. During the COVID-19 pandemic, researchers and CROs experienced significant limitations in their access to animal research models, specifically including a sharp reduction in the availability of NHPs originating from breeding farms in Southeast Asia and limited access to the generation of genetically-modified rodent models used in efficacy evaluations. If we are unable to obtain NHPs in sufficient quantities and in a timely manner to meet the needs of its pre-clinical research programs, if the price of NHPs that are available increases significantly, or if our suppliers are unable to ship the NHPs in their possession that are reserved for them, our ability to advance our pre-clinical programs and successfully develop our pre-clinical candidates may be materially adversely affected or significantly delayed.</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highly dependent on our management team, including Alise Reicin, M.D., our President and Chief Executive Officer, Daniel Lochner, our Chief Financial Officer, Peter McNamara, Ph.D., our Chief Scientific Officer and Marcella K. Ruddy, M.D., our Chief Medical Officer. Each of them may currently terminate their employment with us at any time. The loss of the services of any of these persons could impede the achievement of our research, development, and commercialization objectives. We do not currently maintain “key person” life insurance on the lives of our executives or any of our employees.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spacing w:after="0" w:line="294"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28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51"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our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9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significant disruption of our product development programs and our ability to operate our business effectively.</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Cyber-attacks are increasing in their frequency, sophistication, and intensity, and have become increasingly difficult to detect. Cyber-attacks could include the deployment of harmful malware, ransomware, denial-of-service attacks, social engineering, and other means to affect service reliability and threaten the confidentiality, integrity, and availability of information. Cyber-attacks also could include phishing attempts or e-mail fraud to cause payments or information to be transmitted to an unintended recipient.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While we have not experienced any significant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completed or future clinical trials by us or our CROs could result in delays in our regulatory approval efforts and significantly increase our costs to recover or reproduce the data. Additionally, any such event that leads to unauthorized access, use or disclosure of personal information, including personal information regarding our patients or employees, could harm our reputation, cause us not to comply with federal and/or state breach notification laws and foreign law equivalents and otherwise subject us to liability under laws and regulations that protect the privacy and security of personal information. Security breaches and other inappropriate access can be difficult to detect, and any delay in identifying them may lead to increased harm of the type described above. While we have implemented security measures to protect our information technology systems and infrastructure, such measures may not prevent service interruptions or security breaches that could adversely affect our business and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including civil or criminal penalties, private litigation, and adverse publicity and could negatively affect our operating results and business.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and any current and future collaborators may be subject to federal, state/provincial, municipal and foreign data protection laws and regulations, such as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including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criminal, and administrative penalties if we violate HIPAA.</w:t>
      </w:r>
    </w:p>
    <w:p>
      <w:pPr>
        <w:spacing w:after="0" w:line="19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current or future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principal investigators, consultants, and commercial partners.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the information technology systems of our CROs, our CMOs, service providers, our current and potential future partners or other third parties upon which we rely were compromised, we could experience adverse consequences, including but not limited to material disruptions to our business operations, regulatory investigations or actions, litigation, fines and penalties, reputational harm, loss of revenue or profits, or other adverse consequences.</w:t>
      </w:r>
    </w:p>
    <w:p>
      <w:pPr>
        <w:spacing w:after="0" w:line="72" w:lineRule="exact"/>
        <w:rPr>
          <w:sz w:val="20"/>
          <w:szCs w:val="20"/>
          <w:color w:val="auto"/>
        </w:rPr>
      </w:pPr>
    </w:p>
    <w:p>
      <w:pPr>
        <w:jc w:val="both"/>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We collect, store, receive, process, generate, use, transfer, disclose, make accessible, protect, secure, dispose of, share, and transmit (collectively, process) proprietary, confidential and sensitive information, including personal information (such as health-related data of clinical trial participants and employee information), in the course of our business. Similarly, third-parties upon which we rely process certain of that information on our behalf.</w:t>
      </w:r>
    </w:p>
    <w:p>
      <w:pPr>
        <w:spacing w:after="0" w:line="15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constantly evolving and growing in frequency, sophistication, and intensity. For example, these threats may include (without limitation) malware, viruses, software vulnerabilities and bugs, software or hardware failure, hacking, denial of service attacks, social engineering (including through deep fakes, which may be increasingly more difficult to identify as fake, and phishing), ransomware, insider threats (such as theft of misuse by personnel), credential stuffing, telecommunications failures, loss or theft of devices, data or other information technology assets, attacks enhanced or facilitated by AI, earthquakes, fires, floods and similar threats. Threats such as ransomware attacks, for example, are becoming increasingly prevalent and severe, and attackers are increasingly leveraging multiple attack methods to extort payment from victims, such as data theft and disabling systems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Security incidents may result from the actions of a wide variety of actors with a wide range of motives and expertise, including traditional hackers, our personnel or the personnel of the third parties upon which we rely, organized criminal threat actors, hacktivists, sophisticated nation-states and nation-state-supported actors. During times of war and other major conflicts, we, the third parties upon which we rely, and our customers may be vulnerable to a heightened risk of these attacks, including retaliatory cyber- attacks, that could materially disrupt our systems and operations, supply chain, and ability to produce, sell and distribute our goods and services.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ind w:left="120" w:right="100" w:firstLine="440"/>
        <w:spacing w:after="0" w:line="271" w:lineRule="auto"/>
        <w:rPr>
          <w:sz w:val="20"/>
          <w:szCs w:val="20"/>
          <w:color w:val="auto"/>
        </w:rPr>
      </w:pPr>
      <w:r>
        <w:rPr>
          <w:rFonts w:ascii="Times New Roman" w:cs="Times New Roman" w:eastAsia="Times New Roman" w:hAnsi="Times New Roman"/>
          <w:sz w:val="17"/>
          <w:szCs w:val="17"/>
          <w:color w:val="auto"/>
        </w:rPr>
        <w:t>In addition, our reliance on third-party service providers could introduce new cybersecurity risks and vulnerabilities, and other threats to its business operations. For example, we rely on third parties to operate critical business systems and process sensitive data in a variety of contexts, including, without limitation, cloud-based infrastructure, data center facilities, encryption and authentication technology, personnel email, and other functions. We also rely on third parties, including CROs, clinical trial sites and clinical trial vendors, to collect, store, and transmit sensitive data as part of its research activities. Our ability to monitor these third parties is limited, and these third parties may not have adequate information security measures in place. If our third-party service providers experience a security incident or other interruption, we could experience adverse consequences. While we may be entitled to damages if its third-party service providers fail to satisfy their privacy or security-related obligations to us, any award may be insufficient to cover damages, or we may be unable to recover such awards. Supply-chain attacks have also increased in frequency and severity, and we cannot guarantee that third parties’ infrastructure in our supply chain or our third-party partners’ supply chains have not been compromised.</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Certain functional areas of our workforce work remotely on a full- or part-time basis or otherwise utilize network connections, computers and devices outside of our premises or network, which imposes additional risks to our business.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We may be required to, or we may choose to, expend significant resources or modify our business activities (including our clinical trial activities) in an effort to protect against security incidents, particularly where required by applicable data privacy and security laws or regulations or industry standards. Certain data privacy and security obligations may require us to implement and maintain specific security measures or industry-standard or reasonable security measures to protect our information technology systems and sensitive information.</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its information technology systems, or those of the third parties upon which we rely. If our information systems or data, or that of the third parties on which we rely, are compromised, it could interrupt our operations, disrupt our development programs and have a material adverse effect on our business, financial condition and results of operations. For example, the loss or corruption of clinical trial data from completed or future clinical trials could result in delays in our regulatory approval efforts and significantly increase our costs to recover or reproduce the data. Likewise, we rely on third parties for the manufacture of TX45, to analyze clinical trial samples and to conduct clinical trials, and security incidents experienced by these third parties could have a material adverse effect on our business. Security incidents affecting us or the third parties we rely on or partners with could also result in substantial remediation costs and expose us to litigation (including class claims), regulatory enforcement action (for example, investigations, fines, penalties, audits and inspections), additional reporting requirements and/or oversight, fines, penalties, indemnification obligations, negative publicity, reputational harm, monetary fund diversions, diversion of management attention, interruptions in our operations (including availability of data), financial loss and other liabilities and harms. Additionally, such incidents may trigger data privacy and security obligations requiring us to notify relevant stockholders, including affected individuals, customers, regulators, and investors. Such disclosures may be costly, and related requirements or the failure to comply with them could lead to adverse consequences. Even a perceived security incident or failure in compliance by us or a third-party partner may result in negative publicity, harm to our reputation, or other adverse effects.</w:t>
      </w:r>
    </w:p>
    <w:p>
      <w:pPr>
        <w:spacing w:after="0" w:line="19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claims related to our data privacy and security obligations. Additionally, we cannot be certain that our insurance coverage will be adequate for data security liabilities actually incurred, will continue to be available to us on economically and commercially reasonable terms, or at all, or that any insurer will not deny coverage as to any future claim.</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 competitively sensitive details about the company and could be used to undermine our competitive advantage or market position. Additionally, sensitive information of ours could be leaked, disclosed, or revealed as a result of or in connection with our employees’, personnel’s, or vendors’ use of generative AI technologies.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rapidly changing and increasingly stringent U.S. and foreign laws, regulations, and rules, contractual obligations, industry standards, policies and other obligations relating to privacy, data protection and information security. Our actual or perceived failure to comply with these obligations could lead to regulatory investigations or actions; litigation (including class claims) and mass arbitration demands; fines and penalties; disruptions of business operations; reputational harm; loss of revenue or profits; loss of customers or sales; and otherwise harm our business.</w:t>
      </w:r>
    </w:p>
    <w:p>
      <w:pPr>
        <w:spacing w:after="0" w:line="7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process proprietary, confidential and sensitive information, including personal information (including health-related data), which subjects us to numerous evolving and complex data privacy and security obligations, including various laws, regulations, guidance, industry standards, external and internal privacy and security policies, contracts and other obligations that govern the processing of such information in connection with our business.</w:t>
      </w:r>
    </w:p>
    <w:p>
      <w:pPr>
        <w:spacing w:after="0" w:line="176"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may govern data privacy and security. For example, the European Union’s General Data Protection Regulation, (“EU GDPR”) and the United Kingdom’s GDPR (“UK GDPR”) and the Swiss Federal Data Protection Act (collectively, “European Data Protection Laws”) impose strict requirements for processing personal information, including relating to transfer of personal information to countries like the United States. European Data Protection Laws and other relevant laws govern patient confidentiality and storage of personal health data, and may apply to our processing of personal information from clinical trial participants and other individuals located in the EEA, the United Kingdom (the “UK”), or Switzerland and, if TX45 or any potential future product candidates are approved, our possible commercialization of those products in the EEA, the UK, or Switzerland (as applicable). Companies that violate the EU or UK GDPR can face private litigation, regulatory investigations and enforcement actions, prohibitions on data processing, other administrative measures, reputational damage and fines of up to the greater of 20 million Euros /17.5 million pounds sterling or 4% of their worldwide annual revenue, in either case, whichever is greater. Certain jurisdictions have enacted data localization restrictions or laws and regulations restricting cross-border transfers of personal information, except in limited circumstances where adequate safeguards are in place. In particular, regulators and courts in the EEA, the UK, and Switzerland have significantly restricted the transfer of personal information to the United States and other countries whose privacy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the UK, or Switzerland to the United States, such as the EEA standard contractual clauses, the UK’s International Data Transfer Agreement / Addendum, and the EU-U.S. Data Privacy Framework (the “Framework”) and the UK extension thereto (which allows for transfers for to relevant U.S.-based organizations who self-certify compliance and participate in the Framework), these mechanisms are subject to legal challenges and there is no assurance that we can satisfy or rely on these measures to lawfully transfer personal data to the United States. If we are unable to implement a valid compliance solution for cross-border transfers of personal information, or if the requirements for a legally-compliant transfer are too onerous, we may face increased exposure to significant adverse consequences, including substantial fines, regulatory actions, as well as injunctions against the export and processing of personal information from the EEA, UK, Switzerland, or other countries that implement cross-border data transfer restrictions. Our inability to import personal information from the EEA, UK or Switzerland or other countries may also restrict or prohibit our clinical trial activities in those countries; limit our ability to collaborate with CROs, service providers, contractors and other companies subject to laws restricting cross-border data transfers; require us to increase our data processing capabilities in other countries at significant expense and may otherwise negatively impact our business operations. We may also become subject to new laws in the EEA and other jurisdictions that regulate cybersecurity and non-personal data, such as data collected through the internet of things. Depending on how these laws are interpreted, we may have to make changes to our business practices and products to comply with such obligations.</w:t>
      </w:r>
    </w:p>
    <w:p>
      <w:pPr>
        <w:spacing w:after="0" w:line="20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Additionally, other countries have enacted or are considering enacting similar cross-border data transfer restrictions and laws requiring local data residency, which could increase the cost and complexity of delivering our services and operating our business.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Privacy and data security laws in the United States at the federal, state and local level are increasingly complex and changing rapidly. For example, at the federal level, HIPAA, as amended by HITECH, imposes specific requirements relating to the privacy, security and transmission of individually identifiable health information. Additionally, at the state level, the privacy and data protection landscape is changing rapidly. Many states have enacted comprehensive privacy laws. For example, the California Consumer Rights Act (“CCPA”), as amended by the California Privacy Rights Act of 2020 (“CPRA”) applies to personal information data of consumers, business representatives, and employees who are California residents and requires businesses to provide specific disclosures in privacy notices and honor requests of such individuals to exercise certain rights concerning their personal data. The CCPA provides fines for noncompliance and a limited private right of action in connection with certain data breaches. While the CCPA contains an exemption for certain personal information processed in connection with clinical trials, we may process other personal information that is subject to the CCPA. Other states, such as Virginia, Colorado, Connecticut, and Utah, have also passed comprehensive privacy laws that become effective in 2023, and similar laws have been passed or are being considered in several other states, as well as at the federal and local levels. The evolving patchwork of differing state and federal privacy and data security laws increases the cost and complexity of operating our business and increases our exposure to liability, including from third party litigation and regulatory investigations, enforcement, fines, and penalties.</w:t>
      </w:r>
    </w:p>
    <w:p>
      <w:pPr>
        <w:spacing w:after="0" w:line="19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bound by contractual obligations and our efforts to comply with such obligations may not be successful.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obligations related to data privacy and security (and consumers’ data privacy obligations) are quickly changing in an increasingly stringent fashion and creating uncertainty. These obligations may be subject to differing applications and interpretations, which may be inconsistent or in conflict among jurisdictions. Monitoring,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information on its behalf. In addition, these obligations may require us to change aspects of our business model. Although we endeavor to comply with applicable data privacy and security obligations, we may at times fail (or be perceived to have failed) to do so. Moreover, despite our efforts, our personnel or third parties upon whom we rely may fail to comply with such obligations, which could impact whether or not we are in compliance.</w:t>
      </w:r>
    </w:p>
    <w:p>
      <w:pPr>
        <w:spacing w:after="0" w:line="19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If we (or third parties on which we rely) fail, or are perceived to have failed, to address or comply with data privacy, protection and security obligations, we could face significant consequences, including (without limitation): government enforcement actions (e.g., investigations, fines, penalties, audits, inspections and similar); litigation (including class-related claims) and mass arbitration demands; additional reporting requirements and/or oversight; bans on processing personal information; orders to destroy or not use personal information; and/or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information or to operate in certain jurisdictions; limited ability to develop or commercialize its products; expenditure of time and resources to defend any claim or inquiry; adverse publicity; or revision or restructuring of its operations.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5"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earthquakes, fires, other natural disasters, terrorism and similar unforeseen events beyond our control prevent us from using all or a significant portion of our headquarters or other facilities,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 which could have a material adverse effect on our business. In addition, the long-term effects of climate change on general economic conditions and the pharmaceutical manufacturing and distribution industry in particular are unclear, and changes in the supply, demand or available sources of energy and the regulatory and other costs associated with energy production and delivery may affect the availability or cost of goods and services, including raw materials and other natural resources, necessary to run our business. If such an event were to affect our supply chain, it could have a material adverse effect on our ability to conduct our clinical trials, our development plans and business.</w:t>
      </w:r>
    </w:p>
    <w:p>
      <w:pPr>
        <w:spacing w:after="0" w:line="292"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conduct certain research and development operations through our Australian wholly-owned subsidiary. If we lose our ability to operate in Australia, or if our subsidiary is unable to receive the research and development incentive payment allowed by Australian regulations, our business and results of operations could suffer.</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September 2023, we formed a wholly-owned Australian subsidiary, Tectonic Therapeutic Pty Ltd., to conduct various preclinical studies and clinical trials for its product candidates in Australia. Due to the geographical distance and lack of employees currently in Australia, as well as our lack of experience operating in Australia, we may not be able to efficiently or successfully monitor its clinical activities in Australia, including conducting preclinical studies and clinical trials. Furthermore, we have no assurance that the results of any clinical trials that we conduct for our product candidate in Australia will be accepted by the FDA or comparable foreign regulatory authorities for development and commercialization approvals.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current Australian tax regulations provide for a refundable research and development incentive payment equal to 43.5% of qualified expenditures to companies with an annual turnover of less than AU$20 million. Tectonic Therapeutic Pty Ltd. may be eligible to receive incentive payments during 2025 for research expenditures made during 2024. If our subsidiary loses our ability to operate in Australia, or if we are ineligible or unable to receive the research and development incentive payment, or the Australian government significantly reduces or eliminates the incentive program, our business and results of operation may be adversely affected.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Legislation or other changes in U.S. tax law could adversely affect our business and financial condition.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In recent years, many changes have been made to applicable tax laws and changes are likely to continue to occur in the future.</w:t>
      </w:r>
    </w:p>
    <w:p>
      <w:pPr>
        <w:spacing w:after="0" w:line="176"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tax liability or require changes in the manner in which we operate in order to minimize or mitigate any adverse effects of changes in tax law or in the interpretation thereof.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U.S. net operating loss carryforwards and certain other U.S. tax attributes may be limited.</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of March 31, 2024, we had U.S. federal net operating loss carryforwards of approximately $15.2 million. The amount of net operating loss carryforwards that we are permitted to deduct is limited to 80% of taxable income in each such taxable year to which the net operating loss carryforwards are applied. In addition, our U.S. federal net operating losses and tax credits may be subject to limitations under Sections 382 and 383 of the Code, if we have undergone or undergo an “ownership change,” generally defined as a greater than 50 percentage point change (by value) in our equity ownership by certain stockholders over a rolling three-year period. We may have experienced such ownership changes in the past and may experience ownership changes in the future as a result of shifts in our stock ownership, some of which are outside our control. Our net operating losses and tax credits may also be impaired or restricted under state law.</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ability to utilize our net operating loss carryforwards could be limited by an “ownership change” as described above, which could result in increased tax liability to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a result of the COVID-19 pandemic and actions taken to slow its spread,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any necessary debt or equity financing that we undertake may be more difficult, more costly and more dilutive than it would be otherwise. Failure to secure any necessary financing in a timely manner and on favorable terms could have a material adverse effect on our growth strategy and financial performance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194"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Geopolitical developments, such as the Russian invasion of Ukraine, the conflict in the Middle East or deterioration in the bilateral relationship between the United States and China, may impact government spending, international trade and market stability, and cause weaker macro-economic conditions. Certain political developments may also lead to regulatory uncertainty and to rules that may adversely affect our business.</w:t>
      </w:r>
    </w:p>
    <w:p>
      <w:pPr>
        <w:spacing w:after="0" w:line="262"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its reported results of operations.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frequently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general and administrative expenses and a diversion of management time and attention from business activities to compliance activities.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CMOs and suppliers we engage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and any CMOs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third-party facilities. We could also incur significant costs associated with civil or criminal fines and penalties.</w:t>
      </w:r>
    </w:p>
    <w:p>
      <w:pPr>
        <w:spacing w:after="0" w:line="19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its resources, and our clinical trials or regulatory approvals could be suspended, which could have a material adverse effect on our business, financial condition, results of operations and prospects.</w:t>
      </w:r>
    </w:p>
    <w:p>
      <w:pPr>
        <w:spacing w:after="0" w:line="19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third-party CMOs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significantly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Legacy Tectonic did not incur as a private company. In addition, the Sarbanes-Oxley Act of 2002 (the “Sarbanes-Oxley Act”), as well as rules subsequently implemented by the SEC, and Nasdaq have imposed various requirements on public companies.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will need to devote a substantial amount of time to these compliance initiatives. Moreover, these rules and regulations will increase our legal and financial compliance costs and will make some activities more time-consuming and costlier. For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example, we expect these rules and regulations to make it more difficult and more expensive for us to obtain director and officer liability insurance and we may be required to incur substantial costs to maintain our current levels of such coverage.</w:t>
      </w:r>
    </w:p>
    <w:p>
      <w:pPr>
        <w:spacing w:after="0" w:line="266"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currently qualify as a “smaller reporting company,” as such term is defined in Rule 12b-2 under the Exchange Act, which allows the us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in our periodic reports and proxy statements. Once we are no longer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8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5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Nasdaq, the rules and regulations of the SEC, expanded disclosure requirements, accelerated reporting requirements and more complex accounting rules. The Sarbanes-Oxley Act requires us to, among other things, establish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the Merger is completed, we must perform system and process evaluation and testing of our internal controls over financial reporting to allow management to report on the effectiveness of our internal controls over financial reporting in our Annual Report on Form 10-K filing for that year, as required by Section 404 of the Sarbanes-Oxley Act. Prior to the closing of the Merger, we were never required to test our internal controls within a specified period and, as a result, we may experience difficulty in meeting these reporting requirements in a timely manner. 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well-conceived and operated, can provide only reasonable, not absolute, assurance that the objectives of the control system are met.</w:t>
      </w:r>
    </w:p>
    <w:p>
      <w:pPr>
        <w:spacing w:after="0" w:line="225"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could file lawsuits relating to the Merger.</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which was voluntarily dismissed without prejudice on June 13, 2024. Two actions have been filed in the Supreme Court of New York, captioned </w:t>
      </w:r>
      <w:r>
        <w:rPr>
          <w:rFonts w:ascii="Times New Roman" w:cs="Times New Roman" w:eastAsia="Times New Roman" w:hAnsi="Times New Roman"/>
          <w:sz w:val="18"/>
          <w:szCs w:val="18"/>
          <w:i w:val="1"/>
          <w:iCs w:val="1"/>
          <w:color w:val="auto"/>
        </w:rPr>
        <w:t>Price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Avrobio, Inc., et al.</w:t>
      </w:r>
      <w:r>
        <w:rPr>
          <w:rFonts w:ascii="Times New Roman" w:cs="Times New Roman" w:eastAsia="Times New Roman" w:hAnsi="Times New Roman"/>
          <w:sz w:val="18"/>
          <w:szCs w:val="18"/>
          <w:color w:val="auto"/>
        </w:rPr>
        <w:t>, No. 652555/2024 (filed May 17, 2024) and</w:t>
      </w:r>
      <w:r>
        <w:rPr>
          <w:rFonts w:ascii="Times New Roman" w:cs="Times New Roman" w:eastAsia="Times New Roman" w:hAnsi="Times New Roman"/>
          <w:sz w:val="18"/>
          <w:szCs w:val="18"/>
          <w:i w:val="1"/>
          <w:iCs w:val="1"/>
          <w:color w:val="auto"/>
        </w:rPr>
        <w:t xml:space="preserve"> Keller v. Avrobio, Inc., et al.</w:t>
      </w:r>
      <w:r>
        <w:rPr>
          <w:rFonts w:ascii="Times New Roman" w:cs="Times New Roman" w:eastAsia="Times New Roman" w:hAnsi="Times New Roman"/>
          <w:sz w:val="18"/>
          <w:szCs w:val="18"/>
          <w:color w:val="auto"/>
        </w:rPr>
        <w:t>, No. 652597/2024 (filed May 21, 2024).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referred to as the “Merger Actions.”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(filed by AVROBIO on February 14, 2024, as amended on March 26, 2024, April 15, 2024, and April 29, 2024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 xml:space="preserve">Price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Keller </w:t>
      </w:r>
      <w:r>
        <w:rPr>
          <w:rFonts w:ascii="Times New Roman" w:cs="Times New Roman" w:eastAsia="Times New Roman" w:hAnsi="Times New Roman"/>
          <w:sz w:val="18"/>
          <w:szCs w:val="18"/>
          <w:color w:val="auto"/>
        </w:rPr>
        <w:t>actions assert claims for breach of fiduciary duty against all defendants. The Merger Actions seek, among other things, an injunction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enjoining the consummation of the Merger, rescission of the Merger if consummated, costs of the action, including plaintiff’s attorneys’ fees and experts’ fees and other relief the court may deem just and proper.</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AVROBIO also received demand letters from eleven purported AVROBIO stockholders (the “Demands”). The Demands generally assert that the Registration Statement misrepresents and/or omits certain purportedly material information relating to the Merger.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supplement certain disclosures in the Registration Statement (the “Supplemental Disclosures”). On June 4, 2024, AVROBIO made certain Supplemental Disclosures on Form 8-K filed with the Securities and Exchange Commission.</w:t>
      </w:r>
    </w:p>
    <w:p>
      <w:pPr>
        <w:spacing w:after="0" w:line="187"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Additional potential plaintiffs may file lawsuits challenging the Merger. 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an adverse impact on the Company because of defense and settlement costs, diversion of management resources and other factors. Regardless of the outcome, litigation can have a material and adverse impact on us because of defense and settlement costs, diversion of management resources and other factors.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is likely to continue to be volatile and fluctuate substantially.</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Furthermore, the stock market in general and the market for biopharmaceutical and pharmaceutical companies in particular have experienced extreme volatility that has often been unrelated to the operating performance of particular companies. As a result of this volatility, our stockholders may not be able to sell their shares at or above the price they paid for their shares. The market price of our common stock may be influenced by many factors, including:</w:t>
      </w:r>
    </w:p>
    <w:p>
      <w:pPr>
        <w:spacing w:after="0" w:line="85"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the our product candidates, or those of our competitors or existing or future collaborators;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its technologies;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the selling stockholders or other securityholders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its operations or continued development of its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 candidates;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 and</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Sales of our Common Stock or the perception of such sales, by us or the selling stockholders pursuant to this prospectus, in the public market or otherwise, could cause the market price for our securities to decline, even though the selling stockholders would still realize a profit on sales at lower prices. Resales of the securities offered by this prospectus may cause the market price of such securities to drop significantly, even if our business is doing well.</w:t>
      </w:r>
    </w:p>
    <w:p>
      <w:pPr>
        <w:spacing w:after="0" w:line="7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sale of our Common Stock in the public market or otherwise, including sales pursuant to this prospectus, or the perception that such sales could occur, could harm the prevailing market price of our Common Stock. These sales, or the possibility that these sales may occur, also might make it more difficult for us to sell equity securities in the future at a time and at a price that we deem appropriate. Resales of our Common Stock may cause the market price of our securities to drop significantly, even if our business is doing well.</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Certain of the selling stockholders named in this prospectus acquired securities at prices that are significantly less than the current trading price of our Common Stock. Accordingly, certain of the selling stockholders could still realize a profit on sales at lower prices. Even if the trading price of our Common Stock falls to or significantly below the current trading price, the selling stockholders may still have an incentive to sell and profit due to the nominal purchase prices paid by such selling stockholders, which are significantly lower than the purchase prices paid by the public stockholders.</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addition, the selling stockholders named in this prospectus hold a large portion of our outstanding Common Stock. The Common Stock being offered for resale pursuant to this prospectus by the selling stockholders would represent approximately 20.2% of our outstanding Common Stock as of July 6, 2024. Given the substantial number of shares of Common Stock being registered for potential resale by selling stockholders pursuant to this prospectus, the sale of shares by the selling stockholders of a large number of shares, or the perception in the market that the selling stockholders of a large number of shares intend to sell shares, could increase the volatility of the market price of our Common Stock or result in a significant decline in the public trading price of our Common Stock. While certain of the selling stockholders may experience a positive rate of return on their investment in our Common Stock as a result, the public securityholders may not experience a similar rate of return on the securities they purchased due to differences in their purchase prices and the trading price.</w:t>
      </w:r>
    </w:p>
    <w:p>
      <w:pPr>
        <w:spacing w:after="0" w:line="29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number of shares being registered for sale is significant in relation to the number of outstanding shares of our common stock. Future sales of shares by existing stockholders could cause our stock price to decline.</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July 6, 2024, we had approximately 14,734,325 shares of common stock outstanding. This prospectus is a part of a registration statement on Form S-1 that registers 2,969,583 shares of common stock for sale into the public market by the selling stockholders. These shares represent a significant number of our outstanding common stock, and if sold in the market all at once or at about the same time, such transactions could depress the market price of our common stock during the period the registration statement remains effective. Any such transaction could also adversely affect our ability to raise equity capital.</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addition, certain of our shares are subject to lock-up agreements between AVROBIO and Legacy Tectonic. Following the expiration of these lock-up agreements, the relevant stockholders will not be restricted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from selling shares our common stock held by them, other than by applicable securities laws. Stockholders not subject to these lock-up agreements will not be restricted from selling shares of our common stock held by them, other than by applicable securities laws. In addition, shares of common stock that are subject to outstanding options or will become eligible for sale in the public market to the extent permitted by the provisions of various vesting agreements and Rules 144 and 701 under the Securities Act. If our stockholders sell, or indicate an intention to sell, substantial amounts of our common stock in the public market after any legal or contractual restrictions on resale lapse, the trading price of our common stock could decline.</w:t>
      </w:r>
    </w:p>
    <w:p>
      <w:pPr>
        <w:spacing w:after="0" w:line="28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As of July 6, 2024, our executive officers, directors and principal stockholders, in the aggregate, beneficially own approximately 47.4%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our company on terms that other stockholders may desire.</w:t>
      </w:r>
    </w:p>
    <w:p>
      <w:pPr>
        <w:spacing w:after="0" w:line="272"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and cash equivalents and may invest or spend the proceeds in ways with which you do not agree and in ways that may not increase the value of your investment.</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broad discretion over the use of our cash and cash equivalents.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our cash resources.</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share capital in the foreseeable future, capital appreciation, if any, will be your sole source of gain.</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shares to provide dividend income. We have never declared or paid cash dividends on our share capital. We currently intend to retain all of our future earnings, if any, to finance the growth and development of our business. In addition, the terms of any future debt agreements or preferred equity may preclude us from paying dividends. As a result, capital appreciation, if any, of our common shares will be your sole source of gain for the foreseeable future. Investors seeking cash dividends should not purchase our shares.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and bylaws, as well as provisions of Delaware law, could make it more difficult for a third party to acquire us or increase the cost of acquiring us, even if doing so would benefit our stockholders or remove our current management.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charter and bylaws and Delaware law contain provisions that may have the effect of delaying or preventing a change in control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or changes in our management. Our charter and bylaws, include provisions that:</w:t>
      </w:r>
    </w:p>
    <w:p>
      <w:pPr>
        <w:spacing w:after="0" w:line="112" w:lineRule="exact"/>
        <w:rPr>
          <w:sz w:val="20"/>
          <w:szCs w:val="20"/>
          <w:color w:val="auto"/>
        </w:rPr>
      </w:pPr>
    </w:p>
    <w:p>
      <w:pPr>
        <w:ind w:left="1080" w:right="54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the Board without stockholder approval and may contain voting, liquidation, dividend and other rights superior to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classified board of directors whose members serve staggered three-year terms;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Board, the chairperson of the Board, our Chief Executive Officer or our President;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only for cause;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the Board may be filled only by a majority of directors then in office, even though less than a quorum;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 the Board to modify, alter or repeal our amended and restated by-laws;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 and bylaws.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limits the ability of stockholders owning in excess of 15% of our outstanding voting stock to merge or combine with us.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provision of our charter,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DGCL, our amended and restated certificate of incorporation or our amended and restated bylaws; or (4) any action asserting a claim governed by the internal affairs doctrine, or the Delaware Forum Provision. The Delaware Forum Provision will not apply to any causes of action arising under the Securities Act or the Exchange Act. Our amended and restated bylaws further provide that, unless AVROBIO consents in writing to an alternative forum, the United States District Court for the District of Massachusetts will be the exclusive forum for resolving any complaint asserting a cause of action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arising under the Securities Act, or the Federal Forum Provision, as our principal executive offices are located in Watertown, Massachusetts. In addition, our amended and restated bylaws provide that any person or entity purchasing or otherwise acquiring any interest in shares of our capital stock is deemed to have notice of and consented to the foregoing Delaware Forum Provision and the Federal Forum Provision; provided, however, that stockholders cannot and will not be deemed to have waived our compliance with the U.S. federal securities laws and the rules and regulations thereunder.</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may impose additional litigation costs on stockholders in pursuing any such claims, particularly if the stockholders do not reside in or near the State of Delaware or the Commonwealth of Massachusetts. Additionally, these forum selection clauses in our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Section 22 of the Securities Act creates a concurrent jurisdiction for state and federal courts over all suits brought concerning a duty or liability created by the securities laws, rules and regulations thereunder.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The Federal Forum Provision may also impose additional litigation costs on stockholders who assert the provision is unenforceable, and if the Federal Forum Provision is found to be unenforceable, we may incur additional costs with resolving such matters.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of the shares of common stock offered by the selling stockholders pursuant to this prospectus will be sold by the selling stockholders for their respective accounts. We will not receive any proceeds from any sales of shares of our common stock by the selling stockholders.</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55" w:right="5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“TECX.” Prior to the consummation of the Merger, the common stock was listed on the Nasdaq Global Select Market under the symbol “AVRO.”</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As of July 6, 2024, we had approximately 14,734,325 shares of common stock issued and outstanding held of record by approximately 86 registered 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for use in the operation of our business and do not anticipate paying any cash dividends on our capital stock in the foreseeable future. Notwithstanding the foregoing, any determination to pay cash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40"/>
          </w:cols>
          <w:pgMar w:left="320" w:top="455" w:right="5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June 20, 2024, AVROBIO, Inc. (“AVROBIO”), Tectonic Therapeutic, Inc. (“Tectonic”), and Alpine Merger Subsidiary, Inc., a direct, wholly owned subsidiary of AVROBIO (“Merger Sub”) consummated the previously announced merger transaction pursuant to that certain agreement and plan of merger and reorganization (the “Merger Agreement”), dated January 30, 2024. Pursuant to the terms of the Merger Agreement, Merger Sub merged with and into Tectonic, with Tectonic surviving as a wholly owned subsidiary of AVROBIO (such transaction, the “merger”). Upon completion of the merger, the business of Tectonic will continue as the business of the surviving corporation, referred to herein as the “combined company.” After the completion of the merger, AVROBIO changed its corporate name to Tectonic Therapeutic, Inc.</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the closing of the merger (the “effective time” or the “Closing”) and related transactions, the shares of Tectonic common stock outstanding immediately prior to the effective time, including outstanding and unvested Tectonic Restricted Stock (defined in Note 1 of the accompanying notes), were converted into 10,956,614 shares of AVROBIO common stock in the aggregate, based on an exchange ratio determined in accordance with the terms of the Merger Agreement (the “Exchange Ratio”). The shares of AVROBIO common stock received by former Tectonic stockholders include 11,448 shares that are subject to vesting conditions, based on the unvested Tectonic Restricted Stock at Closing multiplied by the Exchange Ratio. The number of shares of Tectonic common stock outstanding immediately prior to the effective time included Tectonic common stock issued upon conversion of each share of Tectonic convertible preferred stock, and shares of Tectonic common stock issued in connection with the Subscription Agreements and Company SAFEs as defined in Note 1 of the accompanying notes (together with the merger, the “Transactions”). The Exchange Ratio is approximately 0.53 shares of AVROBIO common stock for each share of Tectonic common stock, after giving effect to the 1-for-12 reverse stock split of AVROBIO common stock that was effected on June 20, 2024.</w:t>
      </w:r>
    </w:p>
    <w:p>
      <w:pPr>
        <w:spacing w:after="0" w:line="194"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balance sheets of AVROBIO and Tectonic as of March 31, 2024, and depicts the accounting of the Transactions under U.S. generally accepted accounting principles (“pro forma balance sheet transaction accounting adjustments”). The unaudited pro forma condensed combined statement of operations for the three months ended March 31, 2024, and the year ended December 31, 2023 combine the historical results of AVROBIO and Tectonic for these periods and depict the pro forma balance sheet transaction accounting adjustments assuming that those adjustments were made as of January 1, 2023 (“pro forma statement of operations transaction accounting adjustments”). Collectively, pro forma balance sheet transaction accounting adjustments and pro forma statement of operations transaction accounting adjustments are referred to as “transaction accounting adjustments” or “pro forma adjustments.”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unaudited pro forma condensed combined financial information and related notes have been derived from and should be read in conjunction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w:t>
      </w:r>
    </w:p>
    <w:p>
      <w:pPr>
        <w:spacing w:after="0" w:line="112" w:lineRule="exact"/>
        <w:rPr>
          <w:sz w:val="20"/>
          <w:szCs w:val="20"/>
          <w:color w:val="auto"/>
        </w:rPr>
      </w:pPr>
    </w:p>
    <w:p>
      <w:pPr>
        <w:ind w:left="1080" w:right="30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Tectonic as of and for the three months ended March 31, 2024, and the related notes included elsewhere in this prospectus;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AVROBIO as of and for the three months ended March 31, 2024, and the related notes included elsewhere in this prospectus;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Tectonic as of and for the years ended December 31, 2023 and 2022, and the related notes included elsewhere in this prospectus;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AVROBIO as of and for the years ended December 31, 2023 and 2022, and the related notes included elsewhere in this prospectus; and</w:t>
      </w:r>
    </w:p>
    <w:p>
      <w:pPr>
        <w:spacing w:after="0" w:line="65" w:lineRule="exact"/>
        <w:rPr>
          <w:rFonts w:ascii="Times New Roman" w:cs="Times New Roman" w:eastAsia="Times New Roman" w:hAnsi="Times New Roman"/>
          <w:sz w:val="18"/>
          <w:szCs w:val="18"/>
          <w:color w:val="auto"/>
        </w:rPr>
      </w:pPr>
    </w:p>
    <w:p>
      <w:pPr>
        <w:ind w:left="1080" w:right="680" w:hanging="424"/>
        <w:spacing w:after="0" w:line="284"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other financial information relating to Tectonic and AVROBIO included elsewhere in this prospectus.</w:t>
      </w: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assumptions and pro forma adjustments that are described in the accompanying notes.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w:t>
      </w:r>
    </w:p>
    <w:p>
      <w:pPr>
        <w:spacing w:after="0" w:line="18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AVROBIO and Tectonic been a combined organization during the specified periods. The actual results reported in periods following the merger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60"/>
          </w:cols>
          <w:pgMar w:left="320" w:top="455"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MARCH 31, 2024</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7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Historical</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29"/>
              <w:spacing w:after="0" w:line="109" w:lineRule="exact"/>
              <w:rPr>
                <w:sz w:val="20"/>
                <w:szCs w:val="20"/>
                <w:color w:val="auto"/>
              </w:rPr>
            </w:pPr>
            <w:r>
              <w:rPr>
                <w:rFonts w:ascii="Times New Roman" w:cs="Times New Roman" w:eastAsia="Times New Roman" w:hAnsi="Times New Roman"/>
                <w:sz w:val="12"/>
                <w:szCs w:val="12"/>
                <w:b w:val="1"/>
                <w:bCs w:val="1"/>
                <w:color w:val="auto"/>
                <w:w w:val="99"/>
              </w:rPr>
              <w:t>(B)</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right"/>
              <w:ind w:right="400"/>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100" w:type="dxa"/>
            <w:vAlign w:val="bottom"/>
          </w:tcPr>
          <w:p>
            <w:pPr>
              <w:spacing w:after="0"/>
              <w:rPr>
                <w:sz w:val="11"/>
                <w:szCs w:val="11"/>
                <w:color w:val="auto"/>
              </w:rPr>
            </w:pPr>
          </w:p>
        </w:tc>
        <w:tc>
          <w:tcPr>
            <w:tcW w:w="78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Tectonic</w:t>
            </w:r>
          </w:p>
        </w:tc>
        <w:tc>
          <w:tcPr>
            <w:tcW w:w="8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Transaction</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Pro</w:t>
            </w:r>
          </w:p>
        </w:tc>
        <w:tc>
          <w:tcPr>
            <w:tcW w:w="0" w:type="dxa"/>
            <w:vAlign w:val="bottom"/>
          </w:tcPr>
          <w:p>
            <w:pPr>
              <w:spacing w:after="0"/>
              <w:rPr>
                <w:sz w:val="1"/>
                <w:szCs w:val="1"/>
                <w:color w:val="auto"/>
              </w:rPr>
            </w:pPr>
          </w:p>
        </w:tc>
      </w:tr>
      <w:tr>
        <w:trPr>
          <w:trHeight w:val="135"/>
        </w:trPr>
        <w:tc>
          <w:tcPr>
            <w:tcW w:w="7260" w:type="dxa"/>
            <w:vAlign w:val="bottom"/>
          </w:tcPr>
          <w:p>
            <w:pPr>
              <w:spacing w:after="0"/>
              <w:rPr>
                <w:sz w:val="11"/>
                <w:szCs w:val="11"/>
                <w:color w:val="auto"/>
              </w:rPr>
            </w:pPr>
          </w:p>
        </w:tc>
        <w:tc>
          <w:tcPr>
            <w:tcW w:w="80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AVROBIO</w:t>
            </w:r>
          </w:p>
        </w:tc>
        <w:tc>
          <w:tcPr>
            <w:tcW w:w="88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Therapeutic</w:t>
            </w:r>
          </w:p>
        </w:tc>
        <w:tc>
          <w:tcPr>
            <w:tcW w:w="8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Accounting</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Forma</w:t>
            </w:r>
          </w:p>
        </w:tc>
        <w:tc>
          <w:tcPr>
            <w:tcW w:w="0" w:type="dxa"/>
            <w:vAlign w:val="bottom"/>
          </w:tcPr>
          <w:p>
            <w:pPr>
              <w:spacing w:after="0"/>
              <w:rPr>
                <w:sz w:val="1"/>
                <w:szCs w:val="1"/>
                <w:color w:val="auto"/>
              </w:rPr>
            </w:pPr>
          </w:p>
        </w:tc>
      </w:tr>
      <w:tr>
        <w:trPr>
          <w:trHeight w:val="155"/>
        </w:trPr>
        <w:tc>
          <w:tcPr>
            <w:tcW w:w="7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Inc.</w:t>
            </w:r>
          </w:p>
        </w:tc>
        <w:tc>
          <w:tcPr>
            <w:tcW w:w="100" w:type="dxa"/>
            <w:vAlign w:val="bottom"/>
          </w:tcPr>
          <w:p>
            <w:pPr>
              <w:spacing w:after="0"/>
              <w:rPr>
                <w:sz w:val="13"/>
                <w:szCs w:val="13"/>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3"/>
              </w:rPr>
              <w:t>Inc.</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520" w:type="dxa"/>
            <w:vAlign w:val="bottom"/>
          </w:tcPr>
          <w:p>
            <w:pPr>
              <w:spacing w:after="0"/>
              <w:rPr>
                <w:sz w:val="13"/>
                <w:szCs w:val="13"/>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Combined</w:t>
            </w:r>
          </w:p>
        </w:tc>
        <w:tc>
          <w:tcPr>
            <w:tcW w:w="0" w:type="dxa"/>
            <w:vAlign w:val="bottom"/>
          </w:tcPr>
          <w:p>
            <w:pPr>
              <w:spacing w:after="0"/>
              <w:rPr>
                <w:sz w:val="1"/>
                <w:szCs w:val="1"/>
                <w:color w:val="auto"/>
              </w:rPr>
            </w:pPr>
          </w:p>
        </w:tc>
      </w:tr>
      <w:tr>
        <w:trPr>
          <w:trHeight w:val="196"/>
        </w:trPr>
        <w:tc>
          <w:tcPr>
            <w:tcW w:w="7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90,481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18,748</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94,600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203,421</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(1,776)</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6(h)</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683</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6(k)</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6(k)</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1,810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6(i)</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2,436</w:t>
            </w:r>
          </w:p>
        </w:tc>
        <w:tc>
          <w:tcPr>
            <w:tcW w:w="0" w:type="dxa"/>
            <w:vAlign w:val="bottom"/>
          </w:tcPr>
          <w:p>
            <w:pPr>
              <w:spacing w:after="0"/>
              <w:rPr>
                <w:sz w:val="1"/>
                <w:szCs w:val="1"/>
                <w:color w:val="auto"/>
              </w:rPr>
            </w:pPr>
          </w:p>
        </w:tc>
      </w:tr>
      <w:tr>
        <w:trPr>
          <w:trHeight w:val="156"/>
        </w:trPr>
        <w:tc>
          <w:tcPr>
            <w:tcW w:w="72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91,838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20,558</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93,461</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205,857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right-of-use assets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6(j)</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2,375</w:t>
            </w: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Finance right-of-use assets, net</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1,323</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Property, equipment and improvements, net</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2,864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2,864</w:t>
            </w:r>
          </w:p>
        </w:tc>
        <w:tc>
          <w:tcPr>
            <w:tcW w:w="0" w:type="dxa"/>
            <w:vAlign w:val="bottom"/>
          </w:tcPr>
          <w:p>
            <w:pPr>
              <w:spacing w:after="0"/>
              <w:rPr>
                <w:sz w:val="1"/>
                <w:szCs w:val="1"/>
                <w:color w:val="auto"/>
              </w:rPr>
            </w:pPr>
          </w:p>
        </w:tc>
      </w:tr>
      <w:tr>
        <w:trPr>
          <w:trHeight w:val="148"/>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3,444</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(3,444)</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Restricted cash, net of current portion</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6(k)</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55"/>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92,348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31,155</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89,507</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213,010</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2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243</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2,563</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2,806</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3,042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11,048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5,236</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27,063</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3,380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6(h)</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6(l)</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SAFE liabilities</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32,590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(34,125)</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liability - current portion</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6(j)</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0" w:type="dxa"/>
            <w:vAlign w:val="bottom"/>
          </w:tcPr>
          <w:p>
            <w:pPr>
              <w:spacing w:after="0"/>
              <w:rPr>
                <w:sz w:val="1"/>
                <w:szCs w:val="1"/>
                <w:color w:val="auto"/>
              </w:rPr>
            </w:pPr>
          </w:p>
        </w:tc>
      </w:tr>
      <w:tr>
        <w:trPr>
          <w:trHeight w:val="155"/>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Finance lease liability - current portion</w:t>
            </w: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3,509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48,064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(19,841)</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31,732</w:t>
            </w:r>
          </w:p>
        </w:tc>
        <w:tc>
          <w:tcPr>
            <w:tcW w:w="0" w:type="dxa"/>
            <w:vAlign w:val="bottom"/>
          </w:tcPr>
          <w:p>
            <w:pPr>
              <w:spacing w:after="0"/>
              <w:rPr>
                <w:sz w:val="1"/>
                <w:szCs w:val="1"/>
                <w:color w:val="auto"/>
              </w:rPr>
            </w:pPr>
          </w:p>
        </w:tc>
      </w:tr>
      <w:tr>
        <w:trPr>
          <w:trHeight w:val="149"/>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Operating lease liability - net of current portion</w:t>
            </w:r>
          </w:p>
        </w:tc>
        <w:tc>
          <w:tcPr>
            <w:tcW w:w="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1,280</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Finance lease liability - net of current portion</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0" w:type="dxa"/>
            <w:vAlign w:val="bottom"/>
          </w:tcPr>
          <w:p>
            <w:pPr>
              <w:spacing w:after="0"/>
              <w:rPr>
                <w:sz w:val="1"/>
                <w:szCs w:val="1"/>
                <w:color w:val="auto"/>
              </w:rPr>
            </w:pPr>
          </w:p>
        </w:tc>
      </w:tr>
      <w:tr>
        <w:trPr>
          <w:trHeight w:val="163"/>
        </w:trPr>
        <w:tc>
          <w:tcPr>
            <w:tcW w:w="72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3,509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50,102</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(19,841)</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33,770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Tectonic convertible preferred stock (Series A-1, A-2, A-3 and A-4), $0.0001 par value</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80,627</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(80,627)</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6(d)</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AVROBIO common stock, $0.0001 par value</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6(l)</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Tectonic common stock, $0.0001 par value</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6(d)</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572,918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6,304</w:t>
            </w: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80,626</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6(d)</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287,059</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94,599</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6(e)</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34,125</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6(a)</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(8,680)</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6(g)</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6(b)</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(493,518)</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9"/>
        </w:trPr>
        <w:tc>
          <w:tcPr>
            <w:tcW w:w="7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80" w:type="dxa"/>
            <w:vAlign w:val="bottom"/>
          </w:tcPr>
          <w:p>
            <w:pPr>
              <w:spacing w:after="0"/>
              <w:rPr>
                <w:sz w:val="12"/>
                <w:szCs w:val="12"/>
                <w:color w:val="auto"/>
              </w:rPr>
            </w:pPr>
          </w:p>
        </w:tc>
        <w:tc>
          <w:tcPr>
            <w:tcW w:w="7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(484,083)</w:t>
            </w:r>
          </w:p>
        </w:tc>
        <w:tc>
          <w:tcPr>
            <w:tcW w:w="10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(105,825)</w:t>
            </w: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(1,535)</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6(f)</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w w:val="98"/>
              </w:rPr>
              <w:t>(107,767)</w:t>
            </w: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(3,950)</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6(c)</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(5,156)</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6(h)</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(448)</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6(i)</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6(j)</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52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6(l)</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493,523</w:t>
            </w:r>
          </w:p>
        </w:tc>
        <w:tc>
          <w:tcPr>
            <w:tcW w:w="5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6(m)</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260" w:type="dxa"/>
            <w:vAlign w:val="bottom"/>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Total stockholders’ equity (deficit)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88,839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(99,574)</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189,975</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179,240</w:t>
            </w:r>
          </w:p>
        </w:tc>
        <w:tc>
          <w:tcPr>
            <w:tcW w:w="0" w:type="dxa"/>
            <w:vAlign w:val="bottom"/>
          </w:tcPr>
          <w:p>
            <w:pPr>
              <w:spacing w:after="0"/>
              <w:rPr>
                <w:sz w:val="1"/>
                <w:szCs w:val="1"/>
                <w:color w:val="auto"/>
              </w:rPr>
            </w:pPr>
          </w:p>
        </w:tc>
      </w:tr>
      <w:tr>
        <w:trPr>
          <w:trHeight w:val="155"/>
        </w:trPr>
        <w:tc>
          <w:tcPr>
            <w:tcW w:w="7260" w:type="dxa"/>
            <w:vAlign w:val="bottom"/>
          </w:tcPr>
          <w:p>
            <w:pPr>
              <w:ind w:left="580"/>
              <w:spacing w:after="0" w:line="155" w:lineRule="exact"/>
              <w:rPr>
                <w:sz w:val="20"/>
                <w:szCs w:val="20"/>
                <w:color w:val="auto"/>
              </w:rPr>
            </w:pPr>
            <w:r>
              <w:rPr>
                <w:rFonts w:ascii="Times New Roman" w:cs="Times New Roman" w:eastAsia="Times New Roman" w:hAnsi="Times New Roman"/>
                <w:sz w:val="14"/>
                <w:szCs w:val="14"/>
                <w:color w:val="auto"/>
              </w:rPr>
              <w:t>Total liabilities, convertible preferred stock and stockholders’ equity (deficit)</w:t>
            </w: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92,348</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31,155</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89,507</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213,010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UNAUDITED PRO FORMA CONDENSED COMBINED STATEMENT OF OPERATIONS FOR THE THREE MONTHS ENDED MARCH 31, 2024 </w:t>
      </w:r>
      <w:r>
        <w:rPr>
          <w:rFonts w:ascii="Times New Roman" w:cs="Times New Roman" w:eastAsia="Times New Roman" w:hAnsi="Times New Roman"/>
          <w:sz w:val="18"/>
          <w:szCs w:val="18"/>
          <w:color w:val="auto"/>
        </w:rPr>
        <w:t>(In thousands, except share and per share amounts)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0"/>
                <w:szCs w:val="10"/>
                <w:color w:val="auto"/>
              </w:rPr>
            </w:pPr>
          </w:p>
        </w:tc>
        <w:tc>
          <w:tcPr>
            <w:tcW w:w="720" w:type="dxa"/>
            <w:vAlign w:val="bottom"/>
          </w:tcPr>
          <w:p>
            <w:pPr>
              <w:jc w:val="center"/>
              <w:ind w:right="14"/>
              <w:spacing w:after="0" w:line="118" w:lineRule="exact"/>
              <w:rPr>
                <w:sz w:val="20"/>
                <w:szCs w:val="20"/>
                <w:color w:val="auto"/>
              </w:rPr>
            </w:pPr>
            <w:r>
              <w:rPr>
                <w:rFonts w:ascii="Times New Roman" w:cs="Times New Roman" w:eastAsia="Times New Roman" w:hAnsi="Times New Roman"/>
                <w:sz w:val="13"/>
                <w:szCs w:val="13"/>
                <w:b w:val="1"/>
                <w:bCs w:val="1"/>
                <w:color w:val="auto"/>
              </w:rPr>
              <w:t>(B)</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w w:val="97"/>
              </w:rPr>
              <w:t>Tectonic</w:t>
            </w:r>
          </w:p>
        </w:tc>
        <w:tc>
          <w:tcPr>
            <w:tcW w:w="1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AVROBIO</w:t>
            </w:r>
          </w:p>
        </w:tc>
        <w:tc>
          <w:tcPr>
            <w:tcW w:w="1040" w:type="dxa"/>
            <w:vAlign w:val="bottom"/>
            <w:gridSpan w:val="3"/>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Therapeutic</w:t>
            </w:r>
          </w:p>
        </w:tc>
        <w:tc>
          <w:tcPr>
            <w:tcW w:w="16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940" w:type="dxa"/>
            <w:vAlign w:val="bottom"/>
            <w:gridSpan w:val="2"/>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10,818</w:t>
            </w:r>
          </w:p>
        </w:tc>
        <w:tc>
          <w:tcPr>
            <w:tcW w:w="400" w:type="dxa"/>
            <w:vAlign w:val="bottom"/>
            <w:gridSpan w:val="2"/>
          </w:tcPr>
          <w:p>
            <w:pPr>
              <w:jc w:val="right"/>
              <w:ind w:right="6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11,501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7,258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9,408</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(7,941)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(12,968)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(20,909)</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1,402</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(416)</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2,075</w:t>
            </w:r>
          </w:p>
        </w:tc>
        <w:tc>
          <w:tcPr>
            <w:tcW w:w="900" w:type="dxa"/>
            <w:vAlign w:val="bottom"/>
            <w:gridSpan w:val="2"/>
          </w:tcPr>
          <w:p>
            <w:pPr>
              <w:jc w:val="right"/>
              <w:ind w:right="316"/>
              <w:spacing w:after="0"/>
              <w:rPr>
                <w:sz w:val="20"/>
                <w:szCs w:val="20"/>
                <w:color w:val="auto"/>
              </w:rPr>
            </w:pPr>
            <w:r>
              <w:rPr>
                <w:rFonts w:ascii="Times New Roman" w:cs="Times New Roman" w:eastAsia="Times New Roman" w:hAnsi="Times New Roman"/>
                <w:sz w:val="18"/>
                <w:szCs w:val="18"/>
                <w:color w:val="auto"/>
              </w:rPr>
              <w:t>7(d)</w:t>
            </w:r>
          </w:p>
        </w:tc>
        <w:tc>
          <w:tcPr>
            <w:tcW w:w="10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2,075</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955</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net income (loss) for the period attributable to</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(6,808)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(15,221)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(19,954)</w:t>
            </w: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44,790,825*</w:t>
            </w:r>
          </w:p>
        </w:tc>
        <w:tc>
          <w:tcPr>
            <w:tcW w:w="100" w:type="dxa"/>
            <w:vAlign w:val="bottom"/>
          </w:tcPr>
          <w:p>
            <w:pPr>
              <w:spacing w:after="0"/>
              <w:rPr>
                <w:sz w:val="20"/>
                <w:szCs w:val="20"/>
                <w:color w:val="auto"/>
              </w:rPr>
            </w:pPr>
          </w:p>
        </w:tc>
        <w:tc>
          <w:tcPr>
            <w:tcW w:w="9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7"/>
              </w:rPr>
              <w:t>2,608,740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w w:val="98"/>
              </w:rPr>
              <w:t>14,711,544</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(1.36)</w:t>
            </w: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200" w:hanging="224"/>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1-for-12 reverse stock split of AVROBIO common stock that was effected on June 20, 2024, the basic and diluted net loss per common share was $1.82 and the basic and diluted weighted average number of common shares outstanding was 3,732,568 shares.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right"/>
              <w:ind w:right="312"/>
              <w:spacing w:after="0" w:line="118" w:lineRule="exact"/>
              <w:rPr>
                <w:sz w:val="20"/>
                <w:szCs w:val="20"/>
                <w:color w:val="auto"/>
              </w:rPr>
            </w:pPr>
            <w:r>
              <w:rPr>
                <w:rFonts w:ascii="Times New Roman" w:cs="Times New Roman" w:eastAsia="Times New Roman" w:hAnsi="Times New Roman"/>
                <w:sz w:val="13"/>
                <w:szCs w:val="13"/>
                <w:b w:val="1"/>
                <w:bCs w:val="1"/>
                <w:color w:val="auto"/>
              </w:rPr>
              <w:t>(D)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Tectonic</w:t>
            </w:r>
          </w:p>
        </w:tc>
        <w:tc>
          <w:tcPr>
            <w:tcW w:w="10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AVROBIO Inc.</w:t>
            </w:r>
          </w:p>
        </w:tc>
        <w:tc>
          <w:tcPr>
            <w:tcW w:w="60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Therapeutic Inc.</w:t>
            </w:r>
          </w:p>
        </w:tc>
        <w:tc>
          <w:tcPr>
            <w:tcW w:w="100" w:type="dxa"/>
            <w:vAlign w:val="bottom"/>
          </w:tcPr>
          <w:p>
            <w:pPr>
              <w:spacing w:after="0"/>
              <w:rPr>
                <w:sz w:val="15"/>
                <w:szCs w:val="15"/>
                <w:color w:val="auto"/>
              </w:rPr>
            </w:pPr>
          </w:p>
        </w:tc>
        <w:tc>
          <w:tcPr>
            <w:tcW w:w="12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47,700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36,966</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86,041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1,338</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23,967</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5,156</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7(b)</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39,828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411</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2,612</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7(a)</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44,648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125,869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asset sale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83,736</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83,736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(1,877)</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(9,554)</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2,420</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3,001</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7(e)</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 of SAFEs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(255)</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(1,255)</w:t>
            </w: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(1,535)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(1,535)</w:t>
            </w:r>
          </w:p>
        </w:tc>
        <w:tc>
          <w:tcPr>
            <w:tcW w:w="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12,534</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(42,519)</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12,157</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2"/>
              </w:rPr>
              <w:t>     (12,230)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(42,896)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income (loss) for the period attributable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equity holders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12,157</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(42,896)</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44,327,204</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2,373,674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14,547,285</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 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44,567,918</w:t>
            </w: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2,373,674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14,567,345</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7(f)</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common share -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right="80" w:hanging="224"/>
        <w:spacing w:after="0" w:line="266"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1-for-12 reverse stock split of AVROBIO common stock that was effected on June 20, 2024, the basic and diluted net income per common share was $3.29 and $3.27, respectively, and the basic and diluted weighted average number of common shares outstanding was 3,693,933 shares and 3,713,993 shares, respectively.</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560" w:firstLine="1578"/>
        <w:spacing w:after="0" w:line="440" w:lineRule="auto"/>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 1. Description of the Merger</w:t>
      </w:r>
    </w:p>
    <w:p>
      <w:pPr>
        <w:spacing w:after="0" w:line="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June 20, 2024, AVROBIO, Tectonic and Merger Sub consummated the previously announced merger transaction pursuant to the terms of the Merger Agreement dated January 30, 2024, pursuant to which Merger Sub merged with and into Tectonic, with Tectonic surviving as a wholly owned subsidiary of AVROBIO. Subject to the terms and conditions of the Merger Agreement, at Closing:</w:t>
      </w:r>
    </w:p>
    <w:p>
      <w:pPr>
        <w:spacing w:after="0" w:line="81" w:lineRule="exact"/>
        <w:rPr>
          <w:sz w:val="20"/>
          <w:szCs w:val="20"/>
          <w:color w:val="auto"/>
        </w:rPr>
      </w:pPr>
    </w:p>
    <w:p>
      <w:pPr>
        <w:ind w:left="1080" w:right="300" w:hanging="532"/>
        <w:spacing w:after="0" w:line="312"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share of Tectonic common stock, including outstanding and unvested Tectonic Restricted Stock (defined below), after giving effect to the Transactions, converted into a number of shares of AVROBIO’s common stock, based on the Exchange Ratio,</w:t>
      </w:r>
    </w:p>
    <w:p>
      <w:pPr>
        <w:spacing w:after="0" w:line="45" w:lineRule="exact"/>
        <w:rPr>
          <w:rFonts w:ascii="Times New Roman" w:cs="Times New Roman" w:eastAsia="Times New Roman" w:hAnsi="Times New Roman"/>
          <w:sz w:val="17"/>
          <w:szCs w:val="17"/>
          <w:color w:val="auto"/>
        </w:rPr>
      </w:pPr>
    </w:p>
    <w:p>
      <w:pPr>
        <w:jc w:val="both"/>
        <w:ind w:left="1080" w:right="140" w:hanging="532"/>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to purchase shares of Tectonic common stock (“Tectonic options”) immediately prior to Closing was assumed by AVROBIO and converted into an option to purchase shares of AVROBIO common stock, with necessary adjustments to the number of shares and exercise price to reflect the Exchange Ratio; and</w:t>
      </w:r>
    </w:p>
    <w:p>
      <w:pPr>
        <w:spacing w:after="0" w:line="202"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Tectonic restricted common stock outstanding and unvested immediately prior to Closing (“Tectonic Restricted Stock”) that was assumed by AVROBIO in the merger remains unvested to the same extent and is subject to the same repurchase option, risk of forfeiture or other condition under any applicable restricted stock purchase agreement.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board of directors of AVROBIO accelerated the vesting of certain outstanding options to purchase AVROBIO common stock, after giving effect to the 1-for-12 reverse stock split that was effected on June 20, 2024, held by a current employee, director or consultant of AVROBIO as of the Closing, and accelerated the vesting and settled into shares of AVROBIO common stock each outstanding restricted stock unit (“RSU”) in respect of AVROBIO common stock that vests solely on the basis of time. The acceleration of vesting of AVROBIO’s options and RSUs occurs either upon a change of control as defined, pursuant to the terms of the original awards, or a modification of the awards as a result of the merger. The post-merger stock-based compensation expense, including the incremental fair value of the AVROBIO’s options and RSUs associated with the modification to accelerate vesting is immaterial at Closing and is not included as an adjustment to the unaudited pro forma condensed combined financial information.</w:t>
      </w:r>
    </w:p>
    <w:p>
      <w:pPr>
        <w:spacing w:after="0" w:line="192"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Immediately following the merger, AVROBIO stockholders as of immediately prior to the merger will own approximately 24.8% of the outstanding capital stock of the combined company on a diluted basis, former Tectonic stockholders will own approximately 38.5% of the outstanding capital stock of the combined company on a diluted basis, and investors participating in the Subscription Agreements and Company SAFEs will own approximately 27.1% and 9.6% of the outstanding capital stock of the combined company, respectively, on a diluted basis. Tectonic stockholders received approximately 10,956,614 shares of AVROBIO common stock in connection with the merger, including 11,448 shares of AVROBIO common stock subject to vesting terms, based on the number of shares of Tectonic common stock outstanding immediately prior to the merger, including Tectonic Restricted Stock, the number of shares Tectonic common stock issued to investors participating in the Subscription Agreements and Company SAFEs, and Tectonic convertible preferred stock outstanding immediately prior to the merger, which was converted into shares of Tectonic common stock on a one-for-one basis immediately prior to the closing of the merger. The number of shares of AVROBIO common stock issued to Tectonic stockholders in connection with the merger was based on certain inputs, including (i) AVROBIO’s net cash at Closing of $77.3 million, (ii) the 1-for-12 reverse stock split of AVROBIO common stock effected on June 20, 2024, and (iii) aggregate proceeds from the Private Financing Transactions (as defined below) of</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$130.7 million. The following table summarizes the number of shares of common stock of the combined company outstanding following the consummation of the Transactions.</w:t>
      </w:r>
    </w:p>
    <w:p>
      <w:pPr>
        <w:spacing w:after="0" w:line="18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Capitalization Summary</w:t>
            </w:r>
          </w:p>
        </w:tc>
        <w:tc>
          <w:tcPr>
            <w:tcW w:w="15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Upon Consummation of the Merger</w:t>
            </w:r>
          </w:p>
        </w:tc>
        <w:tc>
          <w:tcPr>
            <w:tcW w:w="372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w w:val="99"/>
              </w:rPr>
              <w:t>Shares Owned</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Tectonic stockholders (1)</w:t>
            </w:r>
          </w:p>
        </w:tc>
        <w:tc>
          <w:tcPr>
            <w:tcW w:w="88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5,322,169</w:t>
            </w:r>
          </w:p>
        </w:tc>
        <w:tc>
          <w:tcPr>
            <w:tcW w:w="68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AVROBIO stockholders</w:t>
            </w: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3,777,709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 participating in the Company SAFEs</w:t>
            </w:r>
          </w:p>
        </w:tc>
        <w:tc>
          <w:tcPr>
            <w:tcW w:w="15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1,470,839</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 participating in the Subscription Agreements</w:t>
            </w: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4,163,606</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common stock of the combined company</w:t>
            </w:r>
          </w:p>
        </w:tc>
        <w:tc>
          <w:tcPr>
            <w:tcW w:w="15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14,734,323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360" w:hanging="424"/>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of the combined company received by former Tectonic stockholders include 11,448 shares that are subject to vesting conditions, based on 21,422 shares of unvested Tectonic Restricted Stock at Closing multiplied by the Exchange Ratio of 0.53.</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employment agreements for AVROBIO employees included entitlement to change in control payments for certain executives, and severance and retention bonus payments for certain non-executives, the aggregate of which was treated as pre-merger compensation expense of AVROBIO and reflected as an increase to accrued expenses of AVROBIO, which was assumed by the combined company at Closing. Prior to Closing, AVROBIO also discontinued its research and development activities and terminated and/or expired its leases. Additionally, AVROBIO’s directors &amp; officers (D&amp;O) insurance policy was fully utilized at Closing.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Private Financing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Subscription Agreements</w:t>
      </w:r>
    </w:p>
    <w:p>
      <w:pPr>
        <w:spacing w:after="0" w:line="11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parties have entered into certain subscription agreements (the “Subscription Agreements”) with Tectonic to purchase, prior to the consummation of the merger, 7,790,889 shares of Tectonic common stock at a purchase price of approximately $12.40 per share for an aggregate purchase price of approximately $96.6 million (the “Private Placement”). The closing of the Private Placement was completed on June 20, 2024, and shares of Tectonic common stock issued pursuant to the Subscription Agreements were converted into 4,163,606 shares of AVROBIO common stock at Closing based on the Exchange Ratio, pursuant to the Merger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Company SAFEs</w:t>
      </w:r>
    </w:p>
    <w:p>
      <w:pPr>
        <w:spacing w:after="0" w:line="11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From October to December 2023, Tectonic entered into various simple agreements for future equity (the “Company SAFEs”) with existing investors, who are also related parties of Tectonic and received $34.1 million representing the aggregate purchase amount. Tectonic accounts for the Company SAFEs as a liability pursuant to Accounting Standards Codification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The Company SAFEs were initially measured at their fair value upon issuance. In addition, until redemption, the Company SAFEs are measured at fair value on a recurring basis with subsequent changes in fair value recorded in the Tectonic’s statement of operations and comprehensive loss. Under the terms of the Company SAFEs, in the event of a public listing transaction such as an initial public offering or a reverse merger with a public company, the Company SAFEs will be redeemed through delivery of a variable number of shares of Tectonic common stock determined by dividing the Company SAFEs purchase amount by the offering or conversion price in the respective transaction. In connection with the merger, the principal balance of the Company SAFEs was automatically redeemed into 2,752,216 shares of Tectonic common stock at the conversion price of approximately $12.40 per share immediately prior to the Closing. At Closing, shares of Tectonic common stock issued pursuant to the redemption of the Company SAFEs were converted into 1,470,839 shares of AVROBIO common stock based on the Exchange Ratio, pursuant to the Merger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aggregate proceeds from the Private Financing Transactions (the Subscription Agreements and the Company SAFEs) was approximately $130.7 million.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Contingent Value Rights Agreement</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merger, AVROBIO and its designated rights agent entered into a Contingent Value Rights Agreement (the “CVR Agreement”). Pursuant to the CVR Agreement, each holder of AVROBIO common stock immediately prior to the effective time, is entitled to receive a contractual contingent value right (“CVR”) subject to and in accordance with the terms and conditions of the CVR Agreement, representing the contractual right to receive a pro rata portion of 80% of the net proceeds, if any, as a result of an AVROBIO disposition (including a license of AVROBIO’s pre-closing assets as defined in the CVR Agreement) after the Closing and prior to the 18-month anniversary of the Closing, received within a 10-year period following the Closing; provided that no contingent payment will be payable to any holder of the CVRs until such time as the then-outstanding and undistributed proceeds exceeds $0.4 million in the aggregate. The CVRs represent contingent consideration in the merger, however the unaudited pro forma condensed combined financial information does not include the fair value of contingent consideration related to the CVRs as the fair value of the CVRs was determined to be nominal at Closing.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prepared in accordance with Article 11 of SEC Regulation S-X. The adjustments presented in the unaudited pro forma condensed combined financial information have been identified and presented to provide relevant information necessary for an understanding of the combined company upon consummation of the merger.</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following the completion of the merger, and have been made solely for the purpose of providing unaudited pro forma condensed combined financial information. Differences between these preliminary accounting conclusions and estimates and the final accounting conclusions and amounts may occur as a result of, among other reasons: (i) changes in initial assumptions in the determination of the accounting acquirer and related accounting, (ii) changes in the amount of cash used in AVROBIO’s operations, and (iii) other changes in AVROBIO’s assets and liabilities, which will be completed after the Closing, and these differences could have a material impact on the accompanying unaudited pro forma condensed combined financial information and the combined company’s future results of operations and financial position.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Accounting Policies</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During the preparation of the accompanying unaudited pro forma combined financial information, Management was not aware of any material differences between Tectonic’s accounting policies and the accounting policies of AVROBIO. Following the consummation of the merger, Tectonic will conduct a more detailed review of AVROBIO’s accounting policies. As a result, Tectonic may identify differences between the accounting policies of the two companies that, when conformed, could have had a material impact on the accompanying unaudited pro forma combined financial information.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Accounting for the Merger</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gives effect to the merger, which is accounted for under U.S. generally accepted accounting principles (“GAAP”) as an in-substance reverse recapitalization of AVROBIO by Tectonic. Under this method of accounting, Tectonic is considered the accounting acquirer for financial reporting purposes. This determination is based on an evaluation of the following facts and circumstances immediately following the merger: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 stockholders will own a substantial majority of the voting rights in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largest stockholder will retain the largest interest in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 will designate a majority of the initial members of the board of directors of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Tectonic’s executive management team will become the management of the combined company;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be renamed Tectonic Therapeutic, Inc. and will be headquartered in Massachusetts.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Tectonic being treated as the accounting acquirer, Tectonic’s assets and liabilities are recorded at their pre-combination carrying amounts. AVROBIO’s assets and liabilities are measured and recognized at their fair values as of the effective time, which approximates the carrying value of the acquired cash and other non-operating assets, with no goodwill or other intangible assets recorded. The difference between the consideration transferred and the fair value of the net assets of AVROBIO following the determination of the actual consideration transferred for AVROBIO is reflected as an adjustment to additional paid-in capital. For periods prior to Closing, the historical financial statements of Tectonic become the historical financial statements of the combined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Preliminary Estimated Consideration Transferred (Purchase Price)</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estimated preliminary purchase price, which represents the consideration transferred to AVROBIO stockholders in the merger, is calculated based on the fair value of the common stock of the combined company that AVROBIO stockholders own as of the Closing of the Transactions because, with no active trading market for shares of Tectonic, the fair value of the AVROBIO common stock represents a more reliable measure of the fair value of consideration transferred in the merger. Accordingly, the accompanying unaudited pro forma combined financial information reflects an estimated preliminary purchase price of approximately $68.4 million. The following summarizes the preliminary estimate of the purchase price to be paid in the merger, after giving effect to the 1-for-12 reverse stock split of AVROBIO common stock that was effected on June 20, 2024 (in thousands, except share and per share amounts):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of the combined company owned by AVROBIO stockholders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3,769,005</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the fair value per share of AVROBIO common stock (2)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17.88</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67,390</w:t>
            </w:r>
          </w:p>
        </w:tc>
      </w:tr>
      <w:tr>
        <w:trPr>
          <w:trHeight w:val="198"/>
        </w:trPr>
        <w:tc>
          <w:tcPr>
            <w:tcW w:w="6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Estimated fair value of assumed AVROBIO stock-based awards based 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pre-merger service (3)</w:t>
            </w: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1,052</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estimated purchase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68,442</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60" w:hanging="424"/>
        <w:spacing w:after="0" w:line="253"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purchase price was determined based on the number of shares of AVROBIO common stock that AVROBIO stockholders owned immediately prior to Closing. For purposes of this unaudited pro forma condensed combined financial information, the estimated number of shares, after giving effect to the 1-for-12 reverse stock split of AVROBIO common stock that was effected on June 20, 2024, represents 3,740,186 shares of AVROBIO common stock outstanding as of March 31, 2024, 3,787 shares of AVROBIO common stock issued subsequent to March 31, 2024 and 25,032 unvested RSUs outstanding as of the Closing which vested in full upon Closing in accordance with the terms of the original awards.</w:t>
      </w:r>
    </w:p>
    <w:p>
      <w:pPr>
        <w:spacing w:after="0" w:line="5" w:lineRule="exact"/>
        <w:rPr>
          <w:rFonts w:ascii="Times New Roman" w:cs="Times New Roman" w:eastAsia="Times New Roman" w:hAnsi="Times New Roman"/>
          <w:sz w:val="18"/>
          <w:szCs w:val="18"/>
          <w:color w:val="auto"/>
        </w:rPr>
      </w:pPr>
    </w:p>
    <w:p>
      <w:pPr>
        <w:ind w:left="540" w:right="100" w:hanging="424"/>
        <w:spacing w:after="0" w:line="260"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purchase price was based on the closing price of AVROBIO common stock on the Nasdaq Global Select Market on June 11, 2024, after giving effect to the 1-for-12 reverse stock split of AVROBIO common stock that was effected on June 20, 2024.</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40" w:hanging="424"/>
        <w:spacing w:after="0" w:line="266"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acquisition-date fair value of the assumed AVROBIO equity awards attributable to pre-merger service that were outstanding as of the effective time. This is included as an adjustment to the unaudited pro forma condensed combined balance sheet by crediting and debiting additional paid-in capital, resulting in no impact to the unaudited pro forma condensed combined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Shares of AVROBIO Common Stock Issued to Tectonic Stockholders upon Closing of the Merger</w:t>
      </w:r>
    </w:p>
    <w:p>
      <w:pPr>
        <w:spacing w:after="0" w:line="12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At Closing, all outstanding shares of Tectonic common stock (including shares of Tectonic common stock issued upon conversion of Tectonic convertible preferred stock and shares of Tectonic common stock issued in connection with the Subscription Agreements and Company SAFEs) were exchanged for shares of AVROBIO common stock based on the Exchange Ratio of 0.53, determined in accordance with the terms of the Merger Agreement and after giving effect to the 1-for-12 reverse stock split of AVROBIO common stock that was effected on June 20, 2024. The number of shares of AVROBIO common stock that AVROBIO expects to issue to Tectonic’s stockholders is based on AVROBIO’s net cash at Closing of $77.3 million and is determined as follows:</w:t>
      </w:r>
    </w:p>
    <w:p>
      <w:pPr>
        <w:sectPr>
          <w:pgSz w:w="11900" w:h="16838" w:orient="portrait"/>
          <w:cols w:equalWidth="0" w:num="1">
            <w:col w:w="11120"/>
          </w:cols>
          <w:pgMar w:left="320" w:top="455" w:right="459" w:bottom="1440" w:gutter="0" w:footer="0" w:header="0"/>
        </w:sectPr>
      </w:pPr>
    </w:p>
    <w:p>
      <w:pPr>
        <w:spacing w:after="0" w:line="21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Shares of Tectonic common stock outstanding as of March 31, 2024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Tectonic stock option exercises subsequent to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14950" cy="274320"/>
                    </a:xfrm>
                    <a:prstGeom prst="rect">
                      <a:avLst/>
                    </a:prstGeom>
                    <a:noFill/>
                  </pic:spPr>
                </pic:pic>
              </a:graphicData>
            </a:graphic>
          </wp:anchor>
        </w:drawing>
      </w:r>
    </w:p>
    <w:p>
      <w:pPr>
        <w:ind w:left="1620" w:right="100" w:hanging="179"/>
        <w:spacing w:after="0" w:line="250" w:lineRule="auto"/>
        <w:rPr>
          <w:sz w:val="20"/>
          <w:szCs w:val="20"/>
          <w:color w:val="auto"/>
        </w:rPr>
      </w:pPr>
      <w:r>
        <w:rPr>
          <w:rFonts w:ascii="Times New Roman" w:cs="Times New Roman" w:eastAsia="Times New Roman" w:hAnsi="Times New Roman"/>
          <w:sz w:val="18"/>
          <w:szCs w:val="18"/>
          <w:color w:val="auto"/>
        </w:rPr>
        <w:t>Shares of Tectonic common stock issued upon conversion of Tectonic convertible preferred stock, see Note 6(d)</w:t>
      </w:r>
    </w:p>
    <w:p>
      <w:pPr>
        <w:spacing w:after="0" w:line="1" w:lineRule="exact"/>
        <w:rPr>
          <w:sz w:val="20"/>
          <w:szCs w:val="20"/>
          <w:color w:val="auto"/>
        </w:rPr>
      </w:pPr>
    </w:p>
    <w:p>
      <w:pPr>
        <w:ind w:left="1620" w:hanging="179"/>
        <w:spacing w:after="0" w:line="250" w:lineRule="auto"/>
        <w:rPr>
          <w:sz w:val="20"/>
          <w:szCs w:val="20"/>
          <w:color w:val="auto"/>
        </w:rPr>
      </w:pPr>
      <w:r>
        <w:rPr>
          <w:rFonts w:ascii="Times New Roman" w:cs="Times New Roman" w:eastAsia="Times New Roman" w:hAnsi="Times New Roman"/>
          <w:sz w:val="18"/>
          <w:szCs w:val="18"/>
          <w:color w:val="auto"/>
        </w:rPr>
        <w:t>Shares of Tectonic common stock issued in connection with the Subscription Agreements, see Note 6(e)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635</wp:posOffset>
            </wp:positionV>
            <wp:extent cx="531495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8"/>
          <w:szCs w:val="18"/>
          <w:color w:val="auto"/>
        </w:rPr>
        <w:t>Shares of Tectonic common stock issued upon redemption of the Company SAFEs, see Note 6(f)</w:t>
      </w:r>
    </w:p>
    <w:p>
      <w:pPr>
        <w:spacing w:after="0" w:line="18" w:lineRule="exact"/>
        <w:rPr>
          <w:sz w:val="20"/>
          <w:szCs w:val="20"/>
          <w:color w:val="auto"/>
        </w:rPr>
      </w:pPr>
    </w:p>
    <w:p>
      <w:pPr>
        <w:ind w:left="1440" w:right="1660"/>
        <w:spacing w:after="0" w:line="266" w:lineRule="auto"/>
        <w:rPr>
          <w:sz w:val="20"/>
          <w:szCs w:val="20"/>
          <w:color w:val="auto"/>
        </w:rPr>
      </w:pPr>
      <w:r>
        <w:rPr>
          <w:rFonts w:ascii="Times New Roman" w:cs="Times New Roman" w:eastAsia="Times New Roman" w:hAnsi="Times New Roman"/>
          <w:sz w:val="18"/>
          <w:szCs w:val="18"/>
          <w:color w:val="auto"/>
        </w:rPr>
        <w:t>Total Tectonic common shares outstanding prior to the closing of the merger Exchange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-141605</wp:posOffset>
            </wp:positionV>
            <wp:extent cx="53149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17"/>
          <w:szCs w:val="17"/>
          <w:color w:val="auto"/>
        </w:rPr>
        <w:t>Shares of AVROBIO common stock issued to Tectonic stockholders upon closing of the merger (2)</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2,637,120</w:t>
      </w:r>
    </w:p>
    <w:p>
      <w:pPr>
        <w:spacing w:after="0" w:line="27"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496,182</w:t>
      </w:r>
    </w:p>
    <w:p>
      <w:pPr>
        <w:spacing w:after="0" w:line="207"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6,825,483</w:t>
      </w:r>
    </w:p>
    <w:p>
      <w:pPr>
        <w:spacing w:after="0" w:line="225"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7,790,889</w:t>
      </w:r>
    </w:p>
    <w:p>
      <w:pPr>
        <w:spacing w:after="0" w:line="27"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2,752,216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wp:posOffset>
            </wp:positionV>
            <wp:extent cx="6515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jc w:val="right"/>
        <w:ind w:right="1380"/>
        <w:spacing w:after="0"/>
        <w:rPr>
          <w:sz w:val="20"/>
          <w:szCs w:val="20"/>
          <w:color w:val="auto"/>
        </w:rPr>
      </w:pPr>
      <w:r>
        <w:rPr>
          <w:rFonts w:ascii="Times New Roman" w:cs="Times New Roman" w:eastAsia="Times New Roman" w:hAnsi="Times New Roman"/>
          <w:sz w:val="17"/>
          <w:szCs w:val="17"/>
          <w:color w:val="auto"/>
        </w:rPr>
        <w:t>20,501,890</w:t>
      </w:r>
    </w:p>
    <w:p>
      <w:pPr>
        <w:spacing w:after="0" w:line="39" w:lineRule="exact"/>
        <w:rPr>
          <w:sz w:val="20"/>
          <w:szCs w:val="20"/>
          <w:color w:val="auto"/>
        </w:rPr>
      </w:pPr>
    </w:p>
    <w:p>
      <w:pPr>
        <w:jc w:val="right"/>
        <w:ind w:right="1380"/>
        <w:spacing w:after="0"/>
        <w:rPr>
          <w:sz w:val="20"/>
          <w:szCs w:val="20"/>
          <w:color w:val="auto"/>
        </w:rPr>
      </w:pPr>
      <w:r>
        <w:rPr>
          <w:rFonts w:ascii="Times New Roman" w:cs="Times New Roman" w:eastAsia="Times New Roman" w:hAnsi="Times New Roman"/>
          <w:sz w:val="18"/>
          <w:szCs w:val="18"/>
          <w:color w:val="auto"/>
        </w:rPr>
        <w:t>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5715</wp:posOffset>
            </wp:positionV>
            <wp:extent cx="6515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10,956,614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24765</wp:posOffset>
            </wp:positionV>
            <wp:extent cx="6515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41910</wp:posOffset>
            </wp:positionV>
            <wp:extent cx="6515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0" w:space="340"/>
            <w:col w:w="2180"/>
          </w:cols>
          <w:pgMar w:left="320" w:top="455" w:right="459" w:bottom="1440" w:gutter="0" w:footer="0" w:header="0"/>
          <w:type w:val="continuous"/>
        </w:sectPr>
      </w:pPr>
    </w:p>
    <w:p>
      <w:pPr>
        <w:spacing w:after="0" w:line="118"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Tectonic common stock outstanding include 21,565 shares of unvested Tectonic Restricted Stock as of March 31, 2024.</w:t>
      </w:r>
    </w:p>
    <w:p>
      <w:pPr>
        <w:spacing w:after="0" w:line="27"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shares of AVROBIO common stock issued to Tectonic stockholders at Closing, including 11,448 shares of AVROBIO common stock subject to vesting conditions, based on 21,422 shares of unvested Tectonic Restricted Stock at Closing multiplied by the Exchange Ratio of 0.53.</w:t>
      </w:r>
    </w:p>
    <w:p>
      <w:pPr>
        <w:spacing w:after="0" w:line="18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merger, AVROBIO assumes all of the outstanding options to acquire Tectonic common stock and such stock options will become exercisable for shares of AVROBIO common stock following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Adjustments to Unaudited Pro Forma Condensed Combined Balance Sheet as of December 31, 2023</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6(A) Derived from the unaudited condensed consolidated balance sheet of AVROBIO as of March 31, 2024.</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6(B) Derived from the unaudited condensed consolidated balance sheet of Tectonic as of March 31, 2024.</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Balance Sheet Transaction Accounting Adjustments:</w:t>
      </w:r>
    </w:p>
    <w:p>
      <w:pPr>
        <w:spacing w:after="0" w:line="135"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6(a)</w:t>
        <w:tab/>
        <w:t>To reflect the exercise of 496,182 Tectonic stock options subsequent to March 31, 2024.</w:t>
      </w:r>
    </w:p>
    <w:p>
      <w:pPr>
        <w:spacing w:after="0" w:line="131" w:lineRule="exact"/>
        <w:rPr>
          <w:sz w:val="20"/>
          <w:szCs w:val="20"/>
          <w:color w:val="auto"/>
        </w:rPr>
      </w:pPr>
    </w:p>
    <w:p>
      <w:pPr>
        <w:ind w:left="660" w:right="16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6(b)</w:t>
        <w:tab/>
        <w:t>To reflect the exercise of 3,787 AVROBIO stock options subsequent to March 31, 2024, after giving effect to the 1-for-12 reverse stock split of AVROBIO common stock that was effected on June 20, 2024.</w:t>
      </w:r>
    </w:p>
    <w:p>
      <w:pPr>
        <w:spacing w:after="0" w:line="67" w:lineRule="exact"/>
        <w:rPr>
          <w:sz w:val="20"/>
          <w:szCs w:val="20"/>
          <w:color w:val="auto"/>
        </w:rPr>
      </w:pPr>
    </w:p>
    <w:p>
      <w:pPr>
        <w:ind w:left="660" w:right="4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6(c)</w:t>
        <w:tab/>
        <w:t>To reflect preliminary estimated incremental compensation expense of $3.9 million related to severance, retention bonuses and change in control payments resulting from pre-existing employment agreements or from approval from AVROBIO’s board of directors in connection with the merger that had not yet been paid or fully accrued for as of March 31, 2024. As such, the $3.9 million is recorded as an increase in accrued expenses and accumulated deficit in the unaudited pro forma condensed combined balance sheet as of March 31, 2024.</w:t>
      </w:r>
    </w:p>
    <w:p>
      <w:pPr>
        <w:spacing w:after="0" w:line="85"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6(d)</w:t>
        <w:tab/>
        <w:t>To reflect the automatic conversion, on a one-to-one basis, of all outstanding shares of Tectonic convertible preferred stock, with a carrying amount of $80.6 million, into 6,825,483 shares of Tectonic common stock immediately prior to the merger. Tectonic convertible preferred stock outstanding immediately prior to the Closing was comprised of the following:</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Tectonic Convertible Preferred Stock</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w:t>
            </w:r>
          </w:p>
        </w:tc>
        <w:tc>
          <w:tcPr>
            <w:tcW w:w="4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4,118,120</w:t>
            </w: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1,649,188</w:t>
            </w: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696,516</w:t>
            </w: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361,659</w:t>
            </w:r>
          </w:p>
        </w:tc>
      </w:tr>
      <w:tr>
        <w:trPr>
          <w:trHeight w:val="198"/>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shares of Tectonic convertible preferred stock converted to shares of Tectonic</w:t>
            </w: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stock immediately prior to the merger</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6,825,483</w:t>
            </w: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4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6(e)</w:t>
        <w:tab/>
        <w:t>To reflect the issuance of 7,790,889 shares of Tectonic common stock pursuant to the Subscription Agreements entered into concurrently with the execution of the Merger Agreement, for an aggregate purchase price of $96.6 million. The proceeds received in connection with the Subscription Agreements are recorded net of transaction costs deemed to be direct and incremental costs of the equity financing in the amount of approximately $2.0 million. The issuance of shares in connection with the Subscription Agreements are recorded as the issuance of Tectonic common stock at par value, with the remaining amount recorded to additional paid-in-capital.</w:t>
      </w:r>
    </w:p>
    <w:p>
      <w:pPr>
        <w:spacing w:after="0" w:line="89" w:lineRule="exact"/>
        <w:rPr>
          <w:sz w:val="20"/>
          <w:szCs w:val="20"/>
          <w:color w:val="auto"/>
        </w:rPr>
      </w:pPr>
    </w:p>
    <w:p>
      <w:pPr>
        <w:ind w:left="660" w:right="780" w:hanging="539"/>
        <w:spacing w:after="0" w:line="272" w:lineRule="auto"/>
        <w:tabs>
          <w:tab w:leader="none" w:pos="640" w:val="left"/>
        </w:tabs>
        <w:rPr>
          <w:sz w:val="20"/>
          <w:szCs w:val="20"/>
          <w:color w:val="auto"/>
        </w:rPr>
      </w:pPr>
      <w:r>
        <w:rPr>
          <w:rFonts w:ascii="Times New Roman" w:cs="Times New Roman" w:eastAsia="Times New Roman" w:hAnsi="Times New Roman"/>
          <w:sz w:val="17"/>
          <w:szCs w:val="17"/>
          <w:color w:val="auto"/>
        </w:rPr>
        <w:t>6(f)</w:t>
      </w:r>
      <w:r>
        <w:rPr>
          <w:sz w:val="20"/>
          <w:szCs w:val="20"/>
          <w:color w:val="auto"/>
        </w:rPr>
        <w:tab/>
      </w:r>
      <w:r>
        <w:rPr>
          <w:rFonts w:ascii="Times New Roman" w:cs="Times New Roman" w:eastAsia="Times New Roman" w:hAnsi="Times New Roman"/>
          <w:sz w:val="17"/>
          <w:szCs w:val="17"/>
          <w:color w:val="auto"/>
        </w:rPr>
        <w:t>To reflect, pursuant to the terms of the Company SAFEs, the automatic redemption of the principal balance of the Company SAFEs of $34.1 million, in the event of a public listing transaction, into 2,752,216 shares of Tectonic common stock at the conversion price of approximately $12.40 per share immediately prior to the closing of the merger, and the change in fair value of the SAFE liabilities of</w:t>
      </w:r>
    </w:p>
    <w:p>
      <w:pPr>
        <w:spacing w:after="0" w:line="2"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$1.5 million immediately prior to the redemption, which represents the difference between principal balance and the fair value of the Company SAFEs as of March 31, 2024, as an increase to accumulated deficit. The redemption is recorded as the issuance of Tectonic common stock at par value, with the remaining amount recorded to additional paid-in-capital.</w:t>
      </w:r>
    </w:p>
    <w:p>
      <w:pPr>
        <w:spacing w:after="0" w:line="91" w:lineRule="exact"/>
        <w:rPr>
          <w:sz w:val="20"/>
          <w:szCs w:val="20"/>
          <w:color w:val="auto"/>
        </w:rPr>
      </w:pPr>
    </w:p>
    <w:p>
      <w:pPr>
        <w:ind w:left="660" w:hanging="539"/>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6(g)</w:t>
        <w:tab/>
        <w:t>To reflect preliminary estimated transaction costs of $8.7 million incurred by Tectonic in connection with the merger, such as advisory, legal and auditor fees, as an increase in accrued expenses of $5.2 million for transaction costs not yet reflected in the historical financial statements, the derecognition of the deferred offering costs of $3.4 million included in the historical financial statements, and a reduction to additional paid-in capital of $8.7 million in the unaudited pro forma condensed combined balance sheet. As the merger is accounted for as a reverse recapitalization equivalent to the issuance of equity for the net assets, primarily cash, of AVROBIO, these direct and incremental costs are treated as a reduction of the net proceeds received within additional paid-in capital.</w:t>
      </w:r>
    </w:p>
    <w:p>
      <w:pPr>
        <w:spacing w:after="0" w:line="93" w:lineRule="exact"/>
        <w:rPr>
          <w:sz w:val="20"/>
          <w:szCs w:val="20"/>
          <w:color w:val="auto"/>
        </w:rPr>
      </w:pPr>
    </w:p>
    <w:p>
      <w:pPr>
        <w:ind w:left="660" w:right="1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6(h)</w:t>
        <w:tab/>
        <w:t>To reflect preliminary estimated transaction costs of $5.2 million, not yet reflected in the historical financial statements, which were incurred by AVROBIO in connection with the merger, such as advisory,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660" w:right="120"/>
        <w:spacing w:after="0" w:line="266" w:lineRule="auto"/>
        <w:rPr>
          <w:sz w:val="20"/>
          <w:szCs w:val="20"/>
          <w:color w:val="auto"/>
        </w:rPr>
      </w:pPr>
      <w:r>
        <w:rPr>
          <w:rFonts w:ascii="Times New Roman" w:cs="Times New Roman" w:eastAsia="Times New Roman" w:hAnsi="Times New Roman"/>
          <w:sz w:val="18"/>
          <w:szCs w:val="18"/>
          <w:color w:val="auto"/>
        </w:rPr>
        <w:t>legal and auditor fees and including the estimated $1.8 million cost of a D&amp;O tail policy. The adjustment is reflected in the unaudited pro forma condensed combined balance sheet as a decrease in cash of $1.8 million to reflect payments made subsequent to March 31, 2024, an increase in accrued expenses of $3.4 million and an increase in accumulated deficit of $5.2 million.</w:t>
      </w:r>
    </w:p>
    <w:p>
      <w:pPr>
        <w:spacing w:after="0" w:line="81" w:lineRule="exact"/>
        <w:rPr>
          <w:sz w:val="20"/>
          <w:szCs w:val="20"/>
          <w:color w:val="auto"/>
        </w:rPr>
      </w:pPr>
    </w:p>
    <w:p>
      <w:pPr>
        <w:jc w:val="both"/>
        <w:ind w:left="660" w:right="2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6(i)</w:t>
        <w:tab/>
        <w:t>To derecognize $0.5 million of AVROBIO’s prepaid expenses consisting of $0.1 million of prepaid research and development expenses related to discontinued research and development activities and $0.4 million of prepaid insurance primarily related to the current AVROBIO’s D&amp;O policy that was fully utilized at Closing.</w:t>
      </w:r>
    </w:p>
    <w:p>
      <w:pPr>
        <w:spacing w:after="0" w:line="81" w:lineRule="exact"/>
        <w:rPr>
          <w:sz w:val="20"/>
          <w:szCs w:val="20"/>
          <w:color w:val="auto"/>
        </w:rPr>
      </w:pPr>
    </w:p>
    <w:p>
      <w:pPr>
        <w:ind w:left="660" w:right="10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6(j)</w:t>
        <w:tab/>
        <w:t>To reflect the derecognition of AVROBIO’s operating leases that were terminated or expired prior to the closing of the merger. The operating lease right-of-use assets of $0.1 million and related operating lease liabilities of $0.2 million, were derecognized, resulting in a $0.1 million gain on termination of lease.</w:t>
      </w:r>
    </w:p>
    <w:p>
      <w:pPr>
        <w:spacing w:after="0" w:line="81" w:lineRule="exact"/>
        <w:rPr>
          <w:sz w:val="20"/>
          <w:szCs w:val="20"/>
          <w:color w:val="auto"/>
        </w:rPr>
      </w:pPr>
    </w:p>
    <w:p>
      <w:pPr>
        <w:jc w:val="both"/>
        <w:ind w:left="660" w:right="660" w:hanging="539"/>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6(k)</w:t>
        <w:tab/>
        <w:t>To reflect the release of $0.7 million of AVROBIO’s restricted cash, consisting of cash used to secure letters of credit in connection with AVROBIO’s lease agreements and corporate credit card program that was terminated prior to the closing of the merger, to cash and cash equivalents.</w:t>
      </w:r>
    </w:p>
    <w:p>
      <w:pPr>
        <w:spacing w:after="0" w:line="81" w:lineRule="exact"/>
        <w:rPr>
          <w:sz w:val="20"/>
          <w:szCs w:val="20"/>
          <w:color w:val="auto"/>
        </w:rPr>
      </w:pPr>
    </w:p>
    <w:p>
      <w:pPr>
        <w:ind w:left="660" w:hanging="539"/>
        <w:spacing w:after="0" w:line="258" w:lineRule="auto"/>
        <w:tabs>
          <w:tab w:leader="none" w:pos="640" w:val="left"/>
        </w:tabs>
        <w:rPr>
          <w:sz w:val="20"/>
          <w:szCs w:val="20"/>
          <w:color w:val="auto"/>
        </w:rPr>
      </w:pPr>
      <w:r>
        <w:rPr>
          <w:rFonts w:ascii="Times New Roman" w:cs="Times New Roman" w:eastAsia="Times New Roman" w:hAnsi="Times New Roman"/>
          <w:sz w:val="18"/>
          <w:szCs w:val="18"/>
          <w:color w:val="auto"/>
        </w:rPr>
        <w:t>6(l)</w:t>
        <w:tab/>
        <w:t>To reflect the acceleration of vesting and net settlement of AVROBIO’s RSUs at Closing as the release of 33,736 shares of AVROBIO common stock after giving effect to the 1-for-12 reverse stock split of AVROBIO common stock that was effected on June 20, 2024, at par value, an increase in accrued expenses of $0.4 million representing the number of shares withheld to satisfy tax withholding and remittance obligations for the vested AVROBIO’s RSUs based on the closing price of AVROBIO common stock on the Nasdaq Global Select Market on June 11, 2024, and a decrease in additional paid-in capital of $0.4 million.</w:t>
      </w:r>
    </w:p>
    <w:p>
      <w:pPr>
        <w:spacing w:after="0" w:line="89" w:lineRule="exact"/>
        <w:rPr>
          <w:sz w:val="20"/>
          <w:szCs w:val="20"/>
          <w:color w:val="auto"/>
        </w:rPr>
      </w:pPr>
    </w:p>
    <w:p>
      <w:pPr>
        <w:ind w:left="660" w:right="20" w:hanging="53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6(m)</w:t>
        <w:tab/>
        <w:t>To reflect the recapitalization of Tectonic, pursuant to the Merger Agreement, through the contribution of 20,501,890 shares of Tectonic common stock (see Note 5), and the issuance of 10,956,614 shares of AVROBIO common stock, reflecting the Exchange Ratio of 0.53 after giving effect to the 1-for-12 reverse stock split of AVROBIO common stock effected on June 20, 2024, and to reflect the derecognition of the accumulated deficit of AVROBIO which is reversed to additional paid-in capital.</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derecognition of accumulated deficit of AVROBIO of $493.5 million is determined as follows (in thousands):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of AVROBIO as of March 31, 2024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$484,083</w:t>
            </w:r>
          </w:p>
        </w:tc>
        <w:tc>
          <w:tcPr>
            <w:tcW w:w="80" w:type="dxa"/>
            <w:vAlign w:val="bottom"/>
            <w:shd w:val="clear" w:color="auto" w:fill="CCEEFF"/>
          </w:tcPr>
          <w:p>
            <w:pPr>
              <w:spacing w:after="0"/>
              <w:rPr>
                <w:sz w:val="18"/>
                <w:szCs w:val="18"/>
                <w:color w:val="auto"/>
              </w:rPr>
            </w:pPr>
          </w:p>
        </w:tc>
      </w:tr>
      <w:tr>
        <w:trPr>
          <w:trHeight w:val="198"/>
        </w:trPr>
        <w:tc>
          <w:tcPr>
            <w:tcW w:w="6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severance, retention bonuses and change in control</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see Note 6(c)</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3,950</w:t>
            </w:r>
          </w:p>
        </w:tc>
        <w:tc>
          <w:tcPr>
            <w:tcW w:w="80" w:type="dxa"/>
            <w:vAlign w:val="bottom"/>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of AVROBIO, see Note 6(h)</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5,156</w:t>
            </w:r>
          </w:p>
        </w:tc>
        <w:tc>
          <w:tcPr>
            <w:tcW w:w="8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 of prepaid research and development and prepaid insurance, see Note 6(i)</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termination of operating leases, see Note 6(j)</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adjustment to derecognize the accumulated deficit of AVROBIO</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493,523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Adjustments to Unaudited Pro Forma Condensed Combined Statement of Operations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660" w:right="2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7(A)</w:t>
        <w:tab/>
        <w:t>Derived from the unaudited condensed consolidated statement of operations and comprehensive income (loss) of AVROBIO for the three months ended March 31,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660" w:right="400" w:hanging="53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7(B)</w:t>
        <w:tab/>
        <w:t>Derived from the unaudited condensed consolidated statement of operations and comprehensive loss of Tectonic for the three months ended March 31, 2024.</w:t>
      </w:r>
    </w:p>
    <w:p>
      <w:pPr>
        <w:spacing w:after="0" w:line="67"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7(C)</w:t>
        <w:tab/>
        <w:t>Derived from the audited consolidated statement of operations and comprehensive loss of AVROBIO for the year ended December 31, 2023.</w:t>
      </w:r>
    </w:p>
    <w:p>
      <w:pPr>
        <w:spacing w:after="0" w:line="131" w:lineRule="exact"/>
        <w:rPr>
          <w:sz w:val="20"/>
          <w:szCs w:val="20"/>
          <w:color w:val="auto"/>
        </w:rPr>
      </w:pPr>
    </w:p>
    <w:p>
      <w:pPr>
        <w:ind w:left="120"/>
        <w:spacing w:after="0"/>
        <w:tabs>
          <w:tab w:leader="none" w:pos="640" w:val="left"/>
        </w:tabs>
        <w:rPr>
          <w:sz w:val="20"/>
          <w:szCs w:val="20"/>
          <w:color w:val="auto"/>
        </w:rPr>
      </w:pPr>
      <w:r>
        <w:rPr>
          <w:rFonts w:ascii="Times New Roman" w:cs="Times New Roman" w:eastAsia="Times New Roman" w:hAnsi="Times New Roman"/>
          <w:sz w:val="18"/>
          <w:szCs w:val="18"/>
          <w:color w:val="auto"/>
        </w:rPr>
        <w:t>7(D)</w:t>
        <w:tab/>
        <w:t>Derived from the audited consolidated statement of operations and comprehensive loss of Tectonic for the year ended December 31, 2023.</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Given Tectonic’s history of net losses and valuation allowance, management assumed an effective tax rate of 0%. Therefore, the pro forma adjustments to the unaudited pro forma condensed combined statement of operations resulted in no additional income tax adjustment to the unaudited pro forma condensed combined financial information.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Statement of Operations Transaction Accounting Adjustments:</w:t>
      </w:r>
    </w:p>
    <w:p>
      <w:pPr>
        <w:spacing w:after="0" w:line="135" w:lineRule="exact"/>
        <w:rPr>
          <w:sz w:val="20"/>
          <w:szCs w:val="20"/>
          <w:color w:val="auto"/>
        </w:rPr>
      </w:pPr>
    </w:p>
    <w:p>
      <w:pPr>
        <w:ind w:left="540" w:right="220" w:hanging="41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7(a)</w:t>
        <w:tab/>
        <w:t>To reflect preliminary estimated incremental compensation expense related to severance, retention bonuses and change in control payments recorded in research and development expenses of $1.3 million and general and administrative expenses of $2.6 million, resulting from pre-existing employment agreements or from approval from AVROBIO’s board of directors in connection with the merger that had not yet been paid or fully accrued for as of March 31, 2024 assuming that the adjustment described in Note 6(c) was made on January 1, 2023.</w:t>
      </w:r>
    </w:p>
    <w:p>
      <w:pPr>
        <w:spacing w:after="0" w:line="85" w:lineRule="exact"/>
        <w:rPr>
          <w:sz w:val="20"/>
          <w:szCs w:val="20"/>
          <w:color w:val="auto"/>
        </w:rPr>
      </w:pPr>
    </w:p>
    <w:p>
      <w:pPr>
        <w:ind w:left="540" w:hanging="41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7(b)</w:t>
        <w:tab/>
        <w:t>To reflect AVROBIO’s estimated advisory, legal, audit and other costs related to the merger, including the estimated cost of a D&amp;O tail policy, that were not recorded in its historical financial statements as an increase to general and administrative expenses in the unaudited pro forma condensed combined statement of operations for the year ended December 31, 2023 assuming that the adjustment described in Note 6(h) was made on January 1, 2023.</w:t>
      </w:r>
    </w:p>
    <w:p>
      <w:pPr>
        <w:spacing w:after="0" w:line="85" w:lineRule="exact"/>
        <w:rPr>
          <w:sz w:val="20"/>
          <w:szCs w:val="20"/>
          <w:color w:val="auto"/>
        </w:rPr>
      </w:pPr>
    </w:p>
    <w:p>
      <w:pPr>
        <w:jc w:val="both"/>
        <w:ind w:left="540" w:right="400" w:hanging="41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7(c)</w:t>
        <w:tab/>
        <w:t>To reflect the derecognition of AVROBIO’s prepaid research and development expenses of $0.1 million related to discontinued research and development activities, and prepaid insurance of $0.4 million primarily related to AVROBIO’s D&amp;O policy that was fully utilized at Closing, assuming the adjustment made in Note 6(i) was made on January 1, 2023.</w:t>
      </w:r>
    </w:p>
    <w:p>
      <w:pPr>
        <w:spacing w:after="0" w:line="81" w:lineRule="exact"/>
        <w:rPr>
          <w:sz w:val="20"/>
          <w:szCs w:val="20"/>
          <w:color w:val="auto"/>
        </w:rPr>
      </w:pPr>
    </w:p>
    <w:p>
      <w:pPr>
        <w:ind w:left="540" w:right="56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7(d)</w:t>
        <w:tab/>
        <w:t>To eliminate the change in fair value of SAFE liabilities that was included in the historical financial statements, assuming that the principal balance of the Company SAFEs was redeemed for shares of Tectonic common stock on January 1, 2023.</w:t>
      </w:r>
    </w:p>
    <w:p>
      <w:pPr>
        <w:spacing w:after="0" w:line="54" w:lineRule="exact"/>
        <w:rPr>
          <w:sz w:val="20"/>
          <w:szCs w:val="20"/>
          <w:color w:val="auto"/>
        </w:rPr>
      </w:pPr>
    </w:p>
    <w:p>
      <w:pPr>
        <w:ind w:left="560" w:right="420"/>
        <w:spacing w:after="0" w:line="282" w:lineRule="auto"/>
        <w:rPr>
          <w:sz w:val="20"/>
          <w:szCs w:val="20"/>
          <w:color w:val="auto"/>
        </w:rPr>
      </w:pPr>
      <w:r>
        <w:rPr>
          <w:rFonts w:ascii="Times New Roman" w:cs="Times New Roman" w:eastAsia="Times New Roman" w:hAnsi="Times New Roman"/>
          <w:sz w:val="18"/>
          <w:szCs w:val="18"/>
          <w:color w:val="auto"/>
        </w:rPr>
        <w:t>The pro forma adjustment also reflects the change in fair value of SAFE liabilities of $1.5 million immediately prior to the redemption of the Company SAFEs, assuming that the adjustment described in Note 6(f) was made on January 1, 2023.</w:t>
      </w:r>
    </w:p>
    <w:p>
      <w:pPr>
        <w:spacing w:after="0" w:line="67" w:lineRule="exact"/>
        <w:rPr>
          <w:sz w:val="20"/>
          <w:szCs w:val="20"/>
          <w:color w:val="auto"/>
        </w:rPr>
      </w:pPr>
    </w:p>
    <w:p>
      <w:pPr>
        <w:ind w:left="540" w:hanging="41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7(e)</w:t>
        <w:tab/>
        <w:t>To reflect the gain on termination of AVROBIO’s operating leases of $0.1 million, relating to AVROBIO’s operating leases that were terminated or expired prior to the closing of the merger assuming that the adjustment described in Note 6(j) was made on January 1,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1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7(f)</w:t>
        <w:tab/>
        <w:t>The pro forma combined basic and diluted net income (loss) per share have been adjusted to reflect the pro forma net losses for the three months ended March 31, 2024, and the year ended December 31, 2023. In addition, the number of shares used in calculating the pro forma combined basic and diluted net loss per share has been adjusted to reflect the estimated total number of shares of common stock of the combined company that would be outstanding at the Closing of the merger, after giving effect to the 1-for-12 reverse stock split of AVROBIO common stock that was effected on June 20, 2024. For the three months ended March 31, 2024 and the year ended December 31, 2023, the pro forma weighted average shares outstanding, after giving effect to the aforementioned reverse stock split, has been calculated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260" w:type="dxa"/>
            <w:vAlign w:val="bottom"/>
          </w:tcPr>
          <w:p>
            <w:pPr>
              <w:spacing w:after="0"/>
              <w:rPr>
                <w:sz w:val="15"/>
                <w:szCs w:val="15"/>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7260" w:type="dxa"/>
            <w:vAlign w:val="bottom"/>
          </w:tcPr>
          <w:p>
            <w:pPr>
              <w:spacing w:after="0"/>
              <w:rPr>
                <w:sz w:val="12"/>
                <w:szCs w:val="12"/>
                <w:color w:val="auto"/>
              </w:rPr>
            </w:pP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Basic and Diluted</w:t>
            </w:r>
          </w:p>
        </w:tc>
        <w:tc>
          <w:tcPr>
            <w:tcW w:w="280" w:type="dxa"/>
            <w:vAlign w:val="bottom"/>
          </w:tcPr>
          <w:p>
            <w:pPr>
              <w:spacing w:after="0"/>
              <w:rPr>
                <w:sz w:val="12"/>
                <w:szCs w:val="12"/>
                <w:color w:val="auto"/>
              </w:rPr>
            </w:pPr>
          </w:p>
        </w:tc>
        <w:tc>
          <w:tcPr>
            <w:tcW w:w="122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Basic</w:t>
            </w:r>
          </w:p>
        </w:tc>
        <w:tc>
          <w:tcPr>
            <w:tcW w:w="980" w:type="dxa"/>
            <w:vAlign w:val="bottom"/>
            <w:tcBorders>
              <w:top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Diluted</w:t>
            </w:r>
          </w:p>
        </w:tc>
        <w:tc>
          <w:tcPr>
            <w:tcW w:w="80" w:type="dxa"/>
            <w:vAlign w:val="bottom"/>
          </w:tcPr>
          <w:p>
            <w:pPr>
              <w:spacing w:after="0"/>
              <w:rPr>
                <w:sz w:val="12"/>
                <w:szCs w:val="12"/>
                <w:color w:val="auto"/>
              </w:rPr>
            </w:pP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weighted-average number of Tectonic common shares outstanding</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2,608,740</w:t>
            </w: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2,373,674</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2,373,674</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Tectonic stock option exercises subsequent to March 31, 2024, assuming consummation of the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as of January 1, 2023, see Note 6(a)</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496,182</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496,182</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496,182</w:t>
            </w:r>
          </w:p>
        </w:tc>
      </w:tr>
      <w:tr>
        <w:trPr>
          <w:trHeight w:val="198"/>
        </w:trPr>
        <w:tc>
          <w:tcPr>
            <w:tcW w:w="7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Tectonic convertible preferred stock assuming conversion as of January 1, 2023, see</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6(d)</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6,825,483</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6,825,483</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6,825,483</w:t>
            </w: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Tectonic private financing transactions assuming consummation of the merger as of</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1, 2023, see Note 6(e) and 6(f)</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10,543,105</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10,543,105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10,543,105</w:t>
            </w:r>
          </w:p>
        </w:tc>
      </w:tr>
      <w:tr>
        <w:trPr>
          <w:trHeight w:val="27"/>
        </w:trPr>
        <w:tc>
          <w:tcPr>
            <w:tcW w:w="7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20,473,510</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20,238,444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20,238,444</w:t>
            </w: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Application of exchange ratio to historical Tectonic weighted-average shares outstanding</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0.53</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0.53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0.53</w:t>
            </w:r>
          </w:p>
        </w:tc>
      </w:tr>
      <w:tr>
        <w:trPr>
          <w:trHeight w:val="27"/>
        </w:trPr>
        <w:tc>
          <w:tcPr>
            <w:tcW w:w="7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Tectonic weighted-average number of common shares outstanding</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10,941,453</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10,815,829</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10,815,829</w:t>
            </w: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Historical weighted-average number of AVROBIO common shares outstanding, after giving</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to the 1-for-12 reverse stock split of AVROBIO common stock</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3,732,568</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3,693,933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3,713,993</w:t>
            </w:r>
          </w:p>
        </w:tc>
      </w:tr>
      <w:tr>
        <w:trPr>
          <w:trHeight w:val="198"/>
        </w:trPr>
        <w:tc>
          <w:tcPr>
            <w:tcW w:w="7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AVROBIO common stock issued subsequent to March 31, 2024, assuming</w:t>
            </w: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consummation of the merger as of January 1, 2023, see Note 6(b)</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3,787</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3,787</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3,787</w:t>
            </w:r>
          </w:p>
        </w:tc>
      </w:tr>
      <w:tr>
        <w:trPr>
          <w:trHeight w:val="198"/>
        </w:trPr>
        <w:tc>
          <w:tcPr>
            <w:tcW w:w="7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awards subject to outstanding AVROBIO RSUs that fully vest upon consummation of the</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(1)</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33,736</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33,736</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33,736</w:t>
            </w:r>
          </w:p>
        </w:tc>
      </w:tr>
      <w:tr>
        <w:trPr>
          <w:trHeight w:val="27"/>
        </w:trPr>
        <w:tc>
          <w:tcPr>
            <w:tcW w:w="726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combined weighted average number of common shares outstanding</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14,711,544</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14,547,285</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14,567,345</w:t>
            </w:r>
          </w:p>
        </w:tc>
      </w:tr>
      <w:tr>
        <w:trPr>
          <w:trHeight w:val="20"/>
        </w:trPr>
        <w:tc>
          <w:tcPr>
            <w:tcW w:w="7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00" w:hanging="424"/>
        <w:spacing w:after="0" w:line="261"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total AVROBIO RSUs outstanding as of the Closing, net of the number of shares withheld to satisfy tax withholding and remittance obligations and after giving effect to the 1-for-12 reverse stock split of AVROBIO common stock that was effected on June 20, 2024, including 25,032 RSUs that vested in full immediately prior to the Closing in accordance with the terms of the original awards and 8,704 RSUs that vested in full as a result of the merger.</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0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interim consolidated financial statements and the related notes thereto as of March 31, 2024, and for the three months ended March 31, 2024 and 2023, included elsewhere in this prospectus and our audited consolidated financial statements as of and for the fiscal year ended December 31, 2024 and the related notes appearing elsewhere or incorporated by reference in this prospectus. This discussion and other parts of this prospectus contain forward-looking statements that involve risks and uncertainties, such as statements regarding our plans, objectives, expectations, intentions and projections. Our actual results could differ materially from those described in or implied by these forward-looking statements. Factors that could cause or contribute to such differences include, but are not limited to, those discussed in the “Risk Factors” section of this prospectus.</w:t>
      </w:r>
    </w:p>
    <w:p>
      <w:pPr>
        <w:spacing w:after="0" w:line="29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Unless otherwise indicated or the context otherwise requires, references in this “Management’s Discussion and Analysis of Financial Condition and Results of Operations” section to “the Company,” “we,” “us,” and “our” refer to the business and operations of Tectonic Operating Company, Inc. (previously Tectonic Therapeutic, Inc., referred to as “Legacy Tectonic”) and its consolidated subsidiaries prior to the Merger, and the business and operations of Tectonic Therapeutic, Inc. (previously AVROBIO, Inc., referred to as “AVROBIO”) and its consolidated subsidiaries following the Merger.</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firstLine="440"/>
        <w:spacing w:after="0" w:line="233" w:lineRule="auto"/>
        <w:rPr>
          <w:sz w:val="20"/>
          <w:szCs w:val="20"/>
          <w:color w:val="auto"/>
        </w:rPr>
      </w:pPr>
      <w:r>
        <w:rPr>
          <w:rFonts w:ascii="Times New Roman" w:cs="Times New Roman" w:eastAsia="Times New Roman" w:hAnsi="Times New Roman"/>
          <w:sz w:val="18"/>
          <w:szCs w:val="18"/>
          <w:color w:val="auto"/>
        </w:rPr>
        <w:t>We are a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or extend duration of life.</w:t>
      </w:r>
    </w:p>
    <w:p>
      <w:pPr>
        <w:spacing w:after="0" w:line="20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92" w:lineRule="exact"/>
        <w:rPr>
          <w:sz w:val="20"/>
          <w:szCs w:val="20"/>
          <w:color w:val="auto"/>
        </w:rPr>
      </w:pPr>
    </w:p>
    <w:p>
      <w:pPr>
        <w:ind w:left="120" w:right="40" w:firstLine="440"/>
        <w:spacing w:after="0" w:line="264" w:lineRule="auto"/>
        <w:rPr>
          <w:sz w:val="20"/>
          <w:szCs w:val="20"/>
          <w:color w:val="auto"/>
        </w:rPr>
      </w:pPr>
      <w:r>
        <w:rPr>
          <w:rFonts w:ascii="Times New Roman" w:cs="Times New Roman" w:eastAsia="Times New Roman" w:hAnsi="Times New Roman"/>
          <w:sz w:val="18"/>
          <w:szCs w:val="18"/>
          <w:color w:val="auto"/>
        </w:rPr>
        <w:t>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With the goal of unlocking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lead asset,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vasodilative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 We believe TX45’s pharmacological profile, the direct result of applying our protein engineering capabilities, has the potential to overcome the limitations that have impeded previous attempts to develop relaxin as a therapeutic protein. To interrogate the therapeutic potential of relaxin, we have identified: Group 2 Pulmonary Hypertension (“PH”) in the setting of Heart Failure with Preserved Ejection Fraction (“HFpEF”), referred to as Group 2 PH / HFpEF hereafter, as the initial disease setting. We hypothesize that in this setting, treatment with relaxin could improve hemodynamics through effects on pulmonary and systemic vasodilation, cardiac diastolic remodeling and potential remodeling in both the pulmonary vessels and the heart which could translate into a clinically meaningful improvement in exercise capacity in these patients. Clinical trials are planned to confirm this hypothesis. Despite this belief, our business carries substantial risks, including our limited experience in therapeutic discovery and development, and the risk that the platform may never result in the regulatory approval of a product candidate.</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our inception in 2019, our operations have focused on organizing and staffing our company, business planning, raising capital, establishing our intellectual property portfolio and conducting preclinical studies and clinical trials. Our operations have been funded primarily with proceeds from sales of Legacy Tectonic’s Series A-1, A-2, A-3, and A-4 convertible preferred stock (collectively, the “Preferred Stock”), proceeds from the issuance of common stock, proceeds from issuance of convertible promissory notes, which were all converted to convertible preferred stock in March 2021 and proceeds from issuance of Simple Agreements for Future Equity (“SAFEs”) in October and December 2023. From our inception through March 31, 2024, we received $114.7 million in capital contributions from sales of Preferred Stock, issuance of convertible promissory notes, and proceeds from issuance of SAFEs. As of March 31, 2024, we had $18.7 million in cash and cash equivalents. Upon the consummation of the transactions contemplated by that certain Agreement and Plan of Merger and Reorganization (the “Merger Agreement”) dated January 30, 2024 by and among AVROBIO, Inc. (“AVROBIO”), Alpine Merger Subsidiary, Inc. and Tectonic Operating Company, Inc. on June 20, 2024 (the “Merger”), we received $77.3 million in cash proceeds from AVROBIO, and $96.6 million in proceeds related to the sale of shares to investors pursuant to that certain subscription agreement dated January 30, 2024 among Legacy Tectonic and certain investors (the “Subscription Agreement”).</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Since our inception, we have incurred significant operating losses. Our net losses were $15.2 million and $14.4 million for the three months ended March 31, 2024 and 2023, respectively. As of March 31, 2024, we had an accumulated deficit of $105.8 million. We expect to continue to incur significant expenses and operating losses for the foreseeable future. We anticipate that our expenses will increase significantly in connection with our ongoing activities, as we:</w:t>
      </w:r>
    </w:p>
    <w:p>
      <w:pPr>
        <w:spacing w:after="0" w:line="85"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ongoing and planned research and development of our lead product candidate TX45 and our other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additional product candidates that we may pursue in the future;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 and further expand our clinical product pipeline;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scale up external manufacturing capacity with the aim of securing sufficient quantities to meet our capacity requirements for clinical trials and eventual potential commercialization;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and distribution infrastructure to commercialize any product candidate for which we may obtain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manufacturing personnel;</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discovery, clinical, operational, financial and management information systems and personnel, including personnel to support our product development and planned future commercialization efforts;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investor relations and other expenses associated with operating as a public company.</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one or more of our product candidates. If we obtain regulatory approval for any of our product candidates and do not enter into a commercialization partnership, we expect to incur significant expenses related to developing our internal commercialization capability to support product sales, marketing and distribution. Further, we will continue to incur additional costs associated with operating as a public company.</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public or private equity offerings, debt financings or other capital sources, which may include collaborations with other companies, marketing, distribution or licensing arrangements with third parties,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our product discovery and development programs or commercialization efforts.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Even if we are able to generate product sales, we may not become profitable. If we fail to become profitable or is unable to sustain profitability on a continuing basis, then we may be unable to continue our operations at planned levels and be forced to reduce or terminate our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On January 30, 2024, Legacy Tectonic entered into the Merger Agreement with AVROBIO and Merger Sub. Pursuant to the Merger Agreement, on June 20, 2024, Merger Sub merged with and into Legacy Tectonic, with Legacy Tectonic surviving as a wholly owned subsidiary of AVROBIO.</w:t>
      </w:r>
    </w:p>
    <w:p>
      <w:pPr>
        <w:spacing w:after="0" w:line="14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at the effective time, (a) each outstanding share of Legacy Tectonic common stock (including shares of Legacy Tectonic common stock issued upon conversion of its preferred stock and the shares issued pursuant to the Subscription Agreement and conversion of the SAFEs) was converted into the right to receive a number of shares of AVROBIO common stock equal to the exchange ratio; and (b) each then outstanding Legacy Tectonic stock option that was outstanding and unexercised immediately prior to the effective time was assumed by AVROBIO, subject to the exchange ratio.</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Immediately after the Merger, AVROBIO securityholders as of immediately prior to the Merger owned approximately 24.8% of the outstanding shares of capital stock of the Company on a diluted basis. Immediately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after the Merger, Legacy Tectonic securityholders owned approximately 38.5% of the outstanding shares of capital stock of the Company on a diluted basis. Investors participating in the Subscription Agreement and the SAFEs owned approximately 27.1% and 9.6% of the outstanding shares of capital stock of the Company, respectively, on a diluted basis.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Legacy Tectonic stockholders received approximately 10,956,614 shares of AVROBIO common stock in connection with the Merger, including 11,448 shares of AVROBIO common stock subject to vesting terms, based on the number of shares of Legacy Tectonic common stock outstanding immediately prior to the Merger, including Legacy Tectonic restricted stock, the number of shares of Legacy Tectonic common stock issued to investors participating in the Subscription Agreement and SAFEs, and Legacy Tectonic convertible preferred stock outstanding immediately prior to the Merger, which was converted into shares of Legacy Tectonic common stock on a one-for-one basis immediately prior to the closing of the Merger.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Concurrently with the closing of the Merger, on June 20, 2024, certain investors completed the purchase of shares of Legacy Tectonic common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pursuant to the Subscription Agreement at a price of approximately $12.40 per share, for an aggregate purchase price of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$96.6 million. The shares of Legacy Tectonic common stock that were issued pursuant to the Subscription Agreement were converted into 4,163,606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shares of the Company’s common stock upon the closing of the Merger based on the exchange ratio, pursuant to the Merger Agreement.</w:t>
      </w:r>
    </w:p>
    <w:p>
      <w:pPr>
        <w:spacing w:after="0" w:line="20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Following the closing of the Merger, Legacy Tectonic was considered the accounting acquirer for financial reporting purposes and we are accounting for the Merger as an in-substance reverse recapitalization of AVROBIO by Tectonic. See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included elsewhere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Uncertainty in the global economy presents significant risks to our business. We are subject to continuing risks and uncertainties in connection with the current macroeconomic environment, including rising interest rates, recent bank failures and geopolitical factors, such as tensions involving China and the United States, the war between Russia and Ukraine and the conflict in the Middle East and the responses thereto. While we are closely monitoring the impact of the current macroeconomic conditions on all aspects of its business, including the impacts on our participants in our clinical trials, employees, suppliers, vendors and collaboration partners, the ultimate extent of the impact on our business remains highly uncertain and will depend on future developments and factors that continue to evolve. Most of these developments and factors are outside our control and could exist for an extended period of time. We will continue to evaluate the nature and extent of the potential impacts to our business, results of operations, liquidity and capital resources.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not generated any revenue since our inception and we do not expect to generate any revenue from the sale of products in the foreseeable future, if at all. If our development efforts for our product candidates are successful and result in regulatory approval, or in collaboration or license agreements with third parties, we may generate revenue in the future from product sales or payments from collaboration or license agreements that we may enter into with third parties, or any combination thereof. We cannot predict if, when or to what extent we will generate revenue from the commercialization and sale of our product candidates. We may never succeed in obtaining regulatory approval for any of its product candidates.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60"/>
          </w:cols>
          <w:pgMar w:left="320" w:top="455" w:right="5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for our research activities, including our discovery efforts and the development of its programs and platform. These expenses include:</w:t>
      </w:r>
    </w:p>
    <w:p>
      <w:pPr>
        <w:spacing w:after="0" w:line="67" w:lineRule="exact"/>
        <w:rPr>
          <w:sz w:val="20"/>
          <w:szCs w:val="20"/>
          <w:color w:val="auto"/>
        </w:rPr>
      </w:pPr>
    </w:p>
    <w:p>
      <w:pPr>
        <w:ind w:left="1080" w:right="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share-based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and the preclinical and clinical development of our programs and our product candidates, including under agreements with third parties;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consumables and other research materials;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related to research and development activities, which include direct or allocated expenses for rent and maintenance of facilities, and utilities;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22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Costs for certain development activities are recognized based on our evaluation of the progress to completion of specific tasks using information and data provided to us by our vendors and third-party service providers. Nonrefundable advance payments for goods or services to be received in the future for use in research and development activities are recorded as prepaid expenses. Such amounts are recognized as an expense when the goods have been delivered or the services have been performed, or when it is no longer expected that the goods will be delivered or the services rendered. Upfront payments under license agreements are expensed upon receipt of the license, and annual maintenance fees under license agreements are expensed in the period in which they are incurred. Milestone payments under license or collaboration agreements are accrued, with a corresponding expense being recognized, in the period in which the milestone is determined to be probable of achievement and the related amount is reasonably estimable.</w:t>
      </w:r>
    </w:p>
    <w:p>
      <w:pPr>
        <w:spacing w:after="0" w:line="19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direct research and development expenses related to the development of our lead product candidate, TX45, as well as the nonclinical safety pharmacology and toxicology testing of our product candidates. Our external services expenses consist of the external costs and fees paid to consultants and other research laboratories in connection with our preclinical development and clinical development activities.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Costs that are deployed across multiple of our programs, including the HHT program and programs aimed at the discovery and development of potential therapies for fibrotic disease, and our platform technology and are not directly attributable to any single program are not allocated to any single program and, as such, are not separately classified. These costs include multi-program employee costs, cross-program payments made under third-party licensing agreements, costs of laboratory supplies and facilities expenses, including rent, depreciation and other indirect costs, the costs of our discovery efforts and projects are included in unallocated employee-related expenses, laboratory supplies and other expenses.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personnel-related costs, including share-based compensation, for our personnel in executive, legal, finance and accounting, human resources and other administrative functions. General and administrative expenses also include legal fees relating to patents and corporate matters, professional fees paid for accounting, auditing, consulting and tax service, insurance costs, travel expenses, office and information technology costs and facilities, depreciation and other expenses related to general and administrative activities, which include direct or allocated expenses for rent and maintenance of facilities and utilities.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the we are expected to incur significantly increased accounting, audit, legal, regulatory, compliance, director and officer insurance, and investor and public relations expenses associated with operating as a public company. We also expect to incur additional intellectual property-related expenses as we file patent applications to protect innovations arising from our research and development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Loss on Issuance of SAFEs and Change in Fair Value of SAFE Liabilities</w:t>
      </w:r>
    </w:p>
    <w:p>
      <w:pPr>
        <w:spacing w:after="0" w:line="119"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October and December 2023, Legacy Tectonic issued SAFEs for proceeds of $34.1 million. The SAFEs were recorded as liabilities in the consolidated balance sheet at their fair value on the issuance dates. Until redemption, the SAFEs were measured at a fair value on a recurring basis, with subsequent changes in fair value recorded in other income and expenses on the consolidated statement of operations and comprehensive loss. Legacy Tectonic recorded a loss of $2.1 million resulting from the remeasurement of the SAFEs to fair value from December 31, 2023 to March 31, 2024.</w:t>
      </w:r>
    </w:p>
    <w:p>
      <w:pPr>
        <w:spacing w:after="0" w:line="16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of the Merger, the principal balance of the SAFEs was automatically redeemed into 2,752,216 shares of Legacy Tectonic’s common stock at the conversion price of approximately $12.40 per share. At the closing of the Merger, shares of Legacy Tectonic common stock issued pursuant to the redemption of the SAFEs were converted into 1,470,839 shares of the Company’s common stock based on the exchange ratio, pursuant to the Merger Agreement.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primarily consists of interest earned on our invested cash balances, which consist of deposit accounts and a sweep account.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primarily consists of interest expense on finance lease liabilities.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(expense), net primarily consists of the difference between transactional currency and functional currency.</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losses incurred or for the research and development tax credits earned in each year by our operations in the United States, as we believe, based upon the weight of available evidence, that it is more likely than not that all of our net operating loss carryforwards and tax credit carryforwards will not be realized.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2024 and 2023:</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80" w:type="dxa"/>
            <w:vAlign w:val="bottom"/>
            <w:gridSpan w:val="7"/>
          </w:tcPr>
          <w:p>
            <w:pPr>
              <w:jc w:val="center"/>
              <w:ind w:right="38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40" w:type="dxa"/>
            <w:vAlign w:val="bottom"/>
            <w:gridSpan w:val="6"/>
          </w:tcPr>
          <w:p>
            <w:pPr>
              <w:jc w:val="center"/>
              <w:ind w:right="820"/>
              <w:spacing w:after="0"/>
              <w:rPr>
                <w:sz w:val="20"/>
                <w:szCs w:val="20"/>
                <w:color w:val="auto"/>
              </w:rPr>
            </w:pPr>
            <w:r>
              <w:rPr>
                <w:rFonts w:ascii="Times New Roman" w:cs="Times New Roman" w:eastAsia="Times New Roman" w:hAnsi="Times New Roman"/>
                <w:sz w:val="14"/>
                <w:szCs w:val="14"/>
                <w:color w:val="auto"/>
              </w:rPr>
              <w:t>March 31,</w:t>
            </w:r>
          </w:p>
        </w:tc>
        <w:tc>
          <w:tcPr>
            <w:tcW w:w="120" w:type="dxa"/>
            <w:vAlign w:val="bottom"/>
          </w:tcPr>
          <w:p>
            <w:pPr>
              <w:spacing w:after="0"/>
              <w:rPr>
                <w:sz w:val="14"/>
                <w:szCs w:val="14"/>
                <w:color w:val="auto"/>
              </w:rPr>
            </w:pPr>
          </w:p>
        </w:tc>
        <w:tc>
          <w:tcPr>
            <w:tcW w:w="104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color w:val="auto"/>
              </w:rPr>
              <w:t>Change</w:t>
            </w:r>
          </w:p>
        </w:tc>
        <w:tc>
          <w:tcPr>
            <w:tcW w:w="5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center"/>
              <w:ind w:right="350"/>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20" w:type="dxa"/>
            <w:vAlign w:val="bottom"/>
            <w:gridSpan w:val="4"/>
          </w:tcPr>
          <w:p>
            <w:pPr>
              <w:jc w:val="right"/>
              <w:ind w:right="406"/>
              <w:spacing w:after="0"/>
              <w:rPr>
                <w:sz w:val="20"/>
                <w:szCs w:val="20"/>
                <w:color w:val="auto"/>
              </w:rPr>
            </w:pPr>
            <w:r>
              <w:rPr>
                <w:rFonts w:ascii="Times New Roman" w:cs="Times New Roman" w:eastAsia="Times New Roman" w:hAnsi="Times New Roman"/>
                <w:sz w:val="18"/>
                <w:szCs w:val="18"/>
                <w:color w:val="auto"/>
              </w:rPr>
              <w:t>$ 10,818</w:t>
            </w:r>
          </w:p>
        </w:tc>
        <w:tc>
          <w:tcPr>
            <w:tcW w:w="9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$ 12,985</w:t>
            </w:r>
          </w:p>
        </w:tc>
        <w:tc>
          <w:tcPr>
            <w:tcW w:w="12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$(2,167)</w:t>
            </w:r>
          </w:p>
        </w:tc>
        <w:tc>
          <w:tcPr>
            <w:tcW w:w="28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20" w:type="dxa"/>
            <w:vAlign w:val="bottom"/>
            <w:gridSpan w:val="4"/>
            <w:shd w:val="clear" w:color="auto" w:fill="CCEEFF"/>
          </w:tcPr>
          <w:p>
            <w:pPr>
              <w:jc w:val="right"/>
              <w:ind w:right="406"/>
              <w:spacing w:after="0"/>
              <w:rPr>
                <w:sz w:val="20"/>
                <w:szCs w:val="20"/>
                <w:color w:val="auto"/>
              </w:rPr>
            </w:pPr>
            <w:r>
              <w:rPr>
                <w:rFonts w:ascii="Times New Roman" w:cs="Times New Roman" w:eastAsia="Times New Roman" w:hAnsi="Times New Roman"/>
                <w:sz w:val="18"/>
                <w:szCs w:val="18"/>
                <w:color w:val="auto"/>
              </w:rPr>
              <w:t>2,150</w:t>
            </w:r>
          </w:p>
        </w:tc>
        <w:tc>
          <w:tcPr>
            <w:tcW w:w="9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4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20" w:type="dxa"/>
            <w:vAlign w:val="bottom"/>
            <w:gridSpan w:val="4"/>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(12,968)</w:t>
            </w:r>
          </w:p>
        </w:tc>
        <w:tc>
          <w:tcPr>
            <w:tcW w:w="9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(14,531)</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1,563</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the SAFE liabilities</w:t>
            </w:r>
          </w:p>
        </w:tc>
        <w:tc>
          <w:tcPr>
            <w:tcW w:w="1620" w:type="dxa"/>
            <w:vAlign w:val="bottom"/>
            <w:gridSpan w:val="4"/>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(2,075)</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(2,075)</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20" w:type="dxa"/>
            <w:vAlign w:val="bottom"/>
            <w:gridSpan w:val="4"/>
          </w:tcPr>
          <w:p>
            <w:pPr>
              <w:jc w:val="right"/>
              <w:ind w:right="406"/>
              <w:spacing w:after="0"/>
              <w:rPr>
                <w:sz w:val="20"/>
                <w:szCs w:val="20"/>
                <w:color w:val="auto"/>
              </w:rPr>
            </w:pPr>
            <w:r>
              <w:rPr>
                <w:rFonts w:ascii="Times New Roman" w:cs="Times New Roman" w:eastAsia="Times New Roman" w:hAnsi="Times New Roman"/>
                <w:sz w:val="18"/>
                <w:szCs w:val="18"/>
                <w:color w:val="auto"/>
              </w:rPr>
              <w:t>256</w:t>
            </w:r>
          </w:p>
        </w:tc>
        <w:tc>
          <w:tcPr>
            <w:tcW w:w="9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128</w:t>
            </w:r>
          </w:p>
        </w:tc>
        <w:tc>
          <w:tcPr>
            <w:tcW w:w="28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20" w:type="dxa"/>
            <w:vAlign w:val="bottom"/>
            <w:gridSpan w:val="4"/>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480" w:type="dxa"/>
            <w:vAlign w:val="bottom"/>
          </w:tcPr>
          <w:p>
            <w:pPr>
              <w:spacing w:after="0"/>
              <w:rPr>
                <w:sz w:val="18"/>
                <w:szCs w:val="18"/>
                <w:color w:val="auto"/>
              </w:rPr>
            </w:pPr>
          </w:p>
        </w:tc>
        <w:tc>
          <w:tcPr>
            <w:tcW w:w="1140" w:type="dxa"/>
            <w:vAlign w:val="bottom"/>
            <w:gridSpan w:val="3"/>
          </w:tcPr>
          <w:p>
            <w:pPr>
              <w:jc w:val="right"/>
              <w:ind w:right="346"/>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tcPr>
          <w:p>
            <w:pPr>
              <w:spacing w:after="0"/>
              <w:rPr>
                <w:sz w:val="18"/>
                <w:szCs w:val="18"/>
                <w:color w:val="auto"/>
              </w:rPr>
            </w:pPr>
          </w:p>
        </w:tc>
        <w:tc>
          <w:tcPr>
            <w:tcW w:w="7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—  %</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4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46"/>
              <w:spacing w:after="0"/>
              <w:rPr>
                <w:sz w:val="20"/>
                <w:szCs w:val="20"/>
                <w:color w:val="auto"/>
              </w:rPr>
            </w:pPr>
            <w:r>
              <w:rPr>
                <w:rFonts w:ascii="Times New Roman" w:cs="Times New Roman" w:eastAsia="Times New Roman" w:hAnsi="Times New Roman"/>
                <w:sz w:val="18"/>
                <w:szCs w:val="18"/>
                <w:color w:val="auto"/>
              </w:rPr>
              <w:t>(2,253)</w:t>
            </w:r>
          </w:p>
        </w:tc>
        <w:tc>
          <w:tcPr>
            <w:tcW w:w="92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(2,339)</w:t>
            </w:r>
          </w:p>
        </w:tc>
        <w:tc>
          <w:tcPr>
            <w:tcW w:w="2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(2,720)</w:t>
            </w:r>
          </w:p>
        </w:tc>
        <w:tc>
          <w:tcPr>
            <w:tcW w:w="0" w:type="dxa"/>
            <w:vAlign w:val="bottom"/>
          </w:tcPr>
          <w:p>
            <w:pPr>
              <w:spacing w:after="0"/>
              <w:rPr>
                <w:sz w:val="1"/>
                <w:szCs w:val="1"/>
                <w:color w:val="auto"/>
              </w:rPr>
            </w:pPr>
          </w:p>
        </w:tc>
      </w:tr>
      <w:tr>
        <w:trPr>
          <w:trHeight w:val="223"/>
        </w:trPr>
        <w:tc>
          <w:tcPr>
            <w:tcW w:w="5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(15,221</w:t>
            </w:r>
          </w:p>
        </w:tc>
        <w:tc>
          <w:tcPr>
            <w:tcW w:w="480" w:type="dxa"/>
            <w:vAlign w:val="bottom"/>
          </w:tcPr>
          <w:p>
            <w:pPr>
              <w:jc w:val="right"/>
              <w:ind w:right="346"/>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(14,445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(776)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39"/>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color w:val="auto"/>
              </w:rPr>
              <w:t>Three Months Ended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Change</w:t>
            </w:r>
          </w:p>
        </w:tc>
        <w:tc>
          <w:tcPr>
            <w:tcW w:w="5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700" w:type="dxa"/>
            <w:vAlign w:val="bottom"/>
            <w:tcBorders>
              <w:top w:val="single" w:sz="8" w:color="auto"/>
            </w:tcBorders>
            <w:gridSpan w:val="2"/>
          </w:tcPr>
          <w:p>
            <w:pPr>
              <w:jc w:val="right"/>
              <w:ind w:right="186"/>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920" w:type="dxa"/>
            <w:vAlign w:val="bottom"/>
            <w:tcBorders>
              <w:top w:val="single" w:sz="8" w:color="auto"/>
            </w:tcBorders>
            <w:gridSpan w:val="3"/>
          </w:tcPr>
          <w:p>
            <w:pPr>
              <w:jc w:val="right"/>
              <w:ind w:right="81"/>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4"/>
          </w:tcPr>
          <w:p>
            <w:pPr>
              <w:jc w:val="center"/>
              <w:ind w:right="141"/>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TX45</w:t>
            </w:r>
          </w:p>
        </w:tc>
        <w:tc>
          <w:tcPr>
            <w:tcW w:w="1620" w:type="dxa"/>
            <w:vAlign w:val="bottom"/>
            <w:gridSpan w:val="4"/>
          </w:tcPr>
          <w:p>
            <w:pPr>
              <w:jc w:val="right"/>
              <w:ind w:right="26"/>
              <w:spacing w:after="0"/>
              <w:rPr>
                <w:sz w:val="20"/>
                <w:szCs w:val="20"/>
                <w:color w:val="auto"/>
              </w:rPr>
            </w:pPr>
            <w:r>
              <w:rPr>
                <w:rFonts w:ascii="Times New Roman" w:cs="Times New Roman" w:eastAsia="Times New Roman" w:hAnsi="Times New Roman"/>
                <w:sz w:val="18"/>
                <w:szCs w:val="18"/>
                <w:color w:val="auto"/>
              </w:rPr>
              <w:t>$ 5,710</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$ 8,655</w:t>
            </w:r>
          </w:p>
        </w:tc>
        <w:tc>
          <w:tcPr>
            <w:tcW w:w="11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(2,945)</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1620" w:type="dxa"/>
            <w:vAlign w:val="bottom"/>
            <w:gridSpan w:val="4"/>
          </w:tcPr>
          <w:p>
            <w:pPr>
              <w:jc w:val="right"/>
              <w:ind w:right="26"/>
              <w:spacing w:after="0"/>
              <w:rPr>
                <w:sz w:val="20"/>
                <w:szCs w:val="20"/>
                <w:color w:val="auto"/>
              </w:rPr>
            </w:pPr>
            <w:r>
              <w:rPr>
                <w:rFonts w:ascii="Times New Roman" w:cs="Times New Roman" w:eastAsia="Times New Roman" w:hAnsi="Times New Roman"/>
                <w:sz w:val="18"/>
                <w:szCs w:val="18"/>
                <w:color w:val="auto"/>
              </w:rPr>
              <w:t>3,203</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2,853</w:t>
            </w:r>
          </w:p>
        </w:tc>
        <w:tc>
          <w:tcPr>
            <w:tcW w:w="11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350</w:t>
            </w: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External services</w:t>
            </w:r>
          </w:p>
        </w:tc>
        <w:tc>
          <w:tcPr>
            <w:tcW w:w="1620" w:type="dxa"/>
            <w:vAlign w:val="bottom"/>
            <w:gridSpan w:val="4"/>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784</w:t>
            </w:r>
          </w:p>
        </w:tc>
        <w:tc>
          <w:tcPr>
            <w:tcW w:w="10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1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511</w:t>
            </w:r>
          </w:p>
        </w:tc>
        <w:tc>
          <w:tcPr>
            <w:tcW w:w="7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Facility, supplies and other</w:t>
            </w:r>
          </w:p>
        </w:tc>
        <w:tc>
          <w:tcPr>
            <w:tcW w:w="1620" w:type="dxa"/>
            <w:vAlign w:val="bottom"/>
            <w:gridSpan w:val="4"/>
          </w:tcPr>
          <w:p>
            <w:pPr>
              <w:jc w:val="right"/>
              <w:ind w:right="26"/>
              <w:spacing w:after="0"/>
              <w:rPr>
                <w:sz w:val="20"/>
                <w:szCs w:val="20"/>
                <w:color w:val="auto"/>
              </w:rPr>
            </w:pPr>
            <w:r>
              <w:rPr>
                <w:rFonts w:ascii="Times New Roman" w:cs="Times New Roman" w:eastAsia="Times New Roman" w:hAnsi="Times New Roman"/>
                <w:sz w:val="18"/>
                <w:szCs w:val="18"/>
                <w:color w:val="auto"/>
              </w:rPr>
              <w:t>1,121</w:t>
            </w:r>
          </w:p>
        </w:tc>
        <w:tc>
          <w:tcPr>
            <w:tcW w:w="3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1,204</w:t>
            </w:r>
          </w:p>
        </w:tc>
        <w:tc>
          <w:tcPr>
            <w:tcW w:w="11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5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20" w:type="dxa"/>
            <w:vAlign w:val="bottom"/>
            <w:gridSpan w:val="4"/>
            <w:shd w:val="clear" w:color="auto" w:fill="CCEEFF"/>
          </w:tcPr>
          <w:p>
            <w:pPr>
              <w:jc w:val="right"/>
              <w:ind w:right="26"/>
              <w:spacing w:after="0"/>
              <w:rPr>
                <w:sz w:val="20"/>
                <w:szCs w:val="20"/>
                <w:color w:val="auto"/>
              </w:rPr>
            </w:pPr>
            <w:r>
              <w:rPr>
                <w:rFonts w:ascii="Times New Roman" w:cs="Times New Roman" w:eastAsia="Times New Roman" w:hAnsi="Times New Roman"/>
                <w:sz w:val="18"/>
                <w:szCs w:val="18"/>
                <w:color w:val="auto"/>
              </w:rPr>
              <w:t>$10,818</w:t>
            </w:r>
          </w:p>
        </w:tc>
        <w:tc>
          <w:tcPr>
            <w:tcW w:w="3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12,985</w:t>
            </w:r>
          </w:p>
        </w:tc>
        <w:tc>
          <w:tcPr>
            <w:tcW w:w="116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(2,167)</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$10.8 million for the three months ended March 31, 2024, as compared to $13.0 million for the three months ended March 31, 2023. The decrease of $2.2 million was primarily due to a decrease of $2.9 million in direct research and development expenses which were specifically attributed to our lead product candidate, TX45. This decrease resulted from a reduction of $5.2 million in direct research and development expenses which were specifically attributed to the end of a development and manufacturing services contract term with a major customer, partially offset by an increase of $2.3 million in clinical trial CRO costs. The increase of $0.4 million in personnel related costs was primarily due to severance and related costs incurred as a result of a reduction in force that occurred during the three months ended March 31, 2024. The increase of $0.5 million in external services was primarily due to an increase in consulting and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professional services to support the ongoing development activities. The decrease of less than $0.1 million in facility, supplies and other expenses was primarily due to decreased travel costs and laboratory service and equipment purchases.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8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8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color w:val="auto"/>
              </w:rPr>
              <w:t>March 31,</w:t>
            </w:r>
          </w:p>
        </w:tc>
        <w:tc>
          <w:tcPr>
            <w:tcW w:w="90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Change</w:t>
            </w:r>
          </w:p>
        </w:tc>
        <w:tc>
          <w:tcPr>
            <w:tcW w:w="320" w:type="dxa"/>
            <w:vAlign w:val="bottom"/>
            <w:vMerge w:val="restart"/>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4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44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(including share-based compensation)</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$1,246</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6"/>
              </w:rPr>
              <w:t>$1,015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582</w:t>
            </w:r>
          </w:p>
        </w:tc>
        <w:tc>
          <w:tcPr>
            <w:tcW w:w="42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18"/>
                <w:szCs w:val="18"/>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207</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related and other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166</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2,150</w:t>
            </w:r>
          </w:p>
        </w:tc>
        <w:tc>
          <w:tcPr>
            <w:tcW w:w="20" w:type="dxa"/>
            <w:vAlign w:val="bottom"/>
            <w:vMerge w:val="continue"/>
          </w:tcPr>
          <w:p>
            <w:pPr>
              <w:spacing w:after="0"/>
              <w:rPr>
                <w:sz w:val="19"/>
                <w:szCs w:val="19"/>
                <w:color w:val="auto"/>
              </w:rPr>
            </w:pPr>
          </w:p>
        </w:tc>
        <w:tc>
          <w:tcPr>
            <w:tcW w:w="4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1,546</w:t>
            </w:r>
          </w:p>
        </w:tc>
        <w:tc>
          <w:tcPr>
            <w:tcW w:w="4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40" w:type="dxa"/>
            <w:vAlign w:val="bottom"/>
            <w:vMerge w:val="continue"/>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$2.2 million for the three months ended March 31, 2024 as compared to $1.5 million for the three months ended March 31, 2023. The increase of $0.6 million resulted from an increase of $0.2 million in personnel related costs and was primarily due to severance and costs incurred as a result of a reduction in force that occurred during the three months ended March 31, 2024. The increase of $0.2 million in professional and consultant fees was related to an increase in consulting and professional services fees to support Merger related activities during the three months ended March 31, 2024. The increase of $0.2 million in facility related costs and other expenses was due to increased office and insurance costs.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Change in Fair Value of SAFE Liabilities</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SAFE liabilities loss of $2.1 million resulted from the remeasurement of the SAFE liabilities to fair value from December 31, 2023 to March 31, 2024.</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Interest income increased by $0.1 million for the three months ended March 31, 2024 compared to the three months ended March 31, 2023 due to an increase in interest rates in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was consistent for the three months ended March 31, 2024 and 2023.</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11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Other expense increased by $0.4 million for the three months ended March 31, 2024 compared to the three months ended March 31, 2023 due to the reversal of an Australian research and development tax credit claim during the three months ended March 31,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expect to incur significant expenses and operating losses for the foreseeable future as we advance the preclinical and clinical development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58" w:lineRule="auto"/>
        <w:rPr>
          <w:sz w:val="20"/>
          <w:szCs w:val="20"/>
          <w:color w:val="auto"/>
        </w:rPr>
      </w:pPr>
      <w:r>
        <w:rPr>
          <w:rFonts w:ascii="Times New Roman" w:cs="Times New Roman" w:eastAsia="Times New Roman" w:hAnsi="Times New Roman"/>
          <w:sz w:val="18"/>
          <w:szCs w:val="18"/>
          <w:color w:val="auto"/>
        </w:rPr>
        <w:t>research programs and product candidates. We expect that our research and development and general and administrative costs will increase in connection with conducting additional preclinical studies and clinical trials for our current and future research programs and product candidates, contracting with CMOs to support preclinical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do not currently have any approved products and we have never generated any revenue from product sales. Historically, we have funded our operations primarily through proceeds from sales of Preferred Stock and common stock, proceeds from issuance of convertible promissory notes, and proceeds from issuance of SAFEs. From inception through March 31, 2024, we had received $114.7 million in capital contributions from sales of Preferred Stock and convertible promissory notes and proceeds from issuance of SAFEs. As of March 31, 2024, we had $18.7 million in cash and cash equivalents and an accumulated deficit of $105.8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three months ended March 31, 2024 and 2023:</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Three Months Ended</w:t>
            </w:r>
          </w:p>
        </w:tc>
      </w:tr>
      <w:tr>
        <w:trPr>
          <w:trHeight w:val="171"/>
        </w:trPr>
        <w:tc>
          <w:tcPr>
            <w:tcW w:w="6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March 31,</w:t>
            </w: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77"/>
              <w:spacing w:after="0" w:line="142" w:lineRule="exact"/>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spacing w:after="0"/>
              <w:rPr>
                <w:sz w:val="12"/>
                <w:szCs w:val="12"/>
                <w:color w:val="auto"/>
              </w:rPr>
            </w:pPr>
          </w:p>
        </w:tc>
        <w:tc>
          <w:tcPr>
            <w:tcW w:w="7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(9,273)</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(668)</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(76)</w:t>
            </w:r>
          </w:p>
        </w:tc>
        <w:tc>
          <w:tcPr>
            <w:tcW w:w="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6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(10,021)</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(11,094)</w:t>
            </w:r>
          </w:p>
        </w:tc>
      </w:tr>
      <w:tr>
        <w:trPr>
          <w:trHeight w:val="20"/>
        </w:trPr>
        <w:tc>
          <w:tcPr>
            <w:tcW w:w="6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operating activities used $9.3 million of cash, primarily resulting from a net loss of $15.2 million, offset by changes in our operating assets and liabilities of $2.9 million and non-cash charges of $3.1 million. Non-cash charges primarily consisted of $2.1 million change in fair value of the SAFE liabilities, $0.4 million in depreciation and amortization expense, $0.3 million in stock-based compensation expense, and $0.3 million in non-cash lease expense. Net cash provided by changes in our operating assets and liabilities consisted primarily of a $1.5 million increase in accounts payable, a $1.4 million increase in accrued expenses and other current liabilities, and a $0.3 million decrease in prepaid expenses and other current assets, partially offset by a $0.3 million decrease in operating lease liabilities. The increase in accrued expenses and other current liabilities and accounts payable was primarily due to the timing of vendor and research partner payments and invoicing. The decrease in prepaid and other current assets was due to a reassessment of the tax benefit amount related to Australia. The decrease in operating lease liabilities was primarily due to the lease payments made during the three months ended March 31, 2024.</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months ended March 31, 2023, operating activities used $10.8 million of cash, primarily resulting from a net loss of</w:t>
      </w:r>
    </w:p>
    <w:p>
      <w:pPr>
        <w:spacing w:after="0" w:line="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$14.4 million, offset by non-cash charges of $1.0 million and changes in our operating assets and liabilities of $2.7 million. Non-cash charges primarily consisted of $0.4 million in depreciation and amortization expense, $0.3 million in stock-based compensation expense, and $0.3 million in non-cash lease expense. Net cash provided by changes in our operating assets and liabilities consisted primarily</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00"/>
          </w:cols>
          <w:pgMar w:left="320" w:top="455" w:right="4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a $2.3 million increase in accrued expenses and other current liabilities and a $1.0 million increase in accounts payable, partially offset by a</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$0.3 million increase in prepaid expenses and other current assets and a $0.3 million decrease in operating lease liabilities. The increase in accrued expenses and other current liabilities and increase in accounts payable were primarily due to the timing of vendor and research partner payments and invoicing. The increase in prepaid expenses and other current assets is due to prepayments of material costs and insurance and license fees. The decrease in operating lease liabilities was primarily due to the lease payments made during the three months ended March 31, 2023.</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and 2023, net cash used in investing activities was less than $0.1 million and $0.1 million, respectively. The change in net cash used in investing activities during the three months ended March 31, 2024 and 2023 was due to purchases of property, equipment, and improvements.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and 2023, net cash used in financing activities was $0.7 million and $0.1 million, respectively. Net cash used in financing activities during the three months ended March 31, 2024 was primarily due to our payments of deferred offering costs of</w:t>
      </w: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$0.6 million and $0.1 million of repayment of finance lease obligations. Net cash used in financing activities during the three months ended March 31, 2023 was primarily due to $0.1 million of repayment of finance lease obligations.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or initiate clinical trials of, and seek marketing approval for, our product candidates including our lead product candidate TX45. In addition, if we obtain marketing approval for TX45 or any of our other product candidates, we expect to incur significant commercialization expenses related to program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its continuing operations. If we are unable to raise capital when needed or on attractive terms, we would be forced to delay, reduce or eliminate our research and development programs or future commercialization efforts.</w:t>
      </w:r>
    </w:p>
    <w:p>
      <w:pPr>
        <w:spacing w:after="0" w:line="18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expect our existing cash and cash equivalents, together with the net proceeds from the Merger and the sale of securities pursuant to the Subscription Agreement, will enable us to fund our operating expenses and capital expenditure requirements for at least the next twelve months. Our future capital requirements will depend on many factors, including:</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product discovery,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our research and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the license agreements and any other collaboration agreements we enter into;</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collaboration agreements, if any;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commercial production;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publicly traded company; and</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product candidates;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macroeconomic environment, including inflation and interest rates.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its business objectives. Adequate additional financing may not be available to us on acceptable terms, or at all.</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Debt financing, if available, may involve agreements that include covenants limiting or restricting our ability to take specific actions, such as incurring additional debt, making capital expenditures or declaring dividends.</w:t>
      </w:r>
    </w:p>
    <w:p>
      <w:pPr>
        <w:spacing w:after="0" w:line="18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itself.</w:t>
      </w:r>
    </w:p>
    <w:p>
      <w:pPr>
        <w:spacing w:after="0" w:line="183"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We expect to incur additional costs associated with operating as a public company. In addition, we anticipate that we will need substantial additional funding in connection with our continuing operations. Our projections of operating capital requirements are based on our current operating plan, which includes several assumptions that may prove to be incorrect and we may use all of our available capital resources sooner than we expect.</w:t>
      </w:r>
    </w:p>
    <w:p>
      <w:pPr>
        <w:spacing w:after="0" w:line="158"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currently have no ongoing material financing commitments, such as lines of credit or guarantees, that are expected to affect our liquidity over the next five years, other than our lease obligations.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Legacy Tectonic evaluated certain adverse conditions and events that raised substantial doubt about its ability to continue as a going concern within twelve months after the date that the accompanying unaudited condensed consolidated financial statements were issued. Legacy Tectonic funded its operations primarily with proceeds from the sale of common stock, preferred stock, issuance of convertible promissory notes, issuance of SAFEs. Legacy Tectonic also incurred significant recurring losses, including net losses of $15.2 million and $14.4 million for the three months ended March 31, 2024 and 2023, respectively. In addition, Legacy Tectonic used $9.3 million and $10.8 million in operations for the three months ended March 31, 2024 and 2023, respectively. As of March 31, 2024, Legacy Tectonic had an accumulated deficit of $105.8 million. In June 2024, the Merger was completed and we received $77.3 million of cash from AVROBIO and $96.6 million from the issuance of common stock pursuant to the Subscription Agreement. Our management believes that our current cash on hand, along with the cash received in connection with the closing of the Merger, is sufficient to fund our planned operations for at least one year from the date of issuance of the unaudited condensed consolidated financial statements included elsewhere in this prospectus.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&amp; Commitments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our lease commitments as of March 31, 2024:</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Less than 1 Year</w:t>
            </w: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1 to 3 Years</w:t>
            </w:r>
          </w:p>
        </w:tc>
        <w:tc>
          <w:tcPr>
            <w:tcW w:w="420" w:type="dxa"/>
            <w:vAlign w:val="bottom"/>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3 to 5 Years</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More than</w:t>
            </w:r>
          </w:p>
        </w:tc>
        <w:tc>
          <w:tcPr>
            <w:tcW w:w="520" w:type="dxa"/>
            <w:vAlign w:val="bottom"/>
          </w:tcPr>
          <w:p>
            <w:pPr>
              <w:spacing w:after="0"/>
              <w:rPr>
                <w:sz w:val="13"/>
                <w:szCs w:val="13"/>
                <w:color w:val="auto"/>
              </w:rPr>
            </w:pP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5 Years</w:t>
            </w:r>
          </w:p>
        </w:tc>
        <w:tc>
          <w:tcPr>
            <w:tcW w:w="52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4"/>
          </w:tcPr>
          <w:p>
            <w:pPr>
              <w:ind w:left="80"/>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420" w:type="dxa"/>
            <w:vAlign w:val="bottom"/>
            <w:gridSpan w:val="2"/>
            <w:shd w:val="clear" w:color="auto" w:fill="CCEEFF"/>
          </w:tcPr>
          <w:p>
            <w:pPr>
              <w:ind w:left="2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$1,393</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1,154</w:t>
            </w: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1,712</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2,627</w:t>
            </w:r>
          </w:p>
        </w:tc>
        <w:tc>
          <w:tcPr>
            <w:tcW w:w="6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July 2020, Legacy Tectonic entered into an option agreement with the President and Fellows of Harvard College (“Harvard”) and obtained an option to negotiate a license under Harvard’s interest in certain patent rights (the “Patent Rights”) in exchange for an option fee in the low five digits. In October 2021, Legacy Tectonic exercised the option and in February 2022 it entered into a license agreement with Harvard (the “Harvard License Agreement”) to conduct research and development activities using certain materials, technology and patent rights owned by Harvard, with the intent to develop, obtain regulatory approval for, and commercialize products. 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As partial consideration for the Harvard License Agreement, Legacy Tectonic agreed to pay Harvard a one-time license fee of $170,000, with such</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fee to be paid in equal installments over three years. In July 2022, Legacy Tectonic paid Harvard $56,666 and in July 2023 Tectonic paid Harvard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$56,667. The final installment of $56,667 under the Harvard License Agreement is due in July 2024. As partial consideration for the Harvard License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Legacy Tectonic entered into a subscription agreement with Harvard in July 2022, pursuant to which Harvard was granted 227,486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of the Company with a fair market value in the mid six digits.</w:t>
      </w:r>
    </w:p>
    <w:p>
      <w:pPr>
        <w:spacing w:after="0" w:line="20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We are required to pay a one-time milestone payment of $100,000 for each discovered product granted FDA marketing authorization as well as for the first licensed product or know-how enabled product to reach certain clinical developmental milestones, up to $8.5 million and for the first licensed product or know-how enabled product to reach certain commercial milestones, up to $2.0 million. We are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we receive in connection with a sublicense, strategic partnership or know-how enabled license. With respect to any net sales of licensed products and know-how enabled products sold in certain countries outside of the United States and Europe, we and Harvard will negotiate a royalty percentage on a country-by-country basis.</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a more detailed description of this agreement, see Note 6 to the interim condensed consolidated Tectonic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November 29, 2021, Legacy Tectonic executed a license agreement with Alloy Therapeutics, LLC (“ATX”), whereby Legacy Tectonic would use ATX technology for the purpose of preclinical development, clinical development and commercialization of potential product candidates, for an initial period of three years, with the option to extend the term for an additional two years. We will pay ATX a non-refundable and non-creditable annual fee of $0.1 million on each anniversary of the agreement. On November 7, 2022, Legacy Tectonic and ATX amended the agreement and extended the period of payment for the first fee due in May 2023. Additionally, we will be responsible for annual partnering fees if we decide to pursue clinical development of a product candidate using the ATX technology. The partnering fees may be creditable against future milestone development fees paid by us. We will also be responsible to pay ATX development milestone payments for the movement of certain product candidates thought clinical trials, which range from the low six digits to the low seven digits upon completion of each milestone and amount to $4.8 million in total milestone payments under the license agreement. Provided we are able to commercialize a product using ATX technology, we will be responsible to pay ATX commercial payments in the low seven digits per year during the first six years of commercial sales, amounting to an amount in the high eight digits in total commercial payments under the license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months ended March 31, 2024 and 2023, Legacy Tectonic paid $0.1 million and $0 to ATX,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May 1, 2023, Legacy Tectonic entered into a discovery agreement with Adimab, LLC (“Adimab”), an antibody discovery company, whereby we and Adimab are collaborating on human antibody discovery in accordance with an agreed upon research program. Legacy Tectonic paid an upfront technology access fee totaling $20,000 upon execution of the agreement during the year ended December 31, 2023. We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the option, with a non-creditable, non-refundable option exercise fee of $0.5 million, to obtain the licenses and assignments for information discovered during the research program</w:t>
      </w:r>
    </w:p>
    <w:p>
      <w:pPr>
        <w:spacing w:after="0" w:line="1" w:lineRule="exact"/>
        <w:rPr>
          <w:sz w:val="20"/>
          <w:szCs w:val="20"/>
          <w:color w:val="auto"/>
        </w:rPr>
      </w:pPr>
    </w:p>
    <w:p>
      <w:pPr>
        <w:ind w:left="380" w:hanging="264"/>
        <w:spacing w:after="0"/>
        <w:tabs>
          <w:tab w:leader="none" w:pos="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milestone payments for the movement of certain product candidates thought clinical trials, which range in the low seven digits and</w:t>
      </w:r>
    </w:p>
    <w:p>
      <w:pPr>
        <w:spacing w:after="0" w:line="9" w:lineRule="exact"/>
        <w:rPr>
          <w:rFonts w:ascii="Times New Roman" w:cs="Times New Roman" w:eastAsia="Times New Roman" w:hAnsi="Times New Roman"/>
          <w:sz w:val="18"/>
          <w:szCs w:val="18"/>
          <w:color w:val="auto"/>
        </w:rPr>
      </w:pPr>
    </w:p>
    <w:p>
      <w:pPr>
        <w:jc w:val="both"/>
        <w:ind w:left="120" w:right="240" w:hanging="4"/>
        <w:spacing w:after="0" w:line="255" w:lineRule="auto"/>
        <w:tabs>
          <w:tab w:leader="none" w:pos="3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based on the annual net sales that we generate from products that utilize Adimab technology. We have the right to terminate the agreement if certain criteria are met. During the three months ended March 31, 2024 and 2023, Legacy Tectonic paid $0.1 million and $0 to Adimab, respectively.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its financial condition and results of operations is based on Legacy Tectonic’s interim condensed consolidated financial statements, which have been prepared in accordance with generally accepted accounting principles in the United States (“GAAP”). The preparation of these interim condensed consolidated financial statements requires us to make estimates and assumptions that affect the reported amounts of assets and liabilities, the disclosures of contingent assets and liabilities at the date of the interim condensed consolidated financial statements and the reported amounts of expenses during the reporting periods. We base our estimates on historical experience, known trends and events, and various other assumptions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that we believe are reasonable under the circumstances, the results of which form the basis for making judgments about the carrying values of assets and liabilities recorded expenses that are not readily apparent from other sources. We evaluate our estimates and assumptions on an ongoing basis. Actual results may differ from these estimates.</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greater detail in Note 2 to our audited annual consolidated financial statements, we believe that the following accounting policies are those most critical to the judgements and estimates used in the preparation of our interim condensed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Expenses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interim condensed consolidated financial statements, we are required to estimate our prepaid and accrued research and development expenses. This process involves estimating the level of service performed and the associated cost incurred for the services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prepaid and accrued research and development expenses as of each balance sheet date in the interim condensed consolidated financial statements based on facts and circumstances known to us at that time, which includes corroboration of these estimates with the service providers. Estimated research and development expenses include those related to fees paid to vendors in connection with clinical, discovery and preclinical development activities and any research organizations in connection with clinical and preclinical studies and testing. Although we do not expect our estimates to be materially different from amounts actually incurred, our understanding of the status and timing of services performed relative to the actual status and timing of services performed may vary and may result in changes in estimates reported in the current period. To date, there have not been any material adjustments to our prior estimates of prepaid and accrued research and development expenses.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Valuation of SAFE Liabilities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account for the SAFEs as liabilities at fair value and adjusts the liabilities to fair value at each period end date until a triggering event occurs that results in the settlement of the liabilities. Triggering events include an equity financing, public listing transaction, change of control and dissolution. Changes in the liabilities’ fair values are recognized in the Company’s statement of operations and comprehensive loss in change in fair value of SAFE liabilities. The fair value of the SAFEs has been estimated using probability-weighted scenario analyses and discount rates derived by application of the build-up method to reflect the cost of equity.</w:t>
      </w:r>
    </w:p>
    <w:p>
      <w:pPr>
        <w:spacing w:after="0" w:line="18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valuations of the SAFE liabilities as of March 31, 2024 and December 31, 2023 were determined based on a probability-weighted scenario analysis that assumed the probabilities of the occurrence of an equity financing, public listing transaction and dissolution to be 10.0%, 87.5% and 2.5% respectively. The estimated time to redemption used in the March 31, 2024 valuation was two months for an equity financing and dissolution and one month for a public listing transaction. The estimated time to redemption used in the December 31, 2023 valuation was five months for an equity financing and dissolution and four months for a public listing transaction. The valuations used a discount rate of 30.2% to approximate the cost of equity, which was derived from application of a build-up method that incorporated the risk-free rate at the valuation date, and adjustments to reflect market risk, a small stock premium, and a selected company-specific risk premium.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measure stock options granted to employees and non-employees based on their fair value on the date of the grant using the Black- Scholes-Merton (“BSM”) option pricing model. Compensation expense for those awards is recognized over the requisite service period, which is generally the vesting period of the respective award for employees. Compensation expense for awards to non-employee with service-based vesting conditions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is recognized in the same manner as if Tectonic had paid cash in exchange for the goods or services, which is generally the over the vesting period of the award. We use the straight-line method to recognize the expense of awards with service-based vesting conditions. We account for forfeitures of stock options as they occur.</w:t>
      </w:r>
    </w:p>
    <w:p>
      <w:pPr>
        <w:spacing w:after="0" w:line="176"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BSM requires the use of assumptions to determine the fair value of the stock options. The determination of fair value of our common stock is described below. Other assumptions used in the BSM, the volatility of our common stock, the expected term of our common stock, the risk-free interest rate for a period that approximates the expected term of our common stock and our expected dividend yield, are determined by our management.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Determination of Fair Value of Common Stock</w:t>
      </w:r>
    </w:p>
    <w:p>
      <w:pPr>
        <w:spacing w:after="0" w:line="11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As there was no public market for Legacy Tectonic common stock prior to the closing of the Merger, the estimated fair value of Legacy Tectonic common stock was historically determined by the Legacy Tectonic Board as of the date of grant of each stock options, with input from management, considering its most recently available third-party valuations of its common stock and the Legacy Tectonic Board’s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 Company Equity Securities Issued as Compensation and were prepared using the option pricing model (“OPM”). OPM uses option theory to value the various classes of Legacy Tectonic’s securities in light of their respective claims to the enterprise value. Total shareholders’ deficit value is allocated to the various share classes based upon their respective claims on a series of call options with strike prices at various value levels depending upon the rights and preferences of each class. A BSM is typically employed in this analysis, with an option term assumption that is consistent with our expected time to a liquidity event and a volatility assumption based on the estimated stock price volatility of a peer group of comparable public companies over a similar term. In addition to considering the results of these third-party valuations, the Legacy Tectonic Board considered various objective and subjective factors to determine the fair value of Legacy Tectonic’s common stock as of each grant date.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assumptions underlying these valuations represented our management’s best estimates, which involved inherent uncertainties and the application of our management’s judgment. As a result, if we had used significantly different assumptions or estimates, our share-based compensation expense could have been materially different. Now that the Merger is completed and there is a public trading market for our common stock, it is not necessary for the Board to estimate the fair value of our common stock in connection with accounting for granted stock options or other such awards we may grant, as the fair value of our common stock and stock options will be determined based on the quoted market price of our common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interim condensed consolidated financial statements included elsewhere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primary exposure to market risk is to market risk related to interest rate sensitivity, which is affected by changes in the general level of U.S. interest rates. As of March 31, 2024, we had cash and cash equivalents of $18.7 million, which consisted of cash and money market funds. As of March 31, 2024, we had a finance lease liability and an operating lease liability of $1.2 million and $2.7 million, respectively. In October 2023 and December 2023, we issued SAFEs to certain of our investors, and we received proceeds of $10.1 million from</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October issuance and $24.0 million from the December issuance. Interest income and expenses are sensitive to changes in the general level of interest rates. However, due to the nature of these investments, an immediate 10% change in market interest rates would not have a material effect on the fair market value of our investment portfolio.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On June 20, 2024, we completed the previously announced business combination with Legacy Tectonic in accordance with the terms of the Merger Agreement, pursuant to which, among other matters, Merger Sub merged with and into Legacy Tectonic, with Legacy Tectonic surviving as our wholly owned subsidiary (such business combination, the Merger). In connection with the completion of the Merger, we changed our name from “AVROBIO, Inc.” to “Tectonic Therapeutic, Inc.,” and our business became primarily the business conducted by Legacy Tectonic. We are now a clinical stage biotechnology company focused on developing novel GPCR-targeted biologics to effectively and safely treat patients with serious medical conditions where there are currently limited or no medical options. The Merger is intended to qualify for federal income tax purposes as a tax-free reorganization under the provisions of Section 368(a) of the Internal Revenue Code of 1986, as amended, or the Code.</w:t>
      </w:r>
    </w:p>
    <w:p>
      <w:pPr>
        <w:spacing w:after="0" w:line="183"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Business Section, the words “Company,” “we,” “our,” “us” and “Tectonic” refer, collectively to Tectonic Therapeutic, Inc. and its consolidated subsidiaries following completion of the Merger.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140" w:firstLine="440"/>
        <w:spacing w:after="0" w:line="233" w:lineRule="auto"/>
        <w:rPr>
          <w:sz w:val="20"/>
          <w:szCs w:val="20"/>
          <w:color w:val="auto"/>
        </w:rPr>
      </w:pPr>
      <w:r>
        <w:rPr>
          <w:rFonts w:ascii="Times New Roman" w:cs="Times New Roman" w:eastAsia="Times New Roman" w:hAnsi="Times New Roman"/>
          <w:sz w:val="18"/>
          <w:szCs w:val="18"/>
          <w:color w:val="auto"/>
        </w:rPr>
        <w:t>We are a biotechnology company focused on the discovery and development of therapeutic proteins and antibodies that modulate the activity of GPCRs. The discovery of biologics that can modulate GPCRs has historically been quite challenging. We have developed a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aim of addressing these challenges to enable the discovery and development of GPCR-targeted biologic medicines that can modify the course of disease. We focus on areas of significant unmet medical need, often where therapeutic options are poor or nonexistent, as these are areas where new medicines have the potential to improve patient quality of life or extend duration of life.</w:t>
      </w:r>
    </w:p>
    <w:p>
      <w:pPr>
        <w:spacing w:after="0" w:line="20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GPCRs are receptor molecules found on the surface of cells that act as sensors for various extracellular stimuli to enable communication between cells and their environment. These molecules regulate diverse aspects of human biology including blood pressure, glucose metabolism, transmission between neurons and immune surveillance. There are over 800 human genes encoding GPCRs, underscoring the extent to which nature has relied on this molecular system for physiological control. The breadth of effects controlled by GPCRs is best illustrated by the fact that greater than 30% of all approved drugs address targets in this class. The vast majority of these drugs, however, are small molecules, and their targets have been largely confined to a few GPCR subfamilies, many of which have a natural ligand that is also a small molecule. We believe there are many situations where biologics could present advantages over small molecules for this class of targets. For instance, when targeting a single member of a highly related family of GPCRs, the selectivity profile achievable with an antibody may be preferable to that of a small molecule to optimize therapeutic efficacy and safety for the patient. Conversely, when multi-modal action is needed to achieve a desired physiological effect, proteins engineered for bispecific function allow for dual target engagement, unlike small molecules that are generally optimized for action on a single target. We are focused on developing biologics to address GPCRs with the goal of capturing such opportunities.</w:t>
      </w:r>
    </w:p>
    <w:p>
      <w:pPr>
        <w:spacing w:after="0" w:line="192"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It has been historically difficult, however, to discover therapeutic proteins and antibodies that bind to and modulate the activity of GPCRs because of the low endogenous level of expression of many GPCRs, complex biochemistry and their inherent instability when removed from their natural environment, the cell membrane. To unlock the potential for biologic therapeutics to broaden the clinical utility of GPCRs, we use our proprietary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platform in an attempt to overcome the known challenges of GPCR-targeted drug discovery. The initial platform components, first generation yeast library design and initial yeast selection protocols, were developed in Andrew Kruse’s laboratory at Harvard Medical School. However, over the last few years we have made many improvements and modifications to all aspect of the platform including second and third generation library designs, optimized GPCR engineering strategies and yeast selection protocols better suited to GPCR antibody discovery. These modifications have resulted in selection campaigns that have a higher</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30" w:lineRule="auto"/>
        <w:rPr>
          <w:sz w:val="20"/>
          <w:szCs w:val="20"/>
          <w:color w:val="auto"/>
        </w:rPr>
      </w:pPr>
      <w:r>
        <w:rPr>
          <w:rFonts w:ascii="Times New Roman" w:cs="Times New Roman" w:eastAsia="Times New Roman" w:hAnsi="Times New Roman"/>
          <w:sz w:val="18"/>
          <w:szCs w:val="18"/>
          <w:color w:val="auto"/>
        </w:rPr>
        <w:t>hit rate with molecules that have higher affinity and potency compared to hits identified from initial antibody selection campaigns. The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includes components aimed at optimizing the expression, purification, and stabilization of GPCRs and pairs these advances with our protein engineering and structural biology capabilities. While the current libraries, receptor engineering and selection strategies are producing GPCR-targeted antibodies, we continue to evolve and modify aspects of the platform, which we believe will lead to even better results.</w:t>
      </w:r>
    </w:p>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key information about our development programs and other pipeline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348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21208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lead asset, TX000045 (hereafter called TX45), is an Fc-relaxin fusion molecule that activates the RXFP1 receptor, the GPCR target of the hormone, relaxin. Relaxin is an endogenous protein, expressed at low levels in both men and women. In normal human physiology, relaxin is upregulated during pregnancy where it exerts vasodilatory effects, reduces systemic and pulmonary vascular resistance and increases cardiac output to accommodate the increased demand for oxygen and nutrients from the developing fetus. Relaxin also exerts anti-fibrotic effects on pelvic ligaments to facilitate delivery of the baby. It has long been hypothesized that these unique dual aspects of relaxin biology may offer therapeutic potential in the treatment of cardiovascular disease. Unfortunately, the development of a viable therapeutic has been challenging, primarily because of relaxin’s very short half-life.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TX45’s pharmacological profile, the direct result of applying our protein engineering capabilities, has the potential to overcome the limitations that have impeded previous attempts to develop relaxin as a therapeutic protein. We have identified Group 2 Pulmonary Hypertension (“PH”) in the setting of Heart Failure with Preserved Ejection Fraction (“HFpEF”) referred to as Group 2 PH / HFpEF hereafter, as the initial disease in which to interrogate the therapeutic potential of relaxin. We hypothesize that in this setting, treatment with relaxin could improve hemodynamics through effects on pulmonary and systemic vasodilation, cardiac diastolic dysfunction and potential remodeling in both the pulmonary vessels and the heart which could translate into a clinically meaningful improvement in exercise capacity in these patients. Clinical trials are planned to confirm this hypothesis. Despite this belief, our business carries substantial risks, including our limited experience in therapeutic discovery and development, and the risk that the platform may never result in the regulatory approval of a product candidate. See “</w:t>
      </w:r>
      <w:r>
        <w:rPr>
          <w:rFonts w:ascii="Times New Roman" w:cs="Times New Roman" w:eastAsia="Times New Roman" w:hAnsi="Times New Roman"/>
          <w:sz w:val="18"/>
          <w:szCs w:val="18"/>
          <w:i w:val="1"/>
          <w:iCs w:val="1"/>
          <w:color w:val="auto"/>
        </w:rPr>
        <w:t>Risk Factors – Risks Related to the Discovery,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Regulatory Approval of Our Product Candidates – We have limited experience in therapeutic discovery and development and our GEODe</w:t>
      </w:r>
      <w:r>
        <w:rPr>
          <w:rFonts w:ascii="Times New Roman" w:cs="Times New Roman" w:eastAsia="Times New Roman" w:hAnsi="Times New Roman"/>
          <w:sz w:val="26"/>
          <w:szCs w:val="26"/>
          <w:i w:val="1"/>
          <w:iCs w:val="1"/>
          <w:color w:val="auto"/>
          <w:vertAlign w:val="superscript"/>
        </w:rPr>
        <w:t>™</w:t>
      </w:r>
      <w:r>
        <w:rPr>
          <w:rFonts w:ascii="Times New Roman" w:cs="Times New Roman" w:eastAsia="Times New Roman" w:hAnsi="Times New Roman"/>
          <w:sz w:val="18"/>
          <w:szCs w:val="18"/>
          <w:i w:val="1"/>
          <w:iCs w:val="1"/>
          <w:color w:val="auto"/>
        </w:rPr>
        <w:t xml:space="preserve"> platform may never result in the regulatory approval of a product candidate.</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Group 2 PH is a subtype of PH which develops secondary to left heart disease (“LHD”). This is a common, chronic, life-threatening condition of complex disease causes, or etiology, for which there are presently no FDA-approved medications. Group 2 PH / HFpEF is characterized by declining cardiac function, fibrotic tissue remodeling in the heart, and in some patients, fibrotic remodeling in the pulmonary vasculature as well. We have elected to prioritize development of TX45 in Group 2 PH / HFpEF because of the high unmet medical need in this population and because of the specific physiological actions of relaxin described above that suggest that it could address the key pathophysiology of the disease which involves both impairment of left ventricular function and high pressures in the pulmonary arteries, and in some patients, high resistance in the pulmonary vasculature. There are no FDA approved therapies in Group 2 PH. Furthermore, prior clinical data in patients with acute and chronic heart failure treated with a continuous infusion of a short half-life relaxin is supportive of the potential utility of relaxin administration in these patients. Clinical trials are planned to evaluate the hypothesis that relaxin could provide efficacy in patients with Group 2 PH / HFpEF. Beyond Group 2 PH / HFpEF, we believe there are additional areas where TX45 could potentially provide benefit to patients with diseases that result in the chronic deterioration of cardiac, lung and/or kidney function due to vasoconstriction and fibrotic remodeling.</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July 6, 2024, we have completed all cohorts of our Phase 1a study, and TX45 has been generally well tolerated. Modeling of data available as of mid-January 2024 from these cohorts suggests that a single 1-2 mL injection of TX45 given once monthly (corresponding to a 150 mg and/or 300 mg dose) could be the target dose regimen. Decisions on dose and dosing frequency for the Phase 2 study will be based on a more complete Phase 1a dataset which is expected to be available in the third quarter of 2024.</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second program is aimed at the discovery and development of a GPCR targeting biotherapeutic as a potential treatment for HHT, the second-most common genetic bleeding disorder. In HHT, abnormal blood vessel formations result in telangiectasias and arterio-venous malformations or “AVMs.” These abnormal vessels are prone to spontaneous and severe bleeding that can be life-threatening. There are no currently approved therapies to treat HHT.</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HHT patients, mutations have been identified in BMP9, BMP10, Endoglin, ALK1 and SMAD4 proteins, all of which are members of a common signaling pathway. Preclinically, knock-out or inhibition of pathway members leads to increased expression of factors that drive angiogenesis and abnormal blood vessel formation that phenocopy the clinical situation. The planned GPCR target for our HHT program is a receptor for an angiogenic factor known to be upregulated in HHT animal models. By blocking the signaling of this receptor, we anticipate the potential for decreased bleeding resulting from the abnormal angiogenesis seen in HHT.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third program is aimed at the discovery and development of potential therapies for fibrotic diseases and employs a bi-specific format for the construction of a molecule with a differentiated mechanism of action. The strategy leverages two targets, one with previous human proof of concept and one novel target. Both targets are expressed on overlapping cell types with complementary and nonoverlapping modes of action that when inhibited simultaneously could enhance the therapeutic potential over inhibition of either target on its own.</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have strategically prioritized the selection of development indications for product candidates in our pipeline that we believe will offer an efficient path to Phase 2 clinical proof of concept, with outcomes measurable with 50-200 patients per indication, and which require treatment over a period of three-six months. Over the next three years, we anticipate that several significant milestones could be achieved for our lead asset TX45, including completion of the ongoing Phase 1a dose escalation trial in the third quarter of 2024, proof of concept hemodynamic data in patients with Group 2 PH / HFpEF in 2025, and data from a randomized trial in patients with Group 2 PH / HFpEF in 2026. During this time, a development candidate from our HHT program may also advance into clinical studies in the fourth quarter of 2025 or the first quarter of 2026 and could progress into efficacy studies in patients in late 2026 or early 2027.</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GEODeTM platform has been optimized over the last three years and is in the early stages of being used to discover biologic drugs targeting GPCRs. We plan to deploy our GEODeTM platform to generate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additional pipeline assets by identifying and optimizing new GPCR targeted biologics that have the potential to address areas of substantial unmet need.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Founders and Management Team</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were co-founded in June 2019 by Timothy A. Springer, Latham Family Professor, Harvard Medical School and Professor of Medicine, Children’s Hospital Boston, and Andrew Kruse, Professor of Biological Chemistry and Molecular Pharmacology, Harvard Medical School. These individuals are world-renowned scientists in their respective fields. Professor Springer has also been a founder of and/or founding investor in several successful biotechnology companies, including LeukoSite, Moderna, Seismic Therapeutic, Morphic Therapeutic and Scholar Rock and remains highly active in the biotechnology sector.</w:t>
      </w:r>
    </w:p>
    <w:p>
      <w:pPr>
        <w:spacing w:after="0" w:line="183" w:lineRule="exact"/>
        <w:rPr>
          <w:sz w:val="20"/>
          <w:szCs w:val="20"/>
          <w:color w:val="auto"/>
        </w:rPr>
      </w:pPr>
    </w:p>
    <w:p>
      <w:pPr>
        <w:ind w:left="120" w:right="20" w:firstLine="440"/>
        <w:spacing w:after="0" w:line="218" w:lineRule="auto"/>
        <w:rPr>
          <w:sz w:val="20"/>
          <w:szCs w:val="20"/>
          <w:color w:val="auto"/>
        </w:rPr>
      </w:pPr>
      <w:r>
        <w:rPr>
          <w:rFonts w:ascii="Times New Roman" w:cs="Times New Roman" w:eastAsia="Times New Roman" w:hAnsi="Times New Roman"/>
          <w:sz w:val="18"/>
          <w:szCs w:val="18"/>
          <w:color w:val="auto"/>
        </w:rPr>
        <w:t>We have assembled a highly qualified management team with broad experience in corporate strategy, drug discovery, clinical development, business development and finance to execute on its mission to develop GPCR-targeted biologic medicines. They are industry veterans who have worked at many of the largest, global Pharmaceutical Companies. Our team and our scientific co-founders have played key roles in drug discovery or development programs that have resulted in over 20 initial drug approvals, including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Other drugs that the founders and management team have played key roles in the discovery or development of include: Abecma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Amevive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Arcoxia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Bavencio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Braftovi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Breyanzi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Campath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Camzyos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Claritin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Emend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Entresto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Entyvio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Grastek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Inrebic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Mavenclad</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Mayzent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Nasonex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Odomzo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Praluent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Raptiva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Reblozyl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Remicade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Simponi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Singulair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Tepmetko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Velcade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Zeposia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Zykadia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GPCRs</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GPCRs are a family of over 800 proteins found on the surface of cells throughout the body that mediate the body’s response to extracellular stimuli by initiating a series of enzymatic reactions on the inside of cells which result in changes to cellular physiology. The diversity, functional specificity and localization to particular cell or tissue types makes GPCRs an especially compelling class of drug targets. Over 30% of approved drugs spanning a wide range of therapeutic areas, including metabolic diseases, inflammation, respiratory diseases, neurology and cancer, exert their action by modulating GPCRs. The targets for these medicines, however, represent only approximately 12% of known GPCRs, leaving at least as many GPCRs that are considered druggable still unexploited. GPCRs have a complex topology which has made both the protein production and purification of GPCRs outside of their natural environment in the cellular lipid membrane, as well as the identification of viable drug candidates to target them, challenging.</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structure of the RXFP1 GPCR activated by relaxin (also called relaxin-2) is shown below (</w:t>
      </w:r>
      <w:r>
        <w:rPr>
          <w:rFonts w:ascii="Times New Roman" w:cs="Times New Roman" w:eastAsia="Times New Roman" w:hAnsi="Times New Roman"/>
          <w:sz w:val="18"/>
          <w:szCs w:val="18"/>
          <w:b w:val="1"/>
          <w:bCs w:val="1"/>
          <w:color w:val="auto"/>
        </w:rPr>
        <w:t>Figure 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2768600" cy="12598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6860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1 – Model of RXFP1 activation by Relaxin-2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Relaxin / RXFP1 Biology</w:t>
      </w:r>
    </w:p>
    <w:p>
      <w:pPr>
        <w:spacing w:after="0" w:line="121"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Relaxin is a naturally occurring peptide hormone that was first identified in 1926 in the setting of pregnancy where it is upregulated to allow for hemodynamic adaptation and increased cardiac output in response to the increased demands to the developing fetus and to allow for loosening of the pelvic ligaments prior to delivery.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Relaxin is a member of the insulin superfamily of peptide hormones, and it consists of two peptide chains linked by disulfide bonds. A representation of its structure is shown in Figure 2. Notably, activation of the RXFP1 receptor by relaxin does not result in internalization of the receptor, as is observed with many other GPCRs, which suggests there would be no receptor desensitization with chronic therapy using a relaxin-based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1303020" cy="10629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0302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2 – Ribbon Diagram Representation of Relaxin-2</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Relaxin has long been of interest as a therapeutic agent for the treatment of cardiovascular disease because of its natural effects on hemodynamic function. The development of relaxin-based therapeutics, however, has been limited by the short half-life of the native peptide hormone, which has necessitated continuous intravenous or subcutaneous administration to establish and maintain target therapeutic levels of the compound in circulation.</w:t>
      </w:r>
    </w:p>
    <w:p>
      <w:pPr>
        <w:spacing w:after="0" w:line="15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Previous efforts to develop recombinant native human relaxin (serelaxin) to treat acute heart failure (AHF) have shown many signs of clinical benefit. For example, a meta-analysis published by Teerlink et al. in the European Journal of Heart Failure in 2019 assessed the results of six randomized, double-blind, placebo- controlled studies with greater than 11,000 patients enrolled to evaluate serelaxin in AHF. This analysis showed a highly statistically significant benefit in five-day worsening of heart failure and improved renal function (Table 1). Despite these intriguing signals, no relaxin-based therapeutic has been approved by the FDA. One of two pivotal studies, RELAX-AHF2, included a co-primary six-month cardiovascular mortality endpoint and failed. We believe it was ambitious to expect that a two-day infusion of the compound, with its short half-life and mechanism of action, would demonstrate clinical benefit at day 5, let alone six months after the infusion as required for the six-month cardiovascular mortality endpoint. We believe these attempts have fallen short due to the short half-life of relaxin precluding its development in chronic settings where the full benefit of its impact on both vasodilation and fibrosis can be felt over longer time periods.</w:t>
      </w:r>
    </w:p>
    <w:p>
      <w:pPr>
        <w:spacing w:after="0" w:line="209" w:lineRule="exact"/>
        <w:rPr>
          <w:sz w:val="20"/>
          <w:szCs w:val="20"/>
          <w:color w:val="auto"/>
        </w:rPr>
      </w:pPr>
    </w:p>
    <w:tbl>
      <w:tblPr>
        <w:tblLayout w:type="fixed"/>
        <w:tblInd w:w="1000" w:type="dxa"/>
        <w:tblCellMar>
          <w:top w:w="0" w:type="dxa"/>
          <w:left w:w="0" w:type="dxa"/>
          <w:bottom w:w="0" w:type="dxa"/>
          <w:right w:w="0" w:type="dxa"/>
        </w:tblCellMar>
      </w:tblPr>
      <w:tr>
        <w:trPr>
          <w:trHeight w:val="187"/>
        </w:trPr>
        <w:tc>
          <w:tcPr>
            <w:tcW w:w="3980" w:type="dxa"/>
            <w:vAlign w:val="bottom"/>
          </w:tcPr>
          <w:p>
            <w:pPr>
              <w:spacing w:after="0"/>
              <w:rPr>
                <w:sz w:val="16"/>
                <w:szCs w:val="16"/>
                <w:color w:val="auto"/>
              </w:rPr>
            </w:pP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Relative Risk [95% CI]</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N(drug)</w:t>
            </w:r>
          </w:p>
        </w:tc>
        <w:tc>
          <w:tcPr>
            <w:tcW w:w="12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N(placebo)</w:t>
            </w: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Pre-RELAX AHF</w:t>
            </w:r>
          </w:p>
        </w:tc>
        <w:tc>
          <w:tcPr>
            <w:tcW w:w="3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0.56 [0.22 – 1.45]</w:t>
            </w:r>
          </w:p>
        </w:tc>
        <w:tc>
          <w:tcPr>
            <w:tcW w:w="4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RELAX-AHF</w:t>
            </w: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0.54 [0.37 – 0.78]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RELAX-AHF-2</w:t>
            </w:r>
          </w:p>
        </w:tc>
        <w:tc>
          <w:tcPr>
            <w:tcW w:w="35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0.90 [0.76 – 1.07]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RELAX-AHF-EU</w:t>
            </w: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0.71 [0.52 – 0.98]</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RELAX-AHF-ASIA</w:t>
            </w:r>
          </w:p>
        </w:tc>
        <w:tc>
          <w:tcPr>
            <w:tcW w:w="35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0.42 [0.21 – 0.84]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shd w:val="clear" w:color="auto" w:fill="CCEEFF"/>
          </w:tcPr>
          <w:p>
            <w:pPr>
              <w:spacing w:after="0"/>
              <w:rPr>
                <w:sz w:val="18"/>
                <w:szCs w:val="18"/>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RELAX Japan</w:t>
            </w: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0.33 [0.04 – 2.85]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Meta-Analysis</w:t>
            </w:r>
          </w:p>
        </w:tc>
        <w:tc>
          <w:tcPr>
            <w:tcW w:w="35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0.77 [0.67 – 0.89]</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8"/>
        </w:trPr>
        <w:tc>
          <w:tcPr>
            <w:tcW w:w="3980" w:type="dxa"/>
            <w:vAlign w:val="bottom"/>
          </w:tcPr>
          <w:p>
            <w:pPr>
              <w:spacing w:after="0"/>
              <w:rPr>
                <w:sz w:val="20"/>
                <w:szCs w:val="20"/>
                <w:color w:val="auto"/>
              </w:rPr>
            </w:pPr>
          </w:p>
        </w:tc>
        <w:tc>
          <w:tcPr>
            <w:tcW w:w="35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p = 0.0002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6090*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5239</w:t>
            </w:r>
          </w:p>
        </w:tc>
        <w:tc>
          <w:tcPr>
            <w:tcW w:w="60" w:type="dxa"/>
            <w:vAlign w:val="bottom"/>
          </w:tcPr>
          <w:p>
            <w:pPr>
              <w:spacing w:after="0"/>
              <w:rPr>
                <w:sz w:val="20"/>
                <w:szCs w:val="20"/>
                <w:color w:val="auto"/>
              </w:rPr>
            </w:pPr>
          </w:p>
        </w:tc>
      </w:tr>
    </w:tbl>
    <w:p>
      <w:pPr>
        <w:spacing w:after="0" w:line="279"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Table 1 – Effects of serelaxin on worsening heart failure (WHF) – fixed-effect (FE) meta-analysis; serelaxin 30 </w:t>
      </w: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b w:val="1"/>
          <w:bCs w:val="1"/>
          <w:color w:val="auto"/>
        </w:rPr>
        <w:t>g/kg/day vs. placebo; CI, confidence interval</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address the pharmacological limitations of the native relaxin hormone and enable its development beyond AHF, we have engineered a single-chain relaxin-Fc fusion protein, TX45, that features differentiated pharmacokinetic and biophysical properties to enhance key pharmacodynamic properties. TX45 was developed in a subcutaneous formulation with the goal of chronic administration via intermittent subcutaneous injection. As noted above, to interrogate the therapeutic potential of relaxin, we have identified Group 2 PH / HFpEF as the initial indication. We believe that in this setting, treatment with relaxin could improve hemodynamics and result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beneficial remodeling in both the pulmonary vessels and the heart, making it potentially ideally suited for this indication. Clinical trials are needed to confirm this hypothesis.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Group 2 PH</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PH is a serious, life-threatening condition that affects hundreds of thousands of patients in the United States. In PH, the blood pressure in the pulmonary arteries is increased, exerting severe strain on the right side of the heart, which adapts poorly to the increased pressure. PH gradually causes worsening exercise capacity, shortness of breath and right-sided heart failure which can lead to death.</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World Health Organization has specified 5 different groups of PH (Table 2). Group 1 PH is also known as pulmonary arterial hypertension (PAH) and is caused by spontaneous thickening and fibrosis of the pulmonary arteries and arterioles without underlying significant cardiac, lung parenchymal, or chronic thromboembolic disease. Group 2 PH is due to left-sided heart disease (PH-LHD). Although several Group 1 PH medications have been explored in Group 2 PH, no medications have yet been approved by the FDA for its treatment.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2 – WHO Classification of Pulmonary Hypertension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Consists of 5 Distinct Diseases; Group 2 PH is of Greatest Interest for Fc-relaxin First Indication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Group 1(PAH)</w:t>
            </w:r>
          </w:p>
        </w:tc>
        <w:tc>
          <w:tcPr>
            <w:tcW w:w="260" w:type="dxa"/>
            <w:vAlign w:val="bottom"/>
          </w:tcPr>
          <w:p>
            <w:pPr>
              <w:spacing w:after="0"/>
              <w:rPr>
                <w:sz w:val="16"/>
                <w:szCs w:val="16"/>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Group 2 (PH-LHD)</w:t>
            </w:r>
          </w:p>
        </w:tc>
        <w:tc>
          <w:tcPr>
            <w:tcW w:w="260" w:type="dxa"/>
            <w:vAlign w:val="bottom"/>
          </w:tcPr>
          <w:p>
            <w:pPr>
              <w:spacing w:after="0"/>
              <w:rPr>
                <w:sz w:val="16"/>
                <w:szCs w:val="16"/>
                <w:color w:val="auto"/>
              </w:rPr>
            </w:pP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Group 3 (PH-LD)</w:t>
            </w: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Group 4 (CTEPH)</w:t>
            </w:r>
          </w:p>
        </w:tc>
        <w:tc>
          <w:tcPr>
            <w:tcW w:w="17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Group 5 (Misc.)</w:t>
            </w:r>
          </w:p>
        </w:tc>
        <w:tc>
          <w:tcPr>
            <w:tcW w:w="0" w:type="dxa"/>
            <w:vAlign w:val="bottom"/>
          </w:tcPr>
          <w:p>
            <w:pPr>
              <w:spacing w:after="0"/>
              <w:rPr>
                <w:sz w:val="1"/>
                <w:szCs w:val="1"/>
                <w:color w:val="auto"/>
              </w:rPr>
            </w:pPr>
          </w:p>
        </w:tc>
      </w:tr>
      <w:tr>
        <w:trPr>
          <w:trHeight w:val="185"/>
        </w:trPr>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64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w w:val="75"/>
              </w:rPr>
              <w:t> Idiopathic</w:t>
            </w:r>
          </w:p>
        </w:tc>
        <w:tc>
          <w:tcPr>
            <w:tcW w:w="1840" w:type="dxa"/>
            <w:vAlign w:val="bottom"/>
          </w:tcPr>
          <w:p>
            <w:pPr>
              <w:spacing w:after="0"/>
              <w:rPr>
                <w:sz w:val="16"/>
                <w:szCs w:val="16"/>
                <w:color w:val="auto"/>
              </w:rPr>
            </w:pPr>
          </w:p>
        </w:tc>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1700" w:type="dxa"/>
            <w:vAlign w:val="bottom"/>
            <w:tcBorders>
              <w:top w:val="single" w:sz="8" w:color="auto"/>
            </w:tcBorders>
          </w:tcPr>
          <w:p>
            <w:pPr>
              <w:ind w:left="60"/>
              <w:spacing w:after="0" w:line="185" w:lineRule="exact"/>
              <w:rPr>
                <w:sz w:val="20"/>
                <w:szCs w:val="20"/>
                <w:color w:val="auto"/>
              </w:rPr>
            </w:pPr>
            <w:r>
              <w:rPr>
                <w:rFonts w:ascii="Times New Roman" w:cs="Times New Roman" w:eastAsia="Times New Roman" w:hAnsi="Times New Roman"/>
                <w:sz w:val="18"/>
                <w:szCs w:val="18"/>
                <w:color w:val="auto"/>
              </w:rPr>
              <w:t> Due to left heart</w:t>
            </w:r>
          </w:p>
        </w:tc>
        <w:tc>
          <w:tcPr>
            <w:tcW w:w="220" w:type="dxa"/>
            <w:vAlign w:val="bottom"/>
          </w:tcPr>
          <w:p>
            <w:pPr>
              <w:spacing w:after="0"/>
              <w:rPr>
                <w:sz w:val="16"/>
                <w:szCs w:val="16"/>
                <w:color w:val="auto"/>
              </w:rPr>
            </w:pPr>
          </w:p>
        </w:tc>
        <w:tc>
          <w:tcPr>
            <w:tcW w:w="2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1720" w:type="dxa"/>
            <w:vAlign w:val="bottom"/>
            <w:tcBorders>
              <w:top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auto"/>
                <w:w w:val="99"/>
              </w:rPr>
              <w:t> Due to lung disease or</w:t>
            </w:r>
          </w:p>
        </w:tc>
        <w:tc>
          <w:tcPr>
            <w:tcW w:w="380" w:type="dxa"/>
            <w:vAlign w:val="bottom"/>
          </w:tcPr>
          <w:p>
            <w:pPr>
              <w:spacing w:after="0"/>
              <w:rPr>
                <w:sz w:val="16"/>
                <w:szCs w:val="16"/>
                <w:color w:val="auto"/>
              </w:rPr>
            </w:pPr>
          </w:p>
        </w:tc>
        <w:tc>
          <w:tcPr>
            <w:tcW w:w="1860" w:type="dxa"/>
            <w:vAlign w:val="bottom"/>
            <w:tcBorders>
              <w:top w:val="single" w:sz="8" w:color="auto"/>
            </w:tcBorders>
          </w:tcPr>
          <w:p>
            <w:pPr>
              <w:ind w:left="100"/>
              <w:spacing w:after="0" w:line="185" w:lineRule="exact"/>
              <w:rPr>
                <w:sz w:val="20"/>
                <w:szCs w:val="20"/>
                <w:color w:val="auto"/>
              </w:rPr>
            </w:pPr>
            <w:r>
              <w:rPr>
                <w:rFonts w:ascii="Times New Roman" w:cs="Times New Roman" w:eastAsia="Times New Roman" w:hAnsi="Times New Roman"/>
                <w:sz w:val="18"/>
                <w:szCs w:val="18"/>
                <w:color w:val="auto"/>
              </w:rPr>
              <w:t>•    Due to chronic</w:t>
            </w:r>
          </w:p>
        </w:tc>
        <w:tc>
          <w:tcPr>
            <w:tcW w:w="120" w:type="dxa"/>
            <w:vAlign w:val="bottom"/>
          </w:tcPr>
          <w:p>
            <w:pPr>
              <w:spacing w:after="0"/>
              <w:rPr>
                <w:sz w:val="16"/>
                <w:szCs w:val="16"/>
                <w:color w:val="auto"/>
              </w:rPr>
            </w:pPr>
          </w:p>
        </w:tc>
        <w:tc>
          <w:tcPr>
            <w:tcW w:w="1760" w:type="dxa"/>
            <w:vAlign w:val="bottom"/>
            <w:tcBorders>
              <w:top w:val="single" w:sz="8" w:color="auto"/>
            </w:tcBorders>
          </w:tcPr>
          <w:p>
            <w:pPr>
              <w:ind w:left="80"/>
              <w:spacing w:after="0" w:line="185" w:lineRule="exact"/>
              <w:rPr>
                <w:sz w:val="20"/>
                <w:szCs w:val="20"/>
                <w:color w:val="auto"/>
              </w:rPr>
            </w:pPr>
            <w:r>
              <w:rPr>
                <w:rFonts w:ascii="Times New Roman" w:cs="Times New Roman" w:eastAsia="Times New Roman" w:hAnsi="Times New Roman"/>
                <w:sz w:val="18"/>
                <w:szCs w:val="18"/>
                <w:color w:val="auto"/>
              </w:rPr>
              <w:t>•    Miscellaneous</w:t>
            </w:r>
          </w:p>
        </w:tc>
        <w:tc>
          <w:tcPr>
            <w:tcW w:w="0" w:type="dxa"/>
            <w:vAlign w:val="bottom"/>
          </w:tcPr>
          <w:p>
            <w:pPr>
              <w:spacing w:after="0"/>
              <w:rPr>
                <w:sz w:val="1"/>
                <w:szCs w:val="1"/>
                <w:color w:val="auto"/>
              </w:rPr>
            </w:pPr>
          </w:p>
        </w:tc>
      </w:tr>
      <w:tr>
        <w:trPr>
          <w:trHeight w:val="216"/>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 Hereditary</w:t>
            </w:r>
          </w:p>
        </w:tc>
        <w:tc>
          <w:tcPr>
            <w:tcW w:w="26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disease (HFpEF,</w:t>
            </w:r>
          </w:p>
        </w:tc>
        <w:tc>
          <w:tcPr>
            <w:tcW w:w="260" w:type="dxa"/>
            <w:vAlign w:val="bottom"/>
          </w:tcPr>
          <w:p>
            <w:pPr>
              <w:spacing w:after="0"/>
              <w:rPr>
                <w:sz w:val="18"/>
                <w:szCs w:val="18"/>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hypoxia</w:t>
            </w:r>
          </w:p>
        </w:tc>
        <w:tc>
          <w:tcPr>
            <w:tcW w:w="1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thromboembolic</w:t>
            </w:r>
          </w:p>
        </w:tc>
        <w:tc>
          <w:tcPr>
            <w:tcW w:w="1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group with causes</w:t>
            </w:r>
          </w:p>
        </w:tc>
        <w:tc>
          <w:tcPr>
            <w:tcW w:w="0" w:type="dxa"/>
            <w:vAlign w:val="bottom"/>
          </w:tcPr>
          <w:p>
            <w:pPr>
              <w:spacing w:after="0"/>
              <w:rPr>
                <w:sz w:val="1"/>
                <w:szCs w:val="1"/>
                <w:color w:val="auto"/>
              </w:rPr>
            </w:pPr>
          </w:p>
        </w:tc>
      </w:tr>
      <w:tr>
        <w:trPr>
          <w:trHeight w:val="126"/>
        </w:trPr>
        <w:tc>
          <w:tcPr>
            <w:tcW w:w="260" w:type="dxa"/>
            <w:vAlign w:val="bottom"/>
            <w:vMerge w:val="continue"/>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HFrEF) or valvular</w:t>
            </w:r>
          </w:p>
        </w:tc>
        <w:tc>
          <w:tcPr>
            <w:tcW w:w="2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w w:val="79"/>
              </w:rPr>
              <w:t>• </w:t>
            </w:r>
          </w:p>
        </w:tc>
        <w:tc>
          <w:tcPr>
            <w:tcW w:w="2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 May be due to COPD,</w:t>
            </w:r>
          </w:p>
        </w:tc>
        <w:tc>
          <w:tcPr>
            <w:tcW w:w="1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disease (i.e.,</w:t>
            </w:r>
          </w:p>
        </w:tc>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unclear or multiple</w:t>
            </w: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980" w:type="dxa"/>
            <w:vAlign w:val="bottom"/>
            <w:gridSpan w:val="2"/>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 Connective tissue disease-</w:t>
            </w:r>
          </w:p>
        </w:tc>
        <w:tc>
          <w:tcPr>
            <w:tcW w:w="260" w:type="dxa"/>
            <w:vAlign w:val="bottom"/>
          </w:tcPr>
          <w:p>
            <w:pPr>
              <w:spacing w:after="0"/>
              <w:rPr>
                <w:sz w:val="10"/>
                <w:szCs w:val="10"/>
                <w:color w:val="auto"/>
              </w:rPr>
            </w:pP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heart disease</w:t>
            </w:r>
          </w:p>
        </w:tc>
        <w:tc>
          <w:tcPr>
            <w:tcW w:w="260" w:type="dxa"/>
            <w:vAlign w:val="bottom"/>
            <w:vMerge w:val="continue"/>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as a consequence</w:t>
            </w:r>
          </w:p>
        </w:tc>
        <w:tc>
          <w:tcPr>
            <w:tcW w:w="1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underlying factors</w:t>
            </w:r>
          </w:p>
        </w:tc>
        <w:tc>
          <w:tcPr>
            <w:tcW w:w="0" w:type="dxa"/>
            <w:vAlign w:val="bottom"/>
          </w:tcPr>
          <w:p>
            <w:pPr>
              <w:spacing w:after="0"/>
              <w:rPr>
                <w:sz w:val="1"/>
                <w:szCs w:val="1"/>
                <w:color w:val="auto"/>
              </w:rPr>
            </w:pPr>
          </w:p>
        </w:tc>
      </w:tr>
      <w:tr>
        <w:trPr>
          <w:trHeight w:val="94"/>
        </w:trPr>
        <w:tc>
          <w:tcPr>
            <w:tcW w:w="260" w:type="dxa"/>
            <w:vAlign w:val="bottom"/>
            <w:vMerge w:val="continue"/>
          </w:tcPr>
          <w:p>
            <w:pPr>
              <w:spacing w:after="0"/>
              <w:rPr>
                <w:sz w:val="8"/>
                <w:szCs w:val="8"/>
                <w:color w:val="auto"/>
              </w:rPr>
            </w:pPr>
          </w:p>
        </w:tc>
        <w:tc>
          <w:tcPr>
            <w:tcW w:w="24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92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interstitial lung</w:t>
            </w:r>
          </w:p>
        </w:tc>
        <w:tc>
          <w:tcPr>
            <w:tcW w:w="1980" w:type="dxa"/>
            <w:vAlign w:val="bottom"/>
            <w:gridSpan w:val="2"/>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associated</w:t>
            </w:r>
          </w:p>
        </w:tc>
        <w:tc>
          <w:tcPr>
            <w:tcW w:w="2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9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of blood clots)</w:t>
            </w: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0" w:type="dxa"/>
            <w:vAlign w:val="bottom"/>
          </w:tcPr>
          <w:p>
            <w:pPr>
              <w:spacing w:after="0"/>
              <w:rPr>
                <w:sz w:val="10"/>
                <w:szCs w:val="10"/>
                <w:color w:val="auto"/>
              </w:rPr>
            </w:pPr>
          </w:p>
        </w:tc>
        <w:tc>
          <w:tcPr>
            <w:tcW w:w="2480" w:type="dxa"/>
            <w:vAlign w:val="bottom"/>
            <w:gridSpan w:val="2"/>
            <w:vMerge w:val="continue"/>
          </w:tcPr>
          <w:p>
            <w:pPr>
              <w:spacing w:after="0"/>
              <w:rPr>
                <w:sz w:val="10"/>
                <w:szCs w:val="10"/>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 Two Subtypes:</w:t>
            </w:r>
          </w:p>
        </w:tc>
        <w:tc>
          <w:tcPr>
            <w:tcW w:w="260" w:type="dxa"/>
            <w:vAlign w:val="bottom"/>
          </w:tcPr>
          <w:p>
            <w:pPr>
              <w:spacing w:after="0"/>
              <w:rPr>
                <w:sz w:val="10"/>
                <w:szCs w:val="10"/>
                <w:color w:val="auto"/>
              </w:rPr>
            </w:pPr>
          </w:p>
        </w:tc>
        <w:tc>
          <w:tcPr>
            <w:tcW w:w="2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disease (i.e., IPF) or</w:t>
            </w:r>
          </w:p>
        </w:tc>
        <w:tc>
          <w:tcPr>
            <w:tcW w:w="1980" w:type="dxa"/>
            <w:vAlign w:val="bottom"/>
            <w:gridSpan w:val="2"/>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 Congenital heart disease-</w:t>
            </w:r>
          </w:p>
        </w:tc>
        <w:tc>
          <w:tcPr>
            <w:tcW w:w="26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CpcPH / IpcPH</w:t>
            </w:r>
          </w:p>
        </w:tc>
        <w:tc>
          <w:tcPr>
            <w:tcW w:w="260" w:type="dxa"/>
            <w:vAlign w:val="bottom"/>
          </w:tcPr>
          <w:p>
            <w:pPr>
              <w:spacing w:after="0"/>
              <w:rPr>
                <w:sz w:val="18"/>
                <w:szCs w:val="18"/>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obstructive sleep</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0" w:type="dxa"/>
            <w:vAlign w:val="bottom"/>
          </w:tcPr>
          <w:p>
            <w:pPr>
              <w:spacing w:after="0"/>
              <w:rPr>
                <w:sz w:val="21"/>
                <w:szCs w:val="21"/>
                <w:color w:val="auto"/>
              </w:rPr>
            </w:pPr>
          </w:p>
        </w:tc>
        <w:tc>
          <w:tcPr>
            <w:tcW w:w="2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associated</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1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 CAD, HTN, T2DM,</w:t>
            </w:r>
          </w:p>
        </w:tc>
        <w:tc>
          <w:tcPr>
            <w:tcW w:w="260" w:type="dxa"/>
            <w:vAlign w:val="bottom"/>
          </w:tcPr>
          <w:p>
            <w:pPr>
              <w:spacing w:after="0"/>
              <w:rPr>
                <w:sz w:val="21"/>
                <w:szCs w:val="21"/>
                <w:color w:val="auto"/>
              </w:rPr>
            </w:pPr>
          </w:p>
        </w:tc>
        <w:tc>
          <w:tcPr>
            <w:tcW w:w="2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apnea</w:t>
            </w: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3"/>
              </w:rPr>
              <w:t>• </w:t>
            </w:r>
          </w:p>
        </w:tc>
        <w:tc>
          <w:tcPr>
            <w:tcW w:w="2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 Drug-induced</w:t>
            </w:r>
          </w:p>
        </w:tc>
        <w:tc>
          <w:tcPr>
            <w:tcW w:w="26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high cholesterol are</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Group 2 PH Pathophysiology and Epidemiology</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Group 2 PH is caused by left-sided heart disease, including heart failure with preserved ejection fraction (HFpEF), heart failure with reduced ejection fraction (HFrEF), and valvular heart disease (VHD). Group 2 PH itself consists of 2 disease subtypes, isolated post capillary PH (IpcPH) or combined pre- and post- capillary PH (CpcPH).</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patients with left-sided heart disease, the development of pulmonary hypertension is associated with a much worse prognosis. In various forms of heart failure, the heart fails to pump sufficient blood throughout the body to meet the metabolic demands of the individual. To compensate for inadequate cardiac output, the kidneys retain excess fluid to help increase the filling of the heart (“priming the pump”) during the relaxation phase of the cardiac cycle. This attempt to increase the filling of the heart leads to increased pressure during the relaxation phase. Pulmonary hypertension can develop in this setting when the pressure is transmitted backwards from the left atrium of the heart into the pulmonary veins and pulmonary arteries. This passive backflow of high pressure leads initially to post-capillary hypertension. These patients have a subtype of Group 2 PH called Isolated post-capillary Pulmonary Hypertension (IpcPH). Over time this increased pressure can lead to the thickening and fibrosis of the pulmonary arteries and arterioles resulting in disease of the precapillary vasculature of the lung and this is demonstrated by increased pulmonary vascular resistance (PVR). When Group 2 PH results in both increased pulmonary artery pressures from the passive backflow of pressure from the left atrium along with</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77" w:lineRule="auto"/>
        <w:rPr>
          <w:sz w:val="20"/>
          <w:szCs w:val="20"/>
          <w:color w:val="auto"/>
        </w:rPr>
      </w:pPr>
      <w:r>
        <w:rPr>
          <w:rFonts w:ascii="Times New Roman" w:cs="Times New Roman" w:eastAsia="Times New Roman" w:hAnsi="Times New Roman"/>
          <w:sz w:val="17"/>
          <w:szCs w:val="17"/>
          <w:color w:val="auto"/>
        </w:rPr>
        <w:t>intrinsic changes, such as thickening, fibrosis, and narrowing of the lumen of the pulmonary arteries, it is called Combined pre-and post-capillary Pulmonary Hypertension (CpcPH). To differentiate patients with IpcPH and CpcPH, a right heart catheterization is performed. Patients with elevated PVR, elevated pulmonary artery pressure (PAP) and an elevated Pulmonary Capillary Wedge Pressure (PCWP) have CpcPH, while those with just elevated PAP and PCWP and normal PVR have IpcPH. Pulmonary hypertension places a great strain on the right ventricle which is unable to compensate for this increased workload. Eventually, pulmonary hypertension causes the right ventricle to dilate and fail, ultimately leading to death.</w:t>
      </w:r>
    </w:p>
    <w:p>
      <w:pPr>
        <w:spacing w:after="0" w:line="168"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There are an estimated 6 million patients with heart failure in the United States, with HFpEF representing up to ~50%, of heart failure cases. We estimate the combined Group 2 PH population with HFpEF at more than 600,000 and the respective prevalences of IpcPH and CpcPH in the HFpEF population are believed to be approximately 20% and 4%.</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of Group 1 PH (PAH) Drugs as Treatments for Group 2 PH – Implications of PDE5i Results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Patients suffering from CpcPH typically face worse outcomes than those with IpcPH (23% survival at five years vs. 40%-50%, respectively). Optimal treatment of heart failure may improve IpcPH to some extent. However, because of the specific pulmonary vascular pathology in CpcPH, treatment of heart failure alone is often insufficient to have a meaningful impact on this form of the disease. PDE5 inhibitors which activate the nitric oxide (NO) pathway were evaluated in three separate studies in CpcPH patients with HFpEF. In those studies, PDE5 inhibitors demonstrated improvements in hemodynamics, exercise tolerance, and a reduction in hospitalizations for heart failure. These improvements were not seen in a study with the broader group of Group 2 PH/HFpEF patients which were mainly composed of patients with IpcPH. Despite these findings, PDE5 inhibitors are not FDA approved for use in Group2 PH.</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Several of the drugs used to treat Pulmonary Arterial Hypertension (Group 1 PH) have failed to demonstrate benefits in Group 2 PH/HFpEF. Most of these agents act as vasodilators in the lung, thereby increasing blood flow to the left side of the heart. However, pulmonary vasodilators have limited effect on left sided heart function or systemic circulation, and therefore, do not increase the ability of the left side of the heart to pump blood. This could worsen heart failure without improving exercise function. In contrast, PDE5 inhibitors also have a small effect on cardiac function, which may explain why they have shown the improvement in hemodynamics, exercise tolerance and hospitalizations in CpcPH as noted above.</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PDE5 inhibitors activate the nitric oxide pathway which results in its hemodynamic effects including pulmonary vasodilation. Relaxin’s hemodynamic effects are mediated both by inhibition of endothelin-1 as well as activation of the same nitric oxide signaling pathway by which PDE5 inhibitors exert their action. In addition, relaxin exerts anti-fibrotic and anti-inflammatory effects via the mechanisms shown in Figure 3. Therefore, although unproven at this time, based on its multimodal mechanism of action, we believe that TX45 has the potential to demonstrate statistically and clinically meaningful benefits in both CpcPH and IpcPH.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5186045" cy="20313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860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3 – PDE5 Inhibitors Affect Only One of Several Pathways Implicated in Relaxin Signaling</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support of TX45 is based upon our hypothesis that relaxin’s activities, through its remodeling and anti-fibrotic effects, may reverse the deleterious changes in the pulmonary vasculature present in CpcPH. Furthermore, relaxin’s pulmonary and systemic vasodilatory activity could unload the left ventricle, while relaxin’s anti-fibrotic and anti-inflammatory activities could promote reverse remodeling of the left ventricle in HFpEF. Last, relaxin’s ability to relax the heart muscle could improve diastolic filling in HFpEF where cardiac hypertrophy and fibrosis lead to diastolic dysfunction and heart failure. These benefits could also extend to IpcPH patients and thus to the entire Group 2 PH / HFpEF population.</w:t>
      </w:r>
    </w:p>
    <w:p>
      <w:pPr>
        <w:spacing w:after="0" w:line="183"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summary, depicted in Table 3 below, we hypothesize that the inherent vasodilatory, anti-fibrotic, and anti-inflammatory activities of relaxin could be suited to address both the pulmonary and cardiac pathologies of Group 2 PH / HFpEF.</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Characteristics of Group 2 PH</w:t>
            </w:r>
          </w:p>
        </w:tc>
        <w:tc>
          <w:tcPr>
            <w:tcW w:w="2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IpcPH</w:t>
            </w:r>
          </w:p>
        </w:tc>
        <w:tc>
          <w:tcPr>
            <w:tcW w:w="2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CpcPH</w:t>
            </w:r>
          </w:p>
        </w:tc>
        <w:tc>
          <w:tcPr>
            <w:tcW w:w="4520" w:type="dxa"/>
            <w:vAlign w:val="bottom"/>
          </w:tcPr>
          <w:p>
            <w:pPr>
              <w:ind w:left="1420"/>
              <w:spacing w:after="0"/>
              <w:rPr>
                <w:sz w:val="20"/>
                <w:szCs w:val="20"/>
                <w:color w:val="auto"/>
              </w:rPr>
            </w:pPr>
            <w:r>
              <w:rPr>
                <w:rFonts w:ascii="Times New Roman" w:cs="Times New Roman" w:eastAsia="Times New Roman" w:hAnsi="Times New Roman"/>
                <w:sz w:val="14"/>
                <w:szCs w:val="14"/>
                <w:b w:val="1"/>
                <w:bCs w:val="1"/>
                <w:color w:val="auto"/>
              </w:rPr>
              <w:t>Anticipated Relaxin Effects</w:t>
            </w:r>
          </w:p>
        </w:tc>
      </w:tr>
      <w:tr>
        <w:trPr>
          <w:trHeight w:val="171"/>
        </w:trPr>
        <w:tc>
          <w:tcPr>
            <w:tcW w:w="466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Pulmonary artery narrowing, thickening, stiffening, fibrotic</w:t>
            </w:r>
          </w:p>
        </w:tc>
        <w:tc>
          <w:tcPr>
            <w:tcW w:w="4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Borders>
              <w:top w:val="single" w:sz="8" w:color="auto"/>
            </w:tcBorders>
          </w:tcPr>
          <w:p>
            <w:pPr>
              <w:spacing w:after="0" w:line="171" w:lineRule="exact"/>
              <w:rPr>
                <w:sz w:val="20"/>
                <w:szCs w:val="20"/>
                <w:color w:val="auto"/>
              </w:rPr>
            </w:pPr>
            <w:r>
              <w:rPr>
                <w:rFonts w:ascii="MS PGothic" w:cs="MS PGothic" w:eastAsia="MS PGothic" w:hAnsi="MS PGothic"/>
                <w:sz w:val="18"/>
                <w:szCs w:val="18"/>
                <w:color w:val="auto"/>
              </w:rPr>
              <w:t>✓</w:t>
            </w:r>
          </w:p>
        </w:tc>
        <w:tc>
          <w:tcPr>
            <w:tcW w:w="140" w:type="dxa"/>
            <w:vAlign w:val="bottom"/>
          </w:tcPr>
          <w:p>
            <w:pPr>
              <w:spacing w:after="0"/>
              <w:rPr>
                <w:sz w:val="14"/>
                <w:szCs w:val="14"/>
                <w:color w:val="auto"/>
              </w:rPr>
            </w:pPr>
          </w:p>
        </w:tc>
        <w:tc>
          <w:tcPr>
            <w:tcW w:w="452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Pulmonary vasodilation anti-inflammatory, anti-fibrotic</w:t>
            </w: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remodeling</w:t>
            </w: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5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ventricular dysfunction</w:t>
            </w:r>
          </w:p>
        </w:tc>
        <w:tc>
          <w:tcPr>
            <w:tcW w:w="940" w:type="dxa"/>
            <w:vAlign w:val="bottom"/>
            <w:gridSpan w:val="2"/>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Right ventricular remodeling</w:t>
            </w:r>
          </w:p>
        </w:tc>
      </w:tr>
      <w:tr>
        <w:trPr>
          <w:trHeight w:val="27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Thickening and stiffening of left ventricle</w:t>
            </w:r>
          </w:p>
        </w:tc>
        <w:tc>
          <w:tcPr>
            <w:tcW w:w="940" w:type="dxa"/>
            <w:vAlign w:val="bottom"/>
            <w:gridSpan w:val="2"/>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Peripheral vasodilation, cardiac relaxation, left ventricular</w:t>
            </w:r>
          </w:p>
        </w:tc>
      </w:tr>
      <w:tr>
        <w:trPr>
          <w:trHeight w:val="234"/>
        </w:trPr>
        <w:tc>
          <w:tcPr>
            <w:tcW w:w="18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remodeling</w:t>
            </w:r>
          </w:p>
        </w:tc>
      </w:tr>
      <w:tr>
        <w:trPr>
          <w:trHeight w:val="352"/>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Compromised kidney function</w:t>
            </w:r>
          </w:p>
        </w:tc>
        <w:tc>
          <w:tcPr>
            <w:tcW w:w="940" w:type="dxa"/>
            <w:vAlign w:val="bottom"/>
            <w:gridSpan w:val="2"/>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0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Improvement in kidney function</w:t>
            </w:r>
          </w:p>
        </w:tc>
      </w:tr>
    </w:tbl>
    <w:p>
      <w:pPr>
        <w:spacing w:after="0" w:line="17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Relaxin’s numerous physiologic activities promote vasodilation in both the systemic and pulmonary vasculature, increasing cardiac output and decreasing pulmonary vascular wedge pressure (PCWP, a measure of heart failure) have previously been demonstrated with serelaxin (recombinant native human relaxin-2). As reported by Ponikowski P. et al in </w:t>
      </w:r>
      <w:r>
        <w:rPr>
          <w:rFonts w:ascii="Times New Roman" w:cs="Times New Roman" w:eastAsia="Times New Roman" w:hAnsi="Times New Roman"/>
          <w:sz w:val="18"/>
          <w:szCs w:val="18"/>
          <w:i w:val="1"/>
          <w:iCs w:val="1"/>
          <w:color w:val="auto"/>
        </w:rPr>
        <w:t>European Heart Journal</w:t>
      </w:r>
      <w:r>
        <w:rPr>
          <w:rFonts w:ascii="Times New Roman" w:cs="Times New Roman" w:eastAsia="Times New Roman" w:hAnsi="Times New Roman"/>
          <w:sz w:val="18"/>
          <w:szCs w:val="18"/>
          <w:color w:val="auto"/>
        </w:rPr>
        <w:t xml:space="preserve"> in 2014, patients with acute heart failure who had a right heart catheterization exhibited improved hemodynamics with relaxin treatment. These observations included a reduction of mean pulmonary artery pressure (mPAP), pulmonary vascular resistance (PVR), systemic vascular resistance (SVR) and pulmonary capillary wedge pressure (PCWP). The ability of the relaxin mechanism to reduce the right ventricular strain by reducing PVR along with improving left ventricular function, as demonstrated by lowering PCWP, is fundamental to the potential of relaxin to treat PH-HFpEF. In a similar study of patients with chronic CHF reported by Dschietzig T. et al. in the </w:t>
      </w:r>
      <w:r>
        <w:rPr>
          <w:rFonts w:ascii="Times New Roman" w:cs="Times New Roman" w:eastAsia="Times New Roman" w:hAnsi="Times New Roman"/>
          <w:sz w:val="18"/>
          <w:szCs w:val="18"/>
          <w:i w:val="1"/>
          <w:iCs w:val="1"/>
          <w:color w:val="auto"/>
        </w:rPr>
        <w:t>Annals of the New York Academy of Sciences</w:t>
      </w:r>
      <w:r>
        <w:rPr>
          <w:rFonts w:ascii="Times New Roman" w:cs="Times New Roman" w:eastAsia="Times New Roman" w:hAnsi="Times New Roman"/>
          <w:sz w:val="18"/>
          <w:szCs w:val="18"/>
          <w:color w:val="auto"/>
        </w:rPr>
        <w:t xml:space="preserve"> in 2009, a reduction in PCWP and an increase in cardiac output was demonstrated in response to relaxin treatment.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33604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94935"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color w:val="auto"/>
        </w:rPr>
        <w:t>Figure 4 – Relaxin Improves Hemodynamics in Acute Heart Failure Patients Through Reduction of Pulmonary Capillary Wedge Pressure, Mean Pulmonary Artery Pressure, Pulmonary Vascular Resistance and Systemic Vascular Resistance.</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Orange, serelaxin treatment for 20 hours (continuous infusion); Blue, placebo treatment.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improvements in some measures of placebo after 8 hours can be attributed to allowance of diuretics at that time</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Additionally, in the study reported by Ponikowski P. et al in </w:t>
      </w:r>
      <w:r>
        <w:rPr>
          <w:rFonts w:ascii="Times New Roman" w:cs="Times New Roman" w:eastAsia="Times New Roman" w:hAnsi="Times New Roman"/>
          <w:sz w:val="18"/>
          <w:szCs w:val="18"/>
          <w:i w:val="1"/>
          <w:iCs w:val="1"/>
          <w:color w:val="auto"/>
        </w:rPr>
        <w:t>European Heart Journal</w:t>
      </w:r>
      <w:r>
        <w:rPr>
          <w:rFonts w:ascii="Times New Roman" w:cs="Times New Roman" w:eastAsia="Times New Roman" w:hAnsi="Times New Roman"/>
          <w:sz w:val="18"/>
          <w:szCs w:val="18"/>
          <w:color w:val="auto"/>
        </w:rPr>
        <w:t xml:space="preserve"> in 2014, it was also reported that treatment with relaxin showed a beneficial impact on improvement in renal function in heart failure patients. This may stem from renal vasodilation with increased renal blood flow observed with treatment with relaxin. Since Group 2 / HFpEF patients also frequently present with compromised renal function, relaxin may also improve related clinical factors in our target population. We view these hemodynamic and renal function data as further evidence of relaxin’s potential utility as a therapeutic for Group 2 PH.</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TX45</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color w:val="auto"/>
        </w:rPr>
        <w:t>TX45 is a recombinant protein consisting of an engineered single chain human relaxin domain fused to the Fc domain of human immuno-globulin 1 (IgG1) using a peptide chain linker. The Fc portion of TX45 was modified to reduce Fcg receptor activation, and to increase binding to the neonatal Fc receptor (FcRn) with the goal of significantly increasing the half-life of the molecule in circulation, relative to the half-life of native human relaxin.</w:t>
      </w:r>
    </w:p>
    <w:p>
      <w:pPr>
        <w:spacing w:after="0" w:line="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color w:val="auto"/>
        </w:rPr>
        <w:t>TX45 was further engineered to reduce the isoelectric point (pI) of the molecule to enhance its pharmacokinetic properties and improve its biophysical profile. Reduction of the molecule’s pI was deemed necessary to avoid the non-specific clearance of high pI molecules from the circulation that takes place immediately following administration as a result of binding to negatively charged heparin proteoglycans on the blood vessel wall. This effect can dramatically reduce the amount of bioavailable drug to exert pharmacologic action. Of note, native relaxin and most long-acting relaxin therapeutics have a high pI. Figure 5 compares the</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pharmacokinetic profile of TX45 which has a reduced pI with earlier candidates in our program, and a different Fc-relaxin fusion described in the literature (“comparator”) (Sun et al. J Am Heart Assoc. 2019 Dec 17; 8(24); Hao et al. US 2019/0352366 A1). Pharmacokinetic studies in rats were run with an early Tectonic relaxin compound (TX early), the comparator compound and TX-45 in consecutive studies at the same site and analyzed in the same way. Both of the latter are high pI molecules. No head-to-head studies have been conducted between TX-45 and the comparator compound or TX early.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3274695" cy="2442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7469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Figure 5 – The pharmacokinetic profile of TX45 in rats showed an 11 to 15-fold reduction in the alpha phase decline at 6 hours post-dose which resulted in a 4.1 to 5.5 -fold increase in AUC (0-100 hrs) compared to a comparator molecule and an earlier TX molecule which have higher isoelectric points compared to TX45. Rats (n= 3 / group) were administered 5 mg/kg of drug intravenously in all cases.</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80"/>
          </w:cols>
          <w:pgMar w:left="320" w:top="455"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Pharmacology Studies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TX45 has been tested in several non-clinical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pharmacokinetic (PK) and pharmacology studies. These include a rat renal blood flow model that is used as a pharmacodynamic (PD) endpoint that demonstrates the vasodilatory effects of relaxin. TX45 administration shows a dose-response and exposure-response relationship on increasing rat renal blood flow (Figure 6). Renal arterial blood flow was measured with a perivascular flowmeter in anesthetized instrumented naïve rats. This study had 6-10 rats per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144145</wp:posOffset>
            </wp:positionV>
            <wp:extent cx="3334385" cy="43033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34385" cy="4303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right="3160"/>
        <w:spacing w:after="0" w:line="401" w:lineRule="auto"/>
        <w:rPr>
          <w:sz w:val="20"/>
          <w:szCs w:val="20"/>
          <w:color w:val="auto"/>
        </w:rPr>
      </w:pPr>
      <w:r>
        <w:rPr>
          <w:rFonts w:ascii="Times New Roman" w:cs="Times New Roman" w:eastAsia="Times New Roman" w:hAnsi="Times New Roman"/>
          <w:sz w:val="18"/>
          <w:szCs w:val="18"/>
          <w:b w:val="1"/>
          <w:bCs w:val="1"/>
          <w:color w:val="auto"/>
        </w:rPr>
        <w:t>Figure 6 – Dose-Dependent Effect of TX45 on Rat Renal Arterial Blood Flow (RABF) (top panel) and Associated Pharmacokinetic Exposures (bottom panel)</w:t>
      </w:r>
    </w:p>
    <w:p>
      <w:pPr>
        <w:spacing w:after="0" w:line="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40"/>
          </w:cols>
          <w:pgMar w:left="320" w:top="455" w:right="5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test the impact of improvements from protein engineering efforts, and particularly the effect of reducing the pI of the molecule, we conducted a comparative assessment of TX45 and a high pI comparator Fc-Relaxin fusion protein in the same rat renal blood flow model (n = 6-10 per group). In these experiments, a dose of 0.03 mg/ kg of TX45 produced a comparable pharmacodynamic effect to 0.3 mg/kg of the comparator high pI molecule, despite being 10-fold less potent in vitro. In these studies, TX45 is ~10-fold more potent by dose in vivo than the comparator molecule, which may be consistent with a differentiated clinical profile for TX45 (Figure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3497580" cy="21005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97580"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Figure 7 – The improved biophysical Profile of TX45 results in a comparable AUC at a 10-fold lower dose (0.03 mg/kg) compared to the high pI comparator (0.3 mg/kg).</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use of human relaxin or human relaxin-mimetics in chronic in vivo pharmacology experiments in rats and mice has been limited by the development of anti-human relaxin antibodies that reduce relaxin levels and activity. This is because human relaxin is only ~50% homologous to rat relaxin so the rat immune system perceives human relaxin as being a foreign antigen. The development of anti-human relaxin antibodies in rodents is triggered in inflammatory disease models. To address this problem, we developed a method to administer anti-CD20 antibodies to deplete B lymphocytes and reduce antibody production. Using this approach, TX45 demonstrated a significant effect on a number of clinically relevant parameters in the rat monocrotaline-induced (MCT) model of pulmonary hypertension. The MCT model was run in the therapeutic mode, which is more stringent than the prophylactic mode. There were 10-12 rats per group and TX45 was tested in three independent experiments where it showed comparable effects. In this model, significant reductions (p&lt;0.05) in pulmonary artery pressure, right ventricular hypertrophy, NT-proBNP, and pulmonary artery muscularization were demonstrated along with 100% survival at 4 weeks compared with 75% for control animals (Figure 8, Figure 9, Figure 10). The determination of significance was done by a one-way anova test followed by Tukey’s multiple comparison test. The p values are shown in the figures. Pulmonary hemodynamics were measured using a French pressure catheter inserted into the right ventricle and pulmonary artery in anesthetized animals. Histopathology analysis was used to evaluate lung inflammation and pulmonary artery muscularization.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149225</wp:posOffset>
            </wp:positionV>
            <wp:extent cx="5177790" cy="25285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7779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Figure 8 – TX45 had a significant effect on Right Ventricular Systolic Pressure (p=0.006) (a) and Fulton’s Index (p=0.01) (b) in the MCT-PH Rat Model. Statistical significance was determined by a one-way anova test followed by Tukey’s multiple comparison test.</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217170</wp:posOffset>
            </wp:positionV>
            <wp:extent cx="5177790" cy="23914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7779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color w:val="auto"/>
        </w:rPr>
        <w:t>Figure 9 – Following Histopathological Analysis TX45 had a significant effect on Lung Inflammation (p=0.01) (a) and Muscularization of Small Pulmonary Arteries (p=0.007) (b) in MCT-PH Rats Treated with TX45 or Vehicle. Statistical significance was determined by a one-way anova test followed by Tukey’s multiple comparison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139700</wp:posOffset>
            </wp:positionV>
            <wp:extent cx="2794635" cy="32404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9463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20" w:right="540"/>
        <w:spacing w:after="0" w:line="286" w:lineRule="auto"/>
        <w:rPr>
          <w:sz w:val="20"/>
          <w:szCs w:val="20"/>
          <w:color w:val="auto"/>
        </w:rPr>
      </w:pPr>
      <w:r>
        <w:rPr>
          <w:rFonts w:ascii="Times New Roman" w:cs="Times New Roman" w:eastAsia="Times New Roman" w:hAnsi="Times New Roman"/>
          <w:sz w:val="18"/>
          <w:szCs w:val="18"/>
          <w:b w:val="1"/>
          <w:bCs w:val="1"/>
          <w:color w:val="auto"/>
        </w:rPr>
        <w:t>Figure 10 – TX45 Treated Animals had a 25% improvement on survival vs. Controls in MCT-PH Rats. TX45 Achieves 100% Survival in Experiment</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TX45 and earlier compounds also demonstrated a significant effect on clinically relevant parameters such as improved pulmonary hemodynamics and a reduction in kidney and cardiac fibrosis in three other preclinical models where anti-CD20 was not administered; the mouse isoproterenol model of HFpEF, the rat Sugen-hypoxia model of pulmonary hypertension as well as in the mouse unilateral ureteral obstruction model of kidney fibrosis. All of these studies had an n = 6 to 10 animals per group and statistical significance was determined by a one-way anova test followed by Tukey’s multiple comparison test. These preclinical data for TX45 have not yet been published.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Non-clinical Toxicology Studies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TX45 has been tested in rat and non-human primate (NHP) 1-month GLP toxicology and 6-month GLP toxicology studies at ITR in Canada. There is imperfect sequence homology between the active portion of TX45 and rat relaxin (~50%) or NHP relaxin (~73%). In the 1-month GLP toxicology studies, there were no specific toxicities identified and no observable adverse effect level (NOAEL), which is the greatest dose of a drug at which no detectable adverse effects occur in an exposed population, was 100 mg/kg for both species. Administration of TX45 resulted in the development of anti-drug antibodies (ADAs) in some rats and monkeys, but the ADA response was most prevalent in rats receiving TX45 by subcutaneous injection.</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During weeks 6-9 of the 26-week GLP chronic toxicology study in NHPs, 5/32 monkeys treated with TX45 developed monkey anti-human anti-drug antibodies. ADAs formed in these 5 animals while they were recovering from an upper respiratory infection (URI) during weeks 5-9 of the study. Three animals were terminated prematurely due to severe immune related reactions, two of which had measured ADAs at the time of termination. We believe the URI acted as an adjuvant to heighten the immunologic response to TX45. Only animals that had URI symptoms developed ADAs and no additional animals developed ADAs as of week 25 (out of 26) of the study. The development of ADAs was not unexpected since there is only 75% homology between human and monkey relaxin, and ADAs were previously reported in serelaxin chronic toxicology studies. There is no expected correlation between the development of ADAs against a substantially human protein administered to NHPs and the immunogenicity profile of the same protein in humans. The absence of high sequence homology between non-clinical species and human protein therapeutics is a common cause of immunogenicity in toxicology studies, particularly in longer-term studies, and does not predict immunogenicity in human clinical studies.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TX45 Clinical Development Studies and Plans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TX45 clinical development program is designed to provide data supporting key inflection points. TX000045-001, a first in human, single ascending dose study is designed to provide data on safety and tolerability, and pharmacokinetic and pharmacodynamic and immunogenicity data after single doses in healthy volunteers in the third quarter of 2024. Additionally, we anticipate that Phase 1b single dose hemodynamic data in Group 2 PH with HFpEF patients could be available in 2025, and that Phase 2 proof-of-concept efficacy data in Group 2 PH patients with HFpEF could be available in 2026.</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Phase 1a study is being conducted in Australia and the Phase 1b study is currently being conducted in Moldova and the Netherlands. These studies are being conducted under ICH and GCP guidelines. We plan to conduct our Phase 2 study in the U.S., Australia, Europe and Eastern Europe. Prior to initiating the Phase 2 study in the U.S., the Phase 1a study being conducted in Australia will need to have confirmed the safety profile of TX45 and data from the study will determine the selected doses in the Phase 2 study.</w:t>
      </w:r>
    </w:p>
    <w:p>
      <w:pPr>
        <w:spacing w:after="0" w:line="180"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A pre-IND consultation between Tectonic and the FDA occurred in early 2024. No significant issues were identified by the FDA with our planned clinical development strategy for TX45. The pre-IND consultation does not prevent the FDA from raising additional issues during the IND review. Additionally, in response to a Tectonic question about whether six minute walk distance was suitable as a pivotal endpoint in a registration study for the treatment of Group 2 PH / HFpEF, the FDA provided guidance that a six minute walk test is an acceptable assessment of functional capacity and could potentially support a label indication. Acceptance of an IND by the FDA is required before a Phase 2 clinical trial can be initiated in the U.S.</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Provided the Phase 1 and 2 studies obtain sufficient safety and efficacy data to justify proceeding to Phase 3, the conduct of Global Phase 3 pivotal studies including sites in the U.S., and additional non-clinical development work including scale-up of GMP manufacturing to commercial scale would also be needed to generate the data package necessary to support regulatory approval for marketing authorization in the U.S. through the submission of a Biologic License Application (BLA) to the FDA. We would also seek similar regulatory approvals through equivalent submissions to regulatory bodies in territories outside of the U.S.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Study, Status, Location</w:t>
            </w:r>
          </w:p>
        </w:tc>
        <w:tc>
          <w:tcPr>
            <w:tcW w:w="1860" w:type="dxa"/>
            <w:vAlign w:val="bottom"/>
            <w:vMerge w:val="restart"/>
          </w:tcPr>
          <w:p>
            <w:pPr>
              <w:spacing w:after="0"/>
              <w:rPr>
                <w:sz w:val="13"/>
                <w:szCs w:val="13"/>
                <w:color w:val="auto"/>
              </w:rPr>
            </w:pPr>
          </w:p>
        </w:tc>
        <w:tc>
          <w:tcPr>
            <w:tcW w:w="25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Study Design</w:t>
            </w:r>
          </w:p>
        </w:tc>
        <w:tc>
          <w:tcPr>
            <w:tcW w:w="220" w:type="dxa"/>
            <w:vAlign w:val="bottom"/>
          </w:tcPr>
          <w:p>
            <w:pPr>
              <w:spacing w:after="0"/>
              <w:rPr>
                <w:sz w:val="13"/>
                <w:szCs w:val="13"/>
                <w:color w:val="auto"/>
              </w:rPr>
            </w:pPr>
          </w:p>
        </w:tc>
        <w:tc>
          <w:tcPr>
            <w:tcW w:w="25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Treatments</w:t>
            </w:r>
          </w:p>
        </w:tc>
        <w:tc>
          <w:tcPr>
            <w:tcW w:w="140" w:type="dxa"/>
            <w:vAlign w:val="bottom"/>
          </w:tcPr>
          <w:p>
            <w:pPr>
              <w:spacing w:after="0"/>
              <w:rPr>
                <w:sz w:val="13"/>
                <w:szCs w:val="13"/>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Population and</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32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TX000045-001 Phase 1a (Ongoing)</w:t>
            </w:r>
          </w:p>
        </w:tc>
        <w:tc>
          <w:tcPr>
            <w:tcW w:w="25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Randomized, double- blind, SAD</w:t>
            </w:r>
          </w:p>
        </w:tc>
        <w:tc>
          <w:tcPr>
            <w:tcW w:w="220" w:type="dxa"/>
            <w:vAlign w:val="bottom"/>
          </w:tcPr>
          <w:p>
            <w:pPr>
              <w:spacing w:after="0"/>
              <w:rPr>
                <w:sz w:val="14"/>
                <w:szCs w:val="14"/>
                <w:color w:val="auto"/>
              </w:rPr>
            </w:pPr>
          </w:p>
        </w:tc>
        <w:tc>
          <w:tcPr>
            <w:tcW w:w="25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TX000045 or placebo</w:t>
            </w:r>
          </w:p>
        </w:tc>
        <w:tc>
          <w:tcPr>
            <w:tcW w:w="140" w:type="dxa"/>
            <w:vAlign w:val="bottom"/>
          </w:tcPr>
          <w:p>
            <w:pPr>
              <w:spacing w:after="0"/>
              <w:rPr>
                <w:sz w:val="14"/>
                <w:szCs w:val="14"/>
                <w:color w:val="auto"/>
              </w:rPr>
            </w:pPr>
          </w:p>
        </w:tc>
        <w:tc>
          <w:tcPr>
            <w:tcW w:w="23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Healthy male and female</w:t>
            </w:r>
          </w:p>
        </w:tc>
        <w:tc>
          <w:tcPr>
            <w:tcW w:w="0" w:type="dxa"/>
            <w:vAlign w:val="bottom"/>
          </w:tcPr>
          <w:p>
            <w:pPr>
              <w:spacing w:after="0"/>
              <w:rPr>
                <w:sz w:val="1"/>
                <w:szCs w:val="1"/>
                <w:color w:val="auto"/>
              </w:rPr>
            </w:pPr>
          </w:p>
        </w:tc>
      </w:tr>
      <w:tr>
        <w:trPr>
          <w:trHeight w:val="24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Australia</w:t>
            </w:r>
          </w:p>
        </w:tc>
        <w:tc>
          <w:tcPr>
            <w:tcW w:w="2540" w:type="dxa"/>
            <w:vAlign w:val="bottom"/>
          </w:tcPr>
          <w:p>
            <w:pPr>
              <w:spacing w:after="0"/>
              <w:rPr>
                <w:sz w:val="21"/>
                <w:szCs w:val="21"/>
                <w:color w:val="auto"/>
              </w:rPr>
            </w:pPr>
          </w:p>
        </w:tc>
        <w:tc>
          <w:tcPr>
            <w:tcW w:w="27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Single ascending IV and SC doses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subjects</w:t>
            </w:r>
          </w:p>
        </w:tc>
        <w:tc>
          <w:tcPr>
            <w:tcW w:w="0" w:type="dxa"/>
            <w:vAlign w:val="bottom"/>
          </w:tcPr>
          <w:p>
            <w:pPr>
              <w:spacing w:after="0"/>
              <w:rPr>
                <w:sz w:val="1"/>
                <w:szCs w:val="1"/>
                <w:color w:val="auto"/>
              </w:rPr>
            </w:pPr>
          </w:p>
        </w:tc>
      </w:tr>
      <w:tr>
        <w:trPr>
          <w:trHeight w:val="103"/>
        </w:trPr>
        <w:tc>
          <w:tcPr>
            <w:tcW w:w="14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74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per clinical study protocol: IV :</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Each cohort will have 8</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0.3mg/kg, 1mg/kg, 3mg/kg SC:</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subjects, 6 on TX45 and 2 on</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150mg, 300mg, 600mg</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placebo</w:t>
            </w:r>
          </w:p>
        </w:tc>
        <w:tc>
          <w:tcPr>
            <w:tcW w:w="0" w:type="dxa"/>
            <w:vAlign w:val="bottom"/>
          </w:tcPr>
          <w:p>
            <w:pPr>
              <w:spacing w:after="0"/>
              <w:rPr>
                <w:sz w:val="1"/>
                <w:szCs w:val="1"/>
                <w:color w:val="auto"/>
              </w:rPr>
            </w:pPr>
          </w:p>
        </w:tc>
      </w:tr>
      <w:tr>
        <w:trPr>
          <w:trHeight w:val="502"/>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Study, Status, Location</w:t>
            </w:r>
          </w:p>
        </w:tc>
        <w:tc>
          <w:tcPr>
            <w:tcW w:w="1860" w:type="dxa"/>
            <w:vAlign w:val="bottom"/>
            <w:vMerge w:val="restart"/>
          </w:tcPr>
          <w:p>
            <w:pPr>
              <w:spacing w:after="0"/>
              <w:rPr>
                <w:sz w:val="24"/>
                <w:szCs w:val="24"/>
                <w:color w:val="auto"/>
              </w:rPr>
            </w:pPr>
          </w:p>
        </w:tc>
        <w:tc>
          <w:tcPr>
            <w:tcW w:w="25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Study Design</w:t>
            </w:r>
          </w:p>
        </w:tc>
        <w:tc>
          <w:tcPr>
            <w:tcW w:w="220" w:type="dxa"/>
            <w:vAlign w:val="bottom"/>
          </w:tcPr>
          <w:p>
            <w:pPr>
              <w:spacing w:after="0"/>
              <w:rPr>
                <w:sz w:val="24"/>
                <w:szCs w:val="24"/>
                <w:color w:val="auto"/>
              </w:rPr>
            </w:pPr>
          </w:p>
        </w:tc>
        <w:tc>
          <w:tcPr>
            <w:tcW w:w="252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Treatments</w:t>
            </w:r>
          </w:p>
        </w:tc>
        <w:tc>
          <w:tcPr>
            <w:tcW w:w="14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Subject Population and</w:t>
            </w:r>
          </w:p>
        </w:tc>
        <w:tc>
          <w:tcPr>
            <w:tcW w:w="0" w:type="dxa"/>
            <w:vAlign w:val="bottom"/>
          </w:tcPr>
          <w:p>
            <w:pPr>
              <w:spacing w:after="0"/>
              <w:rPr>
                <w:sz w:val="1"/>
                <w:szCs w:val="1"/>
                <w:color w:val="auto"/>
              </w:rPr>
            </w:pPr>
          </w:p>
        </w:tc>
      </w:tr>
      <w:tr>
        <w:trPr>
          <w:trHeight w:val="193"/>
        </w:trPr>
        <w:tc>
          <w:tcPr>
            <w:tcW w:w="1420" w:type="dxa"/>
            <w:vAlign w:val="bottom"/>
            <w:tcBorders>
              <w:bottom w:val="single" w:sz="8" w:color="auto"/>
            </w:tcBorders>
            <w:vMerge w:val="continue"/>
          </w:tcPr>
          <w:p>
            <w:pPr>
              <w:spacing w:after="0"/>
              <w:rPr>
                <w:sz w:val="16"/>
                <w:szCs w:val="16"/>
                <w:color w:val="auto"/>
              </w:rPr>
            </w:pPr>
          </w:p>
        </w:tc>
        <w:tc>
          <w:tcPr>
            <w:tcW w:w="1860" w:type="dxa"/>
            <w:vAlign w:val="bottom"/>
            <w:vMerge w:val="continue"/>
          </w:tcPr>
          <w:p>
            <w:pPr>
              <w:spacing w:after="0"/>
              <w:rPr>
                <w:sz w:val="16"/>
                <w:szCs w:val="16"/>
                <w:color w:val="auto"/>
              </w:rPr>
            </w:pPr>
          </w:p>
        </w:tc>
        <w:tc>
          <w:tcPr>
            <w:tcW w:w="25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32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TX000045-002 Phase 1b (Ongoing)</w:t>
            </w:r>
          </w:p>
        </w:tc>
        <w:tc>
          <w:tcPr>
            <w:tcW w:w="2540" w:type="dxa"/>
            <w:vAlign w:val="bottom"/>
          </w:tcPr>
          <w:p>
            <w:pPr>
              <w:ind w:left="20"/>
              <w:spacing w:after="0" w:line="171" w:lineRule="exact"/>
              <w:rPr>
                <w:sz w:val="20"/>
                <w:szCs w:val="20"/>
                <w:color w:val="auto"/>
              </w:rPr>
            </w:pPr>
            <w:r>
              <w:rPr>
                <w:rFonts w:ascii="Times New Roman" w:cs="Times New Roman" w:eastAsia="Times New Roman" w:hAnsi="Times New Roman"/>
                <w:sz w:val="18"/>
                <w:szCs w:val="18"/>
                <w:color w:val="auto"/>
              </w:rPr>
              <w:t>Open-label single dose</w:t>
            </w:r>
          </w:p>
        </w:tc>
        <w:tc>
          <w:tcPr>
            <w:tcW w:w="220" w:type="dxa"/>
            <w:vAlign w:val="bottom"/>
          </w:tcPr>
          <w:p>
            <w:pPr>
              <w:spacing w:after="0"/>
              <w:rPr>
                <w:sz w:val="14"/>
                <w:szCs w:val="14"/>
                <w:color w:val="auto"/>
              </w:rPr>
            </w:pPr>
          </w:p>
        </w:tc>
        <w:tc>
          <w:tcPr>
            <w:tcW w:w="25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TX000045 0.3, 1, or 3 mg/kg IV</w:t>
            </w:r>
          </w:p>
        </w:tc>
        <w:tc>
          <w:tcPr>
            <w:tcW w:w="140" w:type="dxa"/>
            <w:vAlign w:val="bottom"/>
          </w:tcPr>
          <w:p>
            <w:pPr>
              <w:spacing w:after="0"/>
              <w:rPr>
                <w:sz w:val="14"/>
                <w:szCs w:val="14"/>
                <w:color w:val="auto"/>
              </w:rPr>
            </w:pPr>
          </w:p>
        </w:tc>
        <w:tc>
          <w:tcPr>
            <w:tcW w:w="232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Up to 25 patients with</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Moldova, Netherlands</w:t>
            </w:r>
          </w:p>
        </w:tc>
        <w:tc>
          <w:tcPr>
            <w:tcW w:w="2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PH-HFpEF, including</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approximately 12 patients with</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PVR&gt;3 WU</w:t>
            </w:r>
          </w:p>
        </w:tc>
        <w:tc>
          <w:tcPr>
            <w:tcW w:w="0" w:type="dxa"/>
            <w:vAlign w:val="bottom"/>
          </w:tcPr>
          <w:p>
            <w:pPr>
              <w:spacing w:after="0"/>
              <w:rPr>
                <w:sz w:val="1"/>
                <w:szCs w:val="1"/>
                <w:color w:val="auto"/>
              </w:rPr>
            </w:pPr>
          </w:p>
        </w:tc>
      </w:tr>
      <w:tr>
        <w:trPr>
          <w:trHeight w:val="319"/>
        </w:trPr>
        <w:tc>
          <w:tcPr>
            <w:tcW w:w="1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The 0.3 mg cohort will have 2</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patients enrolled followed by</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up to 12 patients in the 1 and 3</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mg/kg IV cohorts</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Phase 1a Trial</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Phase 1 randomized, placebo-controlled, double-blind study in healthy volunteers with TX45 is currently ongoing in Australia, and includes single ascending dose (SAD) and multiple dose cohorts. In the SAD portion of the trial, TX45 is being administered by intravenous (IV) or subcutaneous (SC) injection, and in the multiple dose portion TX45 is being administered subcutaneously. The primary objective of the Phase 1 study is to determine the safety and tolerability of TX45 after single doses in ascending dose levels. The number of patients in each dose cohort is eight, six on TX45 and two on placebo. Secondary objectives include the evaluation of the pharmacokinetic (PK) and pharmacodynamic (PD) properties of TX45 to determine a PK/PD relationship. The PD endpoint in this study is the percent change from baseline renal plasma flow (RPF).</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As of January 18, 2024, the first three cohorts (0.3 mg/kg IV, 1 mg/kg IV, 150 mg SC) of the single ascending dose portion of the Phase 1 study have been dosed with TX45. No drug-related SAEs have been observed thus far. Modeling of data available as of January 15, 2024 from these cohorts suggests that a single 1-2 mL injection of TX45 given once monthly (corresponding to a 150 mg and/or 300 mg dose) could be the target dose regimen. The bioavailability of TX45 after SC administration is approximately 50%. Evaluation of renal plasma flow on Day 2 after the initial starting dose administration of 0.3 mg/kg TX45 IV showed approximately 30% increase in RPF compared to baseline that was maintained on Day 8. There has been no evidence of immune-mediated clearance in subjects dosed with TX45.</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Phase 1b Trial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 Phase 1b study with TX45 in patients with Group 2 PH and HFpEF has been initiated in Moldova and is being conducted in Moldova and the Netherlands. The study will enroll up to 25 patients with PH-HFpEF and approximately 12 patients will have elevated PVR (CpcPH). This study is a single dose, open-label study with intravenous administration of TX45 to evaluate the safety, tolerability and acute hemodynamic effects in patients. The doses of TX45 administered in this study will be 0.3 mg/kg IV, 1 mg/kg IV, and 3 mg/kg IV. The study will evaluate the change from baseline in pulmonary vascular resistance (PVR) as determined by right heart catheterization, as well as improvement in mean pulmonary artery pressure, pulmonary wedge pressure, cardiac output, systemic vascular resistance. We will explore change in NT-proBNP and several echocardiology endpoints.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Planned Phase 2 Proof of Concept Study in Group 2 PH and HFpEF after 24 weeks of treatment.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planned TX45 Phase 2 randomized, placebo-controlled, double-blind proof-of-concept (POC) clinical trial in patients with Group 2 PH and HFpEF is expected to begin in the second half of 2024 and will be conducted globally, including the U.S., Europe, Eastern Europe and Australia. Initiation of this study is contingent on data from the Phase 1a study demonstrating adequate safety and sufficient data to select doses and dose intervals for the Phase 2 study. This study is designed to enrich for patients with a PVR of &gt;3 on baseline right heart catheterization with the goal of evaluating efficacy in both CpcPH as well as the whole Group 2 PH population with HFpEF. We currently expect that approximately 180 subjects will enter the trial. Each subject will be randomized to one of two treatment arms or a placebo arm. In this study, TX45 or placebo would be administered by subcutaneous injection for 24-weeks followed by an 8-week follow-up period. Endpoints may include the change from baseline in PVR, stroke volume index, cardiac output, and additional hemodynamic measures as determined by right heart catheterization, 6-minute walk distance, Kansas City Cardiomyopathy Questionnaire-12 score, NT-proBNP blood level, and relevant echocardiography endpoints.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Group 2 PH with HFpEF Anticipated Pivotal Development Pathway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Subject to the results of our Phase 2 trials and feedback received during the End of Phase 2 meeting with the FDA, we expect to initiate a randomized, placebo-controlled, double-blind Phase 3 clinical trial in Group 2 PH patients with HFpEF, as well as long term, open label extension study for safety evaluation. Based on historical precedent across multiple PH subtypes and our Pre-IND consultation with the FDA regarding the specific requirements for approval in Group 2 PH with HFpEF, we believe that the achievement of a clinically significant change in a functional endpoint, such as 6-minute walk distance could be sufficient for approval. The secondary endpoints may also include change from baseline to week 24 in: KCCQ-12 score, NT-proBNP level, and the percentage who improve in WHO functional class. An additional secondary endpoint may be the time to the first occurrence of a clinical worsening event or death. At this time, we do not anticipate that an assessment of TX45’s impact on long term cardiovascular outcomes will be a requirement for approval. Commercialization in the U.S. and other countries will be contingent on approval by the regulatory authorities (the FDA in the U.S.) and an assessment by the regulators that the studies were conducted in accordance with accepted guidance and the data demonstrated that there was a positive benefit risk for patients.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HHT Opportunity</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Hereditary Hemorrhagic Telangiectasia (HHT), also known as Osler-Weber-Rendu syndrome, is the second most common genetic bleeding disorder. It has been estimated that there are approximately 70,000-75,000 HHT patients in the USA and it has also been estimated that up to 10-20% of them have severe disease. Symptoms of this disorder typically arise in late teenage years or older, and the most common manifestation is recurrent epistaxis (nosebleeds), or gastrointestinal bleeding, that can be severe in some patients, requiring iron infusions or blood transfusions, Epistaxis is typically due to abnormal small blood vessels (telangiectasias) in the nasal mucosa. Patients with HHT can also develop large arterio-venous malformations (AVMs) in various organs, such as the brain, liver and lung. The presence of liver AVMs can lead to high output heart failure. AVMs can spontaneously bleed on occasion with potentially devastating results. While some AVMs can be treated by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radiologic embolization, such as AVMs in the lung, others cannot, especially in the liver. Indeed, for patients with prominent liver AVMs, the only therapeutic option may be transplantation.</w:t>
      </w:r>
    </w:p>
    <w:p>
      <w:pPr>
        <w:spacing w:after="0" w:line="16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While there are no approved medical therapies for HHT, anti-VEGF therapies including bevacizumab have been used on an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basis with results demonstrating that an anti-angiogenic therapy has the potential to be an efficacious treatment. These therapies have been shown to reduce angiogenesis and bleeding in mouse models of HHT. Importantly, these data have translated to the clinic, as small investigator-sponsored trials in HHT patients have demonstrated reduced epistaxis episodes and reduced transfusion dependence. The effects of anti-VEGF therapy suggest that targeting an alternative pathway, similar to the VEGF-VEGFR pathway in its ability to more specifically regulate angiogenesis, could be a productive strategy to address HHT. In addition to bevacizumab, pazopanib, a tyrosine kinase inhibitor, has been explored in small investigator-initiated studies with early suggestion of clinical benefit.</w:t>
      </w:r>
    </w:p>
    <w:p>
      <w:pPr>
        <w:spacing w:after="0" w:line="18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HHT is a genetic disorder due to loss-of-function mutations in proteins in the BMP9/10-Endoglin-ALK1- SMAD4 signaling pathway. BMP9 is a member of the TGF-beta family of growth factors that regulate blood vessel development. “GPCR3” (the specific GPCR target is not disclosed at this stage) and its ligand (“L3”) have been described to play a role in angiogenesis and AVM formation. Expression of L3 is also upregulated in HHT disease models and likely contributes to the development of abnormal blood vessels.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 Candidate for the Treatment of HHT</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identified potential development candidates, from which one could be selected for further development as a potential treatment for HHT. These comprise a potent inhibitory anti-“GPCR3” antibody (VHH) fused to the Fc portion of IgG1. The Fc portion of these molecules was modified to reduce Fcg receptor activation and to increase binding to FcRn, in order to extend the half-life of the molecules.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Pharmacology Studies</w:t>
      </w:r>
    </w:p>
    <w:p>
      <w:pPr>
        <w:spacing w:after="0" w:line="12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Several murine models of HHT have been established. These include both genetic loss-of-function models that disrupt the BMP9/10-Endoglin-ALK1-SMAD4 signaling pathway at different points, and the BMP9/10 immunoblocked model. In these murine models of HHT, anti-VEGF or anti-VEGF receptor agents reduce AVM formation and bleeding. As referenced above, since bevacizumab, an anti-VEGF monoclonal antibody, has been shown to have a clinical impact in HHT patients at reducing epistaxis, the mouse models appear to be predictive of these human impacts. Despite these signs of clinical utility, neither bevacizumab nor small molecule VEGF receptor inhibitors have been approved for the treatment of HHT and they are not widely used likely because of the lack of approval, concerns about toxicity and lack of adequate information about dose. We have established a pharmacodynamic model of neonatal murine retinal angiogenesis. In this model, treatment with a potent mouse “GPCR3” Nanobody-Fc antagonist reduces neo-angiogenesis and the vascularized area in the neonatal mouse retina. We have also established the BMP9/10-immunoblocked mouse model of HHT. This model reliably leads to the development of hypervascularization, AVMs and bleeding in organs including the eye, GI tract and brain. In this model, our “GPCR3” antagonist significantly reduces both arteriovenous malformations formation (AVM) and retinal hypervascularization induced by BMP9/BMP10 blockade to a similar degree as a VEGF antagonist (Figure 11), N=7 retinas were used for AVM number determination. This demonstrates that pharmacologic inhibition of GPCR3 provides significant effects on endpoints relevant to HHT patients. Additional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characterizing the effects of “GPCR3” antagonism on additional HHT relevant vascular pathology endpoints in mice are planned.</w:t>
      </w: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217170</wp:posOffset>
            </wp:positionV>
            <wp:extent cx="4817745" cy="2254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177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color w:val="auto"/>
        </w:rPr>
        <w:t>Figure 11 – Anti-“GPCR3” Antibody Treatment Significantly Reduces AVM Formation and Reduces Retinal Hypervascularization Induced by BMP9/10 Blockade Compared to Treatment with Inactive Control Antibody (IgG2a/2b). Left Panel: Determination of AVM number and right panel; determination of vascular density in the retinal plexus in neonatal mice at P6 comparing “GPCR3” antagonist, isotope control antibody and a VEGF-A antibody antagonist. In all cases, data analysis was blinded. Data are mean ± SEM and analyzed using one-way ANOVA. * p&lt;0.05; **** p&lt;0.0001. Data represents N=7 mice per group. The vascular density values were generated by collecting five 200 x 200 mm2 from different fields per retina and analyzed using the ImageJ, measure particles tool software. AVM and vascular density analysis was carried out in a blinded fashion.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Plans</w:t>
      </w:r>
    </w:p>
    <w:p>
      <w:pPr>
        <w:spacing w:after="0" w:line="121"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Provided that it meets acceptable safety, tolerability and developability criteria in upcoming studies, we expect to select a development candidate (DC) in the second half of 2024 and anticipate initiating clinical studies, which could begin in the fourth quarter of 2025 or the first quarter of 2026.</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Phase 1 program for this DC would consist of a randomized, placebo-controlled, double-blind ascending-dose study that would be performed in healthy volunteers. Likely primary endpoints would be the safety and tolerability of the DC in these subjects, and likely secondary endpoints would be the pharmacokinetic properties of the DC and potentially PD endpoints in patients with HHT. Assuming adequate PK and safety are established in Phase 1, efficacy stud(ies) including a Phase 2 randomized, placebo-controlled, double-blind 3-month proof of concept (POC) study in HHT patients with frequent epistaxis and anemia would be conducted.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GEODeTM Platform</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our GEODeTM platform has the potential to advance the field of biologic drugs targeted to GPCRs. To date, only 12% of the more than 800 GPCRs in the human body have been successfully translated into targets for approved therapeutics with biologics representing only three of those approvals. GPCRs have proven to be elusive targets for biologics largely due to their dynamic structure and expression levels in the plasma membrane and the difficulty of translating them in a functional form outside of their native lipid microenvironment.</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majority of successful GPCR targeted therapeutics to date are small molecules, however, the success of this modality has been largely confined to just 6 GPCR subfamilies, many of which have a natural ligand that is also a small molecule. Establishing and maintaining target engagement and selectivity, therefore, for small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molecules has proven challenging for receptors of increased size and complexity, greater sequence homology in ligand binding sites, or where subfamilies have overlapping ligands.</w:t>
      </w:r>
    </w:p>
    <w:p>
      <w:pPr>
        <w:spacing w:after="0" w:line="162"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GEODeTM was developed with the aim of addressing the challenges of GPCR targeted biologics via a combination of (1) GPCR protein engineering strategies that stabilize the pharmacologically relevant form of the receptor and increase the cell surface receptor expression, enabling purification and formulation of the receptor at scale and in the correct conformation for naïve antibody selection campaigns; (2) using an optimized cell free yeast display platform with proprietary, highly diverse Fab and VHH antibody libraries designed to target GPCRs; and (3) structure-guided protein engineering strategies to identify optimal GPCR targeted biologics. The original platform technology was developed in Dr. Andrew Kruse’s lab at Harvard. This platform technology included yeast display selection protocols, first generation Fab and VHH library designs and protocols to detergent solubilize GPCRs. Our team has made significant changes and modifications to the original platform to optimize the quality of the molecules emerging from its naïve selections and affinity maturations including optimization of its receptor design strategy, the design of its naive and affinity maturation libraries and of the yeast display selection protocols.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of Our Expertise in GPCRs and mAb Discovery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optimized GPCR-targeted antibody discovery process comprises the following steps:</w:t>
      </w:r>
    </w:p>
    <w:p>
      <w:pPr>
        <w:spacing w:after="0" w:line="113" w:lineRule="exact"/>
        <w:rPr>
          <w:sz w:val="20"/>
          <w:szCs w:val="20"/>
          <w:color w:val="auto"/>
        </w:rPr>
      </w:pPr>
    </w:p>
    <w:p>
      <w:pPr>
        <w:ind w:left="120" w:firstLine="436"/>
        <w:spacing w:after="0" w:line="256"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Optimization, stabilization, and formulation of GPCRs </w:t>
      </w:r>
      <w:r>
        <w:rPr>
          <w:rFonts w:ascii="Times New Roman" w:cs="Times New Roman" w:eastAsia="Times New Roman" w:hAnsi="Times New Roman"/>
          <w:sz w:val="18"/>
          <w:szCs w:val="18"/>
          <w:color w:val="auto"/>
        </w:rPr>
        <w:t>using proprietary protein engineering and biochemistry techniques, to produce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sufficient target material in the correct conformation, as a reagent for discovery campaigns. We use structure-based homology modeling and prediction to engineer changes to the receptor that can bias it into an active or inactive state. These changes can also increase receptor cell surface expression and stability. Also, because the lipid bilayer surrounding a receptor can strongly affect its activation, we have developed techniques to present our targets in a variety of different membrane mimetics that recapitulate the lipid bilayer environment that the receptor is embedded in. We have also taken a machine learning guided protein engineering approach to generate G-protein mimetics that can stabilize GPCRs in their active state conformation. This stabilized protein complex can be used to discover agonist antibodies during yeast display selection campaigns.</w:t>
      </w:r>
    </w:p>
    <w:p>
      <w:pPr>
        <w:spacing w:after="0" w:line="182" w:lineRule="exact"/>
        <w:rPr>
          <w:rFonts w:ascii="Times New Roman" w:cs="Times New Roman" w:eastAsia="Times New Roman" w:hAnsi="Times New Roman"/>
          <w:sz w:val="18"/>
          <w:szCs w:val="18"/>
          <w:color w:val="auto"/>
        </w:rPr>
      </w:pPr>
    </w:p>
    <w:p>
      <w:pPr>
        <w:ind w:left="120" w:right="260" w:firstLine="436"/>
        <w:spacing w:after="0" w:line="262"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Optimized and streamlined yeast display antibody selection protocols </w:t>
      </w:r>
      <w:r>
        <w:rPr>
          <w:rFonts w:ascii="Times New Roman" w:cs="Times New Roman" w:eastAsia="Times New Roman" w:hAnsi="Times New Roman"/>
          <w:sz w:val="18"/>
          <w:szCs w:val="18"/>
          <w:color w:val="auto"/>
        </w:rPr>
        <w:t>that minimize false positive hits from non-specific binders and can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productively pull initial hits from antibody discovery campaigns. We employ antibody libraries designed and optimized for targeting GPCRs, novel tagging strategies, and make extensive use of automated workflow. In some circumstances we compare multiple antibody discovery approaches, including animal immunization for generating initial hits against targets of interest.</w:t>
      </w:r>
    </w:p>
    <w:p>
      <w:pPr>
        <w:spacing w:after="0" w:line="176" w:lineRule="exact"/>
        <w:rPr>
          <w:rFonts w:ascii="Times New Roman" w:cs="Times New Roman" w:eastAsia="Times New Roman" w:hAnsi="Times New Roman"/>
          <w:sz w:val="18"/>
          <w:szCs w:val="18"/>
          <w:color w:val="auto"/>
        </w:rPr>
      </w:pPr>
    </w:p>
    <w:p>
      <w:pPr>
        <w:ind w:left="120" w:right="100" w:firstLine="436"/>
        <w:spacing w:after="0" w:line="286"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throughput GPCR binding assessment </w:t>
      </w:r>
      <w:r>
        <w:rPr>
          <w:rFonts w:ascii="Times New Roman" w:cs="Times New Roman" w:eastAsia="Times New Roman" w:hAnsi="Times New Roman"/>
          <w:sz w:val="18"/>
          <w:szCs w:val="18"/>
          <w:color w:val="auto"/>
        </w:rPr>
        <w:t>to confirm binding of purified antibodies to target of interest. This step enables rapid narrowing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set of initial hits to focus on the most productive options available.</w:t>
      </w:r>
    </w:p>
    <w:p>
      <w:pPr>
        <w:spacing w:after="0" w:line="154" w:lineRule="exact"/>
        <w:rPr>
          <w:rFonts w:ascii="Times New Roman" w:cs="Times New Roman" w:eastAsia="Times New Roman" w:hAnsi="Times New Roman"/>
          <w:sz w:val="18"/>
          <w:szCs w:val="18"/>
          <w:color w:val="auto"/>
        </w:rPr>
      </w:pPr>
    </w:p>
    <w:p>
      <w:pPr>
        <w:jc w:val="both"/>
        <w:ind w:left="120" w:right="720" w:firstLine="436"/>
        <w:spacing w:after="0" w:line="268"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GPCR signaling assays </w:t>
      </w:r>
      <w:r>
        <w:rPr>
          <w:rFonts w:ascii="Times New Roman" w:cs="Times New Roman" w:eastAsia="Times New Roman" w:hAnsi="Times New Roman"/>
          <w:sz w:val="18"/>
          <w:szCs w:val="18"/>
          <w:color w:val="auto"/>
        </w:rPr>
        <w:t>to confirm that hits which were identified in the selection campaign and confirmed as target binders, are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functionally active to modulate signaling through the target of interest. We have implemented a wide range of signaling assays that can support characterization of hits against different GPCR targets.</w:t>
      </w:r>
    </w:p>
    <w:p>
      <w:pPr>
        <w:spacing w:after="0" w:line="170" w:lineRule="exact"/>
        <w:rPr>
          <w:rFonts w:ascii="Times New Roman" w:cs="Times New Roman" w:eastAsia="Times New Roman" w:hAnsi="Times New Roman"/>
          <w:sz w:val="18"/>
          <w:szCs w:val="18"/>
          <w:color w:val="auto"/>
        </w:rPr>
      </w:pPr>
    </w:p>
    <w:p>
      <w:pPr>
        <w:ind w:left="120" w:right="460" w:firstLine="436"/>
        <w:spacing w:after="0" w:line="286"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Antibody Lead optimization </w:t>
      </w:r>
      <w:r>
        <w:rPr>
          <w:rFonts w:ascii="Times New Roman" w:cs="Times New Roman" w:eastAsia="Times New Roman" w:hAnsi="Times New Roman"/>
          <w:sz w:val="18"/>
          <w:szCs w:val="18"/>
          <w:color w:val="auto"/>
        </w:rPr>
        <w:t>via affinity maturation to further improve either potency, selectivity, cross-species reactivity, developability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characteristics or any combination of the above.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Collaboration, License and Services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Harvard Option and License Agreement</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July 2020, we entered into an option agreement with the President and Fellows of Harvard College (“Harvard”) and obtained an option to negotiate a license under Harvard’s interest in certain patent rights (the “Patent Rights”) in exchange for an option fee in the low five digits. In October 2021, we exercised the option and in February 2022 entered into a license agreement with Harvard (the “Harvard License Agreement”). Under the Harvard License Agreement, we obtained (i) an exclusive, worldwide, royalty-bearing license under Harvard’s interests in the Patent Rights, and (ii) a non-exclusive, worldwide, royalty-bearing license to use Harvard’s interest in certain know-how to develop, manufacture and commercialize licensed products and know-how enabled products, and (iii) a non-exclusive, worldwide, royalty-bearing license to use discovery materials to develop, manufacture and commercialize discovered products. Harvard retained the right for itself and for other not-for-profit research organizations and government agencies to practice the Patent Rights and to use Harvard’s know-how and discovery materials within the scope of the license granted for research, educational and scholarly purposes.</w:t>
      </w:r>
    </w:p>
    <w:p>
      <w:pPr>
        <w:spacing w:after="0" w:line="188"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are required to use commercially reasonable efforts to develop royalty-bearing products and, once regulatory approval is received, to introduce and market such products into the commercial market and to make such products available at locally-affordable prices in certain countries outside the United States and Europe. We are also required to meet certain development and commercialization diligence milestones within specified time periods.</w:t>
      </w:r>
    </w:p>
    <w:p>
      <w:pPr>
        <w:spacing w:after="0" w:line="15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partial consideration for the Harvard License Agreement, we agreed to pay Harvard a one-time license fee of $170,000, with such fee to be paid in equal installments over three years. In July 2022, we paid Harvard $56,666 and in July 2023 we paid Harvard $56,667. The final installment of $56,667 under the Harvard License Agreement is due in July 2024. As partial consideration for the Harvard License Agreement, we entered into a subscription agreement with Harvard in July 2022, pursuant to which Harvard was granted 227,486 shares of common stock of Legacy Tectonic with a fair market value in the mid six digits.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are required to pay an annual maintenance fee ranging from the low five digits to the low six digits until the first commercial sale of a royalty-bearing product, following which the annual maintenance fee will increase to a low six digits for the remainder of the term of the Harvard License Agreement. We are required to pay a one-time milestone payment of $100,000 for each discovered product granted FDA marketing authorization as well as for the first licensed product or know-how enabled product to reach certain clinical development milestones, up to $8.5 million and for the first licensed product or know-how enabled product to reach certain commercial milestones, up to $2.0 million. We are also obligated to pay tiered royalties as a percentage in the low single digits on net sales of licensed products, as a percentage in the low single digits on the net sales of know-how enabled products and a single royalty as a percentage in the low single digits on the net sales of discovered products, subject to a reduction for third-party licenses, as well as a percentage between 10-20% of non-royalty income we receive in connection with a sublicense, strategic partnership or know-how enabled license. With respect to any net sales of licensed products and know-how enabled products sold in certain countries outside of the United States and Europe, our team and Harvard will negotiate a royalty percentage on a country-by-country basis.</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Harvard License Agreement expires upon the later of: (i) the expiry of the last valid claim within the licensed patent rights, expected to be not earlier than May 2041; and (ii) the earlier of (a) ten years after the first commercial sale of the first know-how enabled product or (b) twelve years after the first commercial sale of the first licensed product. Harvard may terminate the Harvard License Agreement if we fail to maintain insurance at specified levels or fails to comply with the notice requirements therein, upon our uncured material breach or insolvency. We may terminate the Harvard License Agreement at any time with or without cause upon a specified notice period and upon an uncured material breach by Harvard.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WuXi Master Development and Manufacturing Services Agreement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On May 6, 2022, we entered into a development and manufacturing agreement (the “WuXi Biologics Manufacturing Agreement”) with WuXi Biologics. The WuXi Biologics Manufacturing Agreement governs the general terms under which WuXi Biologics, or one of its affiliates, will provide biologics development and manufacturing services as specified by our team on a project-by-project basis. Such services are performed under agreed-upon work orders. Under the terms of the WuXi Biologics Manufacturing Agreement, we have agreed to pay fees for WuXi Biologics’ performance of services in addition to reimbursing WuXi Biologics for reasonable expenses authorized by us and as provided in each applicable work order.</w:t>
      </w:r>
    </w:p>
    <w:p>
      <w:pPr>
        <w:spacing w:after="0" w:line="16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term of the WuXi Biologics Manufacturing Agreement will expire on the later of May 6, 2025 or the completion of the services under all work orders executed by the parties prior to May 6, 2025, provided that the term may be extended by our team for additional periods. We will have the right to terminate the WuXi Biologics Manufacturing Agreement or any work order upon thirty days’ prior written notice or immediately if, in our reasonable judgment, WuXi Biologics is or will be unable to perform the Services or WuXi Biologics fails to obtain or maintain any necessary licenses or approvals. Either party may terminate the WuXi Biologics Manufacturing Agreement or any work order if the other party files for bankruptcy, fails to cure a material breach during the cure period or a force majeure event that has lasted for the time period specified within the WuXi Biologics Manufacturing Agreement. WuXi Biologics has the right to terminate if the parties are unable to reach an agreement on an amendment to the services if such services become impossible due solely to changes in applicable law. The term of each work order terminates upon completion of the services under such work order, unless terminated earlier.</w:t>
      </w:r>
    </w:p>
    <w:p>
      <w:pPr>
        <w:spacing w:after="0" w:line="188"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WuXi Biologics Manufacturing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Novotech Master Clinical Contract Services Agreement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March 2023, we entered into a master clinical contract services agreement (the “Novotech CSA”) with Novotech (Australia) Pty Limited (“Novotech”). The Novotech CSA governs the general terms under which Novotech, or one of its affiliates, will provide clinical development related services (excluding manufacturing services) as specified by our team on a project-by-project basis. Such services are performed under agreed statements of work. Under the terms of the Novotech CSA, we have agreed to pay fees for Novotech’s performance of services in addition to reimbursing Novotech for reasonably incurred, pass through costs agreed to by our team and as provided in each applicable statement of work. Additionally, under the terms of the Novotech CSA, all documentation, information, and biological, chemical or other materials controlled by us and furnished to Novotech by or on behalf of us shall remain our exclusive property, and we shall own all rights to, and Novotech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Novotech’s service, except for Novotech’s background intellectual property rights as defined under the Agreement.</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term of the Novotech CSA will expire on the later of (i) five years from the effective date of the Novotech CSA, or March 2028, or (ii) the completion of the services under all statements of work executed prior to the fifth anniversary of the effective date of the Novotech CSA, or March 2028. We may terminate the Novotech CSA or any statement of work thereunder immediately if Novotech has committed an uncurable breach or has failed to cure a breach after thirty days’ written notice. We may also terminate the Novotech CSA or any statement of work thereunder for any reason upon thirty days’ prior written notice to Novotech. Novotech may terminate the Novotech CSA or any statement of work thereunder immediately if we have failed to cure a material breach after thirty days’ written notice.</w:t>
      </w:r>
    </w:p>
    <w:p>
      <w:pPr>
        <w:spacing w:after="0" w:line="187"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Novotech CSA includes customary terms relating to, among others, indemnification, intellectual property protection, confidentiality, non-solicitation, remedies and warranties.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ARENSIA Master Agreement for Early Phase Clinical Services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2023, we entered into a master agreement for early phase clinical services (the “Arensia CSA”) with ARENSIA Exploratory Medicine GmbH (“Arensia”). The Arensia CSA governs the general terms under which Arensia, or one of its affiliates, will provide early phase clinical research services in connection with clinical research programs as specified by us on a project-by-project basis. Such services are performed under agreed work orders. Under the terms of the Arensia CSA, we have agreed to pay fees for Arensia’s performance of services in addition to reimbursing Arensia for pre-approved, reasonable expenses actually and necessarily incurred by Arensia as specified in each applicable work order.</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term of the Arensia CSA will expire on the later of: (i) five years from the effective date of the Arensia CSA, or October 2028, or (ii) the completion of the services under all work orders executed prior to the fifth anniversary of the effective date of the Arensia CSA, or October 2028. Work orders shall expire upon the completion of the services specified thereunder, provided that we may terminate a work order if the study governed by such work order is suspended for more than thirty days and either party may terminate a work order for reasonable scientific safety reasons. We may terminate the Arensia CSA in its entirety for any reason upon thirty days’ prior written notice to Arensia. Either party may terminate the Arensia CSA or any statement of work thereunder immediately if the other party has failed to cure a material breach after thirty days’ written notice or for the other party’s insolvency.</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Arensia CSA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QPS Holdings Master Contract Services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2023, we entered into a master contract services agreement (the “QPS Agreement”) with QPS Holdings, LLC (“QPS”). The QPS Agreement governs the general terms under which QPS, or one of its affiliates, will provide services (excluding GMP manufacturing and clinical development related services) as specified by us on a project-by-project basis. Such services are performed under agreed statements of work. Under the terms of the QPS Agreement, we have agreed to pay for QPS’s performance of the services as specified in the applicable statement of work. Additionally, under the terms of the QPS Agreement, all documentation, information, and biological, chemical or other materials controlled by us and furnished to QPS by or on our behalf shall remain our exclusive property, and we shall own all rights to, and QPS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QPS’s services.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 of the QPS Agreement will expire on the later of: (i) two years from the effective date of the QPS Agreement, or October 2025, or</w:t>
      </w:r>
    </w:p>
    <w:p>
      <w:pPr>
        <w:spacing w:after="0" w:line="27" w:lineRule="exact"/>
        <w:rPr>
          <w:sz w:val="20"/>
          <w:szCs w:val="20"/>
          <w:color w:val="auto"/>
        </w:rPr>
      </w:pPr>
    </w:p>
    <w:p>
      <w:pPr>
        <w:ind w:left="120" w:hanging="4"/>
        <w:spacing w:after="0" w:line="253" w:lineRule="auto"/>
        <w:tabs>
          <w:tab w:leader="none" w:pos="3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services under all work orders executed prior to the second anniversary of the effective date of the QPS Agreement, or October 2025. We may terminate the QPS Agreement or any statement of work thereunder for any reason upon thirty days’ prior written notice or immediately if QPS commits an uncurable breach of the QPS Agreement. QPS may terminate the QPS Agreement or any statement of work thereunder if we have failed to cure a material breach after thirty days’ written notice or may terminate the QPS Agreement for any reason upon sixty days’ prior written notice provided there are no active statements of work outstanding.</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QPS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ITR LABORATORIES Master Contract Services Agreement</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 February 2022, we entered into a master contract services agreement (the “ITR Agreement”) with ITR Laboratories Canada Inc. (“ITR”). The ITR Agreement governs the general terms under which ITR, or one of 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affiliates, will provide services (excluding GMP manufacturing and clinical development related services) as specified by us on a project-by-project basis. Such services are performed under agreed statements of work. Under the terms of the ITR Agreement, we have agreed to pay for ITR’s performance of the services as specified in the applicable statement of work. Additionally, under the terms of the ITR Agreement, all documentation, information, and biological, chemical or other materials controlled by us and furnished to ITR by or on our behalf shall remain our exclusive property, and we shall own all rights to, and ITR shall assigns all right, title and interest to, all inventions, discoveries, improvements, ideas, processes, formulations, products, co computer programs, works of authorship, databases, trade secrets, know-how, information, data, documentation, reports, research, creations and all other products and/or materials arising from or made in the performance of ITR’s services.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 of the ITR Agreement will expire on the later of (i) two years from the effective date of the ITR Agreement, or February 2024; or (ii) the completion of the services under all work orders executed prior to the second anniversary of the effective date of the ITR Agreement, or February 2024. we may terminate the ITR Agreement or any statement of work thereunder for any reason upon thirty days’ prior written notice or immediately if ITR commits an uncurable breach of the ITR Agreement. ITR may terminate the ITR Agreement or any statement of work thereunder if we have failed to cure a material breach after thirty days’ written notice or may terminate the ITR Agreement for any reason upon sixty days’ prior written notice provided there are no active statements of work outstanding.</w:t>
      </w:r>
    </w:p>
    <w:p>
      <w:pPr>
        <w:spacing w:after="0" w:line="18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ITR Agreement includes customary terms relating to, among others, indemnification, intellectual property protection, confidentiality, remedies and warranties.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United States and in jurisdictions outside of the United States related to our proprietary technology, inventions, improvements, platforms and our product candidates that are important to the development and implementation of our business.</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As of July 6, 2024, our patent portfolio includes two pending U.S. non-provisional applications, one pending international (Patent Cooperation Treaty) application, and nineteen pending foreign applications relating to Fc-relaxin fusion protein compositions (including TX45) and methods of use thereof. Specifically, we have exclusively in-licensed one patent family from the President and Fellows of Harvard College that consists of one pending U.S. non-provisional patent application and nine pending foreign applications in Australia, Canada, China, Europe, Israel, Japan, Korea, Mexico, and Singapore, with any patent issuing from these applications having an expected 20-year expiry date of not earlier than May 2041. We also wholly own two patent families; the first family consists of one pending U.S. non-provisional patent application and nine pending foreign applications in Australia, Canada, China, Europe, Israel, Japan, Korea, Mexico, and Singapore, with any patent issuing from these applications having an expected 20-year expiry date of not earlier than November 2042, and the second family consists of one pending Patent Cooperation Treaty application and one pending foreign application in Taiwan, with any patent issuing from these applications having an expected 20-year expiry date of not earlier than May 2044. We also co-own one patent family with ModernaTX, Inc., which consists of one pending Patent Cooperation Treaty application relating to constitutively active modified G protein-coupled receptors and methods of use thereof, with any patent issuing from this application having an expected 20-year expiry date of not earlier than August 2043. Individual patents extend for varying periods depending on the date of filing of the patent application or the date of patent issuance and the legal term of patents in the countries in which they are obtained. Generally, patents issued for regularly filed applications in the United States are granted a term of 20 years from the earliest effective non-provisional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 by 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we rely upon trade secrets and know-how and continuing technological innovation to develop and maintain its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92"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Our commercial success will also depend in part on not infringing upon the proprietary rights of third parties. It is uncertain whether the issuance of any third-party patent would require us to alter our development or commercial strategies, or its product candidates or processes, obtain licenses or cease certain activities. Our breach of any license agreements or failure to obtain a license to proprietary rights that we may require to develop or commercialize our future product candidates may have an adverse impact on us. If third parties have prepared and filed patent applications prior to March 16, 2013 in the United States that also claim technology to which we have rights, we may have to participate in interference proceedings in the USPTO, to determine priority of invention. For more information, please see “</w:t>
      </w:r>
      <w:r>
        <w:rPr>
          <w:rFonts w:ascii="Times New Roman" w:cs="Times New Roman" w:eastAsia="Times New Roman" w:hAnsi="Times New Roman"/>
          <w:sz w:val="17"/>
          <w:szCs w:val="17"/>
          <w:i w:val="1"/>
          <w:iCs w:val="1"/>
          <w:color w:val="auto"/>
        </w:rPr>
        <w:t>Risk Factors — Risks Related to Intellectual Property</w:t>
      </w:r>
      <w:r>
        <w:rPr>
          <w:rFonts w:ascii="Times New Roman" w:cs="Times New Roman" w:eastAsia="Times New Roman" w:hAnsi="Times New Roman"/>
          <w:sz w:val="17"/>
          <w:szCs w:val="17"/>
          <w:color w:val="auto"/>
        </w:rPr>
        <w: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Given our stage of development, we have not yet established a commercial organization or distribution capabilities.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lead product candidate TX45. We currently rely, and expect to continue to rely for the foreseeable future, on third-party contract manufacturing organizations, or CMOs, to produce our product candidates for preclinical and clinical testing, as well as for future commercial manufacture of any products that we may commercialize.</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require our CMOs to conduct manufacturing activities in compliance with current good manufacturing practice, or cGMP, requirements. We have assembled a team of experienced employees and consultants to provide the necessary technical, quality and regulatory oversight over its CMOs. Currently, we contract with one third-party manufacturer, WuXi Biologics, to provide biologics development and manufacturing services. In the future, we may engage additional third-party manufacturers to support any clinical trials for TX45 as well as commercialization of TX45, if approved, in the United States or other jurisdictions or the clinical development and potential commercialization of additional programs from its pipeline.</w:t>
      </w:r>
    </w:p>
    <w:p>
      <w:pPr>
        <w:spacing w:after="0" w:line="183"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rely on WuXi Biologics to perform all chemistry, manufacturing, and controls (“CMC”) activities related to our TX45 program. We require that WuXi Biologics produces bulk drug substances and finished drug products in accordance with current Good Manufacturing Practices (“cGMPs”), and all other applicable laws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regulations. In addition, we rely on WuXi Biologics to operate facilities that meet regulatory requirements for production and testing of clinical and commercial products and to work closely with us to validate manufacturing processes prior to commercial launch. We oversee WuXi Biologics by performing technical and quality assurance review and/or approval of cGMP documentation, establishing quality agreements to define responsibilities and expectations for goods and services, and observing production and testing activities, among other activities.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However, we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with their collaborations,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face competition from companies that are pursuing development of engineered proteins based on human relaxin including Lilly and AstraZeneca, both of whom are currently conducting Phase 2 trials. To our knowledge, neither of these companies have a specific focus on the Group 2 PH / HFpEF population, and, instead, are pursuing either the broader HFpEF population (Lilly) or Group 2 PH in the setting of either HFpEF or HFrEF (AstraZeneca). AstraZeneca has also reported efforts with a small molecule agonist of the RXFP1 receptor and recently initiated a Phase 2 clinical trial. Lastly, Moderna is studying an mRNA encoding relaxin administered via IV infusion in patients with congestive heart failure in Phase 1.</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the HHT space, Vaderis has been pursuing development of an oral AKT inhibitor and Diagonal Therapeutics has been pursuing agonist antibodies for the treatment of this condition. Investigator-initiated studies of nintendanib (Boehringer Ingelheim) and pazopanib (Novartis) are also ongoing to explore the potential utility of these kinase inhibitors to treat this condition.</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focus on biologic drugs differentiates us from many competitor GPCR companies whose primary focus is on small molecule drug discovery. Additionally, our GPCR membrane protein biochemistry experience, which is key for generating optimally stabilized and formulated receptors for antibody selection campaigns, combined with our experience using novel antigen formats differentiates us from in vitro display based antibody discovery. Specifically, our use of membrane mimetics that help maintain native receptor extra- cellular domain conformations combined with the membrane protein biochemistry expertise that we have built over the last three years is a key point of potential differentiation.</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Several other companies are focused on discovery of GPCR-targeted therapeutics. Some may have an emphasis on small molecule approaches (Septerna, SOSEI-Heptares, Structure Therapeutics), on alternative biologic efforts (Abalone Bio, Orion Biotechnology), both (Abilitia Bio, Confo Therapeutic, Orion Biotechnology, Omeros), or on specific targets or target classes (GPCR Therapeutics).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pharmaceutical products, including biological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Licensure and regulation of biologics in the United States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any product candidates we may develop would be regulated as biological products, or biologics, under the Public Health Service Act (“PHSA”) and the Federal Food, Drug and Cosmetic Act (“FDCA”) and its implementing regulations. The failure to comply with the applicable U.S. requirements at any time during the product development process, including preclinical testing, clinical testing, the approval process, or post-approval process, may subject an applicant to delays in the conduct of the study, regulatory review and approval and/or administrative or judicial sanctions.</w:t>
      </w:r>
    </w:p>
    <w:p>
      <w:pPr>
        <w:spacing w:after="0" w:line="183"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An applicant seeking approval to market and distribute a new biologic in the United States generally must satisfactorily complete each of the following steps:</w:t>
      </w:r>
    </w:p>
    <w:p>
      <w:pPr>
        <w:spacing w:after="0" w:line="67" w:lineRule="exact"/>
        <w:rPr>
          <w:sz w:val="20"/>
          <w:szCs w:val="20"/>
          <w:color w:val="auto"/>
        </w:rPr>
      </w:pPr>
    </w:p>
    <w:p>
      <w:pPr>
        <w:ind w:left="1080" w:right="2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laboratory tests, animal studies and formulation studies performed in accordance with the FDA’s applicable Good Laboratory Practices (“GLP”) regulations;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current good manufacturing practices (“cGMP”) conditions, of the drug substance and drug product that the sponsor intends to use in human clinical trials along with required analytical and stability testing;</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application for human clinical testing, which must become effective before human clinical trials may begin;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representing each clinical site before each clinical trial may be initiated;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potency and purity of the product candidate for each proposed indication, in accordance with current good clinical practices (“GCP”) regulations;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 BLA for a biological product requesting marketing for one or more proposed indications, including submission of detailed information on the manufacture and composition of the product in clinical development and proposed labelling;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including those of third parties, at which the product, or components thereof, are produced to assess compliance with cGMP requirements and to assure that the facilities, methods and controls are adequate to preserve the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any FDA audits of the preclinical studies and clinical trial sites to assure compliance with GLP, as applicable, and GCP, and the integrity of clinical data in support of the BLA;</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Prescription Drug User Fee Act (“PDUFA”) fees, securing FDA approval of the BLA and licensure of the new biological product; and</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Risk Evaluation and Mitigation Strategy (“REMS”) and any post-approval studies or other post- marketing commitments required by the FDA.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Preclinical studies and investigational new drug application</w:t>
      </w:r>
    </w:p>
    <w:p>
      <w:pPr>
        <w:spacing w:after="0" w:line="119" w:lineRule="exact"/>
        <w:rPr>
          <w:sz w:val="20"/>
          <w:szCs w:val="20"/>
          <w:color w:val="auto"/>
        </w:rPr>
      </w:pPr>
    </w:p>
    <w:p>
      <w:pPr>
        <w:ind w:left="120" w:right="200" w:firstLine="440"/>
        <w:spacing w:after="0" w:line="281" w:lineRule="auto"/>
        <w:rPr>
          <w:sz w:val="20"/>
          <w:szCs w:val="20"/>
          <w:color w:val="auto"/>
        </w:rPr>
      </w:pPr>
      <w:r>
        <w:rPr>
          <w:rFonts w:ascii="Times New Roman" w:cs="Times New Roman" w:eastAsia="Times New Roman" w:hAnsi="Times New Roman"/>
          <w:sz w:val="17"/>
          <w:szCs w:val="17"/>
          <w:color w:val="auto"/>
        </w:rPr>
        <w:t>Before testing any biological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and analytical data, are submitted to the FDA as part of an IND application.</w:t>
      </w:r>
    </w:p>
    <w:p>
      <w:pPr>
        <w:spacing w:after="0" w:line="16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product candidate to be shipped in interstate commerce for use in an investigational clinical trial and a request for FDA authorization to administer such investigational product to humans. The IND automatically becomes effective 30 days after receipt by the FDA, unless before that time the FDA raises concerns or questions about the product or conduct of the proposed clinical trial, including concerns that human research subjects will be exposed to unreasonable health risks. In that case, the IND sponsor and the FDA must resolve any outstanding FDA concerns before the clinical trial can begin or recommence.</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As a result, submission of the IND may result in the FDA not allowing the trial to commence or allowing the trial to commence on the terms originally specified by the sponsor in the IND. If the FDA raises concerns or questions either during this initial 30-day period, or at any time during the IND review process, it may choose to impose a partial or complete clinical hold. Clinical holds are imposed by the FDA whenever there is concern for patient safety, may be a result of new data, findings, or developments in clinical, preclinical and/or chemistry, manufacturing and controls or where there is non-compliance with regulatory requirements. This order issued by the FDA would delay either a proposed clinical trial or cause suspension of an ongoing trial, until all outstanding concerns have been adequately addressed and the FDA has notified the company that investigations may proceed. This could cause significant delays or difficulties in completing our planned clinical trials or future clinical trials in a timely manner.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Human clinical trials in support of a BLA</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candidate to healthy volunteers or patients with the disease or condition to be treated under the supervision of a qualified principal investigator in accordance with GCP requirements. Clinical trials are conducted under protocols detailing, among other things, the objectives of the trial, inclusion and exclusion criteria, the parameters to be used in monitoring safety, and the effectiveness criteria to be evaluated. A protocol for each clinical trial and any subsequent protocol amendments must be submitted to the FDA as part of the IND.</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When a foreign clinical trial is not conducted under an IND, the sponsor must ensure that the trial complies with certain regulatory requirements of the FDA in order to use the trial as support for an IND or application for marketing approval. Specifically, the FDA requires that such trials be conducted in accordance with GCP, including review and approval by an independent ethics committee and informed consent from participants. The GCP requirements encompass both ethical and data integrity standards for clinical trials. The FDA’s regulations are intended to help ensure the protection of human subjects enrolled in non-IND foreign clinical trials, as well as the quality and integrity of the resulting data. They further help ensure that non-IND foreign trials are conducted in a manner comparable to that required for clinical trials in the United States.</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 FDA regulations. The FDA, IRB, or the clinical trial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sponsor may suspend or discontinue a clinical trial at any time for various reasons, including a finding that the clinical trial is not being conducted in accordance with FDA requirements or that the participants are being exposed to an unacceptable health risk. Clinical testing also must satisfy extensive GCP rules and the requirements for informed consent.</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(“DSMB”). This group may recommend continuation of the trial as planned, changes in trial conduct, or cessation of the trial at designated check points based on certain available data from the trial to which only the DSMB has access.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Clinical trials typically are conducted in three sequential phases, but the phases may overlap or be combined. Additional studies may be required after approval.</w:t>
      </w:r>
    </w:p>
    <w:p>
      <w:pPr>
        <w:spacing w:after="0" w:line="160"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clinical trials are initially conducted in a limited population to test the product candidate for safety, including adverse effects, dose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tolerance, absorption, metabolism, distribution, excretion and pharmacodynamics in healthy humans or, on occasion, in patients.</w:t>
      </w:r>
    </w:p>
    <w:p>
      <w:pPr>
        <w:spacing w:after="0" w:line="158"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clinical trials are generally conducted in a limited patient population to identify possible adverse effects and safety risks,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173" w:lineRule="exact"/>
        <w:rPr>
          <w:sz w:val="20"/>
          <w:szCs w:val="20"/>
          <w:color w:val="auto"/>
        </w:rPr>
      </w:pPr>
    </w:p>
    <w:p>
      <w:pPr>
        <w:jc w:val="both"/>
        <w:ind w:left="120" w:right="8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clinical trials proceed if the Phase 2 clinical trials demonstrate that a dose range of the product candidate is potentially effective and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trial may be designed to deliver the data that regulatory authorities will use to decide whether or not to approve, and, if approved, how to appropriately label a biologic; such Phase 3 studies are referred to as “pivotal.”</w:t>
      </w:r>
    </w:p>
    <w:p>
      <w:pPr>
        <w:spacing w:after="0" w:line="18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some cases, the FDA may approve a BLA for a product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intended therapeutic indication and to document a clinical benefit in the case of biologics approved under accelerated approval regulations. If the FDA approves a product while a company has ongoing clinical trials that were not necessary for approval, a company may be able to use the data from these clinical trials to meet all or part of any Phase 4 clinical trial requirement or to request a change in the product labeling. The failure to exercise due diligence with regard to conducting Phase 4 clinical trials could result in withdrawal of approval for products.</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Information about applicable clinical trials must be submitted within specific timeframes to the National Institutes of Health (“NIH”) for public dissemination on its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xml:space="preserve"> website.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Pediatric studies</w:t>
      </w:r>
    </w:p>
    <w:p>
      <w:pPr>
        <w:spacing w:after="0" w:line="11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Under the Pediatric Research Equity Act of 2003 (“PREA”),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plan at any time.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Compliance with cGMP requirements</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The PHSA emphasizes the importance of manufacturing control for products like biologics whose attributes cannot be precisely defined.</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Any product manufactured by or imported from a facility that has not registered, whether foreign or domestic, is deemed misbranded under the FDCA. Establishments may be subject to periodic unannounced inspections by government authorities to ensure compliance with cGMPs and other laws. Inspections must follow a “risk-based schedule” that may result in certain establishments being inspected more frequently. Manufacturers may also have to provide, on request, electronic or physical records regarding their establishments. Delaying, denying, limiting, or refusing inspection by the FDA may lead to a product being deemed to be adulterated.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Review and approval of a BLA</w:t>
      </w:r>
    </w:p>
    <w:p>
      <w:pPr>
        <w:spacing w:after="0" w:line="11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results of product candidate development, preclinical testing and clinical trials, including negative or ambiguous results as well as positive findings, are submitted to the FDA as part of a BLA requesting license to market the product. The BLA must contain extensive manufacturing information and detailed information on the composition of the product and proposed labeling as well as payment of a user fee. Under federal law, the submission of most BLAs is subject to a substantial application user fee. The sponsor of a licensed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has 60 days after submission of the application to conduct an initial review to determine whether it is sufficient to accept for filing based on the agency’s threshold determination that it is sufficiently complete to permit substantive review. Once the submission has been accepted for filing, the FDA begins an in-depth review of the application. Under the goals and policies agreed to by the FDA under the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often be significantly extended by FDA requests for additional information or clarification.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PHSA, the FDA may approve a BLA if it determines that the product is safe, pure and potent, and the facility where the product will be manufactured meets standards designed to ensure that it continues to be safe, pure and potent.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(“CRL”). An approval letter authorizes commercial marketing of the product with specific prescribing information for specific indications. If the application is not approved, the FDA will issue a CRL, which will contain the conditions that must be met in order to secure final approval of the application, and when possible will outline recommended actions the sponsor might take to obtain approval of the application. Sponsors that receive a CRL may submit to the FDA information that represents a complete response to the issues identified by the FDA.</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FDA may also refer the application to an advisory committee for review, evaluation and recommendation as to whether the application should be approved. In particular, the FDA may refer applications for novel biological products or biological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the FDA approves a new product, it may limit the approved indication(s) for use of the product. It may also require that contraindications, warnings, or precautions be included in the product labeling. In addition, the FDA may call for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Expedited review programs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FDA is authorized to expedite the review of BLAs in several ways. Under the Fast Track program, the sponsor of a product candidate may request the FDA to designate the product for a specific indication as a Fast Track product concurrent with or after the filing of the IND.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the FDA may initiate review of sections of a Fast Track application before the application is complete, a process known as rolling review.</w:t>
      </w:r>
    </w:p>
    <w:p>
      <w:pPr>
        <w:spacing w:after="0" w:line="187" w:lineRule="exact"/>
        <w:rPr>
          <w:sz w:val="20"/>
          <w:szCs w:val="20"/>
          <w:color w:val="auto"/>
        </w:rPr>
      </w:pPr>
    </w:p>
    <w:p>
      <w:pPr>
        <w:ind w:left="120" w:right="580" w:firstLine="440"/>
        <w:spacing w:after="0" w:line="312" w:lineRule="auto"/>
        <w:rPr>
          <w:sz w:val="20"/>
          <w:szCs w:val="20"/>
          <w:color w:val="auto"/>
        </w:rPr>
      </w:pPr>
      <w:r>
        <w:rPr>
          <w:rFonts w:ascii="Times New Roman" w:cs="Times New Roman" w:eastAsia="Times New Roman" w:hAnsi="Times New Roman"/>
          <w:sz w:val="17"/>
          <w:szCs w:val="17"/>
          <w:color w:val="auto"/>
        </w:rPr>
        <w:t>Any product candidate submitted to the FDA for marketing, including under a Fast Track program, may be eligible for other types of FDA programs intended to expedite development and review, such as breakthrough therapy designation, priority review and accelerated approval.</w:t>
      </w:r>
    </w:p>
    <w:p>
      <w:pPr>
        <w:spacing w:after="0" w:line="43" w:lineRule="exact"/>
        <w:rPr>
          <w:sz w:val="20"/>
          <w:szCs w:val="20"/>
          <w:color w:val="auto"/>
        </w:rPr>
      </w:pPr>
    </w:p>
    <w:p>
      <w:pPr>
        <w:ind w:left="1080" w:right="20" w:hanging="424"/>
        <w:spacing w:after="0" w:line="258"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Breakthrough therapy designation. </w:t>
      </w:r>
      <w:r>
        <w:rPr>
          <w:rFonts w:ascii="Times New Roman" w:cs="Times New Roman" w:eastAsia="Times New Roman" w:hAnsi="Times New Roman"/>
          <w:sz w:val="18"/>
          <w:szCs w:val="18"/>
          <w:color w:val="auto"/>
        </w:rPr>
        <w:t>To qualify for the breakthrough therapy program, product candidates must be intended to treat a serious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8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8" w:lineRule="exact"/>
        <w:rPr>
          <w:rFonts w:ascii="Times New Roman" w:cs="Times New Roman" w:eastAsia="Times New Roman" w:hAnsi="Times New Roman"/>
          <w:sz w:val="18"/>
          <w:szCs w:val="18"/>
          <w:color w:val="auto"/>
        </w:rPr>
      </w:pPr>
    </w:p>
    <w:p>
      <w:pPr>
        <w:ind w:left="1080" w:right="100" w:hanging="424"/>
        <w:spacing w:after="0" w:line="267"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biological products studied for their safety and effectiveness in treating serious or life-threatening illnesses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provide meaningful therapeutic benefit over existing treatments may receive accelerated approval. Accelerated approval means that a product candidate may be approved on the basis of adequate and well controlled clinical trials establishing that the product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 xml:space="preserve">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 </w:t>
      </w:r>
      <w:r>
        <w:rPr>
          <w:rFonts w:ascii="Times New Roman" w:cs="Times New Roman" w:eastAsia="Times New Roman" w:hAnsi="Times New Roman"/>
          <w:sz w:val="18"/>
          <w:szCs w:val="18"/>
          <w:i w:val="1"/>
          <w:iCs w:val="1"/>
          <w:color w:val="auto"/>
        </w:rPr>
        <w:t>Breakthrough therapy designation.</w:t>
      </w:r>
      <w:r>
        <w:rPr>
          <w:rFonts w:ascii="Times New Roman" w:cs="Times New Roman" w:eastAsia="Times New Roman" w:hAnsi="Times New Roman"/>
          <w:sz w:val="18"/>
          <w:szCs w:val="18"/>
          <w:color w:val="auto"/>
        </w:rPr>
        <w:t xml:space="preserve"> 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drug development program, intensive involvement of senior managers and experienced staff on a proactive, collaborative and cross-disciplinary review and rolling review.</w:t>
      </w:r>
    </w:p>
    <w:p>
      <w:pPr>
        <w:spacing w:after="0" w:line="95" w:lineRule="exact"/>
        <w:rPr>
          <w:sz w:val="20"/>
          <w:szCs w:val="20"/>
          <w:color w:val="auto"/>
        </w:rPr>
      </w:pPr>
    </w:p>
    <w:p>
      <w:pPr>
        <w:ind w:left="1080" w:right="120" w:hanging="424"/>
        <w:spacing w:after="0" w:line="267"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Priority review. </w:t>
      </w:r>
      <w:r>
        <w:rPr>
          <w:rFonts w:ascii="Times New Roman" w:cs="Times New Roman" w:eastAsia="Times New Roman" w:hAnsi="Times New Roman"/>
          <w:sz w:val="18"/>
          <w:szCs w:val="18"/>
          <w:color w:val="auto"/>
        </w:rPr>
        <w:t>A product candidate is eligible for priority review if it treats a serious condition and, if approved, it would be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 in the safety or effectiveness of the treatment, diagnosis or prevention compared to marketed products. FDA aims to complete its review of priority review applications within six months as opposed to 10 months for standard review.</w:t>
      </w:r>
    </w:p>
    <w:p>
      <w:pPr>
        <w:spacing w:after="0" w:line="78" w:lineRule="exact"/>
        <w:rPr>
          <w:rFonts w:ascii="Times New Roman" w:cs="Times New Roman" w:eastAsia="Times New Roman" w:hAnsi="Times New Roman"/>
          <w:sz w:val="18"/>
          <w:szCs w:val="18"/>
          <w:color w:val="auto"/>
        </w:rPr>
      </w:pPr>
    </w:p>
    <w:p>
      <w:pPr>
        <w:ind w:left="1080" w:right="40" w:hanging="424"/>
        <w:spacing w:after="0" w:line="254"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Accelerated approval. </w:t>
      </w:r>
      <w:r>
        <w:rPr>
          <w:rFonts w:ascii="Times New Roman" w:cs="Times New Roman" w:eastAsia="Times New Roman" w:hAnsi="Times New Roman"/>
          <w:sz w:val="18"/>
          <w:szCs w:val="18"/>
          <w:color w:val="auto"/>
        </w:rPr>
        <w:t>Drug or biological products studied for their safety and effectiveness in treating serious or life-threatening illnesses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that provide meaningful therapeutic benefit over existing treatments may receive accelerated approval. Accelerated approval means that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biological product candidate receiving accelerated approval perform adequate and well controlled post-marketing clinical trials. In addition, for products being considered for accelerated approval, the FDA generally requires, as a condition for accelerated approval, pre-approval of promotional materials.</w:t>
      </w:r>
    </w:p>
    <w:p>
      <w:pPr>
        <w:spacing w:after="0" w:line="19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None of these expedited programs change the standards for approval but they may help expedite the development or approval process of product candidates.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Post-approval regulation</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If regulatory approval for marketing of a product or new indication for an existing product is obtained, the sponsor will be required to comply with all regular post-approval regulatory requirements as well as any post- approval requirements that the FDA have imposed as part of the approval process. The sponsor will be required to report certain adverse reactions and production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Manufacturers and other parties involved in the drug supply chain for prescription drug and biological products must also comply with product tracking and tracing requirements and for notifying the FDA of counterfeit, diverted, stolen and intentionally adulterated products or products that are otherwise unfit for distribution in the United States. Accordingly, the sponsor and its third-party manufacturers must continue to expend time, money and effort in the areas of production and quality control to maintain compliance with cGMP regulations and other regulatory requirements.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 product may also be subject to official lot release, meaning that the manufacturer is required to perform certain tests on each lot of the product before it is released for distribution. If the product is subject to official lot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Finally, the FDA will conduct laboratory research related to the safety, purity, potency and effectiveness of pharmaceutical products.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8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seizure or detention, or 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Pharmaceutical products may be promoted only for the approved indications and in accordance with the provisions of the approved label. Although healthcare providers may prescribe products for uses not described in the drug’s labeling, known as off-label uses, in their professional medical judgment, drug manufacturers are prohibited from soliciting, encouraging or promoting unapproved uses of a product. Drug manufacturers may only share truthful and non-misleading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Biosimilars and exclusivity</w:t>
      </w:r>
    </w:p>
    <w:p>
      <w:pPr>
        <w:spacing w:after="0" w:line="11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The 2010 Patient Protection and Affordable Care Act, which was signed into law in March 2010, included a subtitle called the Biologics Price Competition and Innovation Act of 2009 (“BPCIA”). The BPCIA established a regulatory scheme authorizing the FDA to approve biosimilars and interchangeable biosimilars. A biosimilar is a biological product that is highly similar to an existing FDA-licensed “reference product.” No interchangeable biosimilars, however, have been approved. The FDA has issued several guidance documents outlining an approach to review and approval of biosimilars. Additional guidances are expected to be finalized by the FDA in the near term.</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BPCIA, a manufacturer may submit an application for licensure of a biological product that is “biosimilar to” or “interchangeable with” a previously approved biological product or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efficacy relative to exclusive use of the reference biologic.</w:t>
      </w:r>
    </w:p>
    <w:p>
      <w:pPr>
        <w:spacing w:after="0" w:line="18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Since the passage of the BPCIA, many states have passed laws or amendments to laws, including laws governing pharmacy practices, which are state-regulated, to regulate the use of biosimilars.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Patent term restoration and extension</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 covering a product is typically one-half the time between the effective date of the IND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U.S. healthcare laws and compliance requirements</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play a primary role in the recommendation and prescription of any product candidates that we may develop for which we obtain marketing approval. Our current and future arrangements with third-party payors, healthcare providers and customers may implicate broadly applicable fraud and abuse and other healthcare laws and regulations. Restrictions under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applicable federal and state healthcare laws and regulations, including certain laws and regulations applicable only if we have marketed products, include the following:</w:t>
      </w:r>
    </w:p>
    <w:p>
      <w:pPr>
        <w:spacing w:after="0" w:line="67" w:lineRule="exact"/>
        <w:rPr>
          <w:sz w:val="20"/>
          <w:szCs w:val="20"/>
          <w:color w:val="auto"/>
        </w:rPr>
      </w:pPr>
    </w:p>
    <w:p>
      <w:pPr>
        <w:ind w:left="1080" w:right="60" w:hanging="424"/>
        <w:spacing w:after="0" w:line="25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False Claims Act (“FCA”), prohibits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for each false claim and treble the amount of the government’s damages. Manufacturers can be held liable under the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94"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or entities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pharmaceutical manufacturers on the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spacing w:after="0" w:line="92"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85" w:lineRule="exact"/>
        <w:rPr>
          <w:rFonts w:ascii="Times New Roman" w:cs="Times New Roman" w:eastAsia="Times New Roman" w:hAnsi="Times New Roman"/>
          <w:sz w:val="18"/>
          <w:szCs w:val="18"/>
          <w:color w:val="auto"/>
        </w:rPr>
      </w:pPr>
    </w:p>
    <w:p>
      <w:pPr>
        <w:ind w:left="1080" w:right="80" w:hanging="424"/>
        <w:spacing w:after="0" w:line="254"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93"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81"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price transparency laws, including the provision commonly referred to as the Physician Payments Sunshine Act, and its implementing regulations, which requires applicable manufacturers of drugs, devices, biologics and medical supplies for which payment is available under Medicare, Medicaid or the Children’s Health Insurance Program to report annually to the Centers of Medicare &amp; Medicaid Services (“CMS”), information related to payments or other transfers of value made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w:t>
      </w:r>
    </w:p>
    <w:p>
      <w:pPr>
        <w:spacing w:after="0" w:line="92"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8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anti-bribery and false claims laws, which may apply to healthcare items or services that are reimbursed by non-governmental third-party payors, including private insurers.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 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AVROBIO’s activities are potentially subject to federal and state consumer protection and unfair competition laws.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criminal and civil sanctions, including significant fines and civil monetary penalties, reputational risk, public reprimands, administrative penalties, exclusion from participation in governmental healthcare programs, disgorgement, or imprisonment. Similar sanctions and penalties, as well as imprisonment, also can be imposed upon executive officers and employees of such companies.</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19"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spacing w:after="0" w:line="187"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Within the United States, the federal government and individual states have aggressively pursued healthcare reform, as evidenced by the passing of the Patient Protection and Affordable Care Act of 2010, as amended by the Health Care and Reconciliation Act of 2010 (the “ACA”), and the ongoing efforts to modify or repeal that legislation. The ACA substantially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and additional modifications or repeal may occur.</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(“IRA”) was signed into law. The IRA contains several provisions that may impact our business to varying degrees, including provisions that reduce the out-of-pocket spending cap for Medicare Part D beneficiaries from $7,050 to $2,000 starting in 2025, thereby effectively eliminating the coverage gap; impose new manufacturer financial liability on certain drugs under Medicare Part D; allow the U.S. government to negotiate Medicare Part B and Part D price caps for certain high- cost drugs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biologics without generic or biosimilar competition; require companies to pay rebates to Medicare for certain drug prices that increase faster than inflation; and delay until January 1, 2032 the implementation of the U.S. Department of Health and Human Services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 exemption. The IRA permits HHS to implement many of these provisions through guidance, as opposed to regulation, for the initial years. On August 29, 2023, HHS announced the list of the first ten drugs that will be subject to price negotiations, although there is currently ongoing litigation challenging the constitutionality of the IRA’s Medicare drug price negotiation program.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The effects of the IRA on our business and the healthcare industry in general is not yet known.</w:t>
      </w:r>
    </w:p>
    <w:p>
      <w:pPr>
        <w:spacing w:after="0" w:line="19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pricing regulations, reforms of regulatory approval frameworks may adversely affect our pricing strategy.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European Union, similar political, economic and regulatory developments may affect our ability to profitably commercialize our potential product candidates. In markets outside of the United States and the European Union, reimbursement and healthcare payment systems vary significantly by country, and many countries have instituted price ceilings on specific products and therapies. 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any product candidates we may develop to other available therapies. If reimbursement of our products is unavailable or limited in scope or amount, or if pricing is set at unsatisfactory levels, our business could be harmed, possibly materially.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Coverage and reimbursement by a third-party payor may depend upon a number of factors, including the third-party payor’s determination that use of a product is:</w:t>
      </w:r>
    </w:p>
    <w:p>
      <w:pPr>
        <w:spacing w:after="0" w:line="89" w:lineRule="exact"/>
        <w:rPr>
          <w:sz w:val="20"/>
          <w:szCs w:val="20"/>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United States, there is no uniform policy of coverage and reimbursement for products that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 payor basis, with no assurance that coverage and adequate reimbursement 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Our ability to achieve acceptable levels of coverage and reimbursement for our product candidates, if approved, by governmental authorities, private health insurers and other organizations will have an effect on our ability to successfully commercialize, our product candidates. Assuming we obtain coverage for a given product by a third-party payor, the resulting reimbursement payment rates may not be adequate or may require patient out-of-pocket costs that patients find unacceptably high.</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Further, coverage policies and third-party payor reimbursement rates may change. Even if favorable coverage and reimbursement status is attained, less favorable coverage policies and reimbursement rates may be implemented in the future. If coverage and adequate reimbursement are not available or reimbursement is available only to limited levels, we may not be able to successfully commercialize any product candidate for which we obtain marketing approval.</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Regulation outside of the United States</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to regulations in the United States, we will be required to comply with comparable regulations in each jurisdiction outside of the United States in which we choose to manufacture, develop or seek marketing authorization for our product candidates.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Union drug development</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previous Clinical Trials Directive 2001/20/EC on January 31, 2022, a single application is now made through the Clinical Trials Information System for clinical trial authorization in up to 30 EU or European Economic Area (Norway, Iceland and Liechtenstein) (“EEA”) countries at the same time and with a single set of documentation.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w:t>
      </w:r>
    </w:p>
    <w:p>
      <w:pPr>
        <w:spacing w:after="0" w:line="27" w:lineRule="exact"/>
        <w:rPr>
          <w:sz w:val="20"/>
          <w:szCs w:val="20"/>
          <w:color w:val="auto"/>
        </w:rPr>
      </w:pPr>
    </w:p>
    <w:p>
      <w:pPr>
        <w:ind w:left="120" w:hanging="4"/>
        <w:spacing w:after="0" w:line="253" w:lineRule="auto"/>
        <w:tabs>
          <w:tab w:leader="none" w:pos="2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national and patient-level documentation). Part I is assessed by a coordinated review by the competent authorities of all European Union Member States in which an application for authorization of a clinical trial has been submitted (each, a “Member State Concerned”) of a draft report prepared by a Reference Member State. Part II is assessed separately by each Member State Concerned. The role of the relevant ethics committees in the assessment procedure continues to be governed by the national law of the Member State Concerned, however overall related timelines are defined by the Clinical Trials Regulation. The new Clinical Trials Regulation also provides for simplified reporting procedures for clinical trial sponsors.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European Union drug review and approval</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obtain regulatory approval for our medicinal product candidates in the European Union, a marketing authorization application (“MAA”) needs to be submitted. There are a number of potential routes open to obtain a marketing authorization (“MA”) in the European Union. A centralized MA is issued by the European Commission through the centralized procedure, based on the opinion of the Committee for Medicinal Products for Human Use (“CHMP”) of the EMA, and is valid throughout the European Union, and in the additional Member States of the EEA. The centralized procedure is compulsory for medicinal products manufactured using biotechnological processes, orphan medicinal products, advanced therapy medicinal products (gene-therapy, somatic cell-therapy or tissue-engineered medicines) and products containing a new active substance which is not yet authorized in the European Union and which is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level.</w:t>
      </w:r>
    </w:p>
    <w:p>
      <w:pPr>
        <w:spacing w:after="0" w:line="19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National MAs are issued by the competent authorities of the EU Member States and only cover their respective territory. This procedure is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Member State in which the MA is sought, one of which is selected by the applicant as the Reference Member State.</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when additional written or oral information is to be provided by the applicant in response to questions asked by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 MAs in the European Union have an initial duration of five years. After these five years, the authorization may be renewed for an unlimited period on the basis of a re-evaluation of the risk-benefit balance.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Data protection regulation</w:t>
      </w:r>
    </w:p>
    <w:p>
      <w:pPr>
        <w:spacing w:after="0" w:line="11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In the European Economic Area (“EEA”), the collection and processing of personal data, including personal health data is regulated by the General Data Protection Regulation (EU) 2016/679 (“GDPR”). Similarly, in the United Kingdom, the collection and processing of personal data, including personal health data is regulated by the UK General Data Protection Regulation and the UK Data Protection Act 2018 (“UK GDPR” and together with the EU GDPR, referred to as “GDPR”). The GDPR has extra-territorial application and applies not only to organizations with a presence in the EEA and the UK but also to non-EEA/UK based businesses that carry out processing that is related to (i) an offer of goods or services to individuals in the EEA/UK or (ii) the monitoring of their behavior so long as this takes place in the EEA/UK, even if the data is stored outside the EEA/UK. The GDPR imposes obligations on businesses (including companies that operate in our industry) with respect to the processing of personal data and the cross-border transfer of such data. We will be subject to the GDPR to the extent we process the personal data of individuals based in the EEA/UK.</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60"/>
          </w:cols>
          <w:pgMar w:left="320" w:top="455" w:right="5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21" w:lineRule="exact"/>
        <w:rPr>
          <w:sz w:val="20"/>
          <w:szCs w:val="20"/>
          <w:color w:val="auto"/>
        </w:rPr>
      </w:pPr>
    </w:p>
    <w:p>
      <w:pPr>
        <w:jc w:val="both"/>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As of July 6, 2024, we had 45 full-time employees, 31 of whom were primarily engaged in research and development activities, and 21 of our employees had an M.D. or Ph.D. degree. None of our employees is represented by a labor union and we consider our employee relations to be good.</w:t>
      </w:r>
    </w:p>
    <w:p>
      <w:pPr>
        <w:spacing w:after="0" w:line="14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headquarters are currently located in Watertown, Massachusetts and consist of approximately 19,000 square feet of leased research laboratory and office space under a lease that expires in January 2026. We believe that our facilities are adequate to meet our current needs.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Prior to the Merger, three actions were filed by purported stockholders of AVROBIO in connection with the Merger. One action has been filed in the United States District Court for the Southern District of New York captioned </w:t>
      </w:r>
      <w:r>
        <w:rPr>
          <w:rFonts w:ascii="Times New Roman" w:cs="Times New Roman" w:eastAsia="Times New Roman" w:hAnsi="Times New Roman"/>
          <w:sz w:val="18"/>
          <w:szCs w:val="18"/>
          <w:i w:val="1"/>
          <w:iCs w:val="1"/>
          <w:color w:val="auto"/>
        </w:rPr>
        <w:t>Garofalo v. Avrobio, Inc. et al.</w:t>
      </w:r>
      <w:r>
        <w:rPr>
          <w:rFonts w:ascii="Times New Roman" w:cs="Times New Roman" w:eastAsia="Times New Roman" w:hAnsi="Times New Roman"/>
          <w:sz w:val="18"/>
          <w:szCs w:val="18"/>
          <w:color w:val="auto"/>
        </w:rPr>
        <w:t xml:space="preserve">, 24-cv-1493 (filed February 27, 2024), which was voluntarily dismissed without prejudice on June 13, 2024. Two actions have been filed in the Supreme Court of New York, captioned </w:t>
      </w:r>
      <w:r>
        <w:rPr>
          <w:rFonts w:ascii="Times New Roman" w:cs="Times New Roman" w:eastAsia="Times New Roman" w:hAnsi="Times New Roman"/>
          <w:sz w:val="18"/>
          <w:szCs w:val="18"/>
          <w:i w:val="1"/>
          <w:iCs w:val="1"/>
          <w:color w:val="auto"/>
        </w:rPr>
        <w:t>Price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Avrobio, Inc., et al.</w:t>
      </w:r>
      <w:r>
        <w:rPr>
          <w:rFonts w:ascii="Times New Roman" w:cs="Times New Roman" w:eastAsia="Times New Roman" w:hAnsi="Times New Roman"/>
          <w:sz w:val="18"/>
          <w:szCs w:val="18"/>
          <w:color w:val="auto"/>
        </w:rPr>
        <w:t>, No. 652555/2024 (filed May 17, 2024) and</w:t>
      </w:r>
      <w:r>
        <w:rPr>
          <w:rFonts w:ascii="Times New Roman" w:cs="Times New Roman" w:eastAsia="Times New Roman" w:hAnsi="Times New Roman"/>
          <w:sz w:val="18"/>
          <w:szCs w:val="18"/>
          <w:i w:val="1"/>
          <w:iCs w:val="1"/>
          <w:color w:val="auto"/>
        </w:rPr>
        <w:t xml:space="preserve"> Keller v. Avrobio, Inc., et al.</w:t>
      </w:r>
      <w:r>
        <w:rPr>
          <w:rFonts w:ascii="Times New Roman" w:cs="Times New Roman" w:eastAsia="Times New Roman" w:hAnsi="Times New Roman"/>
          <w:sz w:val="18"/>
          <w:szCs w:val="18"/>
          <w:color w:val="auto"/>
        </w:rPr>
        <w:t>, No. 652597/2024 (filed May 21, 2024).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are referred to as the “Merger Actions.”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Merger Actions generally allege that the Registration Statement misrepresents and/or omits certain purportedly material information in connection with the Merger, potential conflicts of interest of AVROBIO’s officers and directors, and the events that led to the signing of the Merger Agreement. The </w:t>
      </w:r>
      <w:r>
        <w:rPr>
          <w:rFonts w:ascii="Times New Roman" w:cs="Times New Roman" w:eastAsia="Times New Roman" w:hAnsi="Times New Roman"/>
          <w:sz w:val="18"/>
          <w:szCs w:val="18"/>
          <w:i w:val="1"/>
          <w:iCs w:val="1"/>
          <w:color w:val="auto"/>
        </w:rPr>
        <w:t>Garofalo</w:t>
      </w:r>
      <w:r>
        <w:rPr>
          <w:rFonts w:ascii="Times New Roman" w:cs="Times New Roman" w:eastAsia="Times New Roman" w:hAnsi="Times New Roman"/>
          <w:sz w:val="18"/>
          <w:szCs w:val="18"/>
          <w:color w:val="auto"/>
        </w:rPr>
        <w:t xml:space="preserve"> action asserted violations of Section 14(a) of the Exchange Act and Rule 14a-9 promulgated thereunder against all defendants (AVROBIO and the AVROBIO Board) and violations of Section 20(a) of the Exchange Act against AVROBIO’s directors. The </w:t>
      </w:r>
      <w:r>
        <w:rPr>
          <w:rFonts w:ascii="Times New Roman" w:cs="Times New Roman" w:eastAsia="Times New Roman" w:hAnsi="Times New Roman"/>
          <w:sz w:val="18"/>
          <w:szCs w:val="18"/>
          <w:i w:val="1"/>
          <w:iCs w:val="1"/>
          <w:color w:val="auto"/>
        </w:rPr>
        <w:t>Price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Keller</w:t>
      </w:r>
      <w:r>
        <w:rPr>
          <w:rFonts w:ascii="Times New Roman" w:cs="Times New Roman" w:eastAsia="Times New Roman" w:hAnsi="Times New Roman"/>
          <w:sz w:val="18"/>
          <w:szCs w:val="18"/>
          <w:color w:val="auto"/>
        </w:rPr>
        <w:t xml:space="preserve"> actions assert claims for breach of fiduciary duty against all defendants. The Merger Actions seek, among other things, an injunction enjoining the consummation of the Merger, rescission of the Merger if consummated, costs of the action, including plaintiff’s attorneys’ fees and experts’ fees and other relief the court may deem just and proper.</w:t>
      </w:r>
    </w:p>
    <w:p>
      <w:pPr>
        <w:spacing w:after="0" w:line="189"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AVROBIO also received the Demands from eleven purported AVROBIO stockholders. The Demands generally assert that the Registration Statement misrepresents and/or omits certain purportedly material information relating to the Merger.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AVROBIO believed that the disclosures set forth in the Registration Statement complied fully with all applicable law, that no supplemental disclosures were required under applicable law, and that the allegations in the Merger Actions and Demands were without merit. However, in order to moot the claims in the Merger Actions and Demands, avoid nuisance and possible expense and business delays, and provide additional information to its stockholders, and without admitting any liability or wrongdoing, AVROBIO decided voluntarily to provide the Supplemental Disclosures. On June 4, 2024, AVROBIO made certain Supplemental Disclosures on Form 8-K filed with the Securities and Exchange Commission.</w:t>
      </w:r>
    </w:p>
    <w:p>
      <w:pPr>
        <w:spacing w:after="0" w:line="183"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outcome of any current or future litigation is uncertain. Such litigation, if not resolved, could result in substantial costs to us, including any costs associated with the indemnification of directors and officers. If a plaintiff were successful in obtaining an injunction obtaining a rescission of the Merger, then such injunction may rescind the Merger after its consummation. Regardless of the outcome, litigation can have an adverse impact on the Company because of defense and settlement costs, diversion of management resources and other factors.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Although we cannot predict the outcome of the Merger Actions or the Demands, we and our Board intend to vigorously defend the Merger Actions and the Demands.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Although the results of ordinary course litigation and claims cannot be predicted with certainty, we currently believe that the final outcome of these ordinary course matters will not have a material adverse effect on our business, financial condition, results of operations or cash flows. Regardless of the outcome, litigation can have an adverse impact because of defense and settlement costs, diversion of management resources and other factors.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lists the names and ages, as of July 6, 2024, and positions of our executive officers and directors: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08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9"/>
        </w:trPr>
        <w:tc>
          <w:tcPr>
            <w:tcW w:w="54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060" w:type="dxa"/>
            <w:vAlign w:val="bottom"/>
            <w:tcBorders>
              <w:top w:val="single" w:sz="8" w:color="auto"/>
            </w:tcBorders>
            <w:shd w:val="clear" w:color="auto" w:fill="CCEEFF"/>
          </w:tcPr>
          <w:p>
            <w:pPr>
              <w:spacing w:after="0"/>
              <w:rPr>
                <w:sz w:val="16"/>
                <w:szCs w:val="16"/>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Alise Reicin, M.D.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Lochner, M.B.A.</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McNamara, Ph.D.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Schwabish, Ph.D.</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Phillip B. Donenberg</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Terrance McGuire M.S., M.B.A.</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A. Springer, Ph.D., M.B.A.</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Praveen Tipirneni, M.D.</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Stefan Vitorovic M.S., M.B.A.</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Alise Reicin, M.D.</w:t>
      </w:r>
      <w:r>
        <w:rPr>
          <w:rFonts w:ascii="Times New Roman" w:cs="Times New Roman" w:eastAsia="Times New Roman" w:hAnsi="Times New Roman"/>
          <w:sz w:val="17"/>
          <w:szCs w:val="17"/>
          <w:color w:val="auto"/>
        </w:rPr>
        <w:t>, has served as our President and Chief Executive Officer and member of the Board since completion of the Merger. Dr. Reicin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previously served as Legacy Tectonic’s President and Chief Executive Officer since August 2020. Prior to joining Legacy Tectonic, Dr. Reicin served as President, Global Clinical Development at Celgene Corporation, public pharmaceutical company, from November 2018 to December 2019 and was a member of the Executive Committee. Prior to Celgene, she served as Head of Global Clinical Development at EMD Serono Inc., a privately held pharmaceutical company, from May 2015 to October 2018. Prior to EMD Serono, Dr. Reicin served as Vice President, Program and Pipeline Leadership, Oncology at Merck &amp; Co., Inc., a public pharmaceutical company. Prior to Merck, she was a faculty member at Columbia Medical School and a physician and researcher at Columbia Presbyterian Hospital. While at Merck, Dr. Reicin led the team that brought Keytruda from Phase 1 through its initial approvals and over the course of her career she has played a leadership role in the development and approval of over 10 novel medicines across a broad range of therapeutic areas. Dr. Reicin previously served on the board of directors of Homology Medicines, Inc., a public biopharmaceutical company and currently serves on the board of directors of Sana Biotechnology, Inc., a public cell and gene therapy company. Dr. Reicin earned a B.A. in Biochemistry from Barnard College of Columbia University. She earned a M.D. in Medicine from Harvard University. The Company believes that Dr. Reicin is qualified to serve on the Board due to her clinical expertise and leadership roles in the biotechnology and biopharmaceuticals industry.</w:t>
      </w:r>
    </w:p>
    <w:p>
      <w:pPr>
        <w:spacing w:after="0" w:line="17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Daniel Lochner, M.B.A.</w:t>
      </w:r>
      <w:r>
        <w:rPr>
          <w:rFonts w:ascii="Times New Roman" w:cs="Times New Roman" w:eastAsia="Times New Roman" w:hAnsi="Times New Roman"/>
          <w:sz w:val="18"/>
          <w:szCs w:val="18"/>
          <w:color w:val="auto"/>
        </w:rPr>
        <w:t>, has served as our Chief Financial Officer since completion of the Merger. Mr. Lochner was previously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Legacy Tectonic’s Chief Financial Officer in June 2024. Prior to joining Legacy Tectonic, Mr. Lochner served as Chief Financial Officer and Chief Business Officer for the Eye Care Division of Viatris Inc., a global healthcare company, from January 2023 to April 2024. Prior to Viatris, Mr. Lochner was the Chief Financial Officer and Chief Business Officer of Oyster Point Pharma, Inc., a biotechnology company that was acquired by Viatris in January 2023, from July 2019 to January 2023 where he led a successful initial public offering, other equity and debt financings, the transition to a commercial-stage company and the acquisition to Viatris. Previously, Mr. Lochner was a Managing Director within the Investment Management Division of Goldman Sachs &amp; Co., where he served as a lead equity portfolio manager and healthcare investor for various fund strategies. Mr. Lochner joined the Investment Management Division of Goldman Sachs &amp; Co. in 2005 as an equity investor, a position he maintained during his tenure at the firm.</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40"/>
          </w:cols>
          <w:pgMar w:left="320" w:top="455"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Lochner received a B.A. in Economics from the University of Richmond and an Executive M.B.A. from Columbia University.</w:t>
      </w:r>
    </w:p>
    <w:p>
      <w:pPr>
        <w:spacing w:after="0" w:line="2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Peter McNamara, Ph.D.</w:t>
      </w:r>
      <w:r>
        <w:rPr>
          <w:rFonts w:ascii="Times New Roman" w:cs="Times New Roman" w:eastAsia="Times New Roman" w:hAnsi="Times New Roman"/>
          <w:sz w:val="18"/>
          <w:szCs w:val="18"/>
          <w:color w:val="auto"/>
        </w:rPr>
        <w:t>, has served as our Chief Scientific Officer since completion of the Merger. Dr. McNamara previously served as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Tectonic’s Chief Scientific Officer since June 2022. Prior to that, Dr. McNamara served as Senior Vice President, Head of Research at Tectonic from June 2021 to June 2022. Prior to joining Tectonic, he held various positions at the Genomics Institute of the Novartis Research Foundation (“NIBR, San Diego”), a privately held pharmaceutical company, from 2005 to April 2021, most recently as Executive Director of Biotherapeutics and Biotechnology from June 2018 to April 2021 where he served on the executive committee and strategy council responsible for managing a portfolio of approximately 50 preclinical and early-stage clinical drug discovery programs across different modalities in a broad range of therapeutic areas. Over the course of his career, Dr. McNamara has played a critical role in the obtainment of over 10 INDs, two of which are now approved. Prior to Novartis, Dr. McNamara served as Director of Pharmacology at Phenomix Corporation, a privately-held biotechnology company. Prior to Phenomix, he was a faculty member of the Institute for Translational Medicine and Therapeutics at the University of Pennsylvania. Dr. McNamara earned both a Ph.D. and B.S. in Biochemistry from the National University of Ireland, at Galway.</w:t>
      </w:r>
    </w:p>
    <w:p>
      <w:pPr>
        <w:spacing w:after="0" w:line="185" w:lineRule="exact"/>
        <w:rPr>
          <w:sz w:val="20"/>
          <w:szCs w:val="20"/>
          <w:color w:val="auto"/>
        </w:rPr>
      </w:pPr>
    </w:p>
    <w:p>
      <w:pPr>
        <w:ind w:left="120" w:right="40" w:firstLine="440"/>
        <w:spacing w:after="0" w:line="242" w:lineRule="auto"/>
        <w:rPr>
          <w:sz w:val="20"/>
          <w:szCs w:val="20"/>
          <w:color w:val="auto"/>
        </w:rPr>
      </w:pPr>
      <w:r>
        <w:rPr>
          <w:rFonts w:ascii="Times New Roman" w:cs="Times New Roman" w:eastAsia="Times New Roman" w:hAnsi="Times New Roman"/>
          <w:sz w:val="18"/>
          <w:szCs w:val="18"/>
          <w:b w:val="1"/>
          <w:bCs w:val="1"/>
          <w:color w:val="auto"/>
        </w:rPr>
        <w:t>Marcella K. Ruddy, M.D.</w:t>
      </w:r>
      <w:r>
        <w:rPr>
          <w:rFonts w:ascii="Times New Roman" w:cs="Times New Roman" w:eastAsia="Times New Roman" w:hAnsi="Times New Roman"/>
          <w:sz w:val="18"/>
          <w:szCs w:val="18"/>
          <w:color w:val="auto"/>
        </w:rPr>
        <w:t>, has served as our Chief Medical Officer since completion of the Merger. Dr. Ruddy previously served as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Tectonic’s Chief Medical Officer since July 2021. She has over 20 years of experience in drug development across all stages of clinical drug development. She currently serves as a member of the board of directors of Polarean Imaging plc and Upstream Bio, Inc. and has since August 2022 and January 2023, respectively. Prior to joining Tectonic’s team, Dr. Ruddy was the Head of Clinical Development for the Immunology/Inflammation Therapeutic Area at Regeneron Pharmaceuticals. In that role she led the clinical development of Dupixent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through over nine Phase 3 trial initiations and multiple regulatory approvals globally. Dr. Ruddy spent 10 years in early development at Merck and took many compounds from preclinical development through proof of concept in the clinic. Prior to entry into drug development, Dr. Ruddy was a member of the Pulmonary Unit at Massachusetts General Hospital/Harvard Medical School where she founded and directed the Adult Cystic Fibrosis Program. Dr. Ruddy earned an A.B. from Princeton University and a M.D. and M.S. from Washington University, St. Louis. She completed her internal medicine and pulmonary fellowship training at Harvard Medical School affiliated hospitals.</w:t>
      </w:r>
    </w:p>
    <w:p>
      <w:pPr>
        <w:spacing w:after="0" w:line="19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Marc Schwabish, Ph.D.</w:t>
      </w:r>
      <w:r>
        <w:rPr>
          <w:rFonts w:ascii="Times New Roman" w:cs="Times New Roman" w:eastAsia="Times New Roman" w:hAnsi="Times New Roman"/>
          <w:sz w:val="18"/>
          <w:szCs w:val="18"/>
          <w:color w:val="auto"/>
        </w:rPr>
        <w:t>, has served as our Chief Operating Officer since completion of the Merger. Dr. Schwabish previously served as Legacy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Tectonic’s Chief Business Officer since March 2021. Prior to joining Legacy Tectonic, Dr. Schwabish served as SVP Business Development and US Operations at Fusion Pharmaceuticals Inc. from February 2018 to December 2020 where his transactions, amongst others, included the company’s Series B financing, IPO, and an expansive partnership with AstraZeneca plc. Prior to working at Fusion Pharmaceuticals, Dr. Schwabish was Heard of U.S. Pharma Business Development at Bayer, Inc. He also held roles in Business Development and Alliance Management at Eisai Inc., Strategy Consulting at Leerink Swann and Healthcare Investment Banking at RBS. Dr. Schwabish earned a B.S. in Biological Sciences from Cornell University. He earned a Ph.D. in Biochemistry and Molecular Pharmacology from Harvard University.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Phillip B. Donenberg</w:t>
      </w:r>
      <w:r>
        <w:rPr>
          <w:rFonts w:ascii="Times New Roman" w:cs="Times New Roman" w:eastAsia="Times New Roman" w:hAnsi="Times New Roman"/>
          <w:sz w:val="18"/>
          <w:szCs w:val="18"/>
          <w:color w:val="auto"/>
        </w:rPr>
        <w:t>, has served as a member of the Board since completion of the Merger. Mr. Donenberg previously served as a member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AVROBIO board of directors since June 2018. Mr. Donenberg served as senior vice president and chief financial officer of Jaguar Gene Therapy, LLC, a privately held early-stage gene therapy company from February 2020 to March 2023. From July 2018 to November 2018, Mr. Donenberg served as the chief financial officer and senior vice president of Assertio Therapeutics, Inc., a pharmaceutical company. Previously, Mr. Donenberg served at AveXis, Inc. (now a Novartis company), a gene therapy company, as senior vice president and chief financial officer from October 2017 to June 2018 and as vice president, corporate controller from September 2016 to October 2017. He was the chief financial officer of RestorGenex Corporation from May 2014 to January 2016, when RestorGenex merged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with Diffusion Pharmaceuticals LLC, a pharmaceutical company, and served as the merged company’s consultant chief financial officer until September 2016, and the chief financial officer of 7wire Ventures LLC, an early-stage healthcare venture fund, from September 2013 to May 2014. Prior to that time, Mr. Donenberg served as the chief financial officer of BioSante Pharmaceuticals, Inc. from July 1998 to June 2013, when BioSante merged with ANIP Pharmaceuticals, Inc. Mr. Donenberg currently serves on the board of directors and as audit committee chair of Taysha Gene Therapies, Inc., a gene therapy company, and also has experience serving on the boards of directors of privately held companies. Mr. Donenberg holds a B.S. in accountancy from the University of Illinois Champaign-Urbana College of Business and is a Certified Public Accountant. The Company believes that Mr. Donenberg is qualified to serve on the Board because of his financial expertise and his experience as an executive of companies in the life sciences industry.</w:t>
      </w:r>
    </w:p>
    <w:p>
      <w:pPr>
        <w:spacing w:after="0" w:line="188" w:lineRule="exact"/>
        <w:rPr>
          <w:sz w:val="20"/>
          <w:szCs w:val="20"/>
          <w:color w:val="auto"/>
        </w:rPr>
      </w:pPr>
    </w:p>
    <w:p>
      <w:pPr>
        <w:ind w:left="120" w:right="440" w:firstLine="440"/>
        <w:spacing w:after="0" w:line="263" w:lineRule="auto"/>
        <w:rPr>
          <w:sz w:val="20"/>
          <w:szCs w:val="20"/>
          <w:color w:val="auto"/>
        </w:rPr>
      </w:pPr>
      <w:r>
        <w:rPr>
          <w:rFonts w:ascii="Times New Roman" w:cs="Times New Roman" w:eastAsia="Times New Roman" w:hAnsi="Times New Roman"/>
          <w:sz w:val="18"/>
          <w:szCs w:val="18"/>
          <w:b w:val="1"/>
          <w:bCs w:val="1"/>
          <w:color w:val="auto"/>
        </w:rPr>
        <w:t>Terrance McGuire M.S., M.B.A</w:t>
      </w:r>
      <w:r>
        <w:rPr>
          <w:rFonts w:ascii="Times New Roman" w:cs="Times New Roman" w:eastAsia="Times New Roman" w:hAnsi="Times New Roman"/>
          <w:sz w:val="18"/>
          <w:szCs w:val="18"/>
          <w:color w:val="auto"/>
        </w:rPr>
        <w:t>, has served as a member of the Board since completion of the Merger. Mr. McGuire previously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Legacy Tectonic board of directors since Legacy Tectonic commenced operations as an independent company in February 2020.</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Mr. McGuire was a co-founder and is currently a general partner of Polaris Partners. He serves on the board of directors of several private companies and currently serves on the board of directors of Cyclerion Therapeutics Inc., Alector Inc., Seer Inc. and Invivyd Inc. Mr. McGuire has also served on the board of Pulmatrix Inc. Mr. McGuire is the former chairman of the National Venture Capital Association, which represents ninety percent of the venture capitalists in the U.S., chairman of the board of the Thayer School of Engineering at Dartmouth College, and a member of the boards of The David H. Koch Institute for Integrative Cancer Research at the Massachusetts Institute of Technology and The Arthur Rock Center for Entrepreneurship at Harvard Business School. Mr. McGuire earned a B.S. in physics and economics from Hobart College, an M.S. in engineering from The Thayer School at Dartmouth College, and an M.B.A. from Harvard Business School. The Company believes that Mr. McGuire is qualified to serve on the Board because of his extensive experiences as a venture capitalist focused on the biotechnology industry, as well as many years of experience as a director of biotechnology companies guiding them in the execution of their corporate strategy and objectives.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Timothy A. Springer, Ph.D.</w:t>
      </w:r>
      <w:r>
        <w:rPr>
          <w:rFonts w:ascii="Times New Roman" w:cs="Times New Roman" w:eastAsia="Times New Roman" w:hAnsi="Times New Roman"/>
          <w:sz w:val="18"/>
          <w:szCs w:val="18"/>
          <w:color w:val="auto"/>
        </w:rPr>
        <w:t>, has served as a member of the Board since completion of the Merger. Dr. Springer co-founded Legacy Tectonic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2019 and previously served as a scientific advisor to Legacy Tectonic and as a member of the Legacy Tectonic board of directors since June 2019. Dr. Springer served as Chief Executive Officer of Legacy Tectonic from June 2019 until August 2019 and as President of Legacy Tectonic from June 2019 until August 2020. Since 1989, Dr. Springer has served as the Latham Family Professor at Harvard Medical School. He has also served as Senior Investigator in the Program in Cellular and Molecular Medicine at Boston Children’s Hospital since 2012, and as a Professor of Biological Chemistry and Molecular Pharmacology at Harvard Medical School and Professor of Medicine at Boston Children’s Hospital since 2011. He was also the founder of Morphic Technology, Inc. and has served as a scientific advisor and as a member of its board of directors since June 2015. He has also served Selecta Biosciences Inc. as a scientific advisor since December 2008 and as a member of its Board since June 2016.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the Canada International Gairdner Award, and the Lasker Basic Medical Research Award. Dr. Springer received a B.A. in Biochemistry from the University of California, Berkeley, and a Ph.D. in Biochemistry and Molecular Biology from Harvard University. The Company believes that Dr. Springer is qualified to serve on the Board because of his extensive knowledge of the integrin field and his investment, business and board experience with biopharmaceutical companies.</w:t>
      </w:r>
    </w:p>
    <w:p>
      <w:pPr>
        <w:spacing w:after="0" w:line="18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Praveen Tipirneni, M.D., M.B.A.</w:t>
      </w:r>
      <w:r>
        <w:rPr>
          <w:rFonts w:ascii="Times New Roman" w:cs="Times New Roman" w:eastAsia="Times New Roman" w:hAnsi="Times New Roman"/>
          <w:sz w:val="18"/>
          <w:szCs w:val="18"/>
          <w:color w:val="auto"/>
        </w:rPr>
        <w:t>, has served as a member of the Board since completion of the Merger. Dr. Tipirneni previously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Legacy Tectonic board of directors since February 2020. Dr. Tipirneni currently serves as Chief Executive Officer and as a member of the board of directors of Morphic Holding, Inc., a position he has held since July 2015. Dr. Tipirneni received a B.A. in Mechanical Engineering from Massachusetts Institute of Technology, an M.D. from McGill University and an M.B.A. from the Wharton School of Business of the University of Pennsylvania. The Company believes Dr. Tipirneni is qualified to serve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on the Board because of his experience with biotechnology companies, including working with and serving in various executive positions in life sciences companies.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Stefan Vitorovic, M.S., M.B.A.</w:t>
      </w:r>
      <w:r>
        <w:rPr>
          <w:rFonts w:ascii="Times New Roman" w:cs="Times New Roman" w:eastAsia="Times New Roman" w:hAnsi="Times New Roman"/>
          <w:sz w:val="18"/>
          <w:szCs w:val="18"/>
          <w:color w:val="auto"/>
        </w:rPr>
        <w:t>, has served as a member of the Board since completion of the Merger. Mr. Vitorovic previously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Legacy Tectonic board of directors since August 2021. Mr. Vitorovic is the co-founder and Managing Director of Vida Ventures, a role he has served in since January 2017. Prior to founding Vida Ventures, Mr. Vitorovic was an investment professional at Third Rock Ventures, an early-stage life sciences venture capital firm, from July 2014 to January 2017. At Third Rock, he was part of the founding team of Decibel Therapeutics, Inc. (acquired by Regeneron Pharmaceuticals, Inc.), a hearing-focused drug discovery and development platform company. Before Third Rock, he was an investor at TPG Capital from August 2012 to June 2014, where he focused on majority, control stakes in healthcare companies. Mr. Vitorovic worked on a variety of equity and debt financings, including Aptalis Pharmaceutical Technologies (now Adare Pharma Solutions) and Biomet, Inc. (now Zimmer Biomet Holdings, Inc. (NYSE: ZBH)). Prior to TPG, Mr. Vitorovic was an investment banker at Credit Suisse’s healthcare banking group from 2004 to 2008. Mr. Vitorovic currently serves on the board of directors of Vigil Neuroscience, Inc. (NASDAQ: VIGL), Volastra Therapeutics, Inc., and Souffle Therapeutics, Inc. He was previously a board observer of Oyster Point Pharma, Inc. (formerly NASDAQ: OYST), Dyne Therapeutics (NASDAQ: DYN) and Sutro Biopharma, Inc. (NASDAQ: STRO), and a board member of Kyverna Therapeutics, Inc. (NASDAQ: KYTX) and Praxis Precision Medicines, Inc. (NASDAQ: PRAX) from 2018 to 2022. He received a B.S. with Honors in Biological Sciences and an M.S. in Biology from Stanford University, where he conducted biomedical research in the lab of Dr. Helen Blau at Stanford Medical School. Mr. Vitorovic received his M.B.A. from Harvard Business School. The Company believes Mr. Vitorovic is qualified to serve on the Board because of his deep expertise in life sciences research and investing, as well as his extensive experience in new company formation and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are no material legal proceedings to which any of our executive officers is a party adverse to the Company or the Company’s subsidiaries or in which any such person has a material interest adverse to the Company or the Company’s subsidiaries.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Composition of Our Board of Directors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Board currently consists of six directors divided into three staggered classes, with one class to be elected at each annual meeting to serve for a three-year term.</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our certificate of incorporation (the “Certificate of Incorporation”), our Board is divided into three classes, Class I, Class II and Class III, with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 The Board is divided among the following classes:</w:t>
      </w:r>
    </w:p>
    <w:p>
      <w:pPr>
        <w:spacing w:after="0" w:line="85" w:lineRule="exact"/>
        <w:rPr>
          <w:sz w:val="20"/>
          <w:szCs w:val="20"/>
          <w:color w:val="auto"/>
        </w:rPr>
      </w:pPr>
    </w:p>
    <w:p>
      <w:pPr>
        <w:ind w:left="1080" w:right="1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Alise Reicin, M.D. and Praveen Tipirneni, M.D., whose terms will expire at the annual meeting of stockholders to be held in 2025;</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Timothy A. Springer, Ph.D. and Stefan Vitorovic, whose terms will expire at the annual meeting of stockholders to be held in 2026;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Terrance McGuire and Phillip B. Donenberg, whose terms will expire at the annual meeting of stockholders to be held in 2027.</w:t>
      </w:r>
    </w:p>
    <w:p>
      <w:pPr>
        <w:spacing w:after="0" w:line="162" w:lineRule="exact"/>
        <w:rPr>
          <w:sz w:val="20"/>
          <w:szCs w:val="20"/>
          <w:color w:val="auto"/>
        </w:rPr>
      </w:pPr>
    </w:p>
    <w:p>
      <w:pPr>
        <w:ind w:left="120" w:firstLine="440"/>
        <w:spacing w:after="0" w:line="233"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or their earlier resignation, removal, retirement or death. This classification of the Board may have the effect of delaying or preventing changes in our control or management. Our directors may be removed for cause by the affirmative vote of the holders of at least 66</w:t>
      </w:r>
      <w:r>
        <w:rPr>
          <w:rFonts w:ascii="Times New Roman" w:cs="Times New Roman" w:eastAsia="Times New Roman" w:hAnsi="Times New Roman"/>
          <w:sz w:val="26"/>
          <w:szCs w:val="26"/>
          <w:color w:val="auto"/>
          <w:vertAlign w:val="superscript"/>
        </w:rPr>
        <w:t>2/3</w:t>
      </w:r>
      <w:r>
        <w:rPr>
          <w:rFonts w:ascii="Times New Roman" w:cs="Times New Roman" w:eastAsia="Times New Roman" w:hAnsi="Times New Roman"/>
          <w:sz w:val="18"/>
          <w:szCs w:val="18"/>
          <w:color w:val="auto"/>
        </w:rPr>
        <w:t>% of our voting stock.</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Our Board of Directors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than Dr. Reicin, our president and chief executive officer, all members of the Board are independent, and all members of committees of the Board are independent. To determine independence, the Board reviewed all relevant identified transactions or relationships between each director, or any of such director’s family members, and us, our senior management and our independent auditors. Our Board has affirmatively determined that the following five current directors are independent directors within the meaning of the applicable Nasdaq listing standards: Phillip B. Donenberg, Terrance McGuire, Timothy A. Springer, Ph.D., Praveen Tipirneni, M.D. and Stefan Vitorovic. In making this determination, our Board found that none of these directors or nominees for director had a material or other disqualifying relationship with Tectonic. Dr. Reicin was determined as not being independent by virtue of her executive leadership role with us.</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Accordingly, a majority of our directors are independent, as required under applicable Nasdaq rules. In making this determination, our Board considered the applicable Nasdaq rules and the current and prior relationships that each non-employee director has with our company and all other facts and circumstances our Board deemed relevant in determining their independence, including their beneficial ownership of our share capital.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121"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The standing committees of our Board are the following: audit committee, compensation committee and nominating and corporate governance committee, and each operates pursuant to a charter. Our Board may establish other committees from time to time to assist us and our Board.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committee’s oversight responsibilities include:</w:t>
      </w:r>
    </w:p>
    <w:p>
      <w:pPr>
        <w:spacing w:after="0" w:line="67" w:lineRule="exact"/>
        <w:rPr>
          <w:sz w:val="20"/>
          <w:szCs w:val="20"/>
          <w:color w:val="auto"/>
        </w:rPr>
      </w:pPr>
    </w:p>
    <w:p>
      <w:pPr>
        <w:ind w:left="1080" w:right="1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accounting and financial reporting processes, systems of internal control over financial reporting and audits of financial statements, as well as the quality and integrity of our financial statements and reports;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our independent registered public accountant;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legal and regulatory requirements, including compliance with ethical standards adopted by us;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review and assessment of our risk management, risk assessment and major risk exposures with respect to financial, accounting, operational, tax, privacy and cybersecurity and information technology risks.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consists of Phillip Donenberg, Terrance McGuire and Stefan Vitorovic. Phillip Donenberg serves as the chair of the audit committee and is a financial expert under the rules of the SEC. To qualify as independent to serve on our audit committee, listing standards of Nasdaq and the applicable SEC rules require that a director not accept any consulting, advisory or other compensatory fee from us, other than for service as a director, or be an affiliated person of us. We believe that the composition of the audit committee complies with the applicable requirements of the rules and regulations of Nasdaq and the SEC.</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oversees policies relating to compensation and benefits of our officers and directors. Among other matters, the compensation committee’s responsibilities include:</w:t>
      </w:r>
    </w:p>
    <w:p>
      <w:pPr>
        <w:spacing w:after="0" w:line="67"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our overall compensation philosophy in light of our specific business objectives;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or recommending to the full Board the compensation, for our Chief Executive Officer;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compensation for our other executive officers and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incentive and equity-based compensation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compensation-related disclosures required by the SEC;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policies and strategies relating to human capital management.</w:t>
      </w:r>
    </w:p>
    <w:p>
      <w:pPr>
        <w:spacing w:after="0" w:line="22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Praveen Tipirneni and Stefan Vitorovic. Praveen Tipirneni serves as the chair of the compensation committee. Each member of the compensation committee is a “non-employee” director within the meaning of Rule 16b-3 of the rules promulgated under the Exchange Act and independent within the meaning of the independent director guidelines of Nasdaq. We believe that the composition of the compensation committee complies with the applicable requirements of the rules and regulations of Nasdaq.</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include:</w:t>
      </w:r>
    </w:p>
    <w:p>
      <w:pPr>
        <w:spacing w:after="0" w:line="131" w:lineRule="exact"/>
        <w:rPr>
          <w:sz w:val="20"/>
          <w:szCs w:val="20"/>
          <w:color w:val="auto"/>
        </w:rPr>
      </w:pPr>
    </w:p>
    <w:p>
      <w:pPr>
        <w:ind w:left="1080" w:right="520" w:hanging="424"/>
        <w:spacing w:after="0" w:line="261"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(consistent with criteria approved by the Board), reviewing the qualifications of, and considering stockholders’ recommendations for, director candidates and recommending to the Board qualified director nominees for appointment, election or reelection to the Board at each annual stockholders’ meeting and as necessary to fill vacancies and newly created directorships;</w:t>
      </w:r>
    </w:p>
    <w:p>
      <w:pPr>
        <w:spacing w:after="0" w:line="85"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for adoption the corporate governance guidelines applicable to us, periodically reviewing such guidelines, recommending changes to the same from time to time as appropriate and overseeing and monitoring compliance with such guidelines;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evaluations of the Board, its committees, and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directors qualified to serve on the various committees of the Board and recommending to the Board qualified nominees for membership on each such committee;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succession planning for the Board and key leadership roles on the Board and its committees.</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Timothy Springer and Terrance McGuire. Timothy Springer serves as the chair of the nominating and corporate governance committee.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for Employees, Executive Officers and Directors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have a Code of Business Conduct and Ethics (the “Code of Conduct”) that is applicable to all of our employees, executive officers and directors. The Code of Conduct is available on our website at </w:t>
      </w:r>
      <w:r>
        <w:rPr>
          <w:rFonts w:ascii="Times New Roman" w:cs="Times New Roman" w:eastAsia="Times New Roman" w:hAnsi="Times New Roman"/>
          <w:sz w:val="18"/>
          <w:szCs w:val="18"/>
          <w:i w:val="1"/>
          <w:iCs w:val="1"/>
          <w:color w:val="auto"/>
        </w:rPr>
        <w:t>https://investors.tectonictx.com/governance-documents</w:t>
      </w:r>
      <w:r>
        <w:rPr>
          <w:rFonts w:ascii="Times New Roman" w:cs="Times New Roman" w:eastAsia="Times New Roman" w:hAnsi="Times New Roman"/>
          <w:sz w:val="18"/>
          <w:szCs w:val="18"/>
          <w:color w:val="auto"/>
        </w:rPr>
        <w:t>. Information contained on or accessible through our website is not a part of this prospectus, and the inclusion of our website address in this prospectus is an inactive textual reference only. The Board, and audit committee of the Board, will be responsible for overseeing the Code of Conduct and must approve any waivers of the Code of Conduct for employees, executive officers and directors. We plan to disclose any amendments to the Code of Conduct, or any waivers of its requirements, on our website.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60"/>
          </w:cols>
          <w:pgMar w:left="320" w:top="455" w:right="5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any reference in this section of this prospectus to “Legacy Tectonic” refers to Tectonic Operating Company, Inc., a Delaware corporation (previously named Tectonic Therapeutic, Inc.) and its consolidated subsidiaries prior to the consummation of the Merger and any reference to “the Company,” “we,” or “us” refers to Tectonic Therapeutic, Inc. and its consolidated subsidiaries after the Merger. Unless otherwise indicated, the information presented in this “Executive and Director Compensation” section reflects information for Legacy Tectonic, is as of December 31, 2023 and does not reflect the effects of the Merger or the Reverse Stock Split. Upon the closing of the Merger, the executive officers of Legacy Tectonic became the executive officers of the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Overview</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Legacy Tectonic’s named executive officers (“NEOs”) for the year ended December 31, 2023 who appear in the Summary Compensation Table below are:</w:t>
      </w:r>
    </w:p>
    <w:p>
      <w:pPr>
        <w:spacing w:after="0" w:line="67"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Alise Reicin, M.D., our President, Chief Executive Officer and Director;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Marcella K. Ruddy, M.D., our Chief Medical Officer; and</w:t>
      </w:r>
    </w:p>
    <w:p>
      <w:pPr>
        <w:spacing w:after="0" w:line="130"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Christian Cortis, Ph.D., who served as Legacy Tectonic’s Chief Operating Officer and Chief Financial Officer through the closing of the Merger. He served as our Chief Operating Officer from the closing of the Merger until his separation from our company effective July 5, 2024.</w:t>
      </w:r>
    </w:p>
    <w:p>
      <w:pPr>
        <w:spacing w:after="0" w:line="176"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forward-looking statements that are based on our current plans, considerations, expectations and determinations regarding future compensation programs. Actual compensation programs that we adopt could vary significantly from our historical practices and currently planned programs summarized in this discussion.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Summary Compensation Table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Legacy Tectonic’s NEOs for services during the fiscal year ended December 31, 2023.</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60" w:type="dxa"/>
            <w:vAlign w:val="bottom"/>
            <w:gridSpan w:val="2"/>
            <w:vMerge w:val="restart"/>
          </w:tcPr>
          <w:p>
            <w:pPr>
              <w:jc w:val="center"/>
              <w:ind w:right="37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10"/>
                <w:szCs w:val="10"/>
                <w:b w:val="1"/>
                <w:bCs w:val="1"/>
                <w:color w:val="auto"/>
              </w:rPr>
              <w:t>(1)</w:t>
            </w:r>
          </w:p>
        </w:tc>
        <w:tc>
          <w:tcPr>
            <w:tcW w:w="920" w:type="dxa"/>
            <w:vAlign w:val="bottom"/>
            <w:gridSpan w:val="2"/>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6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60" w:type="dxa"/>
            <w:vAlign w:val="bottom"/>
            <w:gridSpan w:val="2"/>
          </w:tcPr>
          <w:p>
            <w:pPr>
              <w:jc w:val="center"/>
              <w:ind w:right="37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(2)</w:t>
            </w:r>
          </w:p>
        </w:tc>
        <w:tc>
          <w:tcPr>
            <w:tcW w:w="260" w:type="dxa"/>
            <w:vAlign w:val="bottom"/>
          </w:tcPr>
          <w:p>
            <w:pPr>
              <w:spacing w:after="0"/>
              <w:rPr>
                <w:sz w:val="15"/>
                <w:szCs w:val="15"/>
                <w:color w:val="auto"/>
              </w:rPr>
            </w:pPr>
          </w:p>
        </w:tc>
        <w:tc>
          <w:tcPr>
            <w:tcW w:w="920" w:type="dxa"/>
            <w:vAlign w:val="bottom"/>
          </w:tcPr>
          <w:p>
            <w:pPr>
              <w:jc w:val="center"/>
              <w:spacing w:after="0" w:line="17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0"/>
                <w:szCs w:val="20"/>
                <w:b w:val="1"/>
                <w:bCs w:val="1"/>
                <w:color w:val="auto"/>
                <w:w w:val="93"/>
                <w:vertAlign w:val="superscript"/>
              </w:rPr>
              <w:t>(3)</w:t>
            </w: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6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4"/>
                <w:szCs w:val="14"/>
                <w:color w:val="auto"/>
              </w:rPr>
              <w:t>Alise Reicin, M.D.</w:t>
            </w:r>
            <w:r>
              <w:rPr>
                <w:rFonts w:ascii="Times New Roman" w:cs="Times New Roman" w:eastAsia="Times New Roman" w:hAnsi="Times New Roman"/>
                <w:sz w:val="20"/>
                <w:szCs w:val="20"/>
                <w:b w:val="1"/>
                <w:bCs w:val="1"/>
                <w:color w:val="auto"/>
                <w:vertAlign w:val="superscript"/>
              </w:rPr>
              <w:t>(4)</w:t>
            </w:r>
          </w:p>
        </w:tc>
        <w:tc>
          <w:tcPr>
            <w:tcW w:w="420" w:type="dxa"/>
            <w:vAlign w:val="bottom"/>
            <w:tcBorders>
              <w:top w:val="single" w:sz="8" w:color="auto"/>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w w:val="94"/>
              </w:rPr>
              <w:t>2023</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w w:val="95"/>
              </w:rPr>
              <w:t>575,050</w:t>
            </w:r>
          </w:p>
        </w:tc>
        <w:tc>
          <w:tcPr>
            <w:tcW w:w="2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112,563</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231,600</w:t>
            </w: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12,749</w:t>
            </w:r>
          </w:p>
        </w:tc>
        <w:tc>
          <w:tcPr>
            <w:tcW w:w="440" w:type="dxa"/>
            <w:vAlign w:val="bottom"/>
            <w:tcBorders>
              <w:top w:val="single" w:sz="8" w:color="CCEEFF"/>
            </w:tcBorders>
            <w:shd w:val="clear" w:color="auto" w:fill="CCEEFF"/>
          </w:tcPr>
          <w:p>
            <w:pPr>
              <w:jc w:val="right"/>
              <w:ind w:right="213"/>
              <w:spacing w:after="0"/>
              <w:rPr>
                <w:sz w:val="20"/>
                <w:szCs w:val="20"/>
                <w:color w:val="auto"/>
              </w:rPr>
            </w:pPr>
            <w:r>
              <w:rPr>
                <w:rFonts w:ascii="Times New Roman" w:cs="Times New Roman" w:eastAsia="Times New Roman" w:hAnsi="Times New Roman"/>
                <w:sz w:val="13"/>
                <w:szCs w:val="13"/>
                <w:color w:val="auto"/>
                <w:w w:val="92"/>
              </w:rPr>
              <w:t>(5)</w:t>
            </w: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919,213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Marcella K. Ruddy, M.D.</w:t>
            </w:r>
          </w:p>
        </w:tc>
        <w:tc>
          <w:tcPr>
            <w:tcW w:w="700" w:type="dxa"/>
            <w:vAlign w:val="bottom"/>
            <w:gridSpan w:val="2"/>
          </w:tcPr>
          <w:p>
            <w:pPr>
              <w:ind w:left="60"/>
              <w:spacing w:after="0" w:line="195" w:lineRule="exact"/>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ind w:left="80"/>
              <w:spacing w:after="0" w:line="195" w:lineRule="exact"/>
              <w:rPr>
                <w:sz w:val="20"/>
                <w:szCs w:val="20"/>
                <w:color w:val="auto"/>
              </w:rPr>
            </w:pPr>
            <w:r>
              <w:rPr>
                <w:rFonts w:ascii="Times New Roman" w:cs="Times New Roman" w:eastAsia="Times New Roman" w:hAnsi="Times New Roman"/>
                <w:sz w:val="18"/>
                <w:szCs w:val="18"/>
                <w:color w:val="auto"/>
              </w:rPr>
              <w:t>451,962</w:t>
            </w:r>
          </w:p>
        </w:tc>
        <w:tc>
          <w:tcPr>
            <w:tcW w:w="920" w:type="dxa"/>
            <w:vAlign w:val="bottom"/>
            <w:gridSpan w:val="2"/>
          </w:tcPr>
          <w:p>
            <w:pPr>
              <w:jc w:val="right"/>
              <w:ind w:right="260"/>
              <w:spacing w:after="0" w:line="195" w:lineRule="exact"/>
              <w:rPr>
                <w:sz w:val="20"/>
                <w:szCs w:val="20"/>
                <w:color w:val="auto"/>
              </w:rPr>
            </w:pPr>
            <w:r>
              <w:rPr>
                <w:rFonts w:ascii="Times New Roman" w:cs="Times New Roman" w:eastAsia="Times New Roman" w:hAnsi="Times New Roman"/>
                <w:sz w:val="18"/>
                <w:szCs w:val="18"/>
                <w:color w:val="auto"/>
              </w:rPr>
              <w:t>78,794</w:t>
            </w:r>
          </w:p>
        </w:tc>
        <w:tc>
          <w:tcPr>
            <w:tcW w:w="120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159,341</w:t>
            </w:r>
          </w:p>
        </w:tc>
        <w:tc>
          <w:tcPr>
            <w:tcW w:w="1360" w:type="dxa"/>
            <w:vAlign w:val="bottom"/>
            <w:gridSpan w:val="2"/>
          </w:tcPr>
          <w:p>
            <w:pPr>
              <w:jc w:val="right"/>
              <w:ind w:right="213"/>
              <w:spacing w:after="0" w:line="196" w:lineRule="exact"/>
              <w:rPr>
                <w:sz w:val="20"/>
                <w:szCs w:val="20"/>
                <w:color w:val="auto"/>
              </w:rPr>
            </w:pPr>
            <w:r>
              <w:rPr>
                <w:rFonts w:ascii="Times New Roman" w:cs="Times New Roman" w:eastAsia="Times New Roman" w:hAnsi="Times New Roman"/>
                <w:sz w:val="16"/>
                <w:szCs w:val="16"/>
                <w:color w:val="auto"/>
              </w:rPr>
              <w:t>9,678</w:t>
            </w:r>
            <w:r>
              <w:rPr>
                <w:rFonts w:ascii="Times New Roman" w:cs="Times New Roman" w:eastAsia="Times New Roman" w:hAnsi="Times New Roman"/>
                <w:sz w:val="22"/>
                <w:szCs w:val="22"/>
                <w:color w:val="auto"/>
                <w:vertAlign w:val="superscript"/>
              </w:rPr>
              <w:t>(6)</w:t>
            </w:r>
          </w:p>
        </w:tc>
        <w:tc>
          <w:tcPr>
            <w:tcW w:w="760" w:type="dxa"/>
            <w:vAlign w:val="bottom"/>
            <w:gridSpan w:val="2"/>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690,096</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6"/>
                <w:szCs w:val="16"/>
                <w:color w:val="auto"/>
              </w:rPr>
              <w:t>Christian Cortis, Ph.D.</w:t>
            </w:r>
            <w:r>
              <w:rPr>
                <w:rFonts w:ascii="Times New Roman" w:cs="Times New Roman" w:eastAsia="Times New Roman" w:hAnsi="Times New Roman"/>
                <w:sz w:val="23"/>
                <w:szCs w:val="23"/>
                <w:b w:val="1"/>
                <w:bCs w:val="1"/>
                <w:color w:val="auto"/>
                <w:vertAlign w:val="superscript"/>
              </w:rPr>
              <w:t>(7)</w:t>
            </w:r>
          </w:p>
        </w:tc>
        <w:tc>
          <w:tcPr>
            <w:tcW w:w="700" w:type="dxa"/>
            <w:vAlign w:val="bottom"/>
            <w:gridSpan w:val="2"/>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383,356</w:t>
            </w:r>
          </w:p>
        </w:tc>
        <w:tc>
          <w:tcPr>
            <w:tcW w:w="920" w:type="dxa"/>
            <w:vAlign w:val="bottom"/>
            <w:gridSpan w:val="2"/>
            <w:shd w:val="clear" w:color="auto" w:fill="CCEE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78,794</w:t>
            </w:r>
          </w:p>
        </w:tc>
        <w:tc>
          <w:tcPr>
            <w:tcW w:w="1200" w:type="dxa"/>
            <w:vAlign w:val="bottom"/>
            <w:gridSpan w:val="2"/>
            <w:shd w:val="clear" w:color="auto" w:fill="CCEEFF"/>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115,850</w:t>
            </w:r>
          </w:p>
        </w:tc>
        <w:tc>
          <w:tcPr>
            <w:tcW w:w="1360" w:type="dxa"/>
            <w:vAlign w:val="bottom"/>
            <w:gridSpan w:val="2"/>
            <w:shd w:val="clear" w:color="auto" w:fill="CCEEFF"/>
          </w:tcPr>
          <w:p>
            <w:pPr>
              <w:jc w:val="right"/>
              <w:ind w:right="213"/>
              <w:spacing w:after="0" w:line="202" w:lineRule="exact"/>
              <w:rPr>
                <w:sz w:val="20"/>
                <w:szCs w:val="20"/>
                <w:color w:val="auto"/>
              </w:rPr>
            </w:pPr>
            <w:r>
              <w:rPr>
                <w:rFonts w:ascii="Times New Roman" w:cs="Times New Roman" w:eastAsia="Times New Roman" w:hAnsi="Times New Roman"/>
                <w:sz w:val="16"/>
                <w:szCs w:val="16"/>
                <w:color w:val="auto"/>
              </w:rPr>
              <w:t>495</w:t>
            </w:r>
            <w:r>
              <w:rPr>
                <w:rFonts w:ascii="Times New Roman" w:cs="Times New Roman" w:eastAsia="Times New Roman" w:hAnsi="Times New Roman"/>
                <w:sz w:val="23"/>
                <w:szCs w:val="23"/>
                <w:color w:val="auto"/>
                <w:vertAlign w:val="superscript"/>
              </w:rPr>
              <w:t>(8)</w:t>
            </w:r>
          </w:p>
        </w:tc>
        <w:tc>
          <w:tcPr>
            <w:tcW w:w="760" w:type="dxa"/>
            <w:vAlign w:val="bottom"/>
            <w:gridSpan w:val="2"/>
            <w:shd w:val="clear" w:color="auto" w:fill="CCEE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578,000</w:t>
            </w:r>
          </w:p>
        </w:tc>
        <w:tc>
          <w:tcPr>
            <w:tcW w:w="0" w:type="dxa"/>
            <w:vAlign w:val="bottom"/>
          </w:tcPr>
          <w:p>
            <w:pPr>
              <w:spacing w:after="0"/>
              <w:rPr>
                <w:sz w:val="1"/>
                <w:szCs w:val="1"/>
                <w:color w:val="auto"/>
              </w:rPr>
            </w:pPr>
          </w:p>
        </w:tc>
      </w:tr>
      <w:tr>
        <w:trPr>
          <w:trHeight w:val="250"/>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Operating Officer and Chief Financial Officer</w:t>
            </w: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540" w:right="200" w:hanging="424"/>
        <w:spacing w:after="0" w:line="234" w:lineRule="auto"/>
        <w:tabs>
          <w:tab w:leader="none" w:pos="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Salary amounts represent actual amounts paid during 2023 and reflect increases to base salary effective April 1, 2023. See “—</w:t>
      </w:r>
      <w:r>
        <w:rPr>
          <w:rFonts w:ascii="Times New Roman" w:cs="Times New Roman" w:eastAsia="Times New Roman" w:hAnsi="Times New Roman"/>
          <w:sz w:val="14"/>
          <w:szCs w:val="14"/>
          <w:i w:val="1"/>
          <w:iCs w:val="1"/>
          <w:color w:val="auto"/>
        </w:rPr>
        <w:t>Narrative to the Summary Compensation Table—Base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Salary</w:t>
      </w:r>
      <w:r>
        <w:rPr>
          <w:rFonts w:ascii="Times New Roman" w:cs="Times New Roman" w:eastAsia="Times New Roman" w:hAnsi="Times New Roman"/>
          <w:sz w:val="14"/>
          <w:szCs w:val="14"/>
          <w:color w:val="auto"/>
        </w:rPr>
        <w:t>” below.</w:t>
      </w:r>
    </w:p>
    <w:p>
      <w:pPr>
        <w:spacing w:after="0" w:line="1" w:lineRule="exact"/>
        <w:rPr>
          <w:rFonts w:ascii="Times New Roman" w:cs="Times New Roman" w:eastAsia="Times New Roman" w:hAnsi="Times New Roman"/>
          <w:sz w:val="14"/>
          <w:szCs w:val="14"/>
          <w:color w:val="auto"/>
        </w:rPr>
      </w:pPr>
    </w:p>
    <w:p>
      <w:pPr>
        <w:ind w:left="540" w:right="40" w:hanging="424"/>
        <w:spacing w:after="0"/>
        <w:tabs>
          <w:tab w:leader="none" w:pos="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stock option awards granted during the year ended December 31, 2023, calculated in accordance with FASB ASC 718 for share-based compensation transactions. The assumptions used in calculating the grant date fair value of the stock options reported in this column are set forth in Note 2 to Legacy Tectonic’s consolidated financial statements for each of the years ended December 31, 2022 and 2023 included elsewhere in this prospectus. These amounts do not correspond to the actual economic value that may be received by Legacy Tectonic’s named executive officers upon the exercise of the stock options or any sale of the underlying shares of common stock.</w:t>
      </w:r>
    </w:p>
    <w:p>
      <w:pPr>
        <w:spacing w:after="0" w:line="98" w:lineRule="exact"/>
        <w:rPr>
          <w:rFonts w:ascii="Times New Roman" w:cs="Times New Roman" w:eastAsia="Times New Roman" w:hAnsi="Times New Roman"/>
          <w:sz w:val="14"/>
          <w:szCs w:val="14"/>
          <w:color w:val="auto"/>
        </w:rPr>
      </w:pPr>
    </w:p>
    <w:p>
      <w:pPr>
        <w:ind w:left="540" w:right="100" w:hanging="424"/>
        <w:spacing w:after="0" w:line="239" w:lineRule="auto"/>
        <w:tabs>
          <w:tab w:leader="none" w:pos="5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disclosed for fiscal year 2023 reflect performance-based cash bonuses earned in 2023 and paid in early 2024. See “—</w:t>
      </w:r>
      <w:r>
        <w:rPr>
          <w:rFonts w:ascii="Times New Roman" w:cs="Times New Roman" w:eastAsia="Times New Roman" w:hAnsi="Times New Roman"/>
          <w:sz w:val="14"/>
          <w:szCs w:val="14"/>
          <w:i w:val="1"/>
          <w:iCs w:val="1"/>
          <w:color w:val="auto"/>
        </w:rPr>
        <w:t>Non-Equity Incentive Plan Compensation</w:t>
      </w:r>
      <w:r>
        <w:rPr>
          <w:rFonts w:ascii="Times New Roman" w:cs="Times New Roman" w:eastAsia="Times New Roman" w:hAnsi="Times New Roman"/>
          <w:sz w:val="14"/>
          <w:szCs w:val="14"/>
          <w:color w:val="auto"/>
        </w:rPr>
        <w:t>” below for a description of the material terms of the program pursuant to which this compensation was awarded.</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Reicin also served as a member of the Legacy Tectonic Board but did not receive any additional compensation for her service as a director.</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commuting expenses in the amount of $12,221, and (ii) life insurance premiums in the amount of $528 paid by Legacy Tectonic on behalf of Dr. Reicin.</w:t>
      </w:r>
    </w:p>
    <w:p>
      <w:pPr>
        <w:ind w:left="540" w:hanging="424"/>
        <w:spacing w:after="0" w:line="221" w:lineRule="auto"/>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$9,150 in matching employer contributions to a 401(k) plan, and (ii) life insurance premiums in the amount of $528 paid by Legacy Tectonic on behalf of Dr. Ruddy.</w:t>
      </w:r>
    </w:p>
    <w:p>
      <w:pPr>
        <w:ind w:left="540" w:hanging="424"/>
        <w:spacing w:after="0" w:line="221" w:lineRule="auto"/>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closing of the Merger, Dr. Cortis became our Chief Financial Officer, and he separated from our company effective July 5, 2024.</w:t>
      </w:r>
    </w:p>
    <w:p>
      <w:pPr>
        <w:ind w:left="540" w:hanging="424"/>
        <w:spacing w:after="0"/>
        <w:tabs>
          <w:tab w:leader="none" w:pos="5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life insurance premiums paid by Legacy Tectonic on behalf of Dr. Cortis.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the 2023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NEO’s base salary was a fixed component of annual compensation for performing specific duties and functions, and was established by the Legacy Tectonic Board taking into account each individual’s role, responsibilities, skills, and expertise. Base salaries were reviewed annually, typically in connection with Legacy Tectonic’s annual performance review process, approved by the Legacy Tectonic Board, and adjusted from time to time to realign salaries with market levels and internal benchmarking, after taking into account individual responsibilities, performance and experience. Please see the “Salary” column in the Summary Compensation Table above for the actual base salary amount received by each named executive officer during the year ended December 31, 2023. The annual base salaries for Drs. Reicin, Ruddy and Cortis were $562,380, $442,000 and $374,920, respectively for the period from January 1, 2023 through March 31, 2023, and $579,251, $455,260 and $386,168, respectively, for the period from April 1, 2023 to December 31, 2023.</w:t>
      </w:r>
    </w:p>
    <w:p>
      <w:pPr>
        <w:spacing w:after="0" w:line="19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Effective as of April 1, 2024, the annual base salaries for Drs. Reicin, Ruddy and Cortis were increased to $602,160, $473,200 and $401,440, respectively.</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completion of the Merger, the annual base salaries for Dr. Reicin and Dr. Ruddy were increased to $620,000 and $486,850,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Non-Equity Incentive Plan Compensation</w:t>
      </w:r>
    </w:p>
    <w:p>
      <w:pPr>
        <w:spacing w:after="0" w:line="121" w:lineRule="exact"/>
        <w:rPr>
          <w:sz w:val="20"/>
          <w:szCs w:val="20"/>
          <w:color w:val="auto"/>
        </w:rPr>
      </w:pPr>
    </w:p>
    <w:p>
      <w:pPr>
        <w:jc w:val="both"/>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Legacy Tectonic’s annual incentive program is intended to reward its named executive officers for performance during a fiscal year. From time to time, Legacy Tectonic’s compensation committee or the Legacy Tectonic Board, as applicable, in their discretion may have approved annual incentives for Legacy Tectonic’s named executive officers based on individual performance, company performance, or as otherwise determined appropriate. Each of Legacy Tectonic’s named executive officers were eligible to receive a target bonus at the discretion of the Legacy Tectonic Board with respect to the year ended December 31, 2023 (as a percentage of base salary) based upon their performance.</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rPr>
                <w:sz w:val="12"/>
                <w:szCs w:val="12"/>
                <w:color w:val="auto"/>
              </w:rPr>
            </w:pPr>
          </w:p>
        </w:tc>
        <w:tc>
          <w:tcPr>
            <w:tcW w:w="10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9"/>
        </w:trPr>
        <w:tc>
          <w:tcPr>
            <w:tcW w:w="6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2"/>
          </w:tcPr>
          <w:p>
            <w:pPr>
              <w:jc w:val="right"/>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Target</w:t>
            </w:r>
          </w:p>
        </w:tc>
        <w:tc>
          <w:tcPr>
            <w:tcW w:w="4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73"/>
        </w:trPr>
        <w:tc>
          <w:tcPr>
            <w:tcW w:w="6820" w:type="dxa"/>
            <w:vAlign w:val="bottom"/>
            <w:tcBorders>
              <w:bottom w:val="single" w:sz="8" w:color="CCEEFF"/>
            </w:tcBorders>
            <w:vMerge w:val="continue"/>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Alise Reicin, M.D.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Marcella K. Ruddy, M.D.</w:t>
            </w: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Christian Cortis, Ph.D.</w:t>
            </w:r>
          </w:p>
        </w:tc>
        <w:tc>
          <w:tcPr>
            <w:tcW w:w="10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February 2024, based on the named executive officer’s performance, the Legacy Tectonic Board determined that Drs. Reicin, Ruddy and Cortis were eligible to receive 100% of their target annual bonus for the year ended December 31, 2023, and as a result, approved annual performance bonuses for Drs. Reicin, Ruddy, and Cortis in the amounts of $231,600, $159,341 and $115,850, respectively, as reflected in the “Non-Equity Incentive Plan Compensation” column of the Summary Compensation Table above.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5"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Equity-Based Incentive Awards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Legacy Tectonic’s equity-based incentive awards granted to its named executive officers were designed to align the interests of Legacy Tectonic and those of Legacy Tectonic stockholders with those of Legacy Tectonic employees and consultants, including its executive officers. Legacy Tectonic executives were generally awarded an initial equity grant in the form of a stock option, or restricted stock in the case of Drs. Reicin and Cortis, in connection with their commencement of employment with Legacy Tectonic.</w:t>
      </w:r>
    </w:p>
    <w:p>
      <w:pPr>
        <w:spacing w:after="0" w:line="180"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Other than as disclosed below regarding restricted stock awards granted to Dr. Reicin pursuant to the Former Reicin Employment Agreement (as defined below), Legacy Tectonic historically used stock options as an incentive for long-term compensation to its executive officers because the option awards allowed Legacy Tectonic executive officers to profit from this form of equity compensation only if Legacy Tectonic’s stock price increased relative to the option’s exercise price, which exercise price was set at the fair market value of Legacy Tectonic common stock on the date of grant. Vesting of equity awards was generally tied to each officer’s continuous service with Legacy Tectonic and served as an additional retention measure. Legacy Tectonic granted equity awards at such times as the Legacy Tectonic Board or compensation committee determined appropriate. Additional grants may have occurred periodically in order to specifically incentivize executives with respect to achieving certain corporate goals or to reward executives for exceptional performance.</w:t>
      </w:r>
    </w:p>
    <w:p>
      <w:pPr>
        <w:spacing w:after="0" w:line="192"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2023, Legacy Tectonic granted each of Drs. Reicin, Ruddy and Cortis options to purchase shares of Legacy Tectonic common stock. Dr. Reicin was granted an option covering 50,000 shares, Dr. Ruddy was granted an option covering 35,000 shares and Dr. Cortis was granted an option covering 35,000 shares. Each of these option awards have an exercise price of $2.87, and vest in 48 equal monthly installments beginning on January 1, 2024. See the section titled “—</w:t>
      </w:r>
      <w:r>
        <w:rPr>
          <w:rFonts w:ascii="Times New Roman" w:cs="Times New Roman" w:eastAsia="Times New Roman" w:hAnsi="Times New Roman"/>
          <w:sz w:val="18"/>
          <w:szCs w:val="18"/>
          <w:i w:val="1"/>
          <w:iCs w:val="1"/>
          <w:color w:val="auto"/>
        </w:rPr>
        <w:t>Outstanding Equity Awards at Fiscal 2023 Year-End</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2023 Year-End</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equity awards held by Legacy Tectonic’s NEOs as of December 31, 2023. All awards were granted pursuant to the Tectonic 2019 Plan. See “</w:t>
      </w:r>
      <w:r>
        <w:rPr>
          <w:rFonts w:ascii="Times New Roman" w:cs="Times New Roman" w:eastAsia="Times New Roman" w:hAnsi="Times New Roman"/>
          <w:sz w:val="18"/>
          <w:szCs w:val="18"/>
          <w:i w:val="1"/>
          <w:iCs w:val="1"/>
          <w:color w:val="auto"/>
        </w:rPr>
        <w:t>—Equity Incentive Plans—Tectonic 2019 Equity Incentive Plan</w:t>
      </w:r>
      <w:r>
        <w:rPr>
          <w:rFonts w:ascii="Times New Roman" w:cs="Times New Roman" w:eastAsia="Times New Roman" w:hAnsi="Times New Roman"/>
          <w:sz w:val="18"/>
          <w:szCs w:val="18"/>
          <w:color w:val="auto"/>
        </w:rPr>
        <w:t>” for additional information.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65"/>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Option Awards(1)</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3"/>
          </w:tcPr>
          <w:p>
            <w:pPr>
              <w:jc w:val="right"/>
              <w:ind w:right="332"/>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0" w:type="dxa"/>
            <w:vAlign w:val="bottom"/>
          </w:tcPr>
          <w:p>
            <w:pPr>
              <w:spacing w:after="0"/>
              <w:rPr>
                <w:sz w:val="1"/>
                <w:szCs w:val="1"/>
                <w:color w:val="auto"/>
              </w:rPr>
            </w:pPr>
          </w:p>
        </w:tc>
      </w:tr>
      <w:tr>
        <w:trPr>
          <w:trHeight w:val="125"/>
        </w:trPr>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Market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Securities</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or Units</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Underlying</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Unexercised</w:t>
            </w:r>
          </w:p>
        </w:tc>
        <w:tc>
          <w:tcPr>
            <w:tcW w:w="420" w:type="dxa"/>
            <w:vAlign w:val="bottom"/>
          </w:tcPr>
          <w:p>
            <w:pPr>
              <w:spacing w:after="0"/>
              <w:rPr>
                <w:sz w:val="12"/>
                <w:szCs w:val="12"/>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That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That</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Vesting</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420" w:type="dxa"/>
            <w:vAlign w:val="bottom"/>
          </w:tcPr>
          <w:p>
            <w:pPr>
              <w:spacing w:after="0"/>
              <w:rPr>
                <w:sz w:val="12"/>
                <w:szCs w:val="1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Have Not</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Commencement</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Price</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Expiration</w:t>
            </w:r>
          </w:p>
        </w:tc>
        <w:tc>
          <w:tcPr>
            <w:tcW w:w="96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Vested</w:t>
            </w:r>
          </w:p>
        </w:tc>
        <w:tc>
          <w:tcPr>
            <w:tcW w:w="0" w:type="dxa"/>
            <w:vAlign w:val="bottom"/>
          </w:tcPr>
          <w:p>
            <w:pPr>
              <w:spacing w:after="0"/>
              <w:rPr>
                <w:sz w:val="1"/>
                <w:szCs w:val="1"/>
                <w:color w:val="auto"/>
              </w:rPr>
            </w:pPr>
          </w:p>
        </w:tc>
      </w:tr>
      <w:tr>
        <w:trPr>
          <w:trHeight w:val="165"/>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2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Exercisable</w:t>
            </w:r>
          </w:p>
        </w:tc>
        <w:tc>
          <w:tcPr>
            <w:tcW w:w="240" w:type="dxa"/>
            <w:vAlign w:val="bottom"/>
          </w:tcPr>
          <w:p>
            <w:pPr>
              <w:spacing w:after="0"/>
              <w:rPr>
                <w:sz w:val="14"/>
                <w:szCs w:val="14"/>
                <w:color w:val="auto"/>
              </w:rPr>
            </w:pPr>
          </w:p>
        </w:tc>
        <w:tc>
          <w:tcPr>
            <w:tcW w:w="1220" w:type="dxa"/>
            <w:vAlign w:val="bottom"/>
            <w:gridSpan w:val="2"/>
          </w:tcPr>
          <w:p>
            <w:pPr>
              <w:jc w:val="center"/>
              <w:ind w:right="348"/>
              <w:spacing w:after="0"/>
              <w:rPr>
                <w:sz w:val="20"/>
                <w:szCs w:val="20"/>
                <w:color w:val="auto"/>
              </w:rPr>
            </w:pPr>
            <w:r>
              <w:rPr>
                <w:rFonts w:ascii="Times New Roman" w:cs="Times New Roman" w:eastAsia="Times New Roman" w:hAnsi="Times New Roman"/>
                <w:sz w:val="13"/>
                <w:szCs w:val="13"/>
                <w:b w:val="1"/>
                <w:bCs w:val="1"/>
                <w:color w:val="auto"/>
              </w:rPr>
              <w:t>Unexercisable</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CEEFF"/>
          </w:tcPr>
          <w:p>
            <w:pPr>
              <w:spacing w:after="0" w:line="137" w:lineRule="exact"/>
              <w:rPr>
                <w:sz w:val="20"/>
                <w:szCs w:val="20"/>
                <w:color w:val="auto"/>
              </w:rPr>
            </w:pPr>
            <w:r>
              <w:rPr>
                <w:rFonts w:ascii="Times New Roman" w:cs="Times New Roman" w:eastAsia="Times New Roman" w:hAnsi="Times New Roman"/>
                <w:sz w:val="14"/>
                <w:szCs w:val="14"/>
                <w:color w:val="auto"/>
              </w:rPr>
              <w:t>Alise Reicin, M.D.</w:t>
            </w:r>
          </w:p>
        </w:tc>
        <w:tc>
          <w:tcPr>
            <w:tcW w:w="1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360" w:type="dxa"/>
            <w:vAlign w:val="bottom"/>
            <w:vMerge w:val="continue"/>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70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8/26/2020</w:t>
            </w:r>
          </w:p>
        </w:tc>
        <w:tc>
          <w:tcPr>
            <w:tcW w:w="240" w:type="dxa"/>
            <w:vAlign w:val="bottom"/>
            <w:vMerge w:val="continue"/>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center"/>
              <w:ind w:right="80"/>
              <w:spacing w:after="0" w:line="118" w:lineRule="exact"/>
              <w:rPr>
                <w:sz w:val="20"/>
                <w:szCs w:val="20"/>
                <w:color w:val="auto"/>
              </w:rPr>
            </w:pPr>
            <w:r>
              <w:rPr>
                <w:rFonts w:ascii="Times New Roman" w:cs="Times New Roman" w:eastAsia="Times New Roman" w:hAnsi="Times New Roman"/>
                <w:sz w:val="13"/>
                <w:szCs w:val="13"/>
                <w:color w:val="auto"/>
              </w:rPr>
              <w:t>33,722(4)</w:t>
            </w:r>
          </w:p>
        </w:tc>
        <w:tc>
          <w:tcPr>
            <w:tcW w:w="600" w:type="dxa"/>
            <w:vAlign w:val="bottom"/>
            <w:tcBorders>
              <w:right w:val="single" w:sz="8" w:color="CCEEFF"/>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96,926</w:t>
            </w:r>
          </w:p>
        </w:tc>
        <w:tc>
          <w:tcPr>
            <w:tcW w:w="0" w:type="dxa"/>
            <w:vAlign w:val="bottom"/>
          </w:tcPr>
          <w:p>
            <w:pPr>
              <w:spacing w:after="0"/>
              <w:rPr>
                <w:sz w:val="1"/>
                <w:szCs w:val="1"/>
                <w:color w:val="auto"/>
              </w:rPr>
            </w:pPr>
          </w:p>
        </w:tc>
      </w:tr>
      <w:tr>
        <w:trPr>
          <w:trHeight w:val="151"/>
        </w:trPr>
        <w:tc>
          <w:tcPr>
            <w:tcW w:w="3360" w:type="dxa"/>
            <w:vAlign w:val="bottom"/>
            <w:shd w:val="clear" w:color="auto" w:fill="CCEEFF"/>
          </w:tcPr>
          <w:p>
            <w:pPr>
              <w:ind w:left="140"/>
              <w:spacing w:after="0" w:line="151" w:lineRule="exact"/>
              <w:rPr>
                <w:sz w:val="20"/>
                <w:szCs w:val="20"/>
                <w:color w:val="auto"/>
              </w:rPr>
            </w:pPr>
            <w:r>
              <w:rPr>
                <w:rFonts w:ascii="Times New Roman" w:cs="Times New Roman" w:eastAsia="Times New Roman" w:hAnsi="Times New Roman"/>
                <w:sz w:val="14"/>
                <w:szCs w:val="14"/>
                <w:i w:val="1"/>
                <w:iCs w:val="1"/>
                <w:color w:val="auto"/>
              </w:rPr>
              <w:t>Chief Executive Officer and President</w:t>
            </w:r>
          </w:p>
        </w:tc>
        <w:tc>
          <w:tcPr>
            <w:tcW w:w="1120" w:type="dxa"/>
            <w:vAlign w:val="bottom"/>
            <w:gridSpan w:val="3"/>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6/28/2021</w:t>
            </w:r>
          </w:p>
        </w:tc>
        <w:tc>
          <w:tcPr>
            <w:tcW w:w="1180" w:type="dxa"/>
            <w:vAlign w:val="bottom"/>
            <w:gridSpan w:val="2"/>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3/31/2021</w:t>
            </w:r>
          </w:p>
        </w:tc>
        <w:tc>
          <w:tcPr>
            <w:tcW w:w="940" w:type="dxa"/>
            <w:vAlign w:val="bottom"/>
            <w:gridSpan w:val="2"/>
            <w:shd w:val="clear" w:color="auto" w:fill="CCEEFF"/>
          </w:tcPr>
          <w:p>
            <w:pPr>
              <w:jc w:val="right"/>
              <w:ind w:right="240"/>
              <w:spacing w:after="0" w:line="151" w:lineRule="exact"/>
              <w:rPr>
                <w:sz w:val="20"/>
                <w:szCs w:val="20"/>
                <w:color w:val="auto"/>
              </w:rPr>
            </w:pPr>
            <w:r>
              <w:rPr>
                <w:rFonts w:ascii="Times New Roman" w:cs="Times New Roman" w:eastAsia="Times New Roman" w:hAnsi="Times New Roman"/>
                <w:sz w:val="14"/>
                <w:szCs w:val="14"/>
                <w:color w:val="auto"/>
              </w:rPr>
              <w:t>144,644</w:t>
            </w:r>
          </w:p>
        </w:tc>
        <w:tc>
          <w:tcPr>
            <w:tcW w:w="800" w:type="dxa"/>
            <w:vAlign w:val="bottom"/>
            <w:shd w:val="clear" w:color="auto" w:fill="CCEEFF"/>
          </w:tcPr>
          <w:p>
            <w:pPr>
              <w:jc w:val="right"/>
              <w:spacing w:after="0" w:line="151" w:lineRule="exact"/>
              <w:rPr>
                <w:sz w:val="20"/>
                <w:szCs w:val="20"/>
                <w:color w:val="auto"/>
              </w:rPr>
            </w:pPr>
            <w:r>
              <w:rPr>
                <w:rFonts w:ascii="Times New Roman" w:cs="Times New Roman" w:eastAsia="Times New Roman" w:hAnsi="Times New Roman"/>
                <w:sz w:val="14"/>
                <w:szCs w:val="14"/>
                <w:color w:val="auto"/>
              </w:rPr>
              <w:t>114,470</w:t>
            </w:r>
          </w:p>
        </w:tc>
        <w:tc>
          <w:tcPr>
            <w:tcW w:w="420" w:type="dxa"/>
            <w:vAlign w:val="bottom"/>
            <w:shd w:val="clear" w:color="auto" w:fill="CCEEFF"/>
          </w:tcPr>
          <w:p>
            <w:pPr>
              <w:jc w:val="right"/>
              <w:ind w:right="168"/>
              <w:spacing w:after="0" w:line="151" w:lineRule="exact"/>
              <w:rPr>
                <w:sz w:val="20"/>
                <w:szCs w:val="20"/>
                <w:color w:val="auto"/>
              </w:rPr>
            </w:pPr>
            <w:r>
              <w:rPr>
                <w:rFonts w:ascii="Times New Roman" w:cs="Times New Roman" w:eastAsia="Times New Roman" w:hAnsi="Times New Roman"/>
                <w:sz w:val="14"/>
                <w:szCs w:val="14"/>
                <w:color w:val="auto"/>
                <w:w w:val="97"/>
              </w:rPr>
              <w:t>(5)</w:t>
            </w:r>
          </w:p>
        </w:tc>
        <w:tc>
          <w:tcPr>
            <w:tcW w:w="700" w:type="dxa"/>
            <w:vAlign w:val="bottom"/>
            <w:gridSpan w:val="2"/>
            <w:shd w:val="clear" w:color="auto" w:fill="CCEEFF"/>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1.27</w:t>
            </w:r>
          </w:p>
        </w:tc>
        <w:tc>
          <w:tcPr>
            <w:tcW w:w="940" w:type="dxa"/>
            <w:vAlign w:val="bottom"/>
            <w:gridSpan w:val="2"/>
            <w:shd w:val="clear" w:color="auto" w:fill="CCEEFF"/>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6/27/2031</w:t>
            </w: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tcBorders>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6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12/1/2023</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12/01/2023</w:t>
            </w: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4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11/30/2033</w:t>
            </w:r>
          </w:p>
        </w:tc>
        <w:tc>
          <w:tcPr>
            <w:tcW w:w="9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12,836(6)</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36,839</w:t>
            </w:r>
          </w:p>
        </w:tc>
        <w:tc>
          <w:tcPr>
            <w:tcW w:w="0" w:type="dxa"/>
            <w:vAlign w:val="bottom"/>
          </w:tcPr>
          <w:p>
            <w:pPr>
              <w:spacing w:after="0"/>
              <w:rPr>
                <w:sz w:val="1"/>
                <w:szCs w:val="1"/>
                <w:color w:val="auto"/>
              </w:rPr>
            </w:pPr>
          </w:p>
        </w:tc>
      </w:tr>
      <w:tr>
        <w:trPr>
          <w:trHeight w:val="124"/>
        </w:trPr>
        <w:tc>
          <w:tcPr>
            <w:tcW w:w="3360" w:type="dxa"/>
            <w:vAlign w:val="bottom"/>
          </w:tcPr>
          <w:p>
            <w:pPr>
              <w:spacing w:after="0" w:line="124" w:lineRule="exact"/>
              <w:rPr>
                <w:sz w:val="20"/>
                <w:szCs w:val="20"/>
                <w:color w:val="auto"/>
              </w:rPr>
            </w:pPr>
            <w:r>
              <w:rPr>
                <w:rFonts w:ascii="Times New Roman" w:cs="Times New Roman" w:eastAsia="Times New Roman" w:hAnsi="Times New Roman"/>
                <w:sz w:val="14"/>
                <w:szCs w:val="14"/>
                <w:color w:val="auto"/>
              </w:rPr>
              <w:t>Marcella K. Ruddy, M.D.</w:t>
            </w:r>
          </w:p>
        </w:tc>
        <w:tc>
          <w:tcPr>
            <w:tcW w:w="1120" w:type="dxa"/>
            <w:vAlign w:val="bottom"/>
            <w:gridSpan w:val="3"/>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9/17/2021</w:t>
            </w:r>
          </w:p>
        </w:tc>
        <w:tc>
          <w:tcPr>
            <w:tcW w:w="1180" w:type="dxa"/>
            <w:vAlign w:val="bottom"/>
            <w:gridSpan w:val="2"/>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7/19/2021</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color w:val="auto"/>
              </w:rPr>
              <w:t>56,301</w:t>
            </w:r>
          </w:p>
        </w:tc>
        <w:tc>
          <w:tcPr>
            <w:tcW w:w="420" w:type="dxa"/>
            <w:vAlign w:val="bottom"/>
          </w:tcPr>
          <w:p>
            <w:pPr>
              <w:jc w:val="right"/>
              <w:ind w:right="168"/>
              <w:spacing w:after="0" w:line="124" w:lineRule="exact"/>
              <w:rPr>
                <w:sz w:val="20"/>
                <w:szCs w:val="20"/>
                <w:color w:val="auto"/>
              </w:rPr>
            </w:pPr>
            <w:r>
              <w:rPr>
                <w:rFonts w:ascii="Times New Roman" w:cs="Times New Roman" w:eastAsia="Times New Roman" w:hAnsi="Times New Roman"/>
                <w:sz w:val="14"/>
                <w:szCs w:val="14"/>
                <w:color w:val="auto"/>
                <w:w w:val="97"/>
              </w:rPr>
              <w:t>(5)</w:t>
            </w:r>
          </w:p>
        </w:tc>
        <w:tc>
          <w:tcPr>
            <w:tcW w:w="70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4"/>
                <w:szCs w:val="14"/>
                <w:color w:val="auto"/>
              </w:rPr>
              <w:t>1.27</w:t>
            </w:r>
          </w:p>
        </w:tc>
        <w:tc>
          <w:tcPr>
            <w:tcW w:w="940" w:type="dxa"/>
            <w:vAlign w:val="bottom"/>
            <w:gridSpan w:val="2"/>
          </w:tcPr>
          <w:p>
            <w:pPr>
              <w:jc w:val="right"/>
              <w:ind w:right="220"/>
              <w:spacing w:after="0" w:line="124" w:lineRule="exact"/>
              <w:rPr>
                <w:sz w:val="20"/>
                <w:szCs w:val="20"/>
                <w:color w:val="auto"/>
              </w:rPr>
            </w:pPr>
            <w:r>
              <w:rPr>
                <w:rFonts w:ascii="Times New Roman" w:cs="Times New Roman" w:eastAsia="Times New Roman" w:hAnsi="Times New Roman"/>
                <w:sz w:val="14"/>
                <w:szCs w:val="14"/>
                <w:color w:val="auto"/>
              </w:rPr>
              <w:t>9/16/2031</w:t>
            </w:r>
          </w:p>
        </w:tc>
        <w:tc>
          <w:tcPr>
            <w:tcW w:w="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tcPr>
          <w:p>
            <w:pPr>
              <w:ind w:left="14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12/1/2023</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12/01/2023</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85,932</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4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2.87</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11/30/2033</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4"/>
        </w:trPr>
        <w:tc>
          <w:tcPr>
            <w:tcW w:w="33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color w:val="auto"/>
              </w:rPr>
              <w:t>Christian Cortis, Ph.D.</w:t>
            </w:r>
          </w:p>
        </w:tc>
        <w:tc>
          <w:tcPr>
            <w:tcW w:w="1120" w:type="dxa"/>
            <w:vAlign w:val="bottom"/>
            <w:gridSpan w:val="3"/>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6/28/2021</w:t>
            </w:r>
          </w:p>
        </w:tc>
        <w:tc>
          <w:tcPr>
            <w:tcW w:w="1180" w:type="dxa"/>
            <w:vAlign w:val="bottom"/>
            <w:gridSpan w:val="2"/>
            <w:shd w:val="clear" w:color="auto" w:fill="CCEEFF"/>
          </w:tcPr>
          <w:p>
            <w:pPr>
              <w:jc w:val="right"/>
              <w:ind w:right="240"/>
              <w:spacing w:after="0" w:line="124" w:lineRule="exact"/>
              <w:rPr>
                <w:sz w:val="20"/>
                <w:szCs w:val="20"/>
                <w:color w:val="auto"/>
              </w:rPr>
            </w:pPr>
            <w:r>
              <w:rPr>
                <w:rFonts w:ascii="Times New Roman" w:cs="Times New Roman" w:eastAsia="Times New Roman" w:hAnsi="Times New Roman"/>
                <w:sz w:val="14"/>
                <w:szCs w:val="14"/>
                <w:color w:val="auto"/>
              </w:rPr>
              <w:t>3/31/2021</w:t>
            </w:r>
          </w:p>
        </w:tc>
        <w:tc>
          <w:tcPr>
            <w:tcW w:w="7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4"/>
                <w:szCs w:val="14"/>
                <w:color w:val="auto"/>
              </w:rPr>
              <w:t>94,175</w:t>
            </w:r>
          </w:p>
        </w:tc>
        <w:tc>
          <w:tcPr>
            <w:tcW w:w="420" w:type="dxa"/>
            <w:vAlign w:val="bottom"/>
            <w:shd w:val="clear" w:color="auto" w:fill="CCEEFF"/>
          </w:tcPr>
          <w:p>
            <w:pPr>
              <w:jc w:val="right"/>
              <w:ind w:right="168"/>
              <w:spacing w:after="0" w:line="124" w:lineRule="exact"/>
              <w:rPr>
                <w:sz w:val="20"/>
                <w:szCs w:val="20"/>
                <w:color w:val="auto"/>
              </w:rPr>
            </w:pPr>
            <w:r>
              <w:rPr>
                <w:rFonts w:ascii="Times New Roman" w:cs="Times New Roman" w:eastAsia="Times New Roman" w:hAnsi="Times New Roman"/>
                <w:sz w:val="14"/>
                <w:szCs w:val="14"/>
                <w:color w:val="auto"/>
                <w:w w:val="97"/>
              </w:rPr>
              <w:t>(5)</w:t>
            </w:r>
          </w:p>
        </w:tc>
        <w:tc>
          <w:tcPr>
            <w:tcW w:w="70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4"/>
                <w:szCs w:val="14"/>
                <w:color w:val="auto"/>
              </w:rPr>
              <w:t>1.27</w:t>
            </w:r>
          </w:p>
        </w:tc>
        <w:tc>
          <w:tcPr>
            <w:tcW w:w="940" w:type="dxa"/>
            <w:vAlign w:val="bottom"/>
            <w:gridSpan w:val="2"/>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4"/>
                <w:szCs w:val="14"/>
                <w:color w:val="auto"/>
              </w:rPr>
              <w:t>6/27/2031</w:t>
            </w:r>
          </w:p>
        </w:tc>
        <w:tc>
          <w:tcPr>
            <w:tcW w:w="5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Chief Operating Officer</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12/01/2023</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12/01/2023</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207,184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4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97"/>
              </w:rPr>
              <w:t>(7)</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2.87</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11/30/2033</w:t>
            </w: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85"/>
              </w:rPr>
              <w:t>— </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540" w:right="20" w:hanging="424"/>
        <w:spacing w:after="0" w:line="234"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option awards have been granted pursuant to the terms of the Legacy Tectonic 2019 Plan, the terms of which are described below in the subsection titled “ </w:t>
      </w:r>
      <w:r>
        <w:rPr>
          <w:rFonts w:ascii="Times New Roman" w:cs="Times New Roman" w:eastAsia="Times New Roman" w:hAnsi="Times New Roman"/>
          <w:sz w:val="14"/>
          <w:szCs w:val="14"/>
          <w:i w:val="1"/>
          <w:iCs w:val="1"/>
          <w:color w:val="auto"/>
        </w:rPr>
        <w:t>—Equity Incentive Plans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—Tectonic 2019 Equity Incentive Plan</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auto"/>
        </w:rPr>
      </w:pPr>
    </w:p>
    <w:p>
      <w:pPr>
        <w:ind w:left="540" w:right="20" w:hanging="424"/>
        <w:spacing w:after="0" w:line="221"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option awards listed in the table were granted with an exercise price per share that is no less than the fair market value of Legacy Tectonic common stock on the date of grant of such award, as determined in good faith by the Legacy Tectonic Board.</w:t>
      </w:r>
    </w:p>
    <w:p>
      <w:pPr>
        <w:ind w:left="540" w:right="340" w:hanging="424"/>
        <w:spacing w:after="0" w:line="221"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reflects $2.87, the fair market value of a share of Legacy Tectonic common stock as of September 30, 2023 (the determination of the fair market value by the Legacy Tectonic Board as of the most proximate date) multiplied by the amount shown in the column for the number of shares that have not vested.</w:t>
      </w:r>
    </w:p>
    <w:p>
      <w:pPr>
        <w:ind w:left="540" w:right="140" w:hanging="424"/>
        <w:spacing w:after="0" w:line="239" w:lineRule="auto"/>
        <w:tabs>
          <w:tab w:leader="none" w:pos="5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restricted stock issued to Dr. Reicin that are subject to vesting and a repurchase right in favor of Legacy Tectonic, with 25% of the total shares vested on the first anniversary of August 10, 2020, with the remaining shares vesting in 36 equal monthly installments thereafter, subject to Dr. Reicin’s continued service through each vesting date.</w:t>
      </w:r>
    </w:p>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right="580" w:hanging="424"/>
        <w:spacing w:after="0" w:line="233" w:lineRule="auto"/>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of the shares subject to the option vested on the first anniversary of the vesting commencement date, with the remaining shares vesting in 36 equal monthly installments thereafter, subject to the officer’s continued service through each vesting date.</w:t>
      </w:r>
    </w:p>
    <w:p>
      <w:pPr>
        <w:ind w:left="540" w:right="200" w:hanging="424"/>
        <w:spacing w:after="0" w:line="221" w:lineRule="auto"/>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restricted stock issued to Dr. Reicin upon the early exercise of stock options that are subject to vesting and a repurchase right in favor of Legacy Tectonic, with 5,204 shares vesting on November 30, 2024 and the remainder vesting on December 31, 2024, subject to Dr. Reicin’s continued service through each vesting date.</w:t>
      </w:r>
    </w:p>
    <w:p>
      <w:pPr>
        <w:ind w:left="540" w:hanging="424"/>
        <w:spacing w:after="0"/>
        <w:tabs>
          <w:tab w:leader="none" w:pos="5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subject to the option vest in 48 equal monthly installments beginning on January 1, 2024.</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closing of the Merger, our Compensation Committee approved option grants to certain of our employees, including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Dr. Reicin, Mr. Lochner and Dr. Ruddy. As a result, on June 20, 2024, Dr. Reicin received an option grant to purchase 289,600 shares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Mr. Lochner received an option grant to purchase 118,000 shares of our common stock and Dr. Ruddy received an option grant to purchase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81,700 shares of our common stock, each with an exercise price per share equal to $16.80, which was the closing price per share of our common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reported on the Nasdaq Global Market on the day of closing of the Merger (as adjusted for the Reverse Stock Split). The shares subject to these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 grants will vest 25% on the first anniversary of the grant date, and thereafter the remaining 75% of the shares will vest in equal monthly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installments over the following three years, in each case subject to the recipient’s continuous service through the applicable vesting dates, such that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options are vested in full on the four-year anniversary of the grant date. Mr. Lochner also received an option grant to purchase 15,000 shares of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with an exercise price per share equal to $16.80. The shares subject to this option grant will vest 50% on June 1, 2026 if we raise</w:t>
      </w:r>
    </w:p>
    <w:p>
      <w:pPr>
        <w:spacing w:after="0" w:line="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$100 million by June 1, 2026 and have a minimum of a two year cash runway as of June 1, 2026 (i.e. until June 1, 2028), and 50% on June 1, 2028 if we have a minimum of a two year cash runway as of June 1, 2028 (i.e. until June 1, 2030), in each case, as determined by our Board (or the Compensation Committee) in its sole discretion.</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Legacy Tectonic’s Executive Officers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descriptions of the material terms of Legacy Tectonic’s employment agreement and offer letters with the NEOs.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Alise Reicin, M.D.</w:t>
      </w:r>
    </w:p>
    <w:p>
      <w:pPr>
        <w:spacing w:after="0" w:line="11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August 2020, Legacy Tectonic entered into an executive employment agreement with Dr. Reicin (the “Reicin Employment Agreement”) in connection with her appointment as Legacy Tectonic’s President and Chief Executive Officer and as a member of the Legacy Tectonic Board. In connection with the Merger, we entered into an amended and restated executive employment agreement with Dr. Reicin. The material terms of the amendment are as follows: (i) Dr. Reicin shall remain President and Chief Executive Officer and shall continue to serve as an executive director to the Board; (ii) an annual base salary of $620,000; (iii) eligibility for an annual, performance-based cash bonus with a target bonus percentage of 55% of Dr. Reicin’s base salary; (iv) following the closing of the Merger, issuance of an option award to purchase our common stock, such that when combined with Dr. Reicin’s prior securities holdings or rights to acquire securities in the combined company, Dr. Reicin will hold or have the right to acquire shares representing at least 4.34% of our post-Merger common stock; and (v) eligibility to participate in our executive severance plan and other employee benefit, welfare and other plans, as may be maintained by us from time to time.</w:t>
      </w:r>
    </w:p>
    <w:p>
      <w:pPr>
        <w:spacing w:after="0" w:line="18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above description of the employment related agreement for Dr. Reicin does not purport to be complete and is subject to and qualified in its entirety by reference to the copy of the amended and restated employment agreement for Dr. Reicin included as an exhibit to the registration statement of which this prospectus forms a part.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Marcella K. Ruddy, M.D.</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Legacy Tectonic entered into an offer letter with Dr. Ruddy (the “Ruddy Offer Letter”) in June 2021, in connection with her appointment as Legacy Tectonic’s Chief Medical Officer. The Ruddy Offer Letter provides for a base salary and target bonus opportunity, which shall be reviewed and may be adjusted on an annual basis.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To qualify for the annual target bonus set at a percentage of her adjusted base salary in respect of any calendar year, Dr. Ruddy must remain employed with Legacy Tectonic through the time the bonus payment was paid by Legacy Tectonic in the following year. Under the Ruddy Offer Letter, Legacy Tectonic granted Dr. Ruddy an option to purchase 142,233 shares of Tectonic common stock pursuant to the terms of Legacy Tectonic’s 2019 Equity Incentive Plan (the “Tectonic 2019 Plan”), at an exercise price of $1.27 per share. The option vests on the following schedule: 25% of the shares vested on the one-year anniversary of July 19, 2021, with the remaining shares vesting in 36 equal monthly installments thereafter such that the options will be fully vested on the four-year anniversary of July 19, 2021, subject to Dr. Ruddy’s continuous service with Legacy Tectonic through each vesting date. The option award is subject to automatic acceleration in the event of (i) a Change in Control (as defined in the Tectonic 2019 Plan) and (ii) provided that within the twelve months after such Change in Control either (x) Dr. Ruddy’s continuous service is terminated without Cause (as defined in the Ruddy Offer Letter) or (y) Dr. Ruddy resigns for Good Reason (as defined in the Ruddy Offer Letter). Dr. Ruddy is also eligible for additional equity awards under Legacy Tectonic equity compensation plans, as may be granted from time to time.</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Christian Cortis, Ph.D</w:t>
      </w:r>
    </w:p>
    <w:p>
      <w:pPr>
        <w:spacing w:after="0" w:line="119" w:lineRule="exact"/>
        <w:rPr>
          <w:sz w:val="20"/>
          <w:szCs w:val="20"/>
          <w:color w:val="auto"/>
        </w:rPr>
      </w:pPr>
    </w:p>
    <w:p>
      <w:pPr>
        <w:ind w:left="120" w:firstLine="440"/>
        <w:spacing w:after="0" w:line="243" w:lineRule="auto"/>
        <w:rPr>
          <w:sz w:val="20"/>
          <w:szCs w:val="20"/>
          <w:color w:val="auto"/>
        </w:rPr>
      </w:pPr>
      <w:r>
        <w:rPr>
          <w:rFonts w:ascii="Times New Roman" w:cs="Times New Roman" w:eastAsia="Times New Roman" w:hAnsi="Times New Roman"/>
          <w:sz w:val="18"/>
          <w:szCs w:val="18"/>
          <w:color w:val="auto"/>
        </w:rPr>
        <w:t>Legacy Tectonic entered into an offer letter with Dr. Cortis (the “Cortis Offer Letter”) in July 2019. Dr. Cortis served as Tectonic’s Chief Operating Officer until July 5, 2024. The Cortis Offer Letter provided for a base salary and target bonus opportunity, which was reviewed by the Legacy Tectonic Board on an annual basis. To qualify for the annual target bonus set at a percentage of his adjusted base salary in respect of any calendar year, Dr. Cortis had to remain employed with Legacy Tectonic through the time the bonus payment was paid by Legacy Tectonic in the following year. On July 5, 2024, we entered into a separation agreement with Dr. Cortis (the “Cortis Separation Agreement”) pursuant to which Dr. Cortis’ employment with us terminated effective July 5, 2024 (the “Separation Date”). Pursuant to the Cortis Separation Agreement, Dr. Cortis will receive nine months’ base salary as severance in addition to his target annual bonus for the calendar year 2024 prorated based on the length of his employment during 2024. Under the Cortis Separation Agreement, Dr. Cortis will provide consulting services from the Separation Date until March 31, 2025 (the “Consulting Period”) during which time any equity awards held by Dr. Cortis will continue to vest and any option award that is or becomes vested and exercisable on or after the Separation Date will remain exercisable for three months after the last day of the Consulting Period, or if earlier, until the latest date on which such option award could have expired by its original terms or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grant date of such opinion, provided Dr. Cortis does not materially breach his obligations under the Cortis Separation Agreement.</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and Benefits upon a Termination or Change in Control</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completion of the Merger, our Board adopted the Severance Plan pursuant to which certain employees are eligible to participate, including the NEOs (each a “Participant” and collectively, the “Participants”). Pursuant to the Severance Plan, the Participants are eligible to receive the severance and change in control benefits described below, contingent upon the respective Participant’s execution of a participation agreement and a general release of claims as further described in the Severance Plan. The benefits provided pursuant to the Severance Plan supersede and replace any severance and/or change in control benefits to which the Participants were previously entitled, including pursuant to their employment agreements and offer letters.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 Participant’s employment with the Company is terminated by us without Cause or due to the Participant’s resignation for Good Reason (each as defined in the Severance Plan) during the period commencing three months prior to, and ending 12 months following, the effective date of a Change in Control (as defined in the Severance Plan) (the “Change in Control Period”), the Participant will be entitled to (i) a cash payment in an amount equal to 12 months (or 18 months for Dr. Reicin) of the Participant’s base salary; (ii) a cash payment of an amount equal to 100% (or 150% for Dr. Reicin) of the Participant’s annual target bonus for the year in which the change in control termination occurs; (iii) a cash payment of an amount equal to the Participant’s annual target bonus for the year in which the change in control termination occurs, pro-rated for the portion of the year elapsed in such year; (iv) 12 months (or 18 months for Dr. Reicin) of COBRA premiums; and (v) accelerated vesting of 100% of the Participant’s then-outstanding time-vesting equity awards.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Participant’s employment with the Company is terminated by us without Cause or due to the Participant’s resignation for Good Reason at a time that is not during the Change in Control Period, the Participant will be entitled to (i) 9 months (or 12 months for Dr. Reicin) of the Participant’s base salary; (ii) a cash payment of an amount equal to the Participant’s annual target bonus for the year in which the termination occurs, pro-rated for the portion of the year elapsed in such year; and (iii) 9 months (or 12 months for Dr. Reicin) of COBRA premiums.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summary does not purport to be complete and is qualified in its entirety by reference to the full text of the Severance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 and Welfare and Retirement Benefits; Perquisites</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These payments and benefits discussed above are in addition to eligibility to participate in benefits available generally to salaried employees, including medical, vision, dental, and life insurance plans, in each case on the same basis as all of our other employees. We generally do not provide perquisites or personal benefits to our named executive officers, except in limited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Beginning in 2022, Legacy Tectonic maintained a tax-qualified 401(k) retirement plan that provides eligible U.S. employees with an opportunity to save for retirement on a tax-advantaged basis. Pursuant to the terms of such 401(k) plan, depending on facts and circumstances of the employee population in any given year, Legacy Tectonic may have made a 3% mandatory contribution under and pursuant to the terms of the plan and applicable law. Legacy Tectonic did not maintain, and none of the Legacy Tectonic named executive officers was eligible to participate in, any defined benefit pension plan or nonqualified deferred compensation plan.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Employment Arrangements After the Merger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Arrangements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Dr. Alise Reicin, M.D.</w:t>
      </w:r>
    </w:p>
    <w:p>
      <w:pPr>
        <w:spacing w:after="0" w:line="119" w:lineRule="exact"/>
        <w:rPr>
          <w:sz w:val="20"/>
          <w:szCs w:val="20"/>
          <w:color w:val="auto"/>
        </w:rPr>
      </w:pPr>
    </w:p>
    <w:p>
      <w:pPr>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and effective as of the closing of the Merger, on June 20, 2024, we entered into an amended and restated executive employment agreement with Dr. Reicin. For additional information regarding the material terms of the amendment, see “</w:t>
      </w:r>
      <w:r>
        <w:rPr>
          <w:rFonts w:ascii="Times New Roman" w:cs="Times New Roman" w:eastAsia="Times New Roman" w:hAnsi="Times New Roman"/>
          <w:sz w:val="18"/>
          <w:szCs w:val="18"/>
          <w:i w:val="1"/>
          <w:iCs w:val="1"/>
          <w:color w:val="auto"/>
        </w:rPr>
        <w:t>Executive and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Compensation—Employment Arrangements with Legacy Tectonic’s Executive Officers</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Daniel Lochner</w:t>
      </w:r>
    </w:p>
    <w:p>
      <w:pPr>
        <w:spacing w:after="0" w:line="119" w:lineRule="exact"/>
        <w:rPr>
          <w:sz w:val="20"/>
          <w:szCs w:val="20"/>
          <w:color w:val="auto"/>
        </w:rPr>
      </w:pPr>
    </w:p>
    <w:p>
      <w:pPr>
        <w:ind w:left="120" w:right="260" w:firstLine="440"/>
        <w:spacing w:after="0" w:line="276" w:lineRule="auto"/>
        <w:rPr>
          <w:sz w:val="20"/>
          <w:szCs w:val="20"/>
          <w:color w:val="auto"/>
        </w:rPr>
      </w:pPr>
      <w:r>
        <w:rPr>
          <w:rFonts w:ascii="Times New Roman" w:cs="Times New Roman" w:eastAsia="Times New Roman" w:hAnsi="Times New Roman"/>
          <w:sz w:val="17"/>
          <w:szCs w:val="17"/>
          <w:color w:val="auto"/>
        </w:rPr>
        <w:t>On May 28, 2024, we entered into an employment agreement with Daniel Lochner. The material terms of the employment agreement are as follows: (i) Mr. Lochner shall be employed as Chief Financial Officer of the Company, effective June 3, 2024; (ii) an annual base salary of $475,000;</w:t>
      </w:r>
    </w:p>
    <w:p>
      <w:pPr>
        <w:spacing w:after="0" w:line="1" w:lineRule="exact"/>
        <w:rPr>
          <w:sz w:val="20"/>
          <w:szCs w:val="20"/>
          <w:color w:val="auto"/>
        </w:rPr>
      </w:pPr>
    </w:p>
    <w:p>
      <w:pPr>
        <w:ind w:left="120" w:right="140" w:hanging="4"/>
        <w:spacing w:after="0" w:line="253" w:lineRule="auto"/>
        <w:tabs>
          <w:tab w:leader="none" w:pos="4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an annual, performance-based cash bonus with a target bonus percentage of 40% of Mr. Lochner’s base salary; (iv) an issuance of an option award to purchase shares of common stock of the Company, representing 0.80% of the combined Company’s post-merger outstanding shares of common stock; (v) a performance-based equity award to purchase a number of shares of common stock equal to 0.10% of the combined Company’s post-merger outstanding shares of common stock; and (vi) eligibility to participate in the Company’s executive severance plan and other employee benefit, welfare and other plans, as may be maintained by the Company from time to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Equity Incentive Plan</w:t>
      </w:r>
    </w:p>
    <w:p>
      <w:pPr>
        <w:spacing w:after="0" w:line="121"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the 2024 Equity Incentive Plan (the “2024 Plan”) in connection with and effective as of the closing of the Merger. The following summary does not contain all of the terms and conditions of the 2024 Plan and is qualified in its entirety by reference to the 2024 Plan included as an exhibit to the registration statement of which this prospectus forms a part.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The 2024 Plan provides for the grant of incentive stock options (“ISOs”) within the meaning of Section 422 of the Code to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employees of any parent or subsidiary, and for the grant of nonstatutory stock options, or NSOs, stock appreciation rights, restricted stock awards, restricted stock unit awards, performance awards and other forms of awards to employees, directors and consultants, including employees and consultants of the combined company’s affiliates.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Initially, the maximum number of shares of Company common stock that may be issued under the 2024 Plan will not exceed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12.5% of the Company’s fully diluted shares outstanding determined as of immediately after the Effective Time (the “2024 Plan’s initial share reserve”). In addition, the number of shares of Company common stock reserved for issuance under the 2024 Plan will automatically increase on January 1 of each year, starting on January 1, 2025, through and including January 1, 2034, in an amount equal to (1) 5% of the total number of shares of Company common stock outstanding on the last day of the preceding calendar year, or (2) a lesser number of shares of Company common stock determined by the Company Board prior to the date of the increase. The maximum number of shares of Company common stock that may be issued on the exercise of ISOs under the 2024 Plan is three multiplied by the 2024 Plan’s initial share reserve.</w:t>
      </w:r>
    </w:p>
    <w:p>
      <w:pPr>
        <w:spacing w:after="0" w:line="185"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Shares subject to stock awards granted under the 2024 Plan that expire or terminate without being exercised or otherwise issued in full or that are paid out in cash rather than in shares do not reduce the number of shares available for issuance under the 2024 Plan. Shares withheld under a stock award to satisfy the exercise, strike or purchase price of a stock award or to satisfy a tax withholding obligation do not reduce the number of shares available for issuance under the 2024 Plan. If any shares of Company common stock issued pursuant to a stock award are forfeited back to or repurchased or reacquired by the Company (1) because of the failure to vest, (2) to satisfy the exercise, strike or purchase price, or (3) to satisfy a tax withholding obligation in connection with an award, the shares that are forfeited or repurchased or reacquired will revert to and again become available for issuance under the 2024 Plan.</w:t>
      </w:r>
    </w:p>
    <w:p>
      <w:pPr>
        <w:spacing w:after="0" w:line="187"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Company Board, or a duly authorized committee thereof, will administer the 2024 Plan and is referred to as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herein. The Company Board may also delegate to one or more persons or bodies the authority to (1) designate recipients (other than officers) to receive specified stock awards; (2) determine the number of shares subject to such stock awards; and (3) determine the terms of such awards. Under the 2024 Plan, the Company Board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8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Under the 2024 Plan, The Company Board also generally has the authority to effect,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generally accepted accounting principles.</w:t>
      </w:r>
    </w:p>
    <w:p>
      <w:pPr>
        <w:spacing w:after="0" w:line="17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are granted under stock option agreements adopted by the plan administrator. The plan administrator determines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exercise price for stock options, within the terms and conditions of the 2024 Plan, provided that the exercise price of a stock option generally cannot be less than 100% of the fair market value of a share of combined company common stock on the date of grant. Options granted under the 2024 Plan vest at the rate specified in the stock option agreement as determined by the plan administrator.</w:t>
      </w:r>
    </w:p>
    <w:p>
      <w:pPr>
        <w:spacing w:after="0" w:line="18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plan administrator determines the term of stock options granted under the 2024 Plan, up to a maximum of 10 years. Unless the terms of an optionholder’s stock option agreement provide otherwise, if an optionholder’s service relationship with the Company or any of the Company’s affiliates ceases for any reason other than disability, death, or cause, the optionholder may generally exercise any vested options for a period of three months following the cessation of service. This period may be extended in the event that exercise of the option is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55" w:right="4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prohibited by applicable securities laws. If an optionholder’s service relationship with the Company or any of the Company’s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the Company or any of the Company’s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shares of the Company’s common stock issued upon the exercise of a stock option will be determined by the plan administrator and may include (1) cash, check, bank draft or money order, (2) a broker-assisted cashless exercise, (3) the tender of shares of combined company common stock previously owned by the optionholder, (4) a net exercise of the option if it is an NSO, or (5) other legal consideration approved by the plan administrator.</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and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74"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Tax Limitations on ISOs</w:t>
      </w:r>
      <w:r>
        <w:rPr>
          <w:rFonts w:ascii="Times New Roman" w:cs="Times New Roman" w:eastAsia="Times New Roman" w:hAnsi="Times New Roman"/>
          <w:sz w:val="18"/>
          <w:szCs w:val="18"/>
          <w:color w:val="auto"/>
        </w:rPr>
        <w:t>. The aggregate fair market value, determined at the time of grant, of the Company common stock with respect to ISOs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exercisable for the first time by an award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8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Unit Awards</w:t>
      </w:r>
      <w:r>
        <w:rPr>
          <w:rFonts w:ascii="Times New Roman" w:cs="Times New Roman" w:eastAsia="Times New Roman" w:hAnsi="Times New Roman"/>
          <w:sz w:val="18"/>
          <w:szCs w:val="18"/>
          <w:color w:val="auto"/>
        </w:rPr>
        <w:t>. Restricted stock unit awards are granted under restricted stock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Restricted stock unit awards may be granted in consideration for any form of legal consideration that may be acceptable to the Company’s Board and permissible under applicable law. A restricted stock unit award may be settled by cash, delivery of shares of Company common stock, a combination of cash and shares of Company common stock as determined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are granted under restricted stock award agreements adopted by the plan administrator.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may be awarded in consideration for cash, check, bank draft or money order, services to the Company, or any other form of legal consideration that may be acceptable to the Company’s Board and permissible under applicable law. The plan administrator determines the terms and conditions of restricted stock awards, including vesting and forfeiture terms. If a participant’s service relationship with the Company ends for any reason, the Company may receive any or all of the shares of Company common stock held by the participant under such participant’s restricted stock award that have not vested as of the date the participant terminates service with the combined company through a forfeiture condition or a repurchase right.</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Stock appreciation rights are granted under stock appreciation right agreements adopted by the plan administrator.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administrator determines the strike price for a stock appreciation right, which generally cannot be less than 100% of the fair market value of Company common stock on the date of grant. A stock appreciation right granted under the 2024 Plan vests at the rate specified in the stock appreciation right agreement as determined by the plan administrator. Stock appreciation rights may be settled in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20"/>
        <w:spacing w:after="0" w:line="282" w:lineRule="auto"/>
        <w:rPr>
          <w:sz w:val="20"/>
          <w:szCs w:val="20"/>
          <w:color w:val="auto"/>
        </w:rPr>
      </w:pPr>
      <w:r>
        <w:rPr>
          <w:rFonts w:ascii="Times New Roman" w:cs="Times New Roman" w:eastAsia="Times New Roman" w:hAnsi="Times New Roman"/>
          <w:sz w:val="18"/>
          <w:szCs w:val="18"/>
          <w:color w:val="auto"/>
        </w:rPr>
        <w:t>cash or shares of Company common stock or in any other form of payment, as determined by the Company’s Board and specified in the stock appreciation right agreement.</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plan administrator determines the term of stock appreciation rights granted under the 2024 Plan, up to a maximum of 10 years. If a participant’s service relationship with the Company or any of the Company’s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the Company, or any of the Company’s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8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2024 Plan permits the grant of performance awards that may be settled in stock, cash or other property.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combined company common stock.</w:t>
      </w:r>
    </w:p>
    <w:p>
      <w:pPr>
        <w:spacing w:after="0" w:line="18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The performance goals may be based on any measure of performance selected by the Company’s Board.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Company’s Board when the performance award is granted, the Company’s Board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w:t>
      </w:r>
    </w:p>
    <w:p>
      <w:pPr>
        <w:spacing w:after="0" w:line="5" w:lineRule="exact"/>
        <w:rPr>
          <w:sz w:val="20"/>
          <w:szCs w:val="20"/>
          <w:color w:val="auto"/>
        </w:rPr>
      </w:pPr>
    </w:p>
    <w:p>
      <w:pPr>
        <w:ind w:left="380" w:hanging="264"/>
        <w:spacing w:after="0"/>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items that are “unusual” in nature or occur “infrequently” as determined under generally accepted accounting principles;</w:t>
      </w:r>
    </w:p>
    <w:p>
      <w:pPr>
        <w:spacing w:after="0" w:line="9" w:lineRule="exact"/>
        <w:rPr>
          <w:rFonts w:ascii="Times New Roman" w:cs="Times New Roman" w:eastAsia="Times New Roman" w:hAnsi="Times New Roman"/>
          <w:sz w:val="18"/>
          <w:szCs w:val="18"/>
          <w:color w:val="auto"/>
        </w:rPr>
      </w:pPr>
    </w:p>
    <w:p>
      <w:pPr>
        <w:ind w:left="120" w:hanging="4"/>
        <w:spacing w:after="0" w:line="251" w:lineRule="auto"/>
        <w:tabs>
          <w:tab w:leader="none" w:pos="37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dilutive effects of acquisitions or joint ventures; (7) to assume that any portion of the combined company’s business which is divested achieved performance objectives at targeted levels during the balance of a performance period following such divestiture; (8) to exclude the effect of any change in the outstanding shares of combined company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combined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92"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Stock Awards</w:t>
      </w:r>
      <w:r>
        <w:rPr>
          <w:rFonts w:ascii="Times New Roman" w:cs="Times New Roman" w:eastAsia="Times New Roman" w:hAnsi="Times New Roman"/>
          <w:sz w:val="18"/>
          <w:szCs w:val="18"/>
          <w:color w:val="auto"/>
        </w:rPr>
        <w:t>. The plan administrator may grant other awards based in whole or in part by reference to Company common stock.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set the number of shares under the stock award (or cash equivalent) and all other terms and conditions of such awards.</w:t>
      </w:r>
    </w:p>
    <w:p>
      <w:pPr>
        <w:spacing w:after="0" w:line="15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Non-Employee Director Compensation Limit</w:t>
      </w:r>
      <w:r>
        <w:rPr>
          <w:rFonts w:ascii="Times New Roman" w:cs="Times New Roman" w:eastAsia="Times New Roman" w:hAnsi="Times New Roman"/>
          <w:sz w:val="18"/>
          <w:szCs w:val="18"/>
          <w:color w:val="auto"/>
        </w:rPr>
        <w:t>. The aggregate value of all compensation granted or paid to any non-employee director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any calendar year that begins on or after the effective date of the merger, including awards granted and cash fees paid by the Company to such non-employee director, will not exceed (1) $750,000 in total value or (2) if such non-employee director is first appointed or elected to the combined company’s board of directors during such calendar year, $1,000,000 in total value.</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there is a specified type of change in the Company’s capital structure, such as a stock split, reverse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split, or recapitalization, appropriate adjustments will be made to (1) the class and maximum number of shares reserved for issuance under the 2024 Plan, (2) 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83"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The following applies to stock awards under the 2024 Plan in the event of a corporate transaction (as defined in the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unless otherwise provided in a participant’s stock award agreement or other written agreement with the Company or one of the Company’s affiliates or unless otherwise expressly provided by the plan administrator at the time of grant.</w:t>
      </w:r>
    </w:p>
    <w:p>
      <w:pPr>
        <w:spacing w:after="0" w:line="17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corporate transaction, any stock awards outstanding under the 2024 Plan may be assumed, continued or substituted for by any surviving or acquiring corporation (or its parent company), and any reacquisition or repurchase rights held by the Company with respect to the stock award may be assigned to the Company’s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the Company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the Company with respect to such stock awards will not terminate and may continue to be exercised notwithstanding the corporate transaction.</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common stock in connection with the corporate transaction, over (ii) any per share exercise price payable by such holder, if applicable. In addition, any escrow, holdback, earn-out or similar provisions in the definitive agreement for the corporate transaction may apply to such payment to the same extent and in the same manner as such provisions apply to the holders of Company common stock.</w:t>
      </w:r>
    </w:p>
    <w:p>
      <w:pPr>
        <w:spacing w:after="0" w:line="187"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Under the 2024 Plan, a corporate transaction is generally defined as the consummation of: (1) a sale of all or substantially all of the Company’s assets, (2) the sale or disposition of at least 50% of the Company’s outstanding securities, (3) a merger or consolidation where the Company does not survive the transaction, or (4) a merger or consolidation where the Company does survive the transaction but the shares of Company common stock outstanding immediately before such transaction are converted or exchanged into other property by virtue of the transaction.</w:t>
      </w:r>
    </w:p>
    <w:p>
      <w:pPr>
        <w:spacing w:after="0" w:line="160"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under the 2024 Plan may be subject to acceleration of vesting and exercisability upon or after a change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as may be provided in the applicable stock award agreement or in any other written agreement between the Company or any of the Company’s affiliates and the participant, but in the absence of such provision, no such acceleration will automatically occur.</w:t>
      </w:r>
    </w:p>
    <w:p>
      <w:pPr>
        <w:spacing w:after="0" w:line="17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Under the 2024 Plan, a change in control is generally defined as: (1) the acquisition by any person or company of more than 50% of the combined voting power of the Company’s then outstanding stock; (2) a consummated merger, consolidation or similar transaction in which Company stockholders immediately before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5"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the Company’s assets other than to an entity more than 50% of the combined voting power of which is owned by Company stockholders in substantially the same proportions as their ownership of the Company’s outstanding voting securities immediately prior to such transaction; or (4) when a majority of the Company’s Board becomes comprised of individuals who were not serving on the Company’s Board on the date the 2024 Plan was adopted, or the incumbent board, or whose nomination, appointment, or election was not approved by a majority of the incumbent board still in office.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Plan Amendment or Termination</w:t>
      </w:r>
      <w:r>
        <w:rPr>
          <w:rFonts w:ascii="Times New Roman" w:cs="Times New Roman" w:eastAsia="Times New Roman" w:hAnsi="Times New Roman"/>
          <w:sz w:val="18"/>
          <w:szCs w:val="18"/>
          <w:color w:val="auto"/>
        </w:rPr>
        <w:t>. The Company’s Board has the authority to amend, suspend, or terminate the 2024 Plan at any time, 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such action does not materially impair the existing rights of any participant without such participant’s written consent. Certain material amendments also require the approval of Company stockholders. No ISOs may be granted after the tenth anniversary of the date the board of directors adopts the 2024 Plan. No stock awards may be granted under the 2024 Plan while it is suspended or after it is terminated.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Employee Stock Purchase Plan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the 2024 Employee Stock Purchase Plan (the “2024 ESPP”) The following summary does not contain all of the terms and conditions of the 2024 ESPP and is qualified in its entirety by reference to the 2024 ESPP included as an exhibit to the registration statement of which this prospectus forms a part.</w:t>
      </w:r>
    </w:p>
    <w:p>
      <w:pPr>
        <w:spacing w:after="0" w:line="174"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2024 ESPP is to provide eligible employees with an opportunity to purchase shares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accumulated contributions. The 2024 ESPP will be designed to allow eligible U.S. employees to purchase Company common stock in a manner that may qualify for favorable tax treatment under Section 423 of the Code.</w:t>
      </w:r>
    </w:p>
    <w:p>
      <w:pPr>
        <w:spacing w:after="0" w:line="17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i w:val="1"/>
          <w:iCs w:val="1"/>
          <w:color w:val="auto"/>
        </w:rPr>
        <w:t>Share Reserve</w:t>
      </w:r>
      <w:r>
        <w:rPr>
          <w:rFonts w:ascii="Times New Roman" w:cs="Times New Roman" w:eastAsia="Times New Roman" w:hAnsi="Times New Roman"/>
          <w:sz w:val="17"/>
          <w:szCs w:val="17"/>
          <w:color w:val="auto"/>
        </w:rPr>
        <w:t>. Following the merger, the 2024 ESPP will authorize the issuance of a number of shares of Company common stock equal to 1%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total number of shares of Company common stock issued and outstanding determined as of immediately after the effective time (the “2024 ESPP’s initial share reserve”), pursuant to purchase rights granted to the Company’s employees or to employees of any of the Company’s designated affiliates. The number of shares of Company common stock reserved for issuance will automatically increase on January 1 of each year, from January 1, 2025 through and including January 1, 2034, by the lesser of (1) 1% of the total number of shares of Company common stock outstanding on the last day of the preceding calendar year, and (2) a number of shares of Company common stock equal to three times the 2024 ESPP’s initial share 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prior to the date of any such increase, the Company’s Board may determine that such increase will be less than the amount set forth in clauses</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 and (2).</w:t>
      </w:r>
    </w:p>
    <w:p>
      <w:pPr>
        <w:spacing w:after="0" w:line="2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Company’s Board intends to delegate concurrent authority to administer the 2024 ESPP to the Company’s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The 2024 ESPP is implemented through a series of offerings under which eligible employees are granted rights to purchase shares of Company common stock on specified dates during such offerings. Under the 2024 ESPP, the Company may specify offerings with durations of not more than 27 months, and may specify shorter purchase periods within each offering. Each offering will have one or more purchase dates on which shares of Company common stock will be purchased for employees participating in the offering. An offering under the 2024 ESPP may be terminated under certain circumstances.</w:t>
      </w:r>
    </w:p>
    <w:p>
      <w:pPr>
        <w:spacing w:after="0" w:line="18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Generally, all regular employees, including executive officers, employed by the Company or by any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affiliates, may participate in the 2024 ESPP and may contribute, normally through payroll deductions, up to a specified percentage of their earnings (as set forth in, and as defined in, the offering memorandum the Company’s Board or compensation committee may adopt from time to time with respect to offerings under the 2024 ESPP) for the purchase of shares of Company common stock under the 2024 ESPP. Unless otherwise determined by the Company’s Board, shares of Company common</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stock will be purchased for the accounts of employees participating in the 2024 ESPP at a price per share equal to the lower of (a) 85% of the fair market value of a share of Company common stock on the first trading date of an offering or (b) 85% of the fair market value of a share of Company common stock on the date of purchase.</w:t>
      </w:r>
    </w:p>
    <w:p>
      <w:pPr>
        <w:spacing w:after="0" w:line="17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Limitations</w:t>
      </w:r>
      <w:r>
        <w:rPr>
          <w:rFonts w:ascii="Times New Roman" w:cs="Times New Roman" w:eastAsia="Times New Roman" w:hAnsi="Times New Roman"/>
          <w:sz w:val="18"/>
          <w:szCs w:val="18"/>
          <w:color w:val="auto"/>
        </w:rPr>
        <w:t>. Employees may have to satisfy one or more of the following service requirements before participating in the 2024 ESPP,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Company’s Board, including: (1) being customarily employed for more than 20 hours per week; (2) being customarily employed for more than 5 months per calendar year; or (3) continuous employment with the Company or one of the Company’s affiliates for a period of time (not to exceed two years). No employee may purchase shares under the 2024 ESPP at a rate in excess of $25,000 worth of Company common stock based on the fair market value per share of Company common stock at the beginning of an offering for each year such a purchase right is outstanding. Finally, no employee will be eligible for the grant of any purchase rights under the 2024 ESPP if immediately after such rights are granted, such employee has voting power over 5% or more of the Company’s outstanding capital stock measured by vote or value pursuant to Section 424(d) of the Code.</w:t>
      </w:r>
    </w:p>
    <w:p>
      <w:pPr>
        <w:spacing w:after="0" w:line="183" w:lineRule="exact"/>
        <w:rPr>
          <w:sz w:val="20"/>
          <w:szCs w:val="20"/>
          <w:color w:val="auto"/>
        </w:rPr>
      </w:pPr>
    </w:p>
    <w:p>
      <w:pPr>
        <w:ind w:left="120" w:right="2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Changes to Capital Structure</w:t>
      </w:r>
      <w:r>
        <w:rPr>
          <w:rFonts w:ascii="Times New Roman" w:cs="Times New Roman" w:eastAsia="Times New Roman" w:hAnsi="Times New Roman"/>
          <w:sz w:val="18"/>
          <w:szCs w:val="18"/>
          <w:color w:val="auto"/>
        </w:rPr>
        <w:t>. In the event that there occurs a change in the Company’s capital structure through such actions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consolidation, reorganization, recapitalization, reincorporation, stock dividend, dividend in property other than cash, large nonrecurring cash dividend, liquidating dividend, combination of shares, exchange of shares, change in corporate structure or similar transaction, the Company’s Board will make appropriate adjustments to (1) the number of shares reserved under the 2024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8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of a corporate transaction (as defined in the 2024 ESPP), any then-outstanding rights to purchase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under the 2024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Company common stock within 10 business days prior to such corporate transaction, and such purchase rights will terminate immediately after such purchase.</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2024 ESPP, a corporate transaction is generally the consummation of: (1) a sale of all or substantially all of the Company’s assets;</w:t>
      </w:r>
    </w:p>
    <w:p>
      <w:pPr>
        <w:spacing w:after="0" w:line="27" w:lineRule="exact"/>
        <w:rPr>
          <w:sz w:val="20"/>
          <w:szCs w:val="20"/>
          <w:color w:val="auto"/>
        </w:rPr>
      </w:pPr>
    </w:p>
    <w:p>
      <w:pPr>
        <w:ind w:left="120" w:hanging="4"/>
        <w:spacing w:after="0" w:line="255" w:lineRule="auto"/>
        <w:tabs>
          <w:tab w:leader="none" w:pos="3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more than 50% of the Company’s outstanding securities; (3) a merger or consolidation where the Company does not survive the transaction; and (4) a merger or consolidation where the Company does survive the transaction but the shares of Company common stock outstanding immediately before such transaction are converted or exchanged into other property by virtue of the transaction.</w:t>
      </w:r>
    </w:p>
    <w:p>
      <w:pPr>
        <w:spacing w:after="0" w:line="184" w:lineRule="exact"/>
        <w:rPr>
          <w:sz w:val="20"/>
          <w:szCs w:val="20"/>
          <w:color w:val="auto"/>
        </w:rPr>
      </w:pPr>
    </w:p>
    <w:p>
      <w:pPr>
        <w:jc w:val="both"/>
        <w:ind w:left="120" w:right="3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2024 ESPP Amendments, Termination</w:t>
      </w:r>
      <w:r>
        <w:rPr>
          <w:rFonts w:ascii="Times New Roman" w:cs="Times New Roman" w:eastAsia="Times New Roman" w:hAnsi="Times New Roman"/>
          <w:sz w:val="18"/>
          <w:szCs w:val="18"/>
          <w:color w:val="auto"/>
        </w:rPr>
        <w:t>. The Company’s Board has the authority to amend or terminate the 2024 ESPP, provided that except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circumstances such amendment or termination may not materially impair any outstanding purchase rights without the holder’s consent. The Company will obtain stockholder approval of any amendment to the 2024 ESPP, as required by applicable law or listing requirements.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Tectonic 2019 Equity Incentive Plan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Legacy Tectonic Board adopted the Tectonic 2019 Plan and Legacy Tectonic stockholders approved the Tectonic 2019 Plan in June 2019. No additional awards have been made under the Tectonic 2019 Plan after the 2024 Plan became effective, and all awards under the Tectonic 2019 Plan were assumed by the Company after application of the exchange ratio. The terms and conditions of such assumed awards are the same as they were under the Tectonic 2019 Plan.</w:t>
      </w:r>
    </w:p>
    <w:p>
      <w:pPr>
        <w:spacing w:after="0" w:line="178"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or a duly authorized committee thereof, has the authority to administer the equity awards made under the Tectonic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Plan. We may also delegate to one or more officers the authority to</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hanging="4"/>
        <w:spacing w:after="0" w:line="256" w:lineRule="auto"/>
        <w:tabs>
          <w:tab w:leader="none" w:pos="37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recipients (other than officers) of stock options or stock appreciation rights and (2) determine the number of shares of common stock to be subject to such stock awards. Subject to the terms of the Tectonic 2019 Plan, the our Board or the authorized committee, referred to herein as the plan administrator, has the authority to modify outstanding awards under the Tectonic 2019 Plan; however, the plan administrator does not have the authority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without the consent of any adversely affected participant.</w:t>
      </w:r>
    </w:p>
    <w:p>
      <w:pPr>
        <w:spacing w:after="0" w:line="185" w:lineRule="exact"/>
        <w:rPr>
          <w:sz w:val="20"/>
          <w:szCs w:val="20"/>
          <w:color w:val="auto"/>
        </w:rPr>
      </w:pPr>
    </w:p>
    <w:p>
      <w:pPr>
        <w:ind w:left="120" w:right="3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 Awards. </w:t>
      </w:r>
      <w:r>
        <w:rPr>
          <w:rFonts w:ascii="Times New Roman" w:cs="Times New Roman" w:eastAsia="Times New Roman" w:hAnsi="Times New Roman"/>
          <w:sz w:val="18"/>
          <w:szCs w:val="18"/>
          <w:color w:val="auto"/>
        </w:rPr>
        <w:t>The Tectonic 2019 Plan provided for the grant of ISOs, NSOs, stock appreciation rights, restricted stock awards,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awards, and other forms of equity compensation, which are referred to collectively as stock awards, to employees, non-employee directors and consultants of Legacy Tectonic and its affiliates. ISOs were granted only to employees.</w:t>
      </w:r>
    </w:p>
    <w:p>
      <w:pPr>
        <w:spacing w:after="0" w:line="17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If any portion of a stock award (i) expires or otherwise terminates without the shares covered by such portion of the stock award having been issued or (ii) is settled in cash, such expiration, termination, or settlement will not reduce the number of shares available for issuance under the 2024 Plan. Shares forfeited back to or repurchased by Legacy Tectonic because of the failure to meet a contingency or condition required to vest will revert to and again become available for issuance under the 2024 Plan. Shares reacquired by us to satisfy the exercise price or purchase price of a stock award and shares withheld to satisfy a tax withholding obligation in connection with a stock award will again become available for issuance under the 2024 Plan.</w:t>
      </w:r>
    </w:p>
    <w:p>
      <w:pPr>
        <w:spacing w:after="0" w:line="166" w:lineRule="exact"/>
        <w:rPr>
          <w:sz w:val="20"/>
          <w:szCs w:val="20"/>
          <w:color w:val="auto"/>
        </w:rPr>
      </w:pPr>
    </w:p>
    <w:p>
      <w:pPr>
        <w:jc w:val="both"/>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ISOs and NSOs were granted pursuant to stock option agreements adopted by the plan administrator. The exercise price of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granted under the Tectonic 2019 Plan was not less than 100% of the fair market value of Legacy Tectonic common stock on the date of grant. Options granted under the Tectonic 2019 Plan vest at the rate specified by the plan administrator.</w:t>
      </w:r>
    </w:p>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plan administrator determined the term of stock options granted under the Tectonic 2019 Plan, up to a maximum of 10 years. Unless the terms of an option holder’s stock option agreement provide otherwise, if an option holder’s service relationship with Legacy Tectonic or any of its affiliates, ceases for any reason other than disability, death or cause, the option holder may generally exercise any vested options for a period of three months following the cessation of service. The option term may be extended in the event that exercise of the option following such a termination of service is prohibited by applicable securities laws or any applicable insider trading policy. If an optionholder’s service relationship with Legacy Tectonic or any of its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8"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Legacy Tectonic common stock previously owned by the optionholder, (4) a net exercise of the option if it is an NSO, and (5) according to a deferred payment or similar arrangement with the optionholder; or (6) other legal consideration approved by the plan administrator.</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74"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Restricted stock awards were granted under restricted stock award agreements adopted by the plan administrator.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award may be awarded in consideration for cash, check,</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bank draft or money order, past services, or any other form of legal consideration that may be acceptable to the plan administrator and permissible under applicable law. The plan administrator determines the terms and conditions of restricted stock awards, including vesting and forfeiture terms. If a participant’s service relationship with Legacy Tectonic or any of its affiliates ceases for any reason, Legacy Tectonic may receive any or all of the shares of Legacy Tectonic common stock held by the participant that have not vested as of the date the participant terminates service through a forfeiture condition or a repurchase right.</w:t>
      </w:r>
    </w:p>
    <w:p>
      <w:pPr>
        <w:spacing w:after="0" w:line="181"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certain specified significant corporate transactions, the plan administrator has the discretion to arrange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continuation or substitution of a stock award by a surviving or acquiring entity or parent company and to take certain other actions with respect to stock awards.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is not obligated to treat all stock awards, even those that are of the same type, in the same manner.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Non-Employee Director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Table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person who served as a non-employee director of Legacy Tectonic’s Board during the year ended December 31, 2023. Dr. Reicin, Legacy Tectonic’s Chief Executive Officer and President, did not receive any additional compensation for her service on Legacy Tectonic’s Board. The compensation received by Dr. Reicin as a named executive officer, is set forth in “</w:t>
      </w:r>
      <w:r>
        <w:rPr>
          <w:rFonts w:ascii="Times New Roman" w:cs="Times New Roman" w:eastAsia="Times New Roman" w:hAnsi="Times New Roman"/>
          <w:sz w:val="18"/>
          <w:szCs w:val="18"/>
          <w:i w:val="1"/>
          <w:iCs w:val="1"/>
          <w:color w:val="auto"/>
        </w:rPr>
        <w:t>2023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Compensation—2023 Summary Compensation Table.</w:t>
      </w:r>
      <w:r>
        <w:rPr>
          <w:rFonts w:ascii="Times New Roman" w:cs="Times New Roman" w:eastAsia="Times New Roman" w:hAnsi="Times New Roman"/>
          <w:sz w:val="18"/>
          <w:szCs w:val="18"/>
          <w:color w:val="auto"/>
        </w:rPr>
        <w:t>” Unless otherwise noted, the information in this section, including any equity ownership,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 the effect of the Merger, the conversion of Legacy Tectonic’s common stock into our common stock or the Reverse Stock Split.</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3040" w:type="dxa"/>
            <w:vAlign w:val="bottom"/>
            <w:gridSpan w:val="3"/>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2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Pr>
          <w:p>
            <w:pPr>
              <w:spacing w:after="0"/>
              <w:rPr>
                <w:sz w:val="12"/>
                <w:szCs w:val="12"/>
                <w:color w:val="auto"/>
              </w:rPr>
            </w:pPr>
          </w:p>
        </w:tc>
        <w:tc>
          <w:tcPr>
            <w:tcW w:w="1440" w:type="dxa"/>
            <w:vAlign w:val="bottom"/>
            <w:gridSpan w:val="2"/>
          </w:tcPr>
          <w:p>
            <w:pPr>
              <w:jc w:val="center"/>
              <w:ind w:right="433"/>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20" w:type="dxa"/>
            <w:vAlign w:val="bottom"/>
            <w:gridSpan w:val="3"/>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2540" w:type="dxa"/>
            <w:vAlign w:val="bottom"/>
            <w:gridSpan w:val="2"/>
          </w:tcPr>
          <w:p>
            <w:pPr>
              <w:jc w:val="center"/>
              <w:ind w:left="15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00" w:type="dxa"/>
            <w:vAlign w:val="bottom"/>
          </w:tcPr>
          <w:p>
            <w:pPr>
              <w:spacing w:after="0"/>
              <w:rPr>
                <w:sz w:val="15"/>
                <w:szCs w:val="15"/>
                <w:color w:val="auto"/>
              </w:rPr>
            </w:pPr>
          </w:p>
        </w:tc>
        <w:tc>
          <w:tcPr>
            <w:tcW w:w="1280" w:type="dxa"/>
            <w:vAlign w:val="bottom"/>
            <w:gridSpan w:val="2"/>
          </w:tcPr>
          <w:p>
            <w:pPr>
              <w:jc w:val="center"/>
              <w:ind w:right="230"/>
              <w:spacing w:after="0" w:line="17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(2)</w:t>
            </w:r>
          </w:p>
        </w:tc>
        <w:tc>
          <w:tcPr>
            <w:tcW w:w="74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Kruse, Ph.D.</w:t>
            </w:r>
          </w:p>
        </w:tc>
        <w:tc>
          <w:tcPr>
            <w:tcW w:w="1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80,004</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(1)</w:t>
            </w:r>
          </w:p>
        </w:tc>
        <w:tc>
          <w:tcPr>
            <w:tcW w:w="3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6"/>
              </w:rPr>
              <w:t>— </w:t>
            </w:r>
          </w:p>
        </w:tc>
        <w:tc>
          <w:tcPr>
            <w:tcW w:w="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80,004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60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 Ph.D.</w:t>
            </w:r>
          </w:p>
        </w:tc>
        <w:tc>
          <w:tcPr>
            <w:tcW w:w="1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Praveen Tipirneni, M.D.</w:t>
            </w:r>
          </w:p>
        </w:tc>
        <w:tc>
          <w:tcPr>
            <w:tcW w:w="1600" w:type="dxa"/>
            <w:vAlign w:val="bottom"/>
          </w:tcPr>
          <w:p>
            <w:pPr>
              <w:spacing w:after="0"/>
              <w:rPr>
                <w:sz w:val="18"/>
                <w:szCs w:val="18"/>
                <w:color w:val="auto"/>
              </w:rPr>
            </w:pPr>
          </w:p>
        </w:tc>
        <w:tc>
          <w:tcPr>
            <w:tcW w:w="1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1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Stefan Vitorovic</w:t>
            </w:r>
          </w:p>
        </w:tc>
        <w:tc>
          <w:tcPr>
            <w:tcW w:w="16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700" w:hanging="424"/>
        <w:spacing w:after="0" w:line="233" w:lineRule="auto"/>
        <w:tabs>
          <w:tab w:leader="none" w:pos="5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consulting fees for services provided to Legacy Tectonic’s Scientific Advisory Board pursuant to Dr. Kruse’s consulting agreement with Legacy Tectonic, dated September 25, 2019.</w:t>
      </w:r>
    </w:p>
    <w:p>
      <w:pPr>
        <w:ind w:left="540" w:right="200" w:hanging="424"/>
        <w:spacing w:after="0" w:line="239" w:lineRule="auto"/>
        <w:tabs>
          <w:tab w:leader="none" w:pos="5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provides information regarding the number of shares of common stock underlying options and restricted stock held by Legacy Tectonic non-employee directors that were outstanding as of December 31, 2023:</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49"/>
        </w:trPr>
        <w:tc>
          <w:tcPr>
            <w:tcW w:w="6620" w:type="dxa"/>
            <w:vAlign w:val="bottom"/>
          </w:tcPr>
          <w:p>
            <w:pPr>
              <w:spacing w:after="0"/>
              <w:rPr>
                <w:sz w:val="12"/>
                <w:szCs w:val="12"/>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w w:val="93"/>
              </w:rPr>
              <w:t>Option Awards</w:t>
            </w:r>
          </w:p>
        </w:tc>
      </w:tr>
      <w:tr>
        <w:trPr>
          <w:trHeight w:val="135"/>
        </w:trPr>
        <w:tc>
          <w:tcPr>
            <w:tcW w:w="6620" w:type="dxa"/>
            <w:vAlign w:val="bottom"/>
          </w:tcPr>
          <w:p>
            <w:pPr>
              <w:spacing w:after="0"/>
              <w:rPr>
                <w:sz w:val="11"/>
                <w:szCs w:val="11"/>
                <w:color w:val="auto"/>
              </w:rPr>
            </w:pPr>
          </w:p>
        </w:tc>
        <w:tc>
          <w:tcPr>
            <w:tcW w:w="8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Outstanding at</w:t>
            </w:r>
          </w:p>
        </w:tc>
      </w:tr>
      <w:tr>
        <w:trPr>
          <w:trHeight w:val="155"/>
        </w:trPr>
        <w:tc>
          <w:tcPr>
            <w:tcW w:w="6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Year-End</w:t>
            </w:r>
          </w:p>
        </w:tc>
      </w:tr>
      <w:tr>
        <w:trPr>
          <w:trHeight w:val="142"/>
        </w:trPr>
        <w:tc>
          <w:tcPr>
            <w:tcW w:w="6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Andrew Kruse, Ph.D.</w:t>
            </w:r>
          </w:p>
        </w:tc>
        <w:tc>
          <w:tcPr>
            <w:tcW w:w="820" w:type="dxa"/>
            <w:vAlign w:val="bottom"/>
            <w:tcBorders>
              <w:top w:val="single" w:sz="8" w:color="auto"/>
            </w:tcBorders>
            <w:shd w:val="clear" w:color="auto" w:fill="CCEEFF"/>
          </w:tcPr>
          <w:p>
            <w:pPr>
              <w:ind w:left="600"/>
              <w:spacing w:after="0" w:line="142" w:lineRule="exact"/>
              <w:rPr>
                <w:sz w:val="20"/>
                <w:szCs w:val="20"/>
                <w:color w:val="auto"/>
              </w:rPr>
            </w:pPr>
            <w:r>
              <w:rPr>
                <w:rFonts w:ascii="Times New Roman" w:cs="Times New Roman" w:eastAsia="Times New Roman" w:hAnsi="Times New Roman"/>
                <w:sz w:val="14"/>
                <w:szCs w:val="14"/>
                <w:color w:val="auto"/>
                <w:w w:val="95"/>
              </w:rPr>
              <w:t>— </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Terrance McGuire</w:t>
            </w:r>
          </w:p>
        </w:tc>
        <w:tc>
          <w:tcPr>
            <w:tcW w:w="8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9"/>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Timothy A. Springer, Ph.D.</w:t>
            </w:r>
          </w:p>
        </w:tc>
        <w:tc>
          <w:tcPr>
            <w:tcW w:w="8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r>
      <w:tr>
        <w:trPr>
          <w:trHeight w:val="148"/>
        </w:trPr>
        <w:tc>
          <w:tcPr>
            <w:tcW w:w="6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Praveen Tipirneni, M.D.</w:t>
            </w:r>
          </w:p>
        </w:tc>
        <w:tc>
          <w:tcPr>
            <w:tcW w:w="8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22,765</w:t>
            </w:r>
          </w:p>
        </w:tc>
      </w:tr>
      <w:tr>
        <w:trPr>
          <w:trHeight w:val="148"/>
        </w:trPr>
        <w:tc>
          <w:tcPr>
            <w:tcW w:w="6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Stefan Vitorovic</w:t>
            </w:r>
          </w:p>
        </w:tc>
        <w:tc>
          <w:tcPr>
            <w:tcW w:w="8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Narrative to 2023 Director Compensation Table</w:t>
      </w:r>
    </w:p>
    <w:p>
      <w:pPr>
        <w:spacing w:after="0" w:line="121"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Legacy Tectonic did not have a formal non-employee director compensation program in 2023. On September 25, 2019, Legacy Tectonic entered into a consulting agreement with Andrew Kruse, Ph.D., pursuant to which Dr. Kruse is entitled to receive $6,667 per month, along with reimbursement of reasonable travel expenses and other reasonable out-of-pocket costs, in consideration for his performance of services provided to Legacy Tectonic’s scientific advisory board. The consulting agreement was amended to reduce his monthly compensation to $5,000 in April 2024.</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After the Merger</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Prior to the Merger, Legacy Tectonic did not have a formal compensation policy with respect to service on its board of directors. Legacy Tectonic reimbursed its non-employee directors for their reasonable out-of-pocket expenses incurred in attending board and committee meetings, and occasionally granted stock options and restricted stock awards as compensation for service.</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Board intends to adopt a non-employee director compensation policy in the future that is designed to provide a total compensation package that enables us to attract and retain, on a long-term basis, high-caliber directors who are not our employees or officers or of our subsidiaries.</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the Merger, our Board approved certain option grants to our directors, other than Dr. Reicin. As a result, on June 20, 2024, each of Phillip B. Donenberg, Terrance McGuire, Timothy A. Springer, Ph.D., Praveen Tipirneni, M.D. and Stefan Vitorovic received an option grant to purchase 11,760 shares of our common stock, in each case, with an exercise price per share equal to $16.80, which was the closing price per share of our common stock as reported on the Nasdaq Global Market on the closing date of the Merger (as adjusted for the Reverse Stock Split). The shares subject to these option grants will vest 1/3 on the first anniversary of the grant date, and thereafter the remaining 2/3 of the shares will vest in equal monthly installments over the following two years, in each case subject to the recipient’s continuous service through the applicable vesting dates, such that the options are vested in full on the three-year anniversary of the grant date.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00"/>
          </w:cols>
          <w:pgMar w:left="320" w:top="455" w:right="4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agreements and other arrangements with the Company and the Company’s directors and executive officers in the section titled “</w:t>
      </w:r>
      <w:r>
        <w:rPr>
          <w:rFonts w:ascii="Times New Roman" w:cs="Times New Roman" w:eastAsia="Times New Roman" w:hAnsi="Times New Roman"/>
          <w:sz w:val="18"/>
          <w:szCs w:val="18"/>
          <w:i w:val="1"/>
          <w:iCs w:val="1"/>
          <w:color w:val="auto"/>
        </w:rPr>
        <w:t>Executive and Director Compensation</w:t>
      </w:r>
      <w:r>
        <w:rPr>
          <w:rFonts w:ascii="Times New Roman" w:cs="Times New Roman" w:eastAsia="Times New Roman" w:hAnsi="Times New Roman"/>
          <w:sz w:val="18"/>
          <w:szCs w:val="18"/>
          <w:color w:val="auto"/>
        </w:rPr>
        <w:t>” elsewhere in this prospectus, the following is a description of each transaction involving the Company, AVROBIO or Legacy Tectonic since January 1, 2022 in which:</w:t>
      </w:r>
    </w:p>
    <w:p>
      <w:pPr>
        <w:spacing w:after="0" w:line="81" w:lineRule="exact"/>
        <w:rPr>
          <w:sz w:val="20"/>
          <w:szCs w:val="20"/>
          <w:color w:val="auto"/>
        </w:rPr>
      </w:pPr>
    </w:p>
    <w:p>
      <w:pPr>
        <w:ind w:left="1080" w:right="16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and 1% of the average of Legacy Tectonic’s or the Company’s total assets at year-end for the last two completed fiscal years, as applicable;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 affiliate or immediate family member of the foregoing persons, had or will have a direct or indirect material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Legacy Tectonic’s Transactions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Financings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Series A Preferred Stock Financing – Subsequent Milestone Closing</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June 2022, the Legacy Tectonic Board determined that Legacy Tectonic had achieved the milestone events pursuant to the terms of its Series A Preferred Stock Purchase Agreement and issued and sold to certain investors (i) an aggregate additional 2,450,163 shares of Legacy Tectonic’s Series A-1 Preferred Stock, and (ii) an additional 437,282 shares of Legacy Tectonic’s Series A-2 Preferred Stock in a subsequent closing, at a purchase price of $13.1876 per share for an aggregate purchase price of $38,028,475.61 (the “Milestone Closing”).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purchases of shares of Legacy Tectonic Series A Preferred Stock by Legacy Tectonic’s related persons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Milestone Closing:</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9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Series A-1</w:t>
            </w: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Series A-2</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5900" w:type="dxa"/>
            <w:vAlign w:val="bottom"/>
            <w:vMerge w:val="continue"/>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 (#)</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A. Springer</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971,238</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5"/>
              </w:rPr>
              <w:t>437,282</w:t>
            </w:r>
          </w:p>
        </w:tc>
        <w:tc>
          <w:tcPr>
            <w:tcW w:w="3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18,574,998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659,980</w:t>
            </w:r>
          </w:p>
        </w:tc>
        <w:tc>
          <w:tcPr>
            <w:tcW w:w="32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8,703,552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568,716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Founders Capital Fund I, L.P.</w:t>
            </w:r>
            <w:r>
              <w:rPr>
                <w:rFonts w:ascii="Times New Roman" w:cs="Times New Roman" w:eastAsia="Times New Roman" w:hAnsi="Times New Roman"/>
                <w:sz w:val="25"/>
                <w:szCs w:val="25"/>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32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Reicin Inc.</w:t>
            </w:r>
            <w:r>
              <w:rPr>
                <w:rFonts w:ascii="Times New Roman" w:cs="Times New Roman" w:eastAsia="Times New Roman" w:hAnsi="Times New Roman"/>
                <w:sz w:val="25"/>
                <w:szCs w:val="25"/>
                <w:color w:val="auto"/>
                <w:vertAlign w:val="superscript"/>
              </w:rPr>
              <w:t>(4)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right="100" w:hanging="424"/>
        <w:spacing w:after="0" w:line="227"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642,161 shares purchased by Vida Ventures II, LLC (“Vida II Main Fund”) and (ii) 17,819 shares purchased by Vida Ventures II-A, LLC (“Vida II Parallel Fund,” and together with the Vida II Main Fund, “Vida II”). VV Manager II, LLC (“VV Manager II”) is the manager of Vida II. Stefan Vitorovic served as a director on the Legacy Tectonic Board, serves as a director of the Board and is a member of the investment committee of VV Manager II, which is affiliated with Vida Ventures. Entities affiliated with Vida Ventures collectively owned more than five percent of Legacy Tectonic’s outstanding capital stock and hold more than five percent of the Company’s outstanding capital stock.</w:t>
      </w:r>
    </w:p>
    <w:p>
      <w:pPr>
        <w:ind w:left="540" w:hanging="424"/>
        <w:spacing w:after="0" w:line="221"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Polaris Partners IX, L.P. (“PP IX”) owned more than five percent of Legacy Tectonic’s outstanding capital stock and owns more than five percent of the Company’s outstanding capital stock. Terrance McGuire served as a director on the Legacy Tectonic Board, serves as a director on the Board and holds an interest in Polaris Partners GP IX, L.L.C., the general partner of PP IX.</w:t>
      </w:r>
    </w:p>
    <w:p>
      <w:pPr>
        <w:ind w:left="540" w:right="300" w:hanging="424"/>
        <w:spacing w:after="0" w:line="221"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Terrance McGuire served as a director on the Legacy Tectonic Board, serves as a director of the Board and is a managing member of Polaris Founders Capital Management Co. I, L.L.C., the general partner of Polaris Founders Capital Fund I, L.P.</w:t>
      </w:r>
    </w:p>
    <w:p>
      <w:pPr>
        <w:ind w:left="540" w:right="480" w:hanging="424"/>
        <w:spacing w:after="0" w:line="239" w:lineRule="auto"/>
        <w:tabs>
          <w:tab w:leader="none" w:pos="5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Reicin Inc. is controlled by Cheryl Reicin. Cheryl Reicin is the sister of Dr. Reicin, who served as the Chief Executive Officer of Legacy Tectonic and a director on the Legacy Tectonic Board and serves as the Chief Executive Officer and President of the Company and a director of the Company’s Board.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Legacy Tectonic Subscription Agreement and SAFEs</w:t>
      </w:r>
    </w:p>
    <w:p>
      <w:pPr>
        <w:spacing w:after="0" w:line="11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January 30, 2024, concurrently with the execution and delivery of the Merger Agreement, Legacy Tectonic entered into the Subscription Agreement with certain investors named therein, pursuant to which such investors agreed to purchase shares of Legacy Tectonic common stock, at a purchase price of $12.39908 per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share, and certain investors consummated certain additional purchases of Legacy Tectonic common stock pursuant to the terms of the SAFEs entered into by such investors and Legacy Tectonic, for an aggregate purchase price among the private financings contemplated by the Subscription Agreement and such SAFEs of approximately $130.7 million.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purchase of Legacy Tectonic common stock pursuant to the Subscription Agreement and the entry into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SAFEs by Legacy Tectonic’s related persons:</w:t>
      </w:r>
    </w:p>
    <w:p>
      <w:pPr>
        <w:spacing w:after="0" w:line="21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6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w:t>
            </w:r>
          </w:p>
        </w:tc>
        <w:tc>
          <w:tcPr>
            <w:tcW w:w="11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10"/>
        </w:trPr>
        <w:tc>
          <w:tcPr>
            <w:tcW w:w="6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4"/>
                <w:szCs w:val="24"/>
                <w:color w:val="auto"/>
                <w:vertAlign w:val="superscript"/>
              </w:rPr>
              <w:t>(1)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41,999,997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8,999,989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(3)</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7,499,987</w:t>
            </w:r>
          </w:p>
        </w:tc>
        <w:tc>
          <w:tcPr>
            <w:tcW w:w="0" w:type="dxa"/>
            <w:vAlign w:val="bottom"/>
          </w:tcPr>
          <w:p>
            <w:pPr>
              <w:spacing w:after="0"/>
              <w:rPr>
                <w:sz w:val="1"/>
                <w:szCs w:val="1"/>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Founders Capital Fund II, L.P.</w:t>
            </w:r>
            <w:r>
              <w:rPr>
                <w:rFonts w:ascii="Times New Roman" w:cs="Times New Roman" w:eastAsia="Times New Roman" w:hAnsi="Times New Roman"/>
                <w:sz w:val="25"/>
                <w:szCs w:val="25"/>
                <w:color w:val="auto"/>
                <w:vertAlign w:val="superscript"/>
              </w:rPr>
              <w:t>(4)</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1,499,991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Kruse, Ph.D.</w:t>
            </w:r>
            <w:r>
              <w:rPr>
                <w:rFonts w:ascii="Times New Roman" w:cs="Times New Roman" w:eastAsia="Times New Roman" w:hAnsi="Times New Roman"/>
                <w:sz w:val="25"/>
                <w:szCs w:val="25"/>
                <w:color w:val="auto"/>
                <w:vertAlign w:val="superscript"/>
              </w:rPr>
              <w:t>(5)</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100" w:hanging="424"/>
        <w:spacing w:after="0" w:line="233"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entry into the SAFEs and purchase of Legacy Tectonic common stock pursuant to the Subscription Agreement. Dr. Timothy A. Springer served as a director on the Legacy Tectonic Board and serves as a director of the Board.</w:t>
      </w:r>
    </w:p>
    <w:p>
      <w:pPr>
        <w:ind w:left="540" w:hanging="424"/>
        <w:spacing w:after="0" w:line="22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entry into the SAFEs and purchase of Legacy Tectonic common stock pursuant to the Subscription Agreement. PP IX owned more than five percent of Legacy Tectonic’s outstanding capital stock and owns more than five percent of the Company’s outstanding capital stock. Terrance McGuire served as a director of the Legacy Tectonic Board, serves as a director on the Board and holds an interest in Polaris Partners GP IX, L.L.C., the general partner of PP IX.</w:t>
      </w:r>
    </w:p>
    <w:p>
      <w:pPr>
        <w:ind w:left="540" w:right="40" w:hanging="424"/>
        <w:spacing w:after="0" w:line="22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entry into the SAFEs and purchase of Legacy Tectonic common stock pursuant to the Subscription Agreement. Stefan Vitorovic served as a director on the Legacy Tectonic Board, serves as a director of the Board and is a member of the investment committee of VV Manager II, LLC, which is affiliated with Vida Ventures. Entities affiliated with Vida Ventures collectively owned more than five percent of Legacy Tectonic’s outstanding capital stock and own more than five percent of the Company’s outstanding capital stock.</w:t>
      </w:r>
    </w:p>
    <w:p>
      <w:pPr>
        <w:ind w:left="540" w:right="320" w:hanging="424"/>
        <w:spacing w:after="0" w:line="221" w:lineRule="auto"/>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purchase of Legacy Tectonic common stock pursuant to the Subscription Agreement. Terrance McGuire served as a director on the Legacy Tectonic Board, serves as a director of the Company Board and is a managing member of Polaris Founders Capital Management Co. II, L.L.C., the general partner of Polaris Founders Capital Fund II, L.P.</w:t>
      </w:r>
    </w:p>
    <w:p>
      <w:pPr>
        <w:ind w:left="540" w:hanging="424"/>
        <w:spacing w:after="0"/>
        <w:tabs>
          <w:tab w:leader="none" w:pos="5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entry into the SAFEs. Dr. Andrew Kruse served as a director on the Legacy Tectonic Board.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Stockholders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Legacy Tectonic’s Series A preferred stock financing, Legacy Tectonic entered into investors’ rights, voting and right of first refusal and co-sale agreements containing registration rights, information rights, voting rights and rights of first refusal, among other things, with certain holders of Legacy Tectonic’s preferred stock and certain holders of Legacy Tectonic’s common stock. These stockholder agreements terminated upon the closing of the Merger.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Agreements Under the Merger</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Certain Legacy Tectonic stockholders entered into support agreements with Legacy Tectonic pursuant to which, among other things, each such stockholder, solely in his, her or its capacity as a Legacy Tectonic stockholder, agreed to vote all of such stockholder’s shares of Legacy Tectonic capital stock in favor of (i) the adoption of the Merger Agreement, (ii) the approval of the merger and related transactions contemplated by the Merger Agreement, (iii) the approval of an amendment to Legacy Tectonic’s certificate of incorporation to increase its authorized stock, (iv) to the extent such person was entitled to vote or exercise a right to consent with respect to such matter, effecting the preferred stock conversion immediately prior to conversion of the SAFEs, which SAFEs conversion occurred immediately prior to the consummation of the private placement financings, (v) waiving any preemptive right, right of participation, right of maintenance, anti-dilution right or any similar right as may otherwise have been provided to such stockholder under Legacy Tectonic’s certificate of incorporation or bylaws in connection with the Merger and related transactions contemplated by the Merger Agreement and (vi) against any Acquisition Proposal from a third party.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 we entered into indemnification agreements with each of its directors and executive officers. These agreements, among other things, require us to indemnify these individuals for certain expenses (including attorneys’ fees), judgments, fines and settlement amounts reasonably incurred by such person in any action or proceeding, including any action by or in the Company’s right, on account of any services undertaken by such person on the Company’s behalf or that person’s status as a member of the Board to the maximum extent allowed under Delaware law.</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the full text of the form of indemnification agreement, which is attached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executive officers, directors and stockholders of AVROBIO and Legacy Tectonic entered into lock-up agreements, pursuant to which such parties agreed not to, except in limited circumstances, sell or transfer their shares of Tectonic common stock, for the 180-day period following the closing of the Merger.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agreements does not purport to be complete and is qualified in its entirety by the full text of the form of lock-up agreement, which is attached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While Legacy Tectonic did not have a formal written policy or procedure for the review, approval or ratification of related party transactions, it was the practice of the Legacy Tectonic Board to consider the nature of and business reason for such transactions, how the terms of such transactions compared to those which might be obtained from unaffiliated third parties and whether such transactions were otherwise fair to and in the best interests of, or not contrary to, Legacy Tectonic’s best interests.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closing of the Merger, the Board approved a policy for the review and approval or ratification of related party transactions of the Company. All of the transactions described in this section were entered into prior to the application of this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AVROBIO’s Transactions and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 and Related Agreements with University Health Network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January 27, 2016, AVROBIO entered into an option agreement with UHN pursuant to which UHN granted AVROBIO an exclusive option to enter into an exclusive license under certain intellectual property rights related to Fabry disease. On November 4, 2016, AVROBIO executed its option and entered into an exclusive license agreement with UHN. Under this agreement (the “Fabry license agreement”), UHN granted AVROBIO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Fabry license agreement, AVROBIO paid to UHN a one-time upfront fee and was obligated to pay an annual maintenance fee until the first sale of a licensed product in certain markets. AVROBIO was also required to make payments to UHN in connection with the achievement of certain development and regulatory milestones in an aggregate amount of up to CAD$2.45 million, as well as royalties on a country-by-country basis of a low to mid-single digit percentage on annual sales of licensed products and a lower single digit royalty in certain circumstances. Additionally,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AVROBIO was required to pay a low double digit percentage of all sublicensing revenue. AVROBIO also made a philanthropic commitment to donate funds to organizations for the benefit of the Canadian Fabry community in an amount equal to a low double digit percentage of AVROBIO’s royalty payments and regulatory milestone payments, up to a maximum of CAD$500,000 in any calendar year. In connection with this agreement, AVROBIO also entered into three separate letter agreements with UHN, dated November 4, 2016, June 2, 2017 and December 11, 2019, pursuant to which AVROBIO agreed to provide certain funding and costs and expenses associated with a clinical trial conducted by UHN for the treatment of Fabry disease. For the years ended December 31, 2022 and 2023, AVROBIO paid $161 and $93 thousand, respectively, to UHN in connection with these agreements, which consists of reimbursable funded study trial costs and license maintenance fees. Effective as of January 4, 2024, AVROBIO terminated the Fabry license agreement with UHN. Following the termination of the Fabry license agreement, AVROBIO does not have any remaining financial obligations to UHN pursuant to the Fabry license agreement.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Interleukin-12 Agreement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January 27, 2016, AVROBIO entered into an exclusive license agreement (the “IL-12 Agreement”) with UHN pursuant to which UHN granted AVROBIO an exclusive license to certain intellectual property rights relating to Interleukin-12 proteins (“IL-12”). AVROBIO entered into an amendment to the IL-12 Agreement on September 28, 2017. Under the IL-12 Agreement, as amended (the “Amended IL-12 Agreement”), AVROBIO paid an upfront license fee and reimbursement of certain patent expenses, and AVROBIO was also obligated to pay an annual license fee as well as payments in connection with the achievement of certain performance and development milestones for an aggregate total of up to CAD$19.275 million in milestone payments. Additionally, the Amended IL-12 Agreement required AVROBIO to pay a low to mid-single digit royalty percentage on annual sales of licensed products, and a low double digit percentage of all sublicensing revenue. For the years ended December 31, 2022 and 2023, AVROBIO paid $39 and $37 thousand to UHN under the Amended IL-12 Agreement, respectively, which consists of license maintenance fees. Effective as of August 24, 2023, AVROBIO and UHN agreed to terminate the Amended IL-12 Agreement. Following the termination of the Amended IL-12 Agreement, AVROBIO does not have any remaining financial obligations to UHN pursuant to the Amended IL-12 Agreement.</w:t>
      </w:r>
    </w:p>
    <w:p>
      <w:pPr>
        <w:spacing w:after="0" w:line="194"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Amended IL-12 Agreement, AVROBIO has also entered into two separate sponsored research agreements with UHN, one in March 2017 and one in July 2017. The March 2017 agreement was amended and restated and subsequently amended in November 2017. Pursuant to each of these sponsored research agreements, AVROBIO agreed to fund certain research projects related to IL-12 and Fabry disease, including salaries of certain researchers of up to CAD$200,000 and CAD$164,652 under the March 2017 and July 2017 agreements, respectively.</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At the time AVROBIO entered into each of the above agreements with UHN, other than the letter agreement dated December 11, 2019, UHN was a greater than 5% beneficial owner of AVROBIO’s outstanding capital stock. Additionally, Christopher Paige is a senior scientist at UHN and is currently a member of the AVROBIO Board. As an inventor of certain of the intellectual property rights related to IL-12 that AVROBIO licenses from UHN, Dr. Paige would have been entitled to a portion of the consideration that AVROBIO would have been required to pay to UHN pursuant to the Amended IL-12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Stockholders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AVROBIO’s prior preferred stock financings, AVROBIO entered into investors’ rights, voting and right of first refusal and co-sale agreements containing registration rights, information rights, voting rights and rights of first refusal, among other things, with certain holders of AVROBIO’s preferred stock and certain holders of AVROBIO’s common stock. These stockholder agreements terminated upon the closing of AVROBIO’s IPO, except for the registration rights granted under its investors’ rights agreement, which terminated five years following AVROBIO’s IPO.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stockholders of AVROBIO holding approximately 10.8% of the outstanding shares of AVROBIO common stock as of January 30, 2024 entered into support agreements with AVROBIO. These stockholders included executive officers and directors of AVROBIO, as well as certain other stockholders owning a significant portion of the outstanding shares of AVROBIO capital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AVROBIO entered into agreements to indemnify AVROBIO’s directors and executive officers. These agreements, among other things, required AVROBIO to indemnify these individuals for certain expenses (including attorneys’ fees), judgments, fines and settlement amounts reasonably incurred by such person in any action or proceeding, including any action by or in AVROBIO’s right, on account of any services undertaken by such person on behalf of AVROBIO or that person’s status as a member of the AVROBIO Board or as an officer of AVROBIO to the maximum extent allowed under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Lock-Up Agreements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executive officers, directors and stockholders of AVROBIO and Legacy Tectonic entered into the lock-up agreements, pursuant to which such parties agreed not to, except in limited circumstances, sell or transfer their shares of AVROBIO common stock, for the 180-day period following the closing of the Merger.</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lock-up agreements does not purport to be complete and is qualified in its entirety by the full text of the form of lock-up agreement, which is attached as an exhibit to the registration statement of which this prospectus forms a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written related person transactions policy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the audit committee (or, where review by the audit committee would be inappropriate, to another independent body of the board) for review. The audit committee will approve only those transactions that it determines are fair to us and in our best interests.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the Company’s common stock as of July 6, 2024, after giving effect to the Merger, by:</w:t>
      </w:r>
    </w:p>
    <w:p>
      <w:pPr>
        <w:spacing w:after="0" w:line="67" w:lineRule="exact"/>
        <w:rPr>
          <w:sz w:val="20"/>
          <w:szCs w:val="20"/>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the Company’s outstanding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executive officers and directors;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July 6, 2024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the Company believes, based on the information provided to them, that the persons and entities named in the table below have sole voting and investment power with respect to all common stock shown as beneficially owned by them.</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lists applicable percentage ownership based on 14,734,325 shares of common stock outstanding as of July 6, 2024.</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90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73"/>
        </w:trPr>
        <w:tc>
          <w:tcPr>
            <w:tcW w:w="5460" w:type="dxa"/>
            <w:vAlign w:val="bottom"/>
            <w:vMerge w:val="continue"/>
          </w:tcPr>
          <w:p>
            <w:pPr>
              <w:spacing w:after="0"/>
              <w:rPr>
                <w:sz w:val="15"/>
                <w:szCs w:val="15"/>
                <w:color w:val="auto"/>
              </w:rPr>
            </w:pPr>
          </w:p>
        </w:tc>
        <w:tc>
          <w:tcPr>
            <w:tcW w:w="17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Timothy A. Springer, Ph.D.</w:t>
            </w:r>
            <w:r>
              <w:rPr>
                <w:rFonts w:ascii="Times New Roman" w:cs="Times New Roman" w:eastAsia="Times New Roman" w:hAnsi="Times New Roman"/>
                <w:sz w:val="25"/>
                <w:szCs w:val="25"/>
                <w:color w:val="auto"/>
                <w:vertAlign w:val="superscript"/>
              </w:rPr>
              <w:t>(1)</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4,243,121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(2)</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1,077,538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Polaris Partners IX, L.P.</w:t>
            </w:r>
            <w:r>
              <w:rPr>
                <w:rFonts w:ascii="Times New Roman" w:cs="Times New Roman" w:eastAsia="Times New Roman" w:hAnsi="Times New Roman"/>
                <w:sz w:val="25"/>
                <w:szCs w:val="25"/>
                <w:color w:val="auto"/>
                <w:vertAlign w:val="superscript"/>
              </w:rPr>
              <w:t>(3)</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1,073,062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Vida Ventures</w:t>
            </w:r>
            <w:r>
              <w:rPr>
                <w:rFonts w:ascii="Times New Roman" w:cs="Times New Roman" w:eastAsia="Times New Roman" w:hAnsi="Times New Roman"/>
                <w:sz w:val="25"/>
                <w:szCs w:val="25"/>
                <w:color w:val="auto"/>
                <w:vertAlign w:val="superscript"/>
              </w:rPr>
              <w:t>(4)</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1,028,674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EcoR1</w:t>
            </w:r>
            <w:r>
              <w:rPr>
                <w:rFonts w:ascii="Times New Roman" w:cs="Times New Roman" w:eastAsia="Times New Roman" w:hAnsi="Times New Roman"/>
                <w:sz w:val="25"/>
                <w:szCs w:val="25"/>
                <w:color w:val="auto"/>
                <w:vertAlign w:val="superscript"/>
              </w:rPr>
              <w:t>(5)</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849,143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7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Timothy A. Springer, Ph.D.</w:t>
            </w:r>
            <w:r>
              <w:rPr>
                <w:rFonts w:ascii="Times New Roman" w:cs="Times New Roman" w:eastAsia="Times New Roman" w:hAnsi="Times New Roman"/>
                <w:sz w:val="25"/>
                <w:szCs w:val="25"/>
                <w:color w:val="auto"/>
                <w:vertAlign w:val="superscript"/>
              </w:rPr>
              <w:t>(1)</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4,243,121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Terrance McGuire</w:t>
            </w:r>
            <w:r>
              <w:rPr>
                <w:rFonts w:ascii="Times New Roman" w:cs="Times New Roman" w:eastAsia="Times New Roman" w:hAnsi="Times New Roman"/>
                <w:sz w:val="25"/>
                <w:szCs w:val="25"/>
                <w:color w:val="auto"/>
                <w:vertAlign w:val="superscript"/>
              </w:rPr>
              <w:t>(6)</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1,157,976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Stefan Vitorovic</w:t>
            </w:r>
            <w:r>
              <w:rPr>
                <w:rFonts w:ascii="Times New Roman" w:cs="Times New Roman" w:eastAsia="Times New Roman" w:hAnsi="Times New Roman"/>
                <w:sz w:val="25"/>
                <w:szCs w:val="25"/>
                <w:color w:val="auto"/>
                <w:vertAlign w:val="superscript"/>
              </w:rPr>
              <w:t>(4)</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1,028,674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Alise Reicin, M.D.</w:t>
            </w:r>
            <w:r>
              <w:rPr>
                <w:rFonts w:ascii="Times New Roman" w:cs="Times New Roman" w:eastAsia="Times New Roman" w:hAnsi="Times New Roman"/>
                <w:sz w:val="25"/>
                <w:szCs w:val="25"/>
                <w:color w:val="auto"/>
                <w:vertAlign w:val="superscript"/>
              </w:rPr>
              <w:t>(7)</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320,711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Marcella K. Ruddy, M.D.</w:t>
            </w:r>
            <w:r>
              <w:rPr>
                <w:rFonts w:ascii="Times New Roman" w:cs="Times New Roman" w:eastAsia="Times New Roman" w:hAnsi="Times New Roman"/>
                <w:sz w:val="25"/>
                <w:szCs w:val="25"/>
                <w:color w:val="auto"/>
                <w:vertAlign w:val="superscript"/>
              </w:rPr>
              <w:t>(8)</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62,099</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Praveen Tipirneni, M.D.</w:t>
            </w:r>
            <w:r>
              <w:rPr>
                <w:rFonts w:ascii="Times New Roman" w:cs="Times New Roman" w:eastAsia="Times New Roman" w:hAnsi="Times New Roman"/>
                <w:sz w:val="25"/>
                <w:szCs w:val="25"/>
                <w:color w:val="auto"/>
                <w:vertAlign w:val="superscript"/>
              </w:rPr>
              <w:t>(9)</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15,203</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Daniel Lochner</w:t>
            </w:r>
          </w:p>
        </w:tc>
        <w:tc>
          <w:tcPr>
            <w:tcW w:w="17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Phillip B. Donenberg</w:t>
            </w:r>
            <w:r>
              <w:rPr>
                <w:rFonts w:ascii="Times New Roman" w:cs="Times New Roman" w:eastAsia="Times New Roman" w:hAnsi="Times New Roman"/>
                <w:sz w:val="25"/>
                <w:szCs w:val="25"/>
                <w:color w:val="auto"/>
                <w:vertAlign w:val="superscript"/>
              </w:rPr>
              <w:t>(10)</w:t>
            </w:r>
          </w:p>
        </w:tc>
        <w:tc>
          <w:tcPr>
            <w:tcW w:w="1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9,535</w:t>
            </w:r>
          </w:p>
        </w:tc>
        <w:tc>
          <w:tcPr>
            <w:tcW w:w="11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9"/>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(10 persons)</w:t>
            </w:r>
            <w:r>
              <w:rPr>
                <w:rFonts w:ascii="Times New Roman" w:cs="Times New Roman" w:eastAsia="Times New Roman" w:hAnsi="Times New Roman"/>
                <w:sz w:val="26"/>
                <w:szCs w:val="26"/>
                <w:b w:val="1"/>
                <w:bCs w:val="1"/>
                <w:color w:val="auto"/>
                <w:vertAlign w:val="superscript"/>
              </w:rPr>
              <w:t>(11)</w:t>
            </w:r>
          </w:p>
        </w:tc>
        <w:tc>
          <w:tcPr>
            <w:tcW w:w="1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6,981,700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715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8"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hanging="424"/>
        <w:spacing w:after="0" w:line="253"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2,692,005 shares of common stock held by Dr. Springer and (ii) 1,551,116 shares of common stock held by TAS Partners, LLC (“TAS”). Dr. Springer is the sole managing member of TAS. Dr. Springer exercises sole voting and dispositive power over the shares held by him directly and the shares held by TAS. Dr. Springer disclaims beneficial ownership of the shares held by TAS. The principal business address of each of Dr. Springer and TAS is 36 Woodman Road, Newton, MA, 02467.</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80" w:hanging="424"/>
        <w:spacing w:after="0" w:line="253"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of common stock are owned by funds and accounts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ind w:left="540" w:right="8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1,073,062 shares of common stock held by Polaris Partners IX, L.P. (“PP IX”). Polaris Partners GP IX, L.L.C. (“PP GP IX”) is the general partner of PP IX and may be deemed to have sole voting and dispositive power with respect to the shares held by PP IX. David Barrett, Brian Chee, Amir Nashat and Amy Schulman (collectively, the “PP GP IX Managing Members”) are the managing members of PP GP IX, and Terrance McGuire, a member of the board of directors,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1,000,900 shares of common stock held by Vida Ventures II, LLC (“Vida II Main Fund”) and (ii) 27,774 shares of common stock held by Vida Ventures II-A, LLC (“Vida II Parallel Fund,” and together with the Vida II Main Fund, “Vida II”). VV Manager II, LLC (“VV Manager II”) is the manager of Vida II. Arie Belldegrun, Fred Cohen, and Leonard Potter are the members of the management committee of VV Manager II (the “Management Committee”) and Arie Belldegrun, Fred Cohen, Stefan Vitorovic, Arjun Goyal, Helen Kim, Rajul Jain, and Joshua Kazam are the members of the investment committee of VV Manager II (the “Investment Committee”). Stefan Vitorovic serves as a director on the board of directors. Each of the Management Committee, the Investment Committee and the respective members thereof may be deemed to share voting and dispositive power over the shares held by Vida II. VV Manager II, the Management Committee, the Investment Committee and each member of each of the Management Committee and Investment Committee disclaim beneficial ownership over the securities held of record by Vida II. The address of all entities affiliated with Vida is 40 Broad Street, Suite 201, Boston, Massachusetts 02109.</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55,535 shares of common stock held by EcoR1 Capital Fund, L.P. (“Capital Fund”), (ii) 783,214 shares of common stock held by EcoR1 Capital Fund Qualified, L.P. (“Qualified Fund”) and (iii) 10,394 shares of common stock held by EcoR1 Venture Opportunity Fund, L.P. (“Opportunity Fund”). EcoR1 Capital LLC (“EcoR1”) is the general partner of Capital Fund and Qualified Fund, and the investment advisor to Opportunity Fund. Biotech Opportunity GP, LLC is the general partner of Opportunity Fund. Oleg Nodelman is the control person of EcoR1 and Biotech Opportunity GP, LLC and may be deemed to share dispositive voting power over the shares held by Qualified Fund, Capital Fund and Opportunity Fund. Mr. Nodelman, EcoR1 and Biotech Opportunity GP, LLC each disclaim beneficial ownership of all shares except to the extent of their pecuniary interest. The address of the above person and entities is 357 Tehama Street #3, San Francisco, CA 94103.</w:t>
      </w:r>
    </w:p>
    <w:p>
      <w:pPr>
        <w:spacing w:after="0" w:line="2" w:lineRule="exact"/>
        <w:rPr>
          <w:rFonts w:ascii="Times New Roman" w:cs="Times New Roman" w:eastAsia="Times New Roman" w:hAnsi="Times New Roman"/>
          <w:sz w:val="18"/>
          <w:szCs w:val="18"/>
          <w:color w:val="auto"/>
        </w:rPr>
      </w:pPr>
    </w:p>
    <w:p>
      <w:pPr>
        <w:ind w:left="540" w:hanging="424"/>
        <w:spacing w:after="0" w:line="251"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20,262 shares of common stock held by Polaris Founders Capital Fund I, L.P. (“PF I”), (ii) consists of 64,652 shares of common stock held by Polaris Founders Capital Fund II, L.P. (“PF II”) and (iii) 1,073,062 shares of common stock held by PP IX. Polaris Founders Capital Management Co. I, L.L.C. (“PFC I GP”) is the general partner of PF I and may be deemed to have sole voting and dispositive power with respect to the shares held by PF I. Polaris Founders Capital Management Co. II, L.L.C. (“PFC II GP”) is the general partner of PF II and may be deemed to have sole voting and dispositive power with respect to the shares held by PFC II. Terrance McGuire, a member of the board of directors, and Jonathan Flint (together, the “PFC GP Managing Members”) are the managing members of PFC I GP and PFC II GP. Each of the PFC GP Managing Members, in their respective capacities with respect to PFC I GP and PFC II GP, may be deemed to have shared voting and dispositive power with respect to the shares held by PF I and PF</w:t>
      </w:r>
    </w:p>
    <w:p>
      <w:pPr>
        <w:spacing w:after="0" w:line="1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55"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4" w:lineRule="auto"/>
        <w:rPr>
          <w:sz w:val="20"/>
          <w:szCs w:val="20"/>
          <w:color w:val="auto"/>
        </w:rPr>
      </w:pPr>
      <w:r>
        <w:rPr>
          <w:rFonts w:ascii="Times New Roman" w:cs="Times New Roman" w:eastAsia="Times New Roman" w:hAnsi="Times New Roman"/>
          <w:sz w:val="18"/>
          <w:szCs w:val="18"/>
          <w:color w:val="auto"/>
        </w:rPr>
        <w:t>II. PP GP IX is the general partner of PP IX and may be deemed to have sole voting and dispositive power with respect to the shares held by PP IX. The PP GP IX Managing Members are the managing members of PP GP IX, and Terrance McGuire, a member of the board of directors, holds an interest in PP GP IX. Each of the PP GP IX Managing Members and Terrance McGuire, in their respective capacities with respect to PP GP IX, may be deemed to have shared voting and dispositive power with respect to the shares held by PP IX. The principal business address for all entities and individuals affiliated with Polaris Partners is c/o Polaris Partners, One Marina Park Drive, 8th Floor, Boston, Massachusetts 02210.</w:t>
      </w:r>
    </w:p>
    <w:p>
      <w:pPr>
        <w:spacing w:after="0" w:line="3" w:lineRule="exact"/>
        <w:rPr>
          <w:sz w:val="20"/>
          <w:szCs w:val="20"/>
          <w:color w:val="auto"/>
        </w:rPr>
      </w:pPr>
    </w:p>
    <w:p>
      <w:pPr>
        <w:ind w:left="540" w:right="2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166,580 shares of common stock held by Dr. Reicin, 11,372 of which are subject to repurchase as of July 6, 2024, (ii) 124,530 shares of common stock held by the 2020 Reicin-Boiarsky Family Trust (the “2020 Reicin Trust”) and (iii) 29,601 shares of common stock issuable upon exercise of options granted to Dr. Reicin that are exercisable within 60 days of July 6, 2024. Robert Boiarsky is a co-trustee of the 2020 Reicin Trust and the spouse of Dr. Reicin. Dr. Reicin may be deemed to have shared voting and dispositive power over the securities held by the 2020 Reicin Trust.</w:t>
      </w:r>
    </w:p>
    <w:p>
      <w:pPr>
        <w:spacing w:after="0" w:line="1" w:lineRule="exact"/>
        <w:rPr>
          <w:rFonts w:ascii="Times New Roman" w:cs="Times New Roman" w:eastAsia="Times New Roman" w:hAnsi="Times New Roman"/>
          <w:sz w:val="18"/>
          <w:szCs w:val="18"/>
          <w:color w:val="auto"/>
        </w:rPr>
      </w:pPr>
    </w:p>
    <w:p>
      <w:pPr>
        <w:ind w:left="540" w:right="50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32,065 shares of common stock held by Dr. Ruddy and (ii) 30,034 shares of common stock issuable upon exercise of options granted to Dr. Ruddy that are exercisable within 60 days of July 6, 2024.</w:t>
      </w:r>
    </w:p>
    <w:p>
      <w:pPr>
        <w:ind w:left="540" w:right="40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3,037 shares of common stock held by Dr. Tipirneni and (ii) 12,166 shares of common stock issuable upon exercise of options granted to Dr. Tipirneni that are exercisable within 60 days of July 6, 2024.</w:t>
      </w:r>
    </w:p>
    <w:p>
      <w:pPr>
        <w:ind w:left="540" w:right="460" w:hanging="424"/>
        <w:spacing w:after="0" w:line="25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166 shares of common stock held by Mr. Donenberg and (ii) 9,372 shares of common stock issuable upon exercise of options granted to Mr. Donenberg that are exercisable within 60 days of July 6, 2024.</w:t>
      </w:r>
    </w:p>
    <w:p>
      <w:pPr>
        <w:ind w:left="540" w:right="120" w:hanging="424"/>
        <w:spacing w:after="0" w:line="260"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6,766,837 shares of common stock and (ii) 212,906 shares of common stock issuable upon exercise of options that are exercisable within 60 days of July 6, 2024.</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acquired shares of common stock from us in the Merger upon exchange of shares of Legacy Tectonic acquired from Legacy Tectonic immediately prior to the Merger pursuant to an exemption from registration under Section 4(a)(2) of the Securities Act. Under the Subscription Agreement that we assumed in the Merger, we agreed to file a registration statement with the SEC for the purposes of registering for resale from time to time the shares of common stock.</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ownership of the shares of common stock offered hereby. The second column lists the number of shares of common stock beneficially owned by the selling stockholders as of July 6, 2024 immediately following consummation of the Merger.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14,734,325 shares of common stock outstanding as of July 6, 2024.</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4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60"/>
        </w:trPr>
        <w:tc>
          <w:tcPr>
            <w:tcW w:w="5360" w:type="dxa"/>
            <w:vAlign w:val="bottom"/>
          </w:tcPr>
          <w:p>
            <w:pPr>
              <w:spacing w:after="0"/>
              <w:rPr>
                <w:sz w:val="13"/>
                <w:szCs w:val="13"/>
                <w:color w:val="auto"/>
              </w:rPr>
            </w:pPr>
          </w:p>
        </w:tc>
        <w:tc>
          <w:tcPr>
            <w:tcW w:w="1800" w:type="dxa"/>
            <w:vAlign w:val="bottom"/>
            <w:gridSpan w:val="2"/>
          </w:tcPr>
          <w:p>
            <w:pPr>
              <w:jc w:val="center"/>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7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2140" w:type="dxa"/>
            <w:vAlign w:val="bottom"/>
            <w:gridSpan w:val="5"/>
          </w:tcPr>
          <w:p>
            <w:pPr>
              <w:ind w:left="36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w:t>
            </w:r>
          </w:p>
        </w:tc>
      </w:tr>
      <w:tr>
        <w:trPr>
          <w:trHeight w:val="162"/>
        </w:trPr>
        <w:tc>
          <w:tcPr>
            <w:tcW w:w="5360" w:type="dxa"/>
            <w:vAlign w:val="bottom"/>
          </w:tcPr>
          <w:p>
            <w:pPr>
              <w:spacing w:after="0"/>
              <w:rPr>
                <w:sz w:val="14"/>
                <w:szCs w:val="14"/>
                <w:color w:val="auto"/>
              </w:rPr>
            </w:pPr>
          </w:p>
        </w:tc>
        <w:tc>
          <w:tcPr>
            <w:tcW w:w="18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that May Be</w:t>
            </w:r>
          </w:p>
        </w:tc>
        <w:tc>
          <w:tcPr>
            <w:tcW w:w="2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After the Offering</w:t>
            </w:r>
          </w:p>
        </w:tc>
      </w:tr>
      <w:tr>
        <w:trPr>
          <w:trHeight w:val="142"/>
        </w:trPr>
        <w:tc>
          <w:tcPr>
            <w:tcW w:w="53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800" w:type="dxa"/>
            <w:vAlign w:val="bottom"/>
            <w:gridSpan w:val="2"/>
          </w:tcPr>
          <w:p>
            <w:pPr>
              <w:jc w:val="center"/>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Before the Offering</w:t>
            </w:r>
          </w:p>
        </w:tc>
        <w:tc>
          <w:tcPr>
            <w:tcW w:w="1720" w:type="dxa"/>
            <w:vAlign w:val="bottom"/>
            <w:gridSpan w:val="2"/>
          </w:tcPr>
          <w:p>
            <w:pPr>
              <w:jc w:val="center"/>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Offered Hereby</w:t>
            </w:r>
          </w:p>
        </w:tc>
        <w:tc>
          <w:tcPr>
            <w:tcW w:w="7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20" w:type="dxa"/>
            <w:vAlign w:val="bottom"/>
          </w:tcPr>
          <w:p>
            <w:pPr>
              <w:spacing w:after="0"/>
              <w:rPr>
                <w:sz w:val="12"/>
                <w:szCs w:val="12"/>
                <w:color w:val="auto"/>
              </w:rPr>
            </w:pPr>
          </w:p>
        </w:tc>
      </w:tr>
      <w:tr>
        <w:trPr>
          <w:trHeight w:val="178"/>
        </w:trPr>
        <w:tc>
          <w:tcPr>
            <w:tcW w:w="53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Fidelity Advisor Series VII: Fidelity Advisor Biotechnology</w:t>
            </w:r>
          </w:p>
        </w:tc>
        <w:tc>
          <w:tcPr>
            <w:tcW w:w="12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53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72,841</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72,841</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Fidelity Growth Company Commingled Pool</w:t>
            </w:r>
            <w:r>
              <w:rPr>
                <w:rFonts w:ascii="Times New Roman" w:cs="Times New Roman" w:eastAsia="Times New Roman" w:hAnsi="Times New Roman"/>
                <w:sz w:val="25"/>
                <w:szCs w:val="25"/>
                <w:color w:val="auto"/>
                <w:vertAlign w:val="superscript"/>
              </w:rPr>
              <w:t>(1)</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400,394</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400,394</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Growth Company</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230,656</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230,656</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Growth Company K6</w:t>
            </w:r>
          </w:p>
        </w:tc>
        <w:tc>
          <w:tcPr>
            <w:tcW w:w="1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5360" w:type="dxa"/>
            <w:vAlign w:val="bottom"/>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94,586</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94,586</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20"/>
                <w:szCs w:val="20"/>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Fidelity Mt. Vernon Street Trust: Fidelity Series Growth Company</w:t>
            </w: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536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Fund</w:t>
            </w:r>
            <w:r>
              <w:rPr>
                <w:rFonts w:ascii="Times New Roman" w:cs="Times New Roman" w:eastAsia="Times New Roman" w:hAnsi="Times New Roman"/>
                <w:sz w:val="26"/>
                <w:szCs w:val="26"/>
                <w:color w:val="auto"/>
                <w:vertAlign w:val="superscript"/>
              </w:rPr>
              <w:t>(1)</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63,553</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63,553</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Fidelity Select Portfolios: Biotechnology Portfolio</w:t>
            </w:r>
            <w:r>
              <w:rPr>
                <w:rFonts w:ascii="Times New Roman" w:cs="Times New Roman" w:eastAsia="Times New Roman" w:hAnsi="Times New Roman"/>
                <w:sz w:val="25"/>
                <w:szCs w:val="25"/>
                <w:color w:val="auto"/>
                <w:vertAlign w:val="superscript"/>
              </w:rPr>
              <w:t>(1)</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215,508</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215,508</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5AM Opportunities II, L.P.</w:t>
            </w:r>
            <w:r>
              <w:rPr>
                <w:rFonts w:ascii="Times New Roman" w:cs="Times New Roman" w:eastAsia="Times New Roman" w:hAnsi="Times New Roman"/>
                <w:sz w:val="25"/>
                <w:szCs w:val="25"/>
                <w:color w:val="auto"/>
                <w:vertAlign w:val="superscript"/>
              </w:rPr>
              <w:t>(2)</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646,524</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646,524</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EcoR1</w:t>
            </w:r>
            <w:r>
              <w:rPr>
                <w:rFonts w:ascii="Times New Roman" w:cs="Times New Roman" w:eastAsia="Times New Roman" w:hAnsi="Times New Roman"/>
                <w:sz w:val="25"/>
                <w:szCs w:val="25"/>
                <w:color w:val="auto"/>
                <w:vertAlign w:val="superscript"/>
              </w:rPr>
              <w:t>(3)</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838,749</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573,139</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265,610</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Farallon</w:t>
            </w:r>
            <w:r>
              <w:rPr>
                <w:rFonts w:ascii="Times New Roman" w:cs="Times New Roman" w:eastAsia="Times New Roman" w:hAnsi="Times New Roman"/>
                <w:sz w:val="25"/>
                <w:szCs w:val="25"/>
                <w:color w:val="auto"/>
                <w:vertAlign w:val="superscript"/>
              </w:rPr>
              <w:t>(4)</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431,014</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431,014</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The Stuart Partners, LLC</w:t>
            </w:r>
            <w:r>
              <w:rPr>
                <w:rFonts w:ascii="Times New Roman" w:cs="Times New Roman" w:eastAsia="Times New Roman" w:hAnsi="Times New Roman"/>
                <w:sz w:val="25"/>
                <w:szCs w:val="25"/>
                <w:color w:val="auto"/>
                <w:vertAlign w:val="superscript"/>
              </w:rPr>
              <w:t>(5)</w:t>
            </w: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215,508</w:t>
            </w: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215,508</w:t>
            </w: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GC&amp;H Investments</w:t>
            </w:r>
            <w:r>
              <w:rPr>
                <w:rFonts w:ascii="Times New Roman" w:cs="Times New Roman" w:eastAsia="Times New Roman" w:hAnsi="Times New Roman"/>
                <w:sz w:val="25"/>
                <w:szCs w:val="25"/>
                <w:color w:val="auto"/>
                <w:vertAlign w:val="superscript"/>
              </w:rPr>
              <w:t>(6)</w:t>
            </w:r>
          </w:p>
        </w:tc>
        <w:tc>
          <w:tcPr>
            <w:tcW w:w="1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25,860</w:t>
            </w:r>
          </w:p>
        </w:tc>
        <w:tc>
          <w:tcPr>
            <w:tcW w:w="17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25,860</w:t>
            </w: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7" w:lineRule="exact"/>
        <w:rPr>
          <w:sz w:val="20"/>
          <w:szCs w:val="20"/>
          <w:color w:val="auto"/>
        </w:rPr>
      </w:pPr>
    </w:p>
    <w:p>
      <w:pPr>
        <w:ind w:left="540" w:right="220" w:hanging="424"/>
        <w:spacing w:after="0" w:line="253"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funds and accounts are managed by direct or indirect subsidiaries of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300"/>
        <w:spacing w:after="0" w:line="257" w:lineRule="auto"/>
        <w:rPr>
          <w:sz w:val="20"/>
          <w:szCs w:val="20"/>
          <w:color w:val="auto"/>
        </w:rPr>
      </w:pPr>
      <w:r>
        <w:rPr>
          <w:rFonts w:ascii="Times New Roman" w:cs="Times New Roman" w:eastAsia="Times New Roman" w:hAnsi="Times New Roman"/>
          <w:sz w:val="18"/>
          <w:szCs w:val="18"/>
          <w:color w:val="auto"/>
        </w:rPr>
        <w:t>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these funds and accounts is 245 Summer Street, Boston, MA 02210.</w:t>
      </w:r>
    </w:p>
    <w:p>
      <w:pPr>
        <w:spacing w:after="0" w:line="1" w:lineRule="exact"/>
        <w:rPr>
          <w:sz w:val="20"/>
          <w:szCs w:val="20"/>
          <w:color w:val="auto"/>
        </w:rPr>
      </w:pPr>
    </w:p>
    <w:p>
      <w:pPr>
        <w:ind w:left="540" w:right="14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646,524 shares of common stock held by 5AM Opportunities II, L.P. (“Opportunities II”). 5AM Opportunities II (GP), LLC (“Opportunities II GP”) is the sole general partner of Opportunities II. Dr. Kush M. Parmar and Andrew J. Schwab are the managing members of Opportunities II GP and may be deemed to have shared voting and investment power over the securities beneficially owned by Opportunities II. Each of Opportunities II GP, Dr. Parmar, and Mr. Schwab disclaims beneficial ownership of such securities except to the extent of its or his respective pecuniary interest therein. The address of the above persons and entities is 4 Embarcadero Center, Suite 3110, San Francisco, CA 94111.</w:t>
      </w:r>
    </w:p>
    <w:p>
      <w:pPr>
        <w:spacing w:after="0" w:line="2"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55,535 shares of common stock held by EcoR1 Capital Fund, L.P. (“Capital Fund”) and (ii) 783,214 shares of common stock held by EcoR1 Capital Fund Qualified, L.P. (“Qualified Fund”). EcoR1 Capital LLC (“EcoR1”) is the general partner of Capital Fund and Qualified Fund. Oleg Nodelman is the control person of EcoR1 and may be deemed to share dispositive voting power over the shares held by Qualified Fund and Capital Fund. Mr. Nodelman and EcoR1 each disclaim beneficial ownership of all shares except to the extent of their pecuniary interest. The address of the above person and entities is 357 Tehama Street #3, San Francisco, CA 94103.</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88,961 shares of common stock held by Farallon Capital Partners, L.P. (“FCP”), (ii) 66,937 shares of common stock held by Farallon Capital Institutional Partners, L.P. (“FCIP”), (iii) 23,835 shares of common stock held by Farallon Capital Institutional Partners II, L.P. (“FCIP II”), (iv) 8,706 shares of common stock held by Farallon Capital Institutional Partners III, L.P. (“FCIP III”), (v) 14,870 shares of common stock held by Four Crossings Institutional Partners V, L.P. (“FCIP V”), (vi) 167,622 shares of common stock held by Farallon Capital Offshore Investors II, L.P. (“FCOI II”), (vii) 11,508 shares of common stock held by Farallon Capital (AM) Investors, L.P. (“FCAMI”), and (viii) 48,575 shares of common stock held by Farallon Capital F5 Master I, L.P. (“F5 MI” and, together with FCP, FCIP, FCIP II, FCIP III, FCIP V, FCOI II, and FCAMI, the “Farallon Funds”). Farallon Partners, L.L.C. (the “Farallon General Partner”), as the general partner of each of FCP, FCIP, FCIP II, FCIP III, FCOI II and FCAMI, may be deemed a beneficial owner of the shares held by FCP, FCIP, FCIP II, FCIP III, FCOI II and FCAMI. Farallon Institutional (GP) V, L.L.C. (the “FCIP V General Partner”), as the general partner of FCIP V, may be deemed a beneficial owner of the shares held by FCIP V. Farallon F5 (GP), L.L.C. (the “F5MI General Partner”), as the general partner of F5 MI, may be deemed a beneficial owner of the shares held by F5 MI. Each of Joshua J. Dapice, Philip D. Dreyfuss, Hannah E. Dunn, Richard B. Fried, Varun N. Gehani, Nicolas Giauque, David T. Kim, Michael G. Linn, Rajiv A. Patel, Thomas G. Roberts, Jr., Edric C. Saito, William Seybold, Daniel S. Short, Andrew J. M. Spokes, John R. Warren and Mark C. Wehrly (collectively, the “Farallon Managing Members”), as a senior managing member or managing member, as the case may be, of the Farallon General Partner, and a manager or senior manager, as the case may be, of the FCIP V General Partner and the F5MI General Partner, in each case with the power to exercise investment discretion, may be deemed a beneficial owner of all such shares held by the Farallon Funds. Each of the Farallon General Partner, the FCIP V General Partner, the F5MI General Partner, and the Farallon Managing Members hereby disclaims any beneficial ownership of such shares. The address of the above persons and entities is One Maritime Plaza, Suite 2100, San Francisco, CA 94111.</w:t>
      </w:r>
    </w:p>
    <w:p>
      <w:pPr>
        <w:spacing w:after="0" w:line="7" w:lineRule="exact"/>
        <w:rPr>
          <w:rFonts w:ascii="Times New Roman" w:cs="Times New Roman" w:eastAsia="Times New Roman" w:hAnsi="Times New Roman"/>
          <w:sz w:val="18"/>
          <w:szCs w:val="18"/>
          <w:color w:val="auto"/>
        </w:rPr>
      </w:pPr>
    </w:p>
    <w:p>
      <w:pPr>
        <w:ind w:left="540" w:right="360" w:hanging="424"/>
        <w:spacing w:after="0" w:line="265" w:lineRule="auto"/>
        <w:tabs>
          <w:tab w:leader="none" w:pos="54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215,508 shares of common stock held by The Stuart Partners, LLC (“Stuart Partners”). Anastasios Parafestas is the sole managing member of Stuart Partners and exercises sole voting and dispositive power over the securities beneficially owned by Stuart Partners.</w:t>
      </w:r>
    </w:p>
    <w:p>
      <w:pPr>
        <w:ind w:left="540" w:right="3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Parafestas disclaims beneficial ownership of such securities except to the extent of his pecuniary interest therein. The address of the above person and entity is One Joy Street, Boston, MA 02108.</w:t>
      </w:r>
    </w:p>
    <w:p>
      <w:pPr>
        <w:ind w:left="540" w:hanging="424"/>
        <w:spacing w:after="0" w:line="253" w:lineRule="auto"/>
        <w:tabs>
          <w:tab w:leader="none" w:pos="5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10,775 shares of common stock held by GC&amp;H Investments, L.P. (“GC&amp;H”) and (ii) 15,085 shares of common stock held by GC&amp;H Investments A5, L.P. (“GC&amp;H A5”). Jordan Silber, Mark Tanoury, Peter Werner, Derek Colla, Kenneth Guernsey are the control persons of GC&amp;H and GC&amp;H A5 and may be deemed to share dispositive voting power over the shares held by GC&amp;H and GC&amp;H A5. The address of the above persons and entities is 3 Embarcadero Center, 20th Floor, San Francisco, CA 94111.</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and provisions of our charter and bylaws are summaries and are qualified by reference to such charter and bylaws and applicable provisions of Delaware corporate law. Copies of these documents are filed as exhibits to the registration statement of which this prospectus forms a part.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150,000,000 shares of common stock, par value $0.0001 per share, and 10,000,000 shares of preferred stock, par value $0.0001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entitled to receive dividends ratably, if any, as may be declared by the our Board out of legally available funds, subject to any preferential dividend rights of any our preferred stock then outstanding.</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19" w:lineRule="exact"/>
        <w:rPr>
          <w:sz w:val="20"/>
          <w:szCs w:val="20"/>
          <w:color w:val="auto"/>
        </w:rPr>
      </w:pPr>
    </w:p>
    <w:p>
      <w:pPr>
        <w:jc w:val="both"/>
        <w:ind w:left="120" w:right="560" w:firstLine="440"/>
        <w:spacing w:after="0" w:line="312" w:lineRule="auto"/>
        <w:rPr>
          <w:sz w:val="20"/>
          <w:szCs w:val="20"/>
          <w:color w:val="auto"/>
        </w:rPr>
      </w:pPr>
      <w:r>
        <w:rPr>
          <w:rFonts w:ascii="Times New Roman" w:cs="Times New Roman" w:eastAsia="Times New Roman" w:hAnsi="Times New Roman"/>
          <w:sz w:val="17"/>
          <w:szCs w:val="17"/>
          <w:color w:val="auto"/>
        </w:rPr>
        <w:t>Holders of our common stock are entitled to one vote for each share of our common stock held of record for the election of directors of the Company and on all matters submitted to a vote of the stockholders. The holders of our common stock do not have any cumulative voting rights.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1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the event of the Company’s dissolution, liquidation or winding up, holders of our common stock are entitled to share ratably in all assets remaining after payment of all debts and other liabilities and any liquidation preference of any outstanding preferred stock. All outstanding shares are fully paid and non-assessable.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subscription, redemption or conversion rights, and no sinking fund provisions are applicable to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charter provides for 10,000,000 authorized shares of preferred stock. The existence of authorized but unissued shares of preferred stock may enable the Board to discourage an attempt to obtain control of the Company by means of a merger, tender offer, proxy contest or otherwise. For example, if in the due exercise of its fiduciary obligations, the Board were to determine that a takeover proposal is not in the best interests of the Company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our charter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Provisions of the Company’s Charter and Bylaws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Certain provisions of the DGCL and of the Company’s charter and bylaws could have the effect of delaying, deferring or discouraging another party from acquiring control of the Company.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the Company to first negotiate with its board of directors. These provisions might also have the effect of preventing changes in our management. It is possible that these provisions could make it more difficult to accomplish transactions that stockholders might otherwise deem to be in their best interests. However, the Company holds that the advantages gained by protecting its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Delaware Anti-Takeover Statute</w:t>
      </w:r>
    </w:p>
    <w:p>
      <w:pPr>
        <w:spacing w:after="0" w:line="119" w:lineRule="exact"/>
        <w:rPr>
          <w:sz w:val="20"/>
          <w:szCs w:val="20"/>
          <w:color w:val="auto"/>
        </w:rPr>
      </w:pPr>
    </w:p>
    <w:p>
      <w:pPr>
        <w:ind w:left="120" w:right="480" w:firstLine="440"/>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date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85" w:lineRule="exact"/>
        <w:rPr>
          <w:sz w:val="20"/>
          <w:szCs w:val="20"/>
          <w:color w:val="auto"/>
        </w:rPr>
      </w:pPr>
    </w:p>
    <w:p>
      <w:pPr>
        <w:ind w:left="1080" w:right="2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252" w:lineRule="exact"/>
        <w:rPr>
          <w:sz w:val="20"/>
          <w:szCs w:val="20"/>
          <w:color w:val="auto"/>
        </w:rPr>
      </w:pPr>
    </w:p>
    <w:p>
      <w:pPr>
        <w:ind w:left="1080" w:right="52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188"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 one or more transactions) involving the interested stockholder of 10% or more of either the aggregate market value of all (i) the assets of the corporation or (ii) the outstanding capital stock of the corporation, involving the interested stockholder;</w:t>
      </w:r>
    </w:p>
    <w:p>
      <w:pPr>
        <w:spacing w:after="0" w:line="202"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or by any direct or indirect majority-owned subsidiary of the corporation of any stock of the corporation or any subsidiary to the interested stockholder;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or any direct or indirect majority-owned subsidiary of the corporation that has the effect of increasing the proportionate share of the stock of any class or series of the corporation or of any subsidiary beneficially owned by the interested stockholder;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8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 or any direct or indirect majority-owned subsidiary.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that is an affiliate or associate of the corporation and who beneficially owned 15% or more of the outstanding voting stock of the corporation at any time within the three year period immediately prior to the date of determining whether such entity or person is an interested stockholder, and any affiliate or associate of that entity or person.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Composition and Filling Vacancies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charter provides for the division of the Board into three classes serving staggered three-year terms, with one class being elected each year. Our charter also provides that directors may be removed only for cause and then only by the affirmative vote of the holders of two-thirds or more of the shares then entitled to vote at an election of directors. Furthermore, any vacancy on the Board, however occurring, including a vacancy resulting from an increase in the size of the Board, may only be filled by the affirmative vote of a majority of directors then in office even if less than a quorum. The classification of directors, together with the limitations on removal of directors and treatment of vacancies, has the effect of making it more difficult for stockholders to change the composition of the Board.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Written Consent of Stockholders</w:t>
      </w:r>
    </w:p>
    <w:p>
      <w:pPr>
        <w:spacing w:after="0" w:line="119"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Our charter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the Company’s bylaws or removal of directors by stockholders without holding a meeting of stockholders.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Meetings of Stockholder</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only a majority of the members of the Board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bylaws establish advance notice procedures with regard to stockholder proposals relating to the nomination of candidates for election as directors or new business to be brought before meetings of Company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380" w:firstLine="2397"/>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MATERIAL UNITED STATES FEDERAL INCOME TAX CONSIDERATIONS </w:t>
      </w:r>
      <w:r>
        <w:rPr>
          <w:rFonts w:ascii="Times New Roman" w:cs="Times New Roman" w:eastAsia="Times New Roman" w:hAnsi="Times New Roman"/>
          <w:sz w:val="18"/>
          <w:szCs w:val="18"/>
          <w:b w:val="1"/>
          <w:bCs w:val="1"/>
          <w:i w:val="1"/>
          <w:iCs w:val="1"/>
          <w:color w:val="auto"/>
        </w:rPr>
        <w:t>Material U.S. Federal Income Tax Consequences for Holders of Common Stock</w:t>
      </w:r>
    </w:p>
    <w:p>
      <w:pPr>
        <w:spacing w:after="0" w:line="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85" w:lineRule="exact"/>
        <w:rPr>
          <w:sz w:val="20"/>
          <w:szCs w:val="20"/>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our voting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Internal Revenue Service, or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consider the tax treatment of partnerships or other pass-through entities or persons who hold our securities through such entities. If a partnership (or other entity or arrangement classified as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partnership or other pass-through entity for U.S. federal income tax purposes) is the beneficial owner of our securities, the U.S.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tax advisor.</w:t>
      </w:r>
    </w:p>
    <w:p>
      <w:pPr>
        <w:spacing w:after="0" w:line="176"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UNITED STATES FEDERAL NON-INCOME, STATE AND LOCAL, AND NON-U.S. TAX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for U.S. Holders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any beneficial owner of our common stock that, for U.S. federal income tax purposes, is or is treated as:</w:t>
      </w:r>
    </w:p>
    <w:p>
      <w:pPr>
        <w:spacing w:after="0" w:line="67"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any state thereof, or the District of Columbia;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4" w:lineRule="exact"/>
        <w:rPr>
          <w:sz w:val="20"/>
          <w:szCs w:val="20"/>
          <w:color w:val="auto"/>
        </w:rPr>
      </w:pPr>
    </w:p>
    <w:p>
      <w:pPr>
        <w:ind w:left="120" w:right="8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Taxation of Distributions</w:t>
      </w:r>
      <w:r>
        <w:rPr>
          <w:rFonts w:ascii="Times New Roman" w:cs="Times New Roman" w:eastAsia="Times New Roman" w:hAnsi="Times New Roman"/>
          <w:sz w:val="17"/>
          <w:szCs w:val="17"/>
          <w:color w:val="auto"/>
        </w:rPr>
        <w:t>. If we pay distributions in cash or other property (other than certain distributions of our stock or rights to acquire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to U.S.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common stock. Any remaining excess will be treated as gain realized on the sale or other disposition of the common stock and will be treated as described under “</w:t>
      </w:r>
      <w:r>
        <w:rPr>
          <w:rFonts w:ascii="Times New Roman" w:cs="Times New Roman" w:eastAsia="Times New Roman" w:hAnsi="Times New Roman"/>
          <w:sz w:val="17"/>
          <w:szCs w:val="17"/>
          <w:i w:val="1"/>
          <w:iCs w:val="1"/>
          <w:color w:val="auto"/>
        </w:rPr>
        <w:t>U.S. Holders-Gain or Loss on Sale, Taxable Exchange or Other Taxable Disposition of common stock</w:t>
      </w:r>
      <w:r>
        <w:rPr>
          <w:rFonts w:ascii="Times New Roman" w:cs="Times New Roman" w:eastAsia="Times New Roman" w:hAnsi="Times New Roman"/>
          <w:sz w:val="17"/>
          <w:szCs w:val="17"/>
          <w:color w:val="auto"/>
        </w:rPr>
        <w:t>” below.</w:t>
      </w:r>
    </w:p>
    <w:p>
      <w:pPr>
        <w:spacing w:after="0" w:line="17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w:t>
      </w:r>
      <w:r>
        <w:rPr>
          <w:rFonts w:ascii="Times New Roman" w:cs="Times New Roman" w:eastAsia="Times New Roman" w:hAnsi="Times New Roman"/>
          <w:sz w:val="18"/>
          <w:szCs w:val="18"/>
          <w:color w:val="auto"/>
        </w:rPr>
        <w:t>. Upon a sale or other taxable disposition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 U.S. holder generally will recognize capital gain or loss in an amount equal to the difference between the amount realized and the U.S. holder’s adjusted tax basis in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8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 general, information reporting requirements may apply to dividends paid to a U.S. 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U.S. Federal Income Tax Consequences for Non-U.S. Holders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consequences of the ownership and disposition of our common stock acquired in this offering by Non-U.S. Holders (as defined below). This discussion is not a complete analysis of all potential U.S. federal income tax consequences relevant to a Non-U.S. Holder’s particular circumstances, and does not deal with non-U.S., state and local tax consequences that may be relevant to Non-U.S. Holders, nor does it address any U.S. federal tax consequences (such as gift and estate taxes) other than income taxes. Special rules different from those described below may apply to certain Non-U.S. Holders that are subject to special treatment under the U.S. Internal Revenue Code of 1986, as amended, or the Code, such as:</w:t>
      </w:r>
    </w:p>
    <w:p>
      <w:pPr>
        <w:spacing w:after="0" w:line="93" w:lineRule="exact"/>
        <w:rPr>
          <w:sz w:val="20"/>
          <w:szCs w:val="20"/>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certain electing traders in securities who mark their securities positions to market for U.S.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 corporations organized outside of the United States, any state thereof or the District of Columbia that are nonetheless treated as U.S. income taxpayers for U.S. federal tax purposes,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“conversion transaction,” “synthetic security,” integrated investment or other risk reduction strategy,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00"/>
          </w:cols>
          <w:pgMar w:left="320" w:top="455" w:right="4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8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 the federal Medicare contribution tax on net investment income or the special tax accounting rules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our common stock through the exercise of an option or otherwise as compensation,</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other pass-through entities or arrangements, and investors in such pass-through entities or arrangements.</w:t>
      </w:r>
    </w:p>
    <w:p>
      <w:pPr>
        <w:spacing w:after="0" w:line="225"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Such Non-U.S. Holders are urged to consult their tax advisors to determine the U.S. federal, state, local and other tax consequences that may be relevant to them.</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this discussion assumes that the Non-U.S. Holder holds our common stock as a “capital asset” within the meaning of Section 1221 of the Code (generally, property held for investment). Furthermore, the discussion below is based upon the provisions of the Code, Treasury regulations promulgated thereunder, rulings and judicial decisions, in each case as of the date hereof, and such authorities may be repealed, revoked or modified, perhaps retroactively, so as to result in U.S. federal income tax consequences different from those discussed below. We have not requested a ruling from the U.S. Internal Revenue Service, or the IRS, with respect to the statements made and the conclusions reached in the following summary, and there can be no assurance that the IRS will agree with such statements and conclusions.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Persons considering the purchase of our common stock pursuant to this offering should consult their tax advisors concerning the U.S. federal income, estate and other tax consequences of acquiring, owning and disposing of our common stock in light of their particular situations as well as any consequences arising under the laws of any other taxing jurisdiction, including any state, local or non-U.S. tax consequences.</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discussion, a ”Non-U.S. Holder” is, for U.S. federal income tax purposes, a beneficial owner of common stock that is neither a U.S. Person, nor a partnership (or other entity or arrangement treated as a partnership for U.S. federal income tax purposes regardless of its place of organization or formation). A “U.S. Person” means any person that is, for U.S. federal income tax purposes, any of the following:</w:t>
      </w:r>
    </w:p>
    <w:p>
      <w:pPr>
        <w:spacing w:after="0" w:line="81" w:lineRule="exact"/>
        <w:rPr>
          <w:sz w:val="20"/>
          <w:szCs w:val="20"/>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court within the United States and one or more “United States persons” (within the meaning of Code Section 7701(a)(30)) have the authority to control all substantial decisions of the trust or (2) has a valid election in effect under applicable Treasury regulations to be treated as a United States person.</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the case of a beneficial owner of our common stock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our common stock through another pass-through entity should consult his, her or its tax advisor regarding the tax consequences of the ownership and disposition of our common stock through a partnership or other pass-through entity, as applicable.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5"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Distributions, if any, made on our common stock to a Non-U.S. Holder to the extent made out of our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under U.S. federal income tax principles) generally will constitute dividends for U.S. federal income tax purposes and will be subject to withholding tax at a 30% rate or such lower rate as may be specified by an applicable income tax treaty, subject to the discussions below regarding effectively connected income, backup withholding and foreign accounts. To obtain a reduced rate of withholding under a treaty, a Non-U.S. Holder generally will be required to provide us or the applicable withholding agent with a properly executed IRS Form W-8BEN (in the case of individuals) or IRS Form W-8BEN-E (in the case of entities), or other appropriate form, certifying the Non-U.S. Holder’s entitlement to benefits under that treaty and, in certain circumstances, providing such Non-U.S. Holder’s U.S. taxpayer identification number and/or foreign tax identifying number. This certification must be provided prior to the payment of dividends and must be updated periodically. In the case of a Non-U.S. Holder that is an entity, Treasury regulations and the relevant income tax treaty provide rules to determine whether, for purposes of determining the applicability of an income tax treaty, dividends will be treated as paid to the entity or to those holding an interest in that entity. If a Non-U.S. Holder holds our common stock through a financial institution or other agent acting on its behalf, it will be required to provide appropriate documentation to such agent, which will then be required to provide certification to the applicable withholding agent, either directly or through other intermediaries. If the Non-U.S. Holder is eligible for a reduced rate of U.S. federal withholding tax under an income tax treaty and does not timely file the required certification, it may be able to obtain a refund or credit of any excess amounts withheld by timely filing an appropriate claim for a refund with the IRS. Non-U.S. Holders should consult their tax advisors regarding their entitlement to benefits under any applicable income tax treaty.</w:t>
      </w:r>
    </w:p>
    <w:p>
      <w:pPr>
        <w:spacing w:after="0" w:line="19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and other applicable withholding agents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it maintains in the United States) if a properly executed IRS Form W-8ECI, stating that the dividends are so connected, is furnished to the applicable withholding agent prior to the payment of such dividends. In general, such effectively connected dividends will be subject to U.S. federal income tax, on a net income basis at the regular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 Non-U.S. Holders should consult their tax advisors regarding any applicable income tax treaties that may provide for different rules.</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capital gain to the extent of any excess, and taxed in the same manner as gain realized from a sale or other disposition of common stock as described in the next section.</w:t>
      </w:r>
    </w:p>
    <w:p>
      <w:pPr>
        <w:spacing w:after="0" w:line="1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Gain on Disposition of Our Common Stock</w:t>
      </w:r>
      <w:r>
        <w:rPr>
          <w:rFonts w:ascii="Times New Roman" w:cs="Times New Roman" w:eastAsia="Times New Roman" w:hAnsi="Times New Roman"/>
          <w:sz w:val="18"/>
          <w:szCs w:val="18"/>
          <w:color w:val="auto"/>
        </w:rPr>
        <w:t>. Subject to the discussions below regarding backup withholding and foreign accounts, a Non-U.S.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 generally will not be subject to U.S. federal income tax with respect to gain realized on a sale or other disposition of our common stock unless:</w:t>
      </w:r>
    </w:p>
    <w:p>
      <w:pPr>
        <w:spacing w:after="0" w:line="99" w:lineRule="exact"/>
        <w:rPr>
          <w:sz w:val="20"/>
          <w:szCs w:val="20"/>
          <w:color w:val="auto"/>
        </w:rPr>
      </w:pPr>
    </w:p>
    <w:p>
      <w:pPr>
        <w:ind w:left="560" w:right="200" w:firstLine="419"/>
        <w:spacing w:after="0" w:line="312" w:lineRule="auto"/>
        <w:tabs>
          <w:tab w:leader="none" w:pos="1228"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a trade or business of the Non-U.S. Holder in the United States (and, if required by an applicable income tax treaty, is attributable to a permanent establishment or fixed base that such Non-U.S. Holder maintains in the United States),</w:t>
      </w:r>
    </w:p>
    <w:p>
      <w:pPr>
        <w:spacing w:after="0" w:line="31" w:lineRule="exact"/>
        <w:rPr>
          <w:rFonts w:ascii="Times New Roman" w:cs="Times New Roman" w:eastAsia="Times New Roman" w:hAnsi="Times New Roman"/>
          <w:sz w:val="17"/>
          <w:szCs w:val="17"/>
          <w:color w:val="auto"/>
        </w:rPr>
      </w:pPr>
    </w:p>
    <w:p>
      <w:pPr>
        <w:ind w:left="560" w:right="160" w:firstLine="419"/>
        <w:spacing w:after="0" w:line="282" w:lineRule="auto"/>
        <w:tabs>
          <w:tab w:leader="none" w:pos="123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and is present in the United States for 183 or more days in the taxable year of the disposition and certain other conditions are met, or</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2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or USRPHC, within the meaning of Code Section 897(c)(2) at any time within the shorter of the five-year period preceding such disposition and such Non-U.S. Holder’s holding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general, we would be a USRPHC if the aggregate fair market value of our “United States real property interests” (within the meaning of Code Section 897(c)(1)), or USRPIs, equaled or exceeded fifty percent (50%) of the combined fair market value of our USRPIs, our non-U.S. real property interests and our other business assets. We believe that we have not been and are not, and do not anticipate becoming, a USRPHC. Even if we are or were to become a USRPHC, gain realized by a Non-U.S. Holder on a disposition of our common stock will not be subject to U.S. federal income tax under the provisions applicable to USRPIs so long as our common stock is “regularly traded,” as defined by applicable Treasury regulations, on an established securities market. There can be no assurance that we are not or will not become a USRPHC or that our common stock will qualify as regularly traded on an established securities market.</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Non-U.S. Holders described in (a) above will be required to pay tax on the gain derived from the sale or other taxable disposition at regular U.S. federal income tax rates applicable to U.S. Persons, and corporate Non-U.S. Holders described in (a) above may, in addition, be subject to a branch profits tax at a 30% rate or such lower rate as may be specified by an applicable income tax treaty, as adjusted for certain items. A Non-U.S. Holder described in (b) above will be subject to U.S. federal income tax at a flat 30% rate, or such lower rate as may be specified by an applicable income tax treaty, on gain realized upon the sale or other taxable disposition, which gain may be offset by certain U.S.-source capital losses of the Non-U.S. Holder (even though the Non-U.S. Holder is not considered a resident of the United States), provided that the Non-U.S. Holder has timely filed U.S. federal income tax returns with respect to such losses.</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Information Reporting Requirements and Backup Withholding. </w:t>
      </w:r>
      <w:r>
        <w:rPr>
          <w:rFonts w:ascii="Times New Roman" w:cs="Times New Roman" w:eastAsia="Times New Roman" w:hAnsi="Times New Roman"/>
          <w:sz w:val="18"/>
          <w:szCs w:val="18"/>
          <w:color w:val="auto"/>
        </w:rPr>
        <w:t>Generally, we or an applicable withholding agent will be required to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to the IRS with respect to any distributions we pay on our common stock (even if the payments are exempt from withholding), including the amount of any such distributions, the name and address of the recipient, and the amount, if any, of tax withheld. A similar report is sent to</w:t>
      </w:r>
    </w:p>
    <w:p>
      <w:pPr>
        <w:spacing w:after="0" w:line="1" w:lineRule="exact"/>
        <w:rPr>
          <w:sz w:val="20"/>
          <w:szCs w:val="20"/>
          <w:color w:val="auto"/>
        </w:rPr>
      </w:pPr>
    </w:p>
    <w:p>
      <w:pPr>
        <w:jc w:val="both"/>
        <w:ind w:left="120" w:right="640"/>
        <w:spacing w:after="0" w:line="260" w:lineRule="auto"/>
        <w:rPr>
          <w:sz w:val="20"/>
          <w:szCs w:val="20"/>
          <w:color w:val="auto"/>
        </w:rPr>
      </w:pPr>
      <w:r>
        <w:rPr>
          <w:rFonts w:ascii="Times New Roman" w:cs="Times New Roman" w:eastAsia="Times New Roman" w:hAnsi="Times New Roman"/>
          <w:sz w:val="18"/>
          <w:szCs w:val="18"/>
          <w:color w:val="auto"/>
        </w:rPr>
        <w:t>the Non-U.S. Holder to whom any such distributions are paid. Pursuant to tax treaties or certain other agreements, the IRS may make its reports available to tax authorities in the recipient’s country of residence.</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Distributions to a Non-U.S. Holder that are classified as dividends paid by us may also be subject to U.S. backup withholding currently at a rate of</w:t>
      </w:r>
    </w:p>
    <w:p>
      <w:pPr>
        <w:spacing w:after="0" w:line="39" w:lineRule="exact"/>
        <w:rPr>
          <w:sz w:val="20"/>
          <w:szCs w:val="20"/>
          <w:color w:val="auto"/>
        </w:rPr>
      </w:pPr>
    </w:p>
    <w:p>
      <w:pPr>
        <w:jc w:val="both"/>
        <w:ind w:left="120" w:right="640"/>
        <w:spacing w:after="0" w:line="277" w:lineRule="auto"/>
        <w:rPr>
          <w:sz w:val="20"/>
          <w:szCs w:val="20"/>
          <w:color w:val="auto"/>
        </w:rPr>
      </w:pPr>
      <w:r>
        <w:rPr>
          <w:rFonts w:ascii="Times New Roman" w:cs="Times New Roman" w:eastAsia="Times New Roman" w:hAnsi="Times New Roman"/>
          <w:sz w:val="17"/>
          <w:szCs w:val="17"/>
          <w:color w:val="auto"/>
        </w:rPr>
        <w:t>24%. U.S. backup withholding generally will not apply to a Non-U.S. Holder who provides a properly executed IRS Form W-8BEN, IRS Form W-8BEN-E, or IRS Form W-8ECI, or otherwise establishes an exemption. Notwithstanding the foregoing, backup withholding may apply if the applicable payor has actual knowledge, or reason to know, that the Non-U.S. Holder is a U.S. Person who is not an exempt recipient.</w:t>
      </w:r>
    </w:p>
    <w:p>
      <w:pPr>
        <w:spacing w:after="0" w:line="16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U.S. information reporting and backup withholding requirements generally will apply to the proceeds of a sale or other taxable disposition of our common stock effected by or through a U.S. office of any broker, U.S. or foreign, except that information reporting and such requirements may be avoided if the Non-U.S. Holder provides a properly executed IRS Form W-8BEN, IRS Form W-8BEN-E or IRS Form W-8ECI,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payor has actual knowledge, or reason to know, that the Non-U.S. Holder is, in fact, a U.S. Person. For information reporting purposes, certain brokers with substantial U.S. ownership or operations will generally be treated in a manner similar to U.S. payors.</w:t>
      </w:r>
    </w:p>
    <w:p>
      <w:pPr>
        <w:spacing w:after="0" w:line="18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credit against the U.S. federal income tax liability of a Non-U.S. Holder subject to backup withholding, provided that the required information is timely furnished to the IRS.</w:t>
      </w:r>
    </w:p>
    <w:p>
      <w:pPr>
        <w:spacing w:after="0" w:line="174"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Sections 1471 through 1474 of the Code and the related Treasury regulations, together with other U.S. Treasury and 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issued thereunder and intergovernmental agreements, legislation,</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rules and other official guidance adopted pursuant to such intergovernmental agreements (commonly referred to as FATCA) impose a U.S. federal withholding tax of 30% on certain payments to a “foreign financial institution” (as defined in the Code) which does not provide the withholding agent with sufficient documentation evidencing either (x) an exemption from FATCA or (y) its compliance (or deemed compliance) with FATCA (which may alternatively be in the form of compliance with an intergovernmental agreement with the United States) to withhold on certain payments and to collect and provide to the U.S. tax authorities certain information regarding U.S. account holders of such institution (which includes certain equity holders of such institution, as well as certain account holders that are foreign entities with U.S. owners). FATCA also generally imposes a federal withholding tax of 30% on certain payments to a non-financial foreign entity (as defined in the Code) which does not provide the withholding agent with sufficient documentation evidencing either (x) an exemption from FATCA or (y) either a certification that it does not have any substantial direct or indirect U.S. owners or provides information regarding substantial direct and indirect U.S. owners of the entity. An intergovernmental agreement between the United States and an applicable foreign country may modify those requirements. The withholding tax described above will not apply if the foreign financial institution or non-financial foreign entity otherwise qualifies for an exemption from FATCA. Prospective investors are encouraged to consult with their own tax advisors regarding the possible implications of FATCA on their investment in our common stock.</w:t>
      </w:r>
    </w:p>
    <w:p>
      <w:pPr>
        <w:spacing w:after="0" w:line="19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withholding provisions described above generally apply to payments of dividends. Under proposed Treasury regulations, the preamble to which states that taxpayers may rely on them until final Treasury regulations are issued, this withholding tax does not apply to payments of gross proceeds from a sale or other disposition of common stock.</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i w:val="1"/>
          <w:iCs w:val="1"/>
          <w:color w:val="auto"/>
        </w:rPr>
        <w:t>EACH PROSPECTIVE INVESTOR SHOULD CONSULT ITS OWN TAX ADVISOR REGARDING THE TAX CONSEQUENCES OF PURCHASING, HOLDING AND DISPOSING OF OUR COMMON STOCK, INCLUDING THE CONSEQUENCES OF ANY CHANGES IN APPLICABLE LAW SUBSEQUENT TO THE DATE HEREOF.</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40"/>
          </w:cols>
          <w:pgMar w:left="320" w:top="455" w:right="5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donees, transferees or other successors-in-interest may, from time to time, sell, transfer or otherwise dispose of any or all of their securities covered hereby on the Nasdaq Global Select Market, the Nasdaq Global Market, the Nasdaq Capital Market, or the New York Stock Exchange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9" w:lineRule="exact"/>
        <w:rPr>
          <w:sz w:val="20"/>
          <w:szCs w:val="20"/>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(it being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understood that the selling stockholders shall not be deemed to be underwriters solely as a result of their participation in this offering).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186</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Cooley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AVROBIO, Inc. as of December 31, 2023 and 2022, and for each of the two years in the period ended December 31, 2023, appearing in this prospectus, have been audited by Ernst &amp; Young LLP (“EY”), independent registered public accounting firm, as stated in their report thereon appearing elsewhere herein, and are included in reliance upon such report given on the authority of such firm as experts in accounting and auditing.</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Tectonic Therapeutic, Inc. (now known as Tectonic Operating Company, Inc.) as of December 31, 2023 and 2022, and for the years then ended,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5"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CHANGE IN CERTIFYING ACCOUNTANT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Dismissal of Independent Registered Public Accounting Firm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Ernst &amp; Young LLP (“EY”) served as AVROBIO’s independent registered public accounting firm prior to completion of the Merger. On June 20, 2024, following the completion of the Merger, EY was dismissed as the Company’s independent registered public accounting firm. The decision to dismiss EY was approved by the Company’s board of directors.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reports of EY on AVROBIO’s consolidated financial statements for the fiscal years ended December 31, 2023 and 2022 did not contain an adverse opinion or disclaimer of opinion and were not qualified or modified as to uncertainty, audit scope or accounting principles, or other similar opinion as defined in Item 304(a)(1)(ii) of Regulation S-K (17 CFR § 229.304(a)(1)(ii)) except for an explanatory paragraph regarding existence of substantial doubt about AVROBIO’s ability to continue as a going concern in the report for the year ended December 31, 2022.</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AVROBIO’s two most recent fiscal years and the subsequent period from January 1, 2024 to June 20, 2024, there were (i) no disagreements (as defined in Item 304(a)(1)(iv) of Regulation S-K and the related instructions thereto) with EY on any matter of accounting principles or practices, financial statement disclosure, or auditing scope or procedure, which disagreement, if not resolved to the satisfaction of EY, would have caused it to make reference to the subject matter of the disagreement in connection with its report for such years and (ii) no reportable events (as described in Item 304(a)(1)(v) of Regulation S-K). The Company provided EY with a copy of the disclosures made in this Item 4.01 and requested EY to furnish us with a letter addressed to the SEC stating whether it agrees with the statements made by us and, if not, stating the respects in which it does not agree. A copy of EY’s letter to the SEC dated June 20, 2024 regarding these statements is filed as Exhibit 16.1 to the registration statement of which this prospectus forms a part.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Engagement of New Independent Registered Public Accounting Firm</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Deloitte &amp; Touche LLP (“Deloitte”) served as the independent registered public accounting firm of Legacy Tectonic prior to the completion of the Merger. On June 20, 2024, following the completion of the Merger, the Company’s Board approved the appointment of Deloitte as the Company’s independent registered public accounting firm.</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Legacy Tectonic’s two most recent fiscal years and the subsequent period from January 1, 2024 to June 20, 2024, Legacy Tectonic did not consult with Deloitte regarding any of the matters or events set forth in Item 304(a)(2)(i) and (ii) of Regulation S-K.</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80"/>
          </w:cols>
          <w:pgMar w:left="320" w:top="455"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in accordance therewith, file annual, quarterly and current reports, proxy statements and other information with the SEC electronically, and the SEC maintains a website that contains our filings as well as reports, proxy and information statements, and other information issuers file electronically with the SEC at www.sec.gov.</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also make available free of charge on or through our website at www.tectonictx.com,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furnishes it to the SEC. The website addresses are inactive textual references and except as specifically incorporated by reference into this prospectus, information on those websites is not part of this prospectus.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would like to request documents, please send a request in writing or by telephone to the following address:</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Tectonic Therapeutic,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490 Arsenal Way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Suit 210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Daniel Lochner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(339) 666-3320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Email: investor@tectonictx.com</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0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 for the Three Months ended March 31, 2024 and 2023</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10560" w:type="dxa"/>
            <w:vAlign w:val="bottom"/>
            <w:gridSpan w:val="17"/>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Unaudited Condensed Consolidated Balance Sheets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and Other Comprehensive Income (Loss)</w:t>
            </w:r>
          </w:p>
        </w:tc>
        <w:tc>
          <w:tcPr>
            <w:tcW w:w="30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Stockholders’ Equity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518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538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FinancialStatements</w:t>
            </w:r>
          </w:p>
        </w:tc>
        <w:tc>
          <w:tcPr>
            <w:tcW w:w="58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434"/>
        </w:trPr>
        <w:tc>
          <w:tcPr>
            <w:tcW w:w="105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2023 and 2022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ID:42)</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196"/>
        </w:trPr>
        <w:tc>
          <w:tcPr>
            <w:tcW w:w="54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51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F-22</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Income(Loss)</w:t>
            </w:r>
          </w:p>
        </w:tc>
        <w:tc>
          <w:tcPr>
            <w:tcW w:w="522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196"/>
        </w:trPr>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702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430"/>
        </w:trPr>
        <w:tc>
          <w:tcPr>
            <w:tcW w:w="2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40" w:type="dxa"/>
            <w:vAlign w:val="bottom"/>
            <w:gridSpan w:val="11"/>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9"/>
              </w:rPr>
              <w:t>TECTONIC THERAPEUTIC, INC.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20" w:type="dxa"/>
            <w:vAlign w:val="bottom"/>
            <w:gridSpan w:val="13"/>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5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 for the Three Months ended March 31, 2024 and 2023</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0560" w:type="dxa"/>
            <w:vAlign w:val="bottom"/>
            <w:gridSpan w:val="17"/>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56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Unaudited Condensed Consolidated Balance Sheets</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F-52</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21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Other Comprehensive Loss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F-53</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368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Convertible Preferred Stock and Stockholders’ Deficit</w:t>
            </w:r>
          </w:p>
        </w:tc>
        <w:tc>
          <w:tcPr>
            <w:tcW w:w="29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F-54</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F-55</w:t>
            </w:r>
          </w:p>
        </w:tc>
        <w:tc>
          <w:tcPr>
            <w:tcW w:w="0" w:type="dxa"/>
            <w:vAlign w:val="bottom"/>
          </w:tcPr>
          <w:p>
            <w:pPr>
              <w:spacing w:after="0"/>
              <w:rPr>
                <w:sz w:val="1"/>
                <w:szCs w:val="1"/>
                <w:color w:val="auto"/>
              </w:rPr>
            </w:pPr>
          </w:p>
        </w:tc>
      </w:tr>
      <w:tr>
        <w:trPr>
          <w:trHeight w:val="20"/>
        </w:trPr>
        <w:tc>
          <w:tcPr>
            <w:tcW w:w="2160" w:type="dxa"/>
            <w:vAlign w:val="bottom"/>
            <w:gridSpan w:val="2"/>
            <w:shd w:val="clear" w:color="auto" w:fill="0000EE"/>
          </w:tcPr>
          <w:p>
            <w:pPr>
              <w:spacing w:after="0" w:line="20" w:lineRule="exact"/>
              <w:rPr>
                <w:sz w:val="1"/>
                <w:szCs w:val="1"/>
                <w:color w:val="auto"/>
              </w:rPr>
            </w:pPr>
          </w:p>
        </w:tc>
        <w:tc>
          <w:tcPr>
            <w:tcW w:w="2340" w:type="dxa"/>
            <w:vAlign w:val="bottom"/>
            <w:gridSpan w:val="5"/>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FinancialStatements</w:t>
            </w:r>
          </w:p>
        </w:tc>
        <w:tc>
          <w:tcPr>
            <w:tcW w:w="58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c>
          <w:tcPr>
            <w:tcW w:w="0" w:type="dxa"/>
            <w:vAlign w:val="bottom"/>
          </w:tcPr>
          <w:p>
            <w:pPr>
              <w:spacing w:after="0"/>
              <w:rPr>
                <w:sz w:val="1"/>
                <w:szCs w:val="1"/>
                <w:color w:val="auto"/>
              </w:rPr>
            </w:pPr>
          </w:p>
        </w:tc>
      </w:tr>
      <w:tr>
        <w:trPr>
          <w:trHeight w:val="434"/>
        </w:trPr>
        <w:tc>
          <w:tcPr>
            <w:tcW w:w="105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Audited Financial Statements as of and for the Years ended December 31, 2023 and 2022</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16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Independent Auditor’s Report</w:t>
            </w:r>
          </w:p>
        </w:tc>
        <w:tc>
          <w:tcPr>
            <w:tcW w:w="8400" w:type="dxa"/>
            <w:vAlign w:val="bottom"/>
            <w:gridSpan w:val="15"/>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F-73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3760" w:type="dxa"/>
            <w:vAlign w:val="bottom"/>
            <w:gridSpan w:val="1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Other Comprehensive Income (Loss)</w:t>
            </w:r>
          </w:p>
        </w:tc>
        <w:tc>
          <w:tcPr>
            <w:tcW w:w="472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F-76</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462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F-77</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F-78</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F-79</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20" w:type="dxa"/>
            <w:vAlign w:val="bottom"/>
            <w:gridSpan w:val="7"/>
          </w:tcPr>
          <w:p>
            <w:pPr>
              <w:jc w:val="center"/>
              <w:ind w:right="490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2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90,481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98,020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w:t>
            </w: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92,348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101,093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5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5,449</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6,354</w:t>
            </w:r>
          </w:p>
        </w:tc>
        <w:tc>
          <w:tcPr>
            <w:tcW w:w="0" w:type="dxa"/>
            <w:vAlign w:val="bottom"/>
          </w:tcPr>
          <w:p>
            <w:pPr>
              <w:spacing w:after="0"/>
              <w:rPr>
                <w:sz w:val="1"/>
                <w:szCs w:val="1"/>
                <w:color w:val="auto"/>
              </w:rPr>
            </w:pPr>
          </w:p>
        </w:tc>
      </w:tr>
      <w:tr>
        <w:trPr>
          <w:trHeight w:val="230"/>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 no shares issued or outstanding as of</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March 31, 2024 and December 31, 2023</w:t>
            </w:r>
          </w:p>
        </w:tc>
        <w:tc>
          <w:tcPr>
            <w:tcW w:w="1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8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 shares authorized; 44,882 and 44,654 shares issued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572,918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572,010</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w w:val="96"/>
              </w:rPr>
              <w:t>(484,083)</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(477,275)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94,739</w:t>
            </w:r>
          </w:p>
        </w:tc>
        <w:tc>
          <w:tcPr>
            <w:tcW w:w="0" w:type="dxa"/>
            <w:vAlign w:val="bottom"/>
          </w:tcPr>
          <w:p>
            <w:pPr>
              <w:spacing w:after="0"/>
              <w:rPr>
                <w:sz w:val="1"/>
                <w:szCs w:val="1"/>
                <w:color w:val="auto"/>
              </w:rPr>
            </w:pPr>
          </w:p>
        </w:tc>
      </w:tr>
      <w:tr>
        <w:trPr>
          <w:trHeight w:val="22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92,348</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80" w:type="dxa"/>
            <w:vAlign w:val="bottom"/>
          </w:tcPr>
          <w:p>
            <w:pPr>
              <w:spacing w:after="0"/>
              <w:rPr>
                <w:sz w:val="15"/>
                <w:szCs w:val="15"/>
                <w:color w:val="auto"/>
              </w:rPr>
            </w:pPr>
          </w:p>
        </w:tc>
        <w:tc>
          <w:tcPr>
            <w:tcW w:w="2240" w:type="dxa"/>
            <w:vAlign w:val="bottom"/>
            <w:gridSpan w:val="7"/>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17,333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7,258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7,887</w:t>
            </w:r>
          </w:p>
        </w:tc>
      </w:tr>
      <w:tr>
        <w:trPr>
          <w:trHeight w:val="230"/>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(7,941)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(25,220)</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1,146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248</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 attributable to common stockholders—basic and diluted</w:t>
            </w: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(0.15)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(0.57)</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 and diluted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44,791</w:t>
            </w:r>
          </w:p>
        </w:tc>
        <w:tc>
          <w:tcPr>
            <w:tcW w:w="200" w:type="dxa"/>
            <w:vAlign w:val="bottom"/>
          </w:tcPr>
          <w:p>
            <w:pPr>
              <w:spacing w:after="0"/>
              <w:rPr>
                <w:sz w:val="20"/>
                <w:szCs w:val="20"/>
                <w:color w:val="auto"/>
              </w:rPr>
            </w:pPr>
          </w:p>
        </w:tc>
        <w:tc>
          <w:tcPr>
            <w:tcW w:w="8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44,037</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2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5420" w:type="dxa"/>
            <w:vAlign w:val="bottom"/>
          </w:tcPr>
          <w:p>
            <w:pPr>
              <w:spacing w:after="0"/>
              <w:rPr>
                <w:sz w:val="8"/>
                <w:szCs w:val="8"/>
                <w:color w:val="auto"/>
              </w:rPr>
            </w:pPr>
          </w:p>
        </w:tc>
        <w:tc>
          <w:tcPr>
            <w:tcW w:w="122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8"/>
                <w:szCs w:val="8"/>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6"/>
        </w:trPr>
        <w:tc>
          <w:tcPr>
            <w:tcW w:w="5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542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43,916</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564,798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(489,432)</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75,370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2018 employee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 plan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2,530</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(24,957)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(24,957)</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44,088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567,383</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(514,389)</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52,998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420" w:type="dxa"/>
            <w:vAlign w:val="bottom"/>
          </w:tcPr>
          <w:p>
            <w:pPr>
              <w:spacing w:after="0"/>
              <w:rPr>
                <w:sz w:val="10"/>
                <w:szCs w:val="10"/>
                <w:color w:val="auto"/>
              </w:rPr>
            </w:pPr>
          </w:p>
        </w:tc>
        <w:tc>
          <w:tcPr>
            <w:tcW w:w="12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55"/>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5420" w:type="dxa"/>
            <w:vAlign w:val="bottom"/>
          </w:tcPr>
          <w:p>
            <w:pPr>
              <w:spacing w:after="0"/>
              <w:rPr>
                <w:sz w:val="8"/>
                <w:szCs w:val="8"/>
                <w:color w:val="auto"/>
              </w:rPr>
            </w:pPr>
          </w:p>
        </w:tc>
        <w:tc>
          <w:tcPr>
            <w:tcW w:w="1220" w:type="dxa"/>
            <w:vAlign w:val="bottom"/>
            <w:tcBorders>
              <w:bottom w:val="single" w:sz="8" w:color="auto"/>
            </w:tcBorders>
            <w:gridSpan w:val="4"/>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2"/>
            <w:vMerge w:val="restart"/>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8"/>
                <w:szCs w:val="8"/>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6"/>
        </w:trPr>
        <w:tc>
          <w:tcPr>
            <w:tcW w:w="5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5420" w:type="dxa"/>
            <w:vAlign w:val="bottom"/>
          </w:tcPr>
          <w:p>
            <w:pPr>
              <w:spacing w:after="0"/>
              <w:rPr>
                <w:sz w:val="16"/>
                <w:szCs w:val="16"/>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44,654</w:t>
            </w:r>
          </w:p>
        </w:tc>
        <w:tc>
          <w:tcPr>
            <w:tcW w:w="4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572,010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(477,275)</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94,739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8"/>
        </w:trPr>
        <w:tc>
          <w:tcPr>
            <w:tcW w:w="54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 2018 employee stock</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purchase plan</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878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— </w:t>
            </w: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572,918</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(484,083)</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88,839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80" w:type="dxa"/>
            <w:vAlign w:val="bottom"/>
          </w:tcPr>
          <w:p>
            <w:pPr>
              <w:spacing w:after="0"/>
              <w:rPr>
                <w:sz w:val="15"/>
                <w:szCs w:val="15"/>
                <w:color w:val="auto"/>
              </w:rPr>
            </w:pPr>
          </w:p>
        </w:tc>
        <w:tc>
          <w:tcPr>
            <w:tcW w:w="224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(6,808)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(24,957)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and non-current operating lease liabilities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(654)</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(2,407)</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(20,284)</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7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ESPP shares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(7,539)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(20,237)</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98,703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92,846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91,164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72,609</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arising from obtaining right-of-use assets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194"/>
        </w:trPr>
        <w:tc>
          <w:tcPr>
            <w:tcW w:w="87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within the condensed consolidated balance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sheets: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90,481</w:t>
            </w:r>
          </w:p>
        </w:tc>
        <w:tc>
          <w:tcPr>
            <w:tcW w:w="34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72,326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AVROBIO, Inc. (the “Company” or “AVROBIO”) is a gene therapy company which has been focused on developing potentially curative hematopoietic stem cell, or HSC, gene therapies to treat rare diseases following a single dose treatment regimen.</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On January 30, 2024, the Company entered into the Agreement and Plan of Merger and Reorganization (the “Merger Agreement”), with Alpine Merger Subsidiary, Inc. (“Merger Sub”), a direct, wholly owned subsidiary of the Company, and Tectonic Therapeutic, Inc. (“Tectonic”) pursuant to which Merger Sub will merge with and into Tectonic, with Tectonic surviving as a wholly-owned subsidiary of the Company (the “Merger”).</w:t>
      </w:r>
    </w:p>
    <w:p>
      <w:pPr>
        <w:spacing w:after="0" w:line="189"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80" w:lineRule="exact"/>
        <w:rPr>
          <w:sz w:val="20"/>
          <w:szCs w:val="20"/>
          <w:color w:val="auto"/>
        </w:rPr>
      </w:pPr>
    </w:p>
    <w:p>
      <w:pPr>
        <w:ind w:left="120" w:right="320" w:firstLine="440"/>
        <w:spacing w:after="0" w:line="255"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March 31, 2024, the Company had an accumulated deficit of $484,083. The Company expects that its cash and cash equivalents of $90,481 as of March 31, 2024 will be sufficient to fund current planned operations and capital expenditure requirements for at least the next twelve months from the filing date of this Quarterly Report on Form 10-Q with the Securities and Exchange Commission (“SEC”).</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consisted of a cash payment of $87,500 upon closing of the transaction. The Company completed the Asset Sale on June 9, 2023 and recognized</w:t>
      </w:r>
    </w:p>
    <w:p>
      <w:pPr>
        <w:spacing w:after="0" w:line="27"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$83,736 as a gain on asset sale, net of $3,764 transaction costs, in the condensed consolidated statement of operations and comprehensive income (loss) for the three months ended March 31, 2024. See Note 3 for further discussion.</w:t>
      </w:r>
    </w:p>
    <w:p>
      <w:pPr>
        <w:spacing w:after="0" w:line="18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“December 2023 Workforce Reduction”). Affected employees in the July 2023 Workforce Reduction, October 2023 Workforce Reduction, December 2023 Workforce Reduction, and February 2024 Workforce Reduction were offered separation benefits, including severance payments. See Note 12 for further discussion.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(the “unaudited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the FASB.</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annual consolidated financial statements as of and for the year ended December 31, 2023, and, in the opinion of management, reflect all adjustments, consisting of normal recurring adjustments, necessary for the fair presentation of the Company’s financial position as of March 31, 2024, and the results of its operations for the three months ended March 31, 2024 and 2023, its statements of stockholders’ equity for the three months ended March 31, 2024 and 2023 and its statement of cash flows for the three months ended March 31, 2024 and 2023.</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results for the three months ended March 31, 2024 are not necessarily indicative of the results to be expected for the year ending December 31, 2024, any other interim periods, or any future year or period. These interim financial statements should be read in conjunction with the audited financial statements as of and for the year ended December 31, 2023, and the notes thereto, which are included in the Company’s Annual Report on Form 10-K for the year ended December 31, 2023, filed with the SEC on March 14, 2024.</w:t>
      </w:r>
    </w:p>
    <w:p>
      <w:pPr>
        <w:spacing w:after="0" w:line="180" w:lineRule="exact"/>
        <w:rPr>
          <w:sz w:val="20"/>
          <w:szCs w:val="20"/>
          <w:color w:val="auto"/>
        </w:rPr>
      </w:pPr>
    </w:p>
    <w:p>
      <w:pPr>
        <w:jc w:val="both"/>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The unaudited condensed consolidated financial statements reflect the application of certain significant accounting policies as described below and elsewhere in these notes to the unaudited condensed consolidated financial statements. As of March 31, 2024, there have been no changes to the Company’s significant accounting policies as described in the Company’s Annual Report on Form 10-K for the fiscal year ended December 31, 2023.</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Significant estimates relied upon in preparing the unaudited condensed consolidated financial statements include the determination of the fair value of share-based awards issued and the estimation of accrued research and development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8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Prior to the adoption of ASU No. 2018-07, </w:t>
      </w:r>
      <w:r>
        <w:rPr>
          <w:rFonts w:ascii="Times New Roman" w:cs="Times New Roman" w:eastAsia="Times New Roman" w:hAnsi="Times New Roman"/>
          <w:sz w:val="18"/>
          <w:szCs w:val="18"/>
          <w:i w:val="1"/>
          <w:iCs w:val="1"/>
          <w:color w:val="auto"/>
        </w:rPr>
        <w:t>Compensation-Stock Compensation (Topic 718):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the measurement date for non-employee awards was generally the date the services are completed, resulting in financial reporting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to stock-based compensation during the vesting terms for changes in the fair value of the awards. After adoption of ASU 2018-07, the measurement date for non-employee awards is the later of the adoption date of ASU 2018-07, or the date of grant, without change in the fair value of the award. For stock-based awards granted to nonemployees subject to graded vesting that only contain service conditions, the Company has elected to recognize stock-based compensation expense using the straight-line recognition method.</w:t>
      </w:r>
    </w:p>
    <w:p>
      <w:pPr>
        <w:spacing w:after="0" w:line="18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or ASU 2016-13. ASU 2016-13 requires that credit losses be reported as an allowance using an expected losses model, representing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w:t>
      </w:r>
    </w:p>
    <w:p>
      <w:pPr>
        <w:spacing w:after="0" w:line="183"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In November 2019, the FASB issued ASU 2019-11, “</w:t>
      </w:r>
      <w:r>
        <w:rPr>
          <w:rFonts w:ascii="Times New Roman" w:cs="Times New Roman" w:eastAsia="Times New Roman" w:hAnsi="Times New Roman"/>
          <w:sz w:val="18"/>
          <w:szCs w:val="18"/>
          <w:i w:val="1"/>
          <w:iCs w:val="1"/>
          <w:color w:val="auto"/>
        </w:rPr>
        <w:t>Codification Improvements to Topic 326, Financial Instruments – Credit Losses</w:t>
      </w:r>
      <w:r>
        <w:rPr>
          <w:rFonts w:ascii="Times New Roman" w:cs="Times New Roman" w:eastAsia="Times New Roman" w:hAnsi="Times New Roman"/>
          <w:sz w:val="18"/>
          <w:szCs w:val="18"/>
          <w:color w:val="auto"/>
        </w:rPr>
        <w:t>,” or ASU 2019-11. ASU 2019-11 is an accounting pronouncement that amends ASU 2016-13, “</w:t>
      </w:r>
      <w:r>
        <w:rPr>
          <w:rFonts w:ascii="Times New Roman" w:cs="Times New Roman" w:eastAsia="Times New Roman" w:hAnsi="Times New Roman"/>
          <w:sz w:val="18"/>
          <w:szCs w:val="18"/>
          <w:i w:val="1"/>
          <w:iCs w:val="1"/>
          <w:color w:val="auto"/>
        </w:rPr>
        <w:t>Financial Instruments – Credit Losses (Topic 326): Measurement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Credit Losses on Financial Instruments</w:t>
      </w:r>
      <w:r>
        <w:rPr>
          <w:rFonts w:ascii="Times New Roman" w:cs="Times New Roman" w:eastAsia="Times New Roman" w:hAnsi="Times New Roman"/>
          <w:sz w:val="18"/>
          <w:szCs w:val="18"/>
          <w:color w:val="auto"/>
        </w:rPr>
        <w:t>.” The amendments update guidance on reporting credit losses for financial assets. These amendments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Update and Simplification Initiative,</w:t>
      </w:r>
      <w:r>
        <w:rPr>
          <w:rFonts w:ascii="Times New Roman" w:cs="Times New Roman" w:eastAsia="Times New Roman" w:hAnsi="Times New Roman"/>
          <w:sz w:val="18"/>
          <w:szCs w:val="18"/>
          <w:color w:val="auto"/>
        </w:rPr>
        <w:t>” which incorporates certain SEC disclosure requirements into the FASB Accounting Standards Codification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is currently evaluating this guidance to determine the impact it may have on its consolidated financial statement disclosures.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License and Purchase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The University of Manchester</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for use in the treatment of Hunter syndrome, or mucopolysaccharidosis type II (“MPSII”). As consideration for the MPSII License Agreement, the Company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agreed to pay UoM an upfront, one-time fee of $8,000, which was recognized as research and development expense during the year ended December 31, 2020.</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As part of the agreement, the Company was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 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Concurrently with the MPSII License Agreement, the Company entered into a collaborative research funding agreement with UoM (“CRFA”). Under the CRFA, the Company had agreed to fund the budgeted costs of an investigator-sponsored Phase 1/2 clinical trial to be sponsored by UoM in connection with the development activities under the MPSII License Agreement, which were expected to equal approximately £9,900 in the aggregate.</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incur costs related to the CRFA. For the three months ended March 31, 2023, the Company incurred $1,610 related to the CRFA.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University Health Network (“UHN”)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incur research and development expense related to this agreement with UHN. For the three months ended March 31, 2023 the Company recorded research and development expense related to this agreement with UHN of $34, which consists of reimbursable funded study trial costs. No milestone or maintenance fees were incurred related to this agreement in the three months ended March 31, 2024 and 2023.</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Interleukin 12 License Agreement—</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IPO in 2018, as the criteria were met, the Company paid UHN $2,000. The Company was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w:t>
      </w:r>
    </w:p>
    <w:p>
      <w:pPr>
        <w:spacing w:after="0" w:line="19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incur research and development expense related to this agreement with UHN. For the three months ended March 31, 2023 the Company recorded research and development expense related to this agreement with UHN of $37. No milestone fees were incurred related to this agreement in the three months ended March 31, 2024 and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BioMarin Pharmaceutical Inc. (“BioMarin”)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has a license agreement with BioMarin, pursuant to which BioMarin granted the Company an exclusive worldwide license under certain intellectual property rights owned or controlled by BioMarin to develop, commercialize and sell products for use in the treatment of Pompe disease.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recognized no expenses related to the license for the three months ended March 31, 2024 and 2023.</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Papillon Therapeutics, Inc. (previously GenStem Therapeutics, Inc.)</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within a certain period of time. The Company may terminate the agreement at will upon the specified prior written notice to GenStem. In October 2021, the Company received notice that the license agreement with GenStem had been assigned to Papillon Therapeutics, Inc. (“Papillon”). On June 9, 2023, in connection with the close of the Asset Purchase Agreement, discussed and defined above, the Company transferred this agreement to Novartis.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recognized no expenses related to this agreement for the three months ended March 31,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Lund University Rights Holders</w:t>
      </w:r>
    </w:p>
    <w:p>
      <w:pPr>
        <w:spacing w:after="0" w:line="121"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w:t>
      </w:r>
    </w:p>
    <w:p>
      <w:pPr>
        <w:spacing w:after="0" w:line="5" w:lineRule="exact"/>
        <w:rPr>
          <w:sz w:val="20"/>
          <w:szCs w:val="20"/>
          <w:color w:val="auto"/>
        </w:rPr>
      </w:pPr>
    </w:p>
    <w:p>
      <w:pPr>
        <w:ind w:left="120" w:right="40" w:hanging="4"/>
        <w:spacing w:after="0" w:line="253" w:lineRule="auto"/>
        <w:tabs>
          <w:tab w:leader="none" w:pos="43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recognized no expenses related to this agreement for the three months ended March 31,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of Cystinosis Program</w:t>
      </w:r>
    </w:p>
    <w:p>
      <w:pPr>
        <w:spacing w:after="0" w:line="121" w:lineRule="exact"/>
        <w:rPr>
          <w:sz w:val="20"/>
          <w:szCs w:val="20"/>
          <w:color w:val="auto"/>
        </w:rPr>
      </w:pPr>
    </w:p>
    <w:p>
      <w:pPr>
        <w:ind w:left="120" w:firstLine="440"/>
        <w:spacing w:after="0" w:line="242" w:lineRule="auto"/>
        <w:rPr>
          <w:sz w:val="20"/>
          <w:szCs w:val="20"/>
          <w:color w:val="auto"/>
        </w:rPr>
      </w:pPr>
      <w:r>
        <w:rPr>
          <w:rFonts w:ascii="Times New Roman" w:cs="Times New Roman" w:eastAsia="Times New Roman" w:hAnsi="Times New Roman"/>
          <w:sz w:val="18"/>
          <w:szCs w:val="18"/>
          <w:color w:val="auto"/>
        </w:rPr>
        <w:t>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 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During the year ended December 31, 2023, the Company recognized $83,736 as a gain on asset sale, net of $3,764 in transaction costs, in the consolidated statement of operations and comprehensive income (loss).</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measured at fair value on a recurring basis and indicates the level of the fair value hierarchy utilized to determine such fair values as of March 31, 2024 and December 31, 2023:</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2024</w:t>
            </w: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  Level 1 </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2 </w:t>
            </w:r>
          </w:p>
        </w:tc>
        <w:tc>
          <w:tcPr>
            <w:tcW w:w="6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3 </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3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89,229</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89,229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89,229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89,229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2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  Level 1 </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2 </w:t>
            </w:r>
          </w:p>
        </w:tc>
        <w:tc>
          <w:tcPr>
            <w:tcW w:w="64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Level 3 </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3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96,707</w:t>
            </w:r>
          </w:p>
        </w:tc>
        <w:tc>
          <w:tcPr>
            <w:tcW w:w="6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96,707</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7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fair value of cash equivalents was determined through quoted prices by third-party pricing services.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three months ended March 31, 2024, there were no transfers between levels.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Supplemental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572</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4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the Company had restricted cash as presented in the table below, which consists of cash used to secure letters of credit for the benefit of the landlord in connection with the Company’s lease agreements as well as restricted cash related to the Company’s corporate credit card program. The cash will be restricted until the termination or modification of the lease arrangement and corporate credit card program, respectively.</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140" w:type="dxa"/>
            <w:vAlign w:val="bottom"/>
            <w:gridSpan w:val="3"/>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400</w:t>
            </w:r>
          </w:p>
        </w:tc>
        <w:tc>
          <w:tcPr>
            <w:tcW w:w="48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346"/>
        </w:trPr>
        <w:tc>
          <w:tcPr>
            <w:tcW w:w="3360" w:type="dxa"/>
            <w:vAlign w:val="bottom"/>
          </w:tcPr>
          <w:p>
            <w:pPr>
              <w:spacing w:after="0"/>
              <w:rPr>
                <w:sz w:val="24"/>
                <w:szCs w:val="24"/>
                <w:color w:val="auto"/>
              </w:rPr>
            </w:pPr>
          </w:p>
        </w:tc>
        <w:tc>
          <w:tcPr>
            <w:tcW w:w="2060" w:type="dxa"/>
            <w:vAlign w:val="bottom"/>
            <w:gridSpan w:val="2"/>
          </w:tcPr>
          <w:p>
            <w:pPr>
              <w:jc w:val="right"/>
              <w:ind w:right="979"/>
              <w:spacing w:after="0"/>
              <w:rPr>
                <w:sz w:val="20"/>
                <w:szCs w:val="20"/>
                <w:color w:val="auto"/>
              </w:rPr>
            </w:pPr>
            <w:r>
              <w:rPr>
                <w:rFonts w:ascii="Times New Roman" w:cs="Times New Roman" w:eastAsia="Times New Roman" w:hAnsi="Times New Roman"/>
                <w:sz w:val="18"/>
                <w:szCs w:val="18"/>
                <w:color w:val="auto"/>
              </w:rPr>
              <w:t>F-14</w:t>
            </w: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4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 costs</w:t>
            </w:r>
          </w:p>
        </w:tc>
        <w:tc>
          <w:tcPr>
            <w:tcW w:w="14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686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3,463</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396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w:t>
            </w: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40" w:type="dxa"/>
            <w:vAlign w:val="bottom"/>
          </w:tcPr>
          <w:p>
            <w:pPr>
              <w:spacing w:after="0"/>
              <w:rPr>
                <w:sz w:val="19"/>
                <w:szCs w:val="19"/>
                <w:color w:val="auto"/>
              </w:rPr>
            </w:pP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5,449</w:t>
            </w:r>
          </w:p>
        </w:tc>
      </w:tr>
      <w:tr>
        <w:trPr>
          <w:trHeight w:val="20"/>
        </w:trPr>
        <w:tc>
          <w:tcPr>
            <w:tcW w:w="6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August 31, 2018, the Company entered into a sublease agreement for office and lab space located in Cambridge Massachusetts, United States, which originally was set to expire in October 2020 but was subsequently amended and expired on April 30, 2024. In July 2022, the Company moved its corporate headquarters to this subleased location. Effective January 24, 2023, the Company amended the terms of the sublease, which expired on April 30, 2024. In accordance with the sublease agreement, the Company was required to maintain a security deposit of $283, which was recorded in restricted cash as of March 31, 2024 and December 31, 2023. In July 2023, the Company ceased use of the lab space. This resulted in an impairment of the right of use asset of $940, recognized in the third quarter of 2023. Effective as of April 22, 2024, the Company moved its corporate headquarters to its current location at One Broadway, 14th Floor, Cambridge, Massachusetts 02142.</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June 1, 2020, the Company entered into a lease agreement for office space located in Toronto, Ontario, Canada, which was set to expire in June 2025. On October 31, 2023, the lease agreement was terminated. In accordance with the lease agreement, the Company was required to maintain a security deposit of CAD$27. In October 2022, the Company entered into a sublease agreement to sublease this space. The term of the sublease agreement commenced on October 1, 2022 and was set to expire on June 29, 2025. The sublease was also terminated on October 31, 2023.</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 of operations and comprehensive loss: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5"/>
                <w:szCs w:val="15"/>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22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7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209"/>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w w:val="88"/>
              </w:rPr>
              <w:t>339</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2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costs</w:t>
            </w: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339</w:t>
            </w:r>
          </w:p>
        </w:tc>
        <w:tc>
          <w:tcPr>
            <w:tcW w:w="11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2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left="840" w:right="40"/>
        <w:spacing w:after="0" w:line="454"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made cash payments for operating leases of $672 and $687, respectively. F-15</w:t>
      </w:r>
    </w:p>
    <w:p>
      <w:pPr>
        <w:sectPr>
          <w:pgSz w:w="11900" w:h="16838" w:orient="portrait"/>
          <w:cols w:equalWidth="0" w:num="1">
            <w:col w:w="11060"/>
          </w:cols>
          <w:pgMar w:left="320" w:top="455" w:right="5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2024, future minimum payments of operating lease liabilities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224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5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224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224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2024, the weighted average remaining lease term was 0.1 years and the weighted average incremental borrowing rate used to determine the operating lease liability was 16.15%. As of March 31, 2023, the weighted average remaining lease term was 1.2 years and the weighted average incremental borrowing rate used to determine the operating lease liability was 15.67%.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three months ended March 31, 2024 and 2023 and to the best of the Company’s knowledge, no material legal proceedings are currently pending or threatened.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also party to various agreements, principally relating to licensed technology, that require future payments relating to milestones not met at March 31, 2024 and December 31, 2023, or royalties on future sales. No milestone or royalty payments under these agreements are expected to be payable in the immediate future, except as disclosed in Note 3 </w:t>
      </w:r>
      <w:r>
        <w:rPr>
          <w:rFonts w:ascii="Times New Roman" w:cs="Times New Roman" w:eastAsia="Times New Roman" w:hAnsi="Times New Roman"/>
          <w:sz w:val="18"/>
          <w:szCs w:val="18"/>
          <w:i w:val="1"/>
          <w:iCs w:val="1"/>
          <w:color w:val="auto"/>
        </w:rPr>
        <w:t>“License Agreements.”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Further, the Company indemnifies its directors and officers who are, or were, serving at the Company’s request in such capacities. The Company’s maximum exposure under these arrangements is unknown as of March 31, 2024. The Company does not anticipate recognizing any significant losses relating to these arrangements.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1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60"/>
          </w:cols>
          <w:pgMar w:left="320" w:top="455" w:right="5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i w:val="1"/>
          <w:iCs w:val="1"/>
          <w:color w:val="auto"/>
        </w:rPr>
        <w:t>ommon Stock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2024 and December 31, 2023, the authorized capital stock of the Company included 150,000,000 shares of common stock, $0.0001 par value and 10,000,000 shares of undesignated preferred stock. As of March 31, 2024 and December 31, 2023, no undesignated preferred stock was outstanding.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 March 31, 2024, no cash dividends have been declared or paid.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March 31, 2024 and December 31, 2023, the Company has reserved the following shares of common stock for future issuance:</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180" w:type="dxa"/>
            <w:vAlign w:val="bottom"/>
            <w:tcBorders>
              <w:bottom w:val="single" w:sz="8" w:color="CCEEFF"/>
            </w:tcBorders>
          </w:tcPr>
          <w:p>
            <w:pPr>
              <w:spacing w:after="0"/>
              <w:rPr>
                <w:sz w:val="15"/>
                <w:szCs w:val="15"/>
                <w:color w:val="auto"/>
              </w:rPr>
            </w:pPr>
          </w:p>
        </w:tc>
        <w:tc>
          <w:tcPr>
            <w:tcW w:w="28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5"/>
                <w:szCs w:val="15"/>
                <w:color w:val="auto"/>
              </w:rPr>
            </w:pPr>
          </w:p>
        </w:tc>
      </w:tr>
      <w:tr>
        <w:trPr>
          <w:trHeight w:val="210"/>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exercise of outstanding stock options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4,812,817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60" w:type="dxa"/>
            <w:vAlign w:val="bottom"/>
            <w:shd w:val="clear" w:color="auto" w:fill="CCEEFF"/>
          </w:tcPr>
          <w:p>
            <w:pPr>
              <w:spacing w:after="0"/>
              <w:rPr>
                <w:sz w:val="18"/>
                <w:szCs w:val="18"/>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677,785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936,358</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2018</w:t>
            </w:r>
          </w:p>
        </w:tc>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 and Grant Plan</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8,299,245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7,978,667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2018</w:t>
            </w: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1,771,748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1,771,748</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2019</w:t>
            </w:r>
          </w:p>
        </w:tc>
        <w:tc>
          <w:tcPr>
            <w:tcW w:w="2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1,511,183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1,407,211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2020</w:t>
            </w:r>
          </w:p>
        </w:tc>
        <w:tc>
          <w:tcPr>
            <w:tcW w:w="2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1,700,000</w:t>
            </w:r>
          </w:p>
        </w:tc>
      </w:tr>
      <w:tr>
        <w:trPr>
          <w:trHeight w:val="27"/>
        </w:trPr>
        <w:tc>
          <w:tcPr>
            <w:tcW w:w="31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18,772,778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18,936,256</w:t>
            </w:r>
          </w:p>
        </w:tc>
      </w:tr>
      <w:tr>
        <w:trPr>
          <w:trHeight w:val="20"/>
        </w:trPr>
        <w:tc>
          <w:tcPr>
            <w:tcW w:w="3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2024:</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center"/>
              <w:ind w:left="113"/>
              <w:spacing w:after="0"/>
              <w:rPr>
                <w:sz w:val="20"/>
                <w:szCs w:val="20"/>
                <w:color w:val="auto"/>
              </w:rPr>
            </w:pPr>
            <w:r>
              <w:rPr>
                <w:rFonts w:ascii="Times New Roman" w:cs="Times New Roman" w:eastAsia="Times New Roman" w:hAnsi="Times New Roman"/>
                <w:sz w:val="18"/>
                <w:szCs w:val="18"/>
                <w:color w:val="auto"/>
              </w:rPr>
              <w:t>7.33</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81"/>
              </w:rPr>
              <w:t>— </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(32,756)</w:t>
            </w: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0.79</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6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(296,699)</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9.71</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6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4,812,817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7.23</w:t>
            </w:r>
          </w:p>
        </w:tc>
        <w:tc>
          <w:tcPr>
            <w:tcW w:w="13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2740" w:type="dxa"/>
            <w:vAlign w:val="bottom"/>
            <w:gridSpan w:val="3"/>
          </w:tcPr>
          <w:p>
            <w:pPr>
              <w:spacing w:after="0" w:line="20" w:lineRule="exact"/>
              <w:rPr>
                <w:sz w:val="1"/>
                <w:szCs w:val="1"/>
                <w:color w:val="auto"/>
              </w:rPr>
            </w:pPr>
          </w:p>
        </w:tc>
        <w:tc>
          <w:tcPr>
            <w:tcW w:w="4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color w:val="auto"/>
              </w:rPr>
              <w:t>8.45</w:t>
            </w: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line="20" w:lineRule="exact"/>
              <w:rPr>
                <w:sz w:val="1"/>
                <w:szCs w:val="1"/>
                <w:color w:val="auto"/>
              </w:rPr>
            </w:pPr>
          </w:p>
        </w:tc>
      </w:tr>
      <w:tr>
        <w:trPr>
          <w:trHeight w:val="215"/>
        </w:trPr>
        <w:tc>
          <w:tcPr>
            <w:tcW w:w="382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3,639,245</w:t>
            </w: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7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color w:val="auto"/>
              </w:rPr>
              <w:t>F-17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55" w:right="7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three months ended March 31, 2024 and 2023 was $16 and $1,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common stock units for the three months ended March 31, 2024:</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73"/>
        </w:trPr>
        <w:tc>
          <w:tcPr>
            <w:tcW w:w="63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as of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936,358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60,251</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(190,973)</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(127,851)</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as of March 31,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677,785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fair value of restricted stock units vested during the three months ended March 31, 2024 and 2023 was $326 and $194,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20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17"/>
        </w:trPr>
        <w:tc>
          <w:tcPr>
            <w:tcW w:w="6160" w:type="dxa"/>
            <w:vAlign w:val="bottom"/>
          </w:tcPr>
          <w:p>
            <w:pPr>
              <w:spacing w:after="0"/>
              <w:rPr>
                <w:sz w:val="10"/>
                <w:szCs w:val="10"/>
                <w:color w:val="auto"/>
              </w:rPr>
            </w:pPr>
          </w:p>
        </w:tc>
        <w:tc>
          <w:tcPr>
            <w:tcW w:w="240" w:type="dxa"/>
            <w:vAlign w:val="bottom"/>
            <w:tcBorders>
              <w:top w:val="single" w:sz="8" w:color="auto"/>
            </w:tcBorders>
          </w:tcPr>
          <w:p>
            <w:pPr>
              <w:ind w:left="140"/>
              <w:spacing w:after="0" w:line="118" w:lineRule="exact"/>
              <w:rPr>
                <w:sz w:val="20"/>
                <w:szCs w:val="20"/>
                <w:color w:val="auto"/>
              </w:rPr>
            </w:pPr>
            <w:r>
              <w:rPr>
                <w:rFonts w:ascii="Times New Roman" w:cs="Times New Roman" w:eastAsia="Times New Roman" w:hAnsi="Times New Roman"/>
                <w:sz w:val="11"/>
                <w:szCs w:val="11"/>
                <w:b w:val="1"/>
                <w:bCs w:val="1"/>
                <w:color w:val="auto"/>
                <w:w w:val="72"/>
              </w:rPr>
              <w:t> </w:t>
            </w:r>
          </w:p>
        </w:tc>
        <w:tc>
          <w:tcPr>
            <w:tcW w:w="840" w:type="dxa"/>
            <w:vAlign w:val="bottom"/>
            <w:tcBorders>
              <w:top w:val="single" w:sz="8" w:color="auto"/>
            </w:tcBorders>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76"/>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40" w:type="dxa"/>
            <w:vAlign w:val="bottom"/>
          </w:tcPr>
          <w:p>
            <w:pPr>
              <w:spacing w:after="0"/>
              <w:rPr>
                <w:sz w:val="10"/>
                <w:szCs w:val="10"/>
                <w:color w:val="auto"/>
              </w:rPr>
            </w:pPr>
          </w:p>
        </w:tc>
      </w:tr>
      <w:tr>
        <w:trPr>
          <w:trHeight w:val="173"/>
        </w:trPr>
        <w:tc>
          <w:tcPr>
            <w:tcW w:w="616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5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170</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708</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4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878</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2,530</w:t>
            </w:r>
          </w:p>
        </w:tc>
      </w:tr>
      <w:tr>
        <w:trPr>
          <w:trHeight w:val="20"/>
        </w:trPr>
        <w:tc>
          <w:tcPr>
            <w:tcW w:w="6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2024, total unrecognized compensation cost related to the unvested stock-based awards was $2,911, which is expected to be recognized over a weighted-average period of 1.91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Net Income (Loss) Per Share</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For purposes of the diluted net loss per share calculation, stock options and unvested restricted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is the same.</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820"/>
          </w:cols>
          <w:pgMar w:left="320" w:top="455" w:right="7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presented based on amounts outstanding at each period end, were excluded from the computation of diluted net loss per share for the periods indicated:</w:t>
      </w:r>
    </w:p>
    <w:p>
      <w:pPr>
        <w:spacing w:after="0" w:line="18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1440" w:type="dxa"/>
        <w:tblCellMar>
          <w:top w:w="0" w:type="dxa"/>
          <w:left w:w="0" w:type="dxa"/>
          <w:bottom w:w="0" w:type="dxa"/>
          <w:right w:w="0" w:type="dxa"/>
        </w:tblCellMar>
      </w:tblPr>
      <w:tr>
        <w:trPr>
          <w:trHeight w:val="142"/>
        </w:trPr>
        <w:tc>
          <w:tcPr>
            <w:tcW w:w="5940" w:type="dxa"/>
            <w:vAlign w:val="bottom"/>
          </w:tcPr>
          <w:p>
            <w:pPr>
              <w:spacing w:after="0"/>
              <w:rPr>
                <w:sz w:val="12"/>
                <w:szCs w:val="12"/>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2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96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60" w:type="dxa"/>
            <w:vAlign w:val="bottom"/>
          </w:tcPr>
          <w:p>
            <w:pPr>
              <w:spacing w:after="0"/>
              <w:rPr>
                <w:sz w:val="12"/>
                <w:szCs w:val="12"/>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4,812,817</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9,154,769</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677,785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2,026,338</w:t>
            </w: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UHN</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the Company did not recognize research and development expense related to the license agreements with UHN. For the three months ended March 31, 2023, the Company recognized $71 of research and development expense related to the license agreements with UHN. Refer to Note 3 “</w:t>
      </w:r>
      <w:r>
        <w:rPr>
          <w:rFonts w:ascii="Times New Roman" w:cs="Times New Roman" w:eastAsia="Times New Roman" w:hAnsi="Times New Roman"/>
          <w:sz w:val="18"/>
          <w:szCs w:val="18"/>
          <w:i w:val="1"/>
          <w:iCs w:val="1"/>
          <w:color w:val="auto"/>
        </w:rPr>
        <w:t>License Agreements</w:t>
      </w:r>
      <w:r>
        <w:rPr>
          <w:rFonts w:ascii="Times New Roman" w:cs="Times New Roman" w:eastAsia="Times New Roman" w:hAnsi="Times New Roman"/>
          <w:sz w:val="18"/>
          <w:szCs w:val="18"/>
          <w:color w:val="auto"/>
        </w:rPr>
        <w:t>” for additional information regarding the UHN license agreements.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first quarter of 2023, the sublease for space that was previously provided by an entity affiliated with a member of the Company’s Board was assigned to Novartis. Therefore, for the three months ended March 31, 2024 the Company did not record expense related to a sublease to rent office and lab space provided by an entity affiliated with a member of the Company’s Board. For the three months ended March 31, 2023 the Company recorded $652 related to the sublease to rent office and lab space previously provided by an entity affiliated with a member of the Company’s Board.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Restructuring Activities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 Company recognized total restructuring expenses of $3,015 for the year ended December 31, 2023, recognized as $1,800 and $1,215 of research and development and general and administrative expense, respectively, in the consolidated statement of operations and comprehensive income (loss). For the three months ended March 31, 2024 and 2023, no related expense was recognized. These one-time employee termination benefits are related to affected employees, who were offered separation benefits, including severance payments. Approximately $479 of these expenses were related to non-cash stock-based compensation expense, and there are no remaining accrued payments as of March 31, 2024.</w:t>
      </w:r>
    </w:p>
    <w:p>
      <w:pPr>
        <w:spacing w:after="0" w:line="19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For the three months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 (CONTINUED)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3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ended March 31, 2024 and 2023, no related expense was recognized. These one-time employee termination benefits are related to affected employees, who were offered separation benefits, including severance payments. There are no remaining accrued payments as of March 31, 2024.</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For the three months ended March 31, 2024 the Company recognized $74 and $9 of research and development and general and administrative expense, respectively, in the consolidated statement of operations and comprehensive loss. For the three months ended March 31, 2023, no related expense was recognized. These one-time employee termination benefits are related to affected employees, who were offered separation benefits, including severance payments. There are no remaining accrued payments as of March 31, 2024.</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Company’s workforce was reduced by 2 employees in the February 2024 Workforce Reduction effective as of February 29, 2024. Under the February 2024 Workforce Reduction, the Company recognized total restructuring expenses of $241 for the three months ended March 31, 2024 recognized as $146 and $96 of research and development and general and administrative expense, respectively, in the consolidated statement of operations and comprehensive loss. For the three months ended March 31, 2023, no related expense was recognized. These one-time employee termination benefits are related to affected employees, who were offered separation benefits, including severance payments. There are no remaining accrued payments as of March 31, 2024.</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73"/>
        </w:trPr>
        <w:tc>
          <w:tcPr>
            <w:tcW w:w="354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1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(4,820)</w:t>
            </w: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expenses</w:t>
            </w:r>
          </w:p>
        </w:tc>
        <w:tc>
          <w:tcPr>
            <w:tcW w:w="1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r>
      <w:tr>
        <w:trPr>
          <w:trHeight w:val="205"/>
        </w:trPr>
        <w:tc>
          <w:tcPr>
            <w:tcW w:w="3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Liability included in accrued expenses and other</w:t>
            </w:r>
          </w:p>
        </w:tc>
        <w:tc>
          <w:tcPr>
            <w:tcW w:w="18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liabilities at March 31, 2024</w:t>
            </w:r>
          </w:p>
        </w:tc>
        <w:tc>
          <w:tcPr>
            <w:tcW w:w="232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2320" w:type="dxa"/>
            <w:vAlign w:val="bottom"/>
            <w:gridSpan w:val="2"/>
          </w:tcPr>
          <w:p>
            <w:pPr>
              <w:jc w:val="right"/>
              <w:ind w:right="1862"/>
              <w:spacing w:after="0"/>
              <w:rPr>
                <w:sz w:val="20"/>
                <w:szCs w:val="20"/>
                <w:color w:val="auto"/>
              </w:rPr>
            </w:pPr>
            <w:r>
              <w:rPr>
                <w:rFonts w:ascii="Times New Roman" w:cs="Times New Roman" w:eastAsia="Times New Roman" w:hAnsi="Times New Roman"/>
                <w:sz w:val="18"/>
                <w:szCs w:val="18"/>
                <w:color w:val="auto"/>
              </w:rPr>
              <w:t>F-20</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80"/>
          </w:cols>
          <w:pgMar w:left="320" w:top="455" w:right="5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AVROBIO,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AVROBIO, Inc. (the Company) as of December 31, 2023 and 2022, the related consolidated statements of operations and comprehensive income (loss),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14, 2024</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98,020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92,563</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7,112</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100,261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103,949</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11,732</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13,115</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 payable, net of discount</w:t>
            </w:r>
          </w:p>
        </w:tc>
        <w:tc>
          <w:tcPr>
            <w:tcW w:w="100" w:type="dxa"/>
            <w:vAlign w:val="bottom"/>
          </w:tcPr>
          <w:p>
            <w:pPr>
              <w:spacing w:after="0"/>
              <w:rPr>
                <w:sz w:val="18"/>
                <w:szCs w:val="18"/>
                <w:color w:val="auto"/>
              </w:rPr>
            </w:pP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15,276</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 no shares issued or outstanding as of</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150,000 shares authorized as of December 31, 2023 and 2022; 44,654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43,916 shares issued and outstanding as of December 31, 2023 and 2022, respectively</w:t>
            </w: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572,010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564,798</w:t>
            </w:r>
          </w:p>
        </w:tc>
        <w:tc>
          <w:tcPr>
            <w:tcW w:w="0" w:type="dxa"/>
            <w:vAlign w:val="bottom"/>
          </w:tcPr>
          <w:p>
            <w:pPr>
              <w:spacing w:after="0"/>
              <w:rPr>
                <w:sz w:val="1"/>
                <w:szCs w:val="1"/>
                <w:color w:val="auto"/>
              </w:rPr>
            </w:pP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(477,275)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(489,432)</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75,370</w:t>
            </w:r>
          </w:p>
        </w:tc>
        <w:tc>
          <w:tcPr>
            <w:tcW w:w="0" w:type="dxa"/>
            <w:vAlign w:val="bottom"/>
          </w:tcPr>
          <w:p>
            <w:pPr>
              <w:spacing w:after="0"/>
              <w:rPr>
                <w:sz w:val="1"/>
                <w:szCs w:val="1"/>
                <w:color w:val="auto"/>
              </w:rPr>
            </w:pP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101,093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5"/>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47,700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72,186</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23,967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33,248</w:t>
            </w:r>
          </w:p>
        </w:tc>
      </w:tr>
      <w:tr>
        <w:trPr>
          <w:trHeight w:val="230"/>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71,667</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105,434</w:t>
            </w:r>
          </w:p>
        </w:tc>
        <w:tc>
          <w:tcPr>
            <w:tcW w:w="120" w:type="dxa"/>
            <w:vAlign w:val="bottom"/>
          </w:tcPr>
          <w:p>
            <w:pPr>
              <w:spacing w:after="0"/>
              <w:rPr>
                <w:sz w:val="20"/>
                <w:szCs w:val="20"/>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asset sale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83,736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impairment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10,192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(105,434)</w:t>
            </w: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0"/>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4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(105,890)</w:t>
            </w:r>
          </w:p>
        </w:tc>
        <w:tc>
          <w:tcPr>
            <w:tcW w:w="120" w:type="dxa"/>
            <w:vAlign w:val="bottom"/>
          </w:tcPr>
          <w:p>
            <w:pPr>
              <w:spacing w:after="0"/>
              <w:rPr>
                <w:sz w:val="20"/>
                <w:szCs w:val="20"/>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and comprehensive income (loss) attributable to common stockholders—basic and diluted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(105,890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computing earnings per share:</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44,327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43,739</w:t>
            </w:r>
          </w:p>
        </w:tc>
      </w:tr>
      <w:tr>
        <w:trPr>
          <w:trHeight w:val="234"/>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10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44,568</w:t>
            </w:r>
          </w:p>
        </w:tc>
        <w:tc>
          <w:tcPr>
            <w:tcW w:w="120" w:type="dxa"/>
            <w:vAlign w:val="bottom"/>
          </w:tcPr>
          <w:p>
            <w:pPr>
              <w:spacing w:after="0"/>
              <w:rPr>
                <w:sz w:val="20"/>
                <w:szCs w:val="20"/>
                <w:color w:val="auto"/>
              </w:rPr>
            </w:pPr>
          </w:p>
        </w:tc>
        <w:tc>
          <w:tcPr>
            <w:tcW w:w="8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43,739</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440" w:type="dxa"/>
            <w:vAlign w:val="bottom"/>
            <w:gridSpan w:val="4"/>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4"/>
        </w:trPr>
        <w:tc>
          <w:tcPr>
            <w:tcW w:w="5960" w:type="dxa"/>
            <w:vAlign w:val="bottom"/>
          </w:tcPr>
          <w:p>
            <w:pPr>
              <w:spacing w:after="0"/>
              <w:rPr>
                <w:sz w:val="6"/>
                <w:szCs w:val="6"/>
                <w:color w:val="auto"/>
              </w:rPr>
            </w:pPr>
          </w:p>
        </w:tc>
        <w:tc>
          <w:tcPr>
            <w:tcW w:w="1440" w:type="dxa"/>
            <w:vAlign w:val="bottom"/>
            <w:tcBorders>
              <w:bottom w:val="single" w:sz="8" w:color="auto"/>
            </w:tcBorders>
            <w:gridSpan w:val="4"/>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6"/>
                <w:szCs w:val="6"/>
                <w:color w:val="auto"/>
              </w:rPr>
            </w:pPr>
          </w:p>
        </w:tc>
        <w:tc>
          <w:tcPr>
            <w:tcW w:w="1060" w:type="dxa"/>
            <w:vAlign w:val="bottom"/>
            <w:gridSpan w:val="3"/>
            <w:vMerge w:val="restart"/>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6"/>
                <w:szCs w:val="6"/>
                <w:color w:val="auto"/>
              </w:rPr>
            </w:pP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0"/>
        </w:trPr>
        <w:tc>
          <w:tcPr>
            <w:tcW w:w="59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$553,014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(383,542)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restricted stock awards and units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2018 employee stock purchase plan</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(105,890)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(105,890)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564,798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(489,432)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75,370</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stock under 2018 employee stock purchase plan</w:t>
            </w: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6,891</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— </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12,157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572,010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(477,275)</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94,739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12,157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(105,890)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asset sale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7"/>
              </w:rPr>
              <w:t>(83,736)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11,522</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income tax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on impairment of leasehold improvements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(Gain)/loss on extinguishment of operating lease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16"/>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5,154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2,466</w:t>
            </w:r>
          </w:p>
        </w:tc>
        <w:tc>
          <w:tcPr>
            <w:tcW w:w="0" w:type="dxa"/>
            <w:vAlign w:val="bottom"/>
          </w:tcPr>
          <w:p>
            <w:pPr>
              <w:spacing w:after="0"/>
              <w:rPr>
                <w:sz w:val="1"/>
                <w:szCs w:val="1"/>
                <w:color w:val="auto"/>
              </w:rPr>
            </w:pPr>
          </w:p>
        </w:tc>
      </w:tr>
      <w:tr>
        <w:trPr>
          <w:trHeight w:val="216"/>
        </w:trPr>
        <w:tc>
          <w:tcPr>
            <w:tcW w:w="8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16"/>
        </w:trPr>
        <w:tc>
          <w:tcPr>
            <w:tcW w:w="86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Current and non-current operating lease liabilities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(3,906)</w:t>
            </w:r>
          </w:p>
        </w:tc>
        <w:tc>
          <w:tcPr>
            <w:tcW w:w="0" w:type="dxa"/>
            <w:vAlign w:val="bottom"/>
          </w:tcPr>
          <w:p>
            <w:pPr>
              <w:spacing w:after="0"/>
              <w:rPr>
                <w:sz w:val="1"/>
                <w:szCs w:val="1"/>
                <w:color w:val="auto"/>
              </w:rPr>
            </w:pPr>
          </w:p>
        </w:tc>
      </w:tr>
      <w:tr>
        <w:trPr>
          <w:trHeight w:val="223"/>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(63,190)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asset sale,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83,736</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85,076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 payable, including end of term charge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(16,350)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under 2018 employee stock purchase plan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(16,029)</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20"/>
                <w:szCs w:val="20"/>
                <w:color w:val="auto"/>
              </w:rPr>
              <w:t>5,857</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(97,213)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92,846</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190,059</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98,703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92,846</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w:t>
            </w: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 obtained in exchange for operating lease liabilities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4,319</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reported within the consolidated balance sheets: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98,020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92,563</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98,703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92,846</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AVROBIO, Inc. (the “Company” or “AVROBIO”) is a gene therapy company which has been focused on developing potentially curative hematopoietic stem cell, or HSC, gene therapies to treat rare diseases following a single dose treatment regimen.</w:t>
      </w:r>
    </w:p>
    <w:p>
      <w:pPr>
        <w:spacing w:after="0" w:line="162"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On July 12, 2023, following a comprehensive review of the Company’s business by its Board of Directors (the “Board”), the Company announced its intention to halt development of its programs and explore strategic alternatives focused on maximizing stockholder value, which may include, but are not limited to, an acquisition, a merger, business combination or divestiture. The decision was not related to any safety or medical issues or negative regulatory feedback related to the Company’s programs. See Note 15 for further discussion. On January 30, 2024, the Company entered into the Merger Agreement with Tectonic Therapeutic, Inc. (“Tectonic”) pursuant to which a wholly-owned subsidiary of the Company will merge with and into Tectonic, with Tectonic surviving as a wholly-owned subsidiary of the Company (the “Merger”). See Note 16 for further discussion.</w:t>
      </w:r>
    </w:p>
    <w:p>
      <w:pPr>
        <w:spacing w:after="0" w:line="17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risks and uncertainties including, should it resume development of its product candidates,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Should the Company resume development of its product candidates, significant additional research and development efforts, including preclinical and clinical testing and regulatory approval, prior to commercialization, would be required. These efforts would require significant amounts of additional capital, adequate personnel and infrastructure and extensive compliance-reporting capabilities. Even if the Company’s product development efforts are successful, should the Company resume development of its product candidates, it is uncertain when, if ever, the Company would realize revenue from product sales.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research and development, business planning, acquiring operating assets, seeking protection for its technology and product candidates, and raising capital. Since inception, the Company has had recurring losses and has funded its operations through sales of preferred stock and common stock, a term loan facility and the sale of the Company’s cystinosis gene therapy program (designated AVR-RD-04) and all other assets of the Company specifically related to this program. As of December 31, 2023, the Company had an accumulated deficit of $477,275. The Company expects that its cash and cash equivalents of $98,020 as of December 31, 2023 will be sufficient to fund current planned operations and capital expenditure requirements for at least the next twelve months from the filing date of this Annual Report on Form 10-K with the Securities and Exchange Commission (“SEC”).</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May 19, 2023, the Company entered into an Asset Purchase Agreement (the “Asset Purchase Agreement”) with Novartis Pharma AG and Novartis Pharmaceuticals Corporation (collectively, “Novartis”), providing for the sale of the Company’s cystinosis gene therapy program (designated AVR-RD-04) and all other assets of the Company specifically related to this program. The aggregate consideration to the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consisted of a cash payment of $87,500 upon closing of the transaction. The Company completed the Asset Sale (as defined below) on June 9, 2023 and recognized $83,736 as a gain on asset sale, net of $3,764 transaction costs, in the consolidated statement of operations and comprehensive income (loss). See Note 3 for further discussion.</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 (the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The Company’s remaining workforce was further reduced by 11 employees in a workforce reduction implemented effective as of October 31, 2023 (the “October 2023 Workforce Reduction”). The Company’s workforce was further reduced by 8 employees in the December 2023 Workforce Reduction effective as of December 31, 2023 (the “December 2023 Workforce Reduction”). Affected employees in the July 2023 Workforce Reduction, October 2023 Workforce Reduction, and December 2023 Workforce Reduction were offered separation benefits, including severance payments. See Note 15 for further discussion.</w:t>
      </w:r>
    </w:p>
    <w:p>
      <w:pPr>
        <w:spacing w:after="0" w:line="298" w:lineRule="exact"/>
        <w:rPr>
          <w:sz w:val="20"/>
          <w:szCs w:val="20"/>
          <w:color w:val="auto"/>
        </w:rPr>
      </w:pPr>
    </w:p>
    <w:p>
      <w:pPr>
        <w:ind w:left="560" w:right="7440" w:hanging="444"/>
        <w:spacing w:after="0" w:line="377" w:lineRule="auto"/>
        <w:tabs>
          <w:tab w:leader="none" w:pos="3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ASU of FASB.</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that the Company make estimates and judgments that may affect the reported amounts of assets, liabilities and expenses and the related disclosure of contingent assets and liabilities at the date of the financial statements and the reported amounts of expenses during the reporting periods. On an on-going basis, the Company evaluates its estimates, judgments and</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Changes in estimates are reflected in reported results in the period in which they become known.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at acquisition to be cash equivalents. As of December 31, 2023 and 2022, cash and cash equivalents were primarily held in interest-bearing money market funds.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 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Certain assets and liabilities of the Company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89" w:lineRule="exact"/>
        <w:rPr>
          <w:sz w:val="20"/>
          <w:szCs w:val="20"/>
          <w:color w:val="auto"/>
        </w:rPr>
      </w:pPr>
    </w:p>
    <w:p>
      <w:pPr>
        <w:ind w:left="1080" w:right="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Fair values are determined utilizing prices (unadjusted) in active markets for identical assets or liabilities that the Company has the ability to access.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162"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accounts payable, and accrued expenses, approximated their fair values as of December 31, 2023 and 2022 due to the short-term nature of these instruments.</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evaluated the estimated fair value of financial instruments using available market information. The use of different market assumptions, estimation methodologies, or both, could have a significant effect on the estimated fair value amounts. See Note 4 </w:t>
      </w:r>
      <w:r>
        <w:rPr>
          <w:rFonts w:ascii="Times New Roman" w:cs="Times New Roman" w:eastAsia="Times New Roman" w:hAnsi="Times New Roman"/>
          <w:sz w:val="18"/>
          <w:szCs w:val="18"/>
          <w:i w:val="1"/>
          <w:iCs w:val="1"/>
          <w:color w:val="auto"/>
        </w:rPr>
        <w:t>“Fair Value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Assets and Liabilities” </w:t>
      </w:r>
      <w:r>
        <w:rPr>
          <w:rFonts w:ascii="Times New Roman" w:cs="Times New Roman" w:eastAsia="Times New Roman" w:hAnsi="Times New Roman"/>
          <w:sz w:val="18"/>
          <w:szCs w:val="18"/>
          <w:color w:val="auto"/>
        </w:rPr>
        <w:t>for further discussion.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60"/>
          </w:cols>
          <w:pgMar w:left="320" w:top="455" w:right="5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Depreciation and amortization is calculated using the straight-line method over the following estimated useful lives of the assets: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4260" w:type="dxa"/>
            <w:vAlign w:val="bottom"/>
            <w:vMerge w:val="continue"/>
          </w:tcPr>
          <w:p>
            <w:pPr>
              <w:spacing w:after="0"/>
              <w:rPr>
                <w:sz w:val="16"/>
                <w:szCs w:val="16"/>
                <w:color w:val="auto"/>
              </w:rPr>
            </w:pPr>
          </w:p>
        </w:tc>
        <w:tc>
          <w:tcPr>
            <w:tcW w:w="3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 years</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Lesser of lease term or 10 years</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During the year ended December 31, 2023, the Company recognized a $937 loss on impairment of property, plant, and equipment as a result of the reclassification of these assets to held for sale. The Company did not record any impairment loss during the year ended December 31, 2022.</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660" w:firstLine="440"/>
        <w:spacing w:after="0" w:line="266" w:lineRule="auto"/>
        <w:rPr>
          <w:sz w:val="20"/>
          <w:szCs w:val="20"/>
          <w:color w:val="auto"/>
        </w:rPr>
      </w:pPr>
      <w:r>
        <w:rPr>
          <w:rFonts w:ascii="Times New Roman" w:cs="Times New Roman" w:eastAsia="Times New Roman" w:hAnsi="Times New Roman"/>
          <w:sz w:val="18"/>
          <w:szCs w:val="18"/>
          <w:color w:val="auto"/>
        </w:rPr>
        <w:t>Prior to January 1, 2022, the Company accounted for leases in accordance with FASB ASC 840, Leases. At lease inception, the Company determined if an arrangement was an operating or capital lease. For operating leases, the Company recognized rent expense, inclusive of rent escalations, on a straight-line basis over the lease term.</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Effective on January 1, 2022, the Company accounts for leases in accordance with ASC Topic 842, Leases (“ASC 842”). Upon transition, the Company applied the package of practical expedients permitted under ASC 842 transition guidance to its entire lease portfolio at January 1, 2022. As a result, the Company was not required to reassess (i) whether any expired or existing contracts are or contain leases, (ii) the classification of any expired or existing leases, and (iii) initial direct costs for any existing leases. Furthermore, as a lessee the Company elected to combine lease and non-lease components together for the majority of its leases. As a result, for these applicable classes of underlying assets, the Company accounted for each separate lease component and the non-lease components associated with that lease component as a single lease component.</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accordance with ASC 842, the Company determines whether an arrangement is or contains a lease at inception. A contract is or contains a lease if the contract conveys the right to control the use of an identified asset for a period of time in exchange for consideration. The Company records leases at the lease commencement date, when control of the underlying asset is transferred from the lessor to the lessee, as operating or finance leases and records a right-of-use (“ROU”) asset and a lease liability on the consolidated balance sheet for all leases with a lease term of greater than twelve months. The Company has elected to not recognize leases with a lease term of twelve months or less on the balance sheet and will recognize lease payments for such short-term leases as an expense on a straight-line basis.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items such as maintenance, utilities, or other operating costs. For leases of real estate, the Company combines the lease and associated non-lease components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based upon the available information at the lease commencement date. ROU assets are further adjusted for items such as initial direct costs, prepaid rent, or lease incentives. Operating lease payments are expensed using the straight-line method as an operating expense over the lease term.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and (ii) a portion that reduces the finance lease liability associated with the lease.</w:t>
      </w:r>
    </w:p>
    <w:p>
      <w:pPr>
        <w:spacing w:after="0" w:line="192" w:lineRule="exact"/>
        <w:rPr>
          <w:sz w:val="20"/>
          <w:szCs w:val="20"/>
          <w:color w:val="auto"/>
        </w:rPr>
      </w:pPr>
    </w:p>
    <w:p>
      <w:pPr>
        <w:jc w:val="both"/>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During the year ended December 31, 2023, the Company recognized a $940 loss on impairment of ROU assets as a result of the discontinued use of lab space in Cambridge, Massachusetts, United States. The Company did not record any impairment loss during the year ended December 31, 2022.</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equity (deficit) which includes certain changes in equity that are excluded from net income (loss). Comprehensive loss has been disclosed in the accompanying consolidated statements of operations and comprehensive loss and equals the Company’s net loss for all periods presented.</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(expense) income, net in the consolidated statements of operations and comprehensive loss. During the years ended December 31, 2023 and 2022, the Company recorded foreign exchange losses of $122 and $92, respectively, in other expense in the consolidated statements of operations and comprehensive loss.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various research and development related contracts with parties both inside and outside of the United States. The payments related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For stock-based awards issued to employees and members of the Company’s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measurement date for non-employee awards is the later of the adoption date of ASU 2018-07, or the date of grant. For stock-based awards granted to nonemployees subject to graded vesting that only contain service conditions, the Company has elected to recognize stock-based compensation expense using the straight-line recognition method.</w:t>
      </w:r>
    </w:p>
    <w:p>
      <w:pPr>
        <w:spacing w:after="0" w:line="176"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the Black-Scholes option pricing model. As there was no public market for its common stock prior to June 21, 2018, which was the first day of trading, and as the trading history of the Company’s common stock was limited through December 31, 2022,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determined on the basis of the differences between the consolidated financial statements and tax basis of assets and liabilities using enacted tax rates in effect for the year in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 period, without consideration of potential dilutive securities. Diluted net loss per share is computed by adjusting the weighted-average shares outstanding for the potential dilutive effects of common stock equivalents outstanding during the period calculated in accordance with the treasury stock method. For purposes of the diluted net loss per share calculation, stock options and restricted stock units are considered to be common stock equivalents but have been excluded from the calculation of diluted net loss per share, as their effect would be anti-dilutive for all periods presented. Therefore, basic and diluted net loss per share were the same for all periods presented.</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 Considerations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Measurement of Credit Losses on Financial Instruments, or ASU 2016-13. ASU 2016-13 requires that credit losses be reported as an allowance using an expected losses model, representing the entity’s current estimate of credit losses expected to be incurred. For available-for-sale debt securities with unrealized losses, this standard now requires allowances to be recorded instead of reducing the amortized cost of the investment. On January 1, 2023 the Company adopted this standard, which had no impact on its financial position or results of operations.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November 2019, the FASB issued ASU 2019-11, “Codification Improvements to Topic 326, Financial Instruments – Credit Losses,” or ASU 2019-11. ASU 2019-11 is an accounting pronouncement that amends ASU 2016-13, “Financial Instruments – Credit Losses (Topic 326): Measurement of Credit Losses on Financial Instruments.” The amendments update guidance on reporting credit losses for financial assets. These amendments affect loans, debt securities, trade receivables, net investments in leases, off balance sheet credit exposures, reinsurance receivables, and any other financial assets not excluded from the scope that have the contractual right to receive cash. On January 1, 2023 the Company adopted this standard, which had no impact on its financial position or results of operations.</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Accounting Standard Update ASU 2023-09 “Income Taxes (Topic 740): Improvements to Income Tax Disclosures.” This guidance is intended to enhance the transparency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decision-usefulness of income tax disclosures. The amendments in ASU 2023-09 address investor requests for enhanced income tax information primarily through changes to disclosure regarding rate reconciliation and income taxes paid both in the United States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 disclosures.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incorporates certain SEC disclosure requirements into the FASB Accounting Standards Codification (“Codification”). The amendments in the ASU are expected to clarify or improve disclosure and presentation requirements of a variety Codification topics, allow investors to more easily compare entities subject to the SEC’s existing disclosures with those entities that were not previously subject to the requirements, and align the requirements in the Codification with the SEC’s regulations. The effective date for each amendment will be the date on which the SEC’s removal of that related disclosure from Regulation S-X or Regulation S-K becomes effective, with early adoption prohibited. The amendments in this ASU should be applied prospectively. The Company is currently evaluating this guidance to determine the impact it may have on its consolidated financial statement disclosures.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License and Purchase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The University of Manchester</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September 30, 2020, the Company entered into an agreement (“MPSII License Agreement”) with The University of Manchester, England (“UoM”), whereby UoM granted to the Company an exclusive worldwide license under certain patent and other intellectual property rights, subject to certain retained rights, to develop, commercialize and sell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lentiviral gene therapy for use in the treatment of Hunter syndrome, or mucopolysaccharidosis type II (“MPSII”). As consideration for the MPSII License Agreement, the Company agreed to pay UoM an upfront, one-time fee of $8,000, which was recognized as research and development expense during the year ended December 31, 2020.</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As part of the agreement, the Company was obligated to make milestone payments of up to an aggregate of $80,000 upon the achievement of specified development and regulatory milestones, to pay royalties, on a product-by-product and country-by-country basis, of a mid-single digit percentage based on net sales of products licensed under the agreement and to pay a low double-digit percentage of any sublicense fees received by the Company. During the third quarter of 2022, a $2,000 milestone payment under the MPSII License Agreement became due following the date of regulatory approval of the CTA for the investigator-sponsored Phase 1/2 clinical trial sponsored by UoM.</w:t>
      </w:r>
    </w:p>
    <w:p>
      <w:pPr>
        <w:spacing w:after="0" w:line="183"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Concurrently with the MPSII License Agreement, the Company entered into a collaborative research funding agreement with UoM (“CRFA”). Under the CRFA, the Company has agreed to fund the budgeted costs of an investigator-sponsored Phase 1/2 clinical trial to be sponsored by UoM in connection with the development activities under the MPSII License Agreement, which were estimated to equal approximately £9,900 in the aggregate.</w:t>
      </w:r>
    </w:p>
    <w:p>
      <w:pPr>
        <w:spacing w:after="0" w:line="158"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September 8, 2023 the Company and UoM terminated the MPSII License Agreement and the CFRA, and in connection with such termination, the Company paid UoM £3,900. Following the termination of the MPSII License Agreement and the CFRA, the Company does not have any remaining financial obligations to UoM.</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recognized $1,610 and $2,346, respectively, of costs related to the CRFA, excluding the payment made in connection with the termination.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University Health Network (“UHN”)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Fabry License Agreement—</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this agreement, the Company paid an option fee of CAD$20, an upfront license fee of CAD$75, plus the annual license maintenance fee for the first year. Thereafter, the Company was also required to pay UHN future annual license maintenance fees until the first sale of a licensed product in certain markets. The Company was also obligated to make future milestone payments in an aggregate amount of up to CAD$2,450 upon the achievement of specified milestones as well as royalties on a country-by-country basis of a low to mid-single-digit percentage of annual net sales of licensed products and a lower single-digit royalty percentage in certain circumstances. Additionally, the Company had agreed to pay a low double-digit royalty percentage of all sublicensing revenue.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agreement required the Company to meet certain performance milestones within specified timeframes. UHN could terminate the agreement if the Company failed to meet these performance milestones despite using commercially reasonable efforts and the Company is unable to reach agreement with UHN on revised timeframes. The Company’s royalty obligation was to expire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Unless terminated earlier, the agreement was to expire upon the expiration of the Company’s royalty obligation for all licensed products. UHN could terminate the agreement if the Company failed to make any payments within a specified period after receiving written notice of such failure, or in the event that the Company fails to obtain or maintain insurance. Either the Company or UHN could terminate the license agreement in the event of a material breach by the other party and failure to cure such breach within a certain period of time. The Company could voluntarily terminate the agreement with prior notice to UHN.</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Effective January 4, 2024, AVROBIO terminated the Fabry license agreement with UHN, and in connection with such termination, the Company paid UHN CAD$194. Following the termination of the agreement, AVROBIO does not have any remaining financial obligations to UHN pursuant to the Fabry license agreement. For the years ended December 31, 2023 and 2022, the Company recorded research and development expense related to this agreement with UHN of $93 and $161, respectively, which consists of reimbursable funded study trial costs and license maintenance fees. No milestone fees were incurred related to the Fabry license agreement in the years ended December 31, 2023 and 2022.</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Interleukin 12 License Agreement—</w:t>
      </w:r>
    </w:p>
    <w:p>
      <w:pPr>
        <w:spacing w:after="0" w:line="11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January 27, 2016, the Company entered into an exclusive license agreement with UHN, pursuant to which UHN granted the Company a license to certain patent rights for the commercial development,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20"/>
          </w:cols>
          <w:pgMar w:left="320" w:top="455" w:right="45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and agreed to pay UHN up to $2,000 upon the closing of an IPO if certain criteria are met. The fair value of the shares issued to UHN of $480 and the upfront fee was expensed upon the execution of the agreement. Upon the closing of the Company’s initial public offering (the “IPO”) in 2018, as the criteria were met, the Company paid UHN $2,000. The Company was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granted any sublicense rights under the license agreement, the Company agreed to pay UHN a low double-digit royalty percentage of any sublicense income received by the Company. The agreement also required the Company to meet certain diligence requirements based upon specified milestones.</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Effective as of August 24, 2023, the Company and UHN agreed to terminate the Interleukin 12 License Agreement, and in connection with such termination there were no payments made to UHN. Following the termination of the agreement, the Company does not have any remaining financial obligations to UHN pursuant to the Interleukin 12 License Agreement.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research and development expense related to this agreement with UHN of $37 and $39, respectively, which consists of license maintenance fees. No milestone fees were incurred related to the Interleukin 12 license agreement in the years ended December 31, 2023 and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BioMarin Pharmaceutical Inc. (“BioMarin”)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The license agreement was amended in February 2018 and again in January 2020 to, among things, provide that BioMarin would supply the Company with certain technology materials. As consideration for this agreement, the Company paid an upfront license fee of $500 in cash and issued 233,765 shares of Series B Preferred Stock to BioMarin at the time of the Company’s Series B Preferred Stock financing in January 2018.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expenses related to the license were recorded for the years ended December 31, 2023 and 2022.</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Papillon Therapeutics, Inc. (previously GenStem Therapeutics, Inc.)</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In October 2021, the Company received notice that the license agreement with GenStem had been assigned to Papillon. The license agreement with Papillon was assigned to Novartis on May 19, 2023 in conjunction with the Company’s Asset Purchase Agreement with Novartis which provided for the sale of the Company’s cystinosis gene therapy program and all other assets of the Company specifically related to this program (see “Sale of Cystinosis Program” below).</w:t>
      </w:r>
    </w:p>
    <w:p>
      <w:pPr>
        <w:spacing w:after="0" w:line="19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expenses related to the license were recorded for the years ended December 31, 2023 and 2022.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Agreement with Lund University Rights Holders</w:t>
      </w:r>
    </w:p>
    <w:p>
      <w:pPr>
        <w:spacing w:after="0" w:line="121"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7"/>
          <w:szCs w:val="17"/>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w:t>
      </w:r>
    </w:p>
    <w:p>
      <w:pPr>
        <w:spacing w:after="0" w:line="5" w:lineRule="exact"/>
        <w:rPr>
          <w:sz w:val="20"/>
          <w:szCs w:val="20"/>
          <w:color w:val="auto"/>
        </w:rPr>
      </w:pPr>
    </w:p>
    <w:p>
      <w:pPr>
        <w:ind w:left="120" w:right="60" w:hanging="4"/>
        <w:spacing w:after="0" w:line="253" w:lineRule="auto"/>
        <w:tabs>
          <w:tab w:leader="none" w:pos="4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expenses related to the license were recorded for the years ended December 31, 2023 and 2022.</w:t>
      </w:r>
    </w:p>
    <w:p>
      <w:pPr>
        <w:spacing w:after="0" w:line="2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Sale of Cystinosis Program</w:t>
      </w:r>
    </w:p>
    <w:p>
      <w:pPr>
        <w:spacing w:after="0" w:line="121" w:lineRule="exact"/>
        <w:rPr>
          <w:sz w:val="20"/>
          <w:szCs w:val="20"/>
          <w:color w:val="auto"/>
        </w:rPr>
      </w:pPr>
    </w:p>
    <w:p>
      <w:pPr>
        <w:ind w:left="120" w:right="240" w:firstLine="440"/>
        <w:spacing w:after="0" w:line="236" w:lineRule="auto"/>
        <w:rPr>
          <w:sz w:val="20"/>
          <w:szCs w:val="20"/>
          <w:color w:val="auto"/>
        </w:rPr>
      </w:pPr>
      <w:r>
        <w:rPr>
          <w:rFonts w:ascii="Times New Roman" w:cs="Times New Roman" w:eastAsia="Times New Roman" w:hAnsi="Times New Roman"/>
          <w:sz w:val="18"/>
          <w:szCs w:val="18"/>
          <w:color w:val="auto"/>
        </w:rPr>
        <w:t>On May 19, 2023, the Company entered into the Asset Purchase Agreement with Novartis, providing for the sale of the Company’s cystinosis gene therapy program (designated AVR-RD-04) and all other assets of the Company specifically related to this program. In addition, pursuant to the Asset Purchase Agreement, the Company has granted an exclusive license to Novartis to use certain intellectual property of the Company, which consists of certain proprietary elements of the Company’s plato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gene therapy platform technology specifically within the field of cystinosis. The foregoing transactions contemplated by the Asset Purchase Agreement are referred to as the “Asset Sale.” The Company has also agreed not to assert claims against Novartis for violations of certain other Company</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intellectual property rights in connection with Novartis’s exercise of the exclusive license granted to it under the Asset Purchase Agreement, and for violations of the licensed intellectual property, except in connection with activities by Novartis in the fields of Gaucher disease, Pompe disease, Hunter syndrome and Fabry disease, or indemnification claims under the Asset Purchase Agreement. The aggregate consideration to the Company consisted of a cash payment of $87,500 upon closing of the transaction. The Company recognized $83,736 as a gain on asset sale, net of $3,764 in transaction costs, in the consolidated statement of operations and comprehensive income (loss).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of Financial Assets and Liabilities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December 31, 2023 and 2022:</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3"/>
        </w:trPr>
        <w:tc>
          <w:tcPr>
            <w:tcW w:w="6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96,707</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 — </w:t>
            </w: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 — </w:t>
            </w:r>
          </w:p>
        </w:tc>
        <w:tc>
          <w:tcPr>
            <w:tcW w:w="7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96,707</w:t>
            </w:r>
          </w:p>
        </w:tc>
      </w:tr>
      <w:tr>
        <w:trPr>
          <w:trHeight w:val="27"/>
        </w:trPr>
        <w:tc>
          <w:tcPr>
            <w:tcW w:w="6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96,707</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 </w:t>
            </w:r>
          </w:p>
        </w:tc>
        <w:tc>
          <w:tcPr>
            <w:tcW w:w="13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w:t>
            </w:r>
          </w:p>
        </w:tc>
        <w:tc>
          <w:tcPr>
            <w:tcW w:w="78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96,707</w:t>
            </w:r>
          </w:p>
        </w:tc>
      </w:tr>
      <w:tr>
        <w:trPr>
          <w:trHeight w:val="20"/>
        </w:trPr>
        <w:tc>
          <w:tcPr>
            <w:tcW w:w="6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6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as of</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3"/>
        </w:trPr>
        <w:tc>
          <w:tcPr>
            <w:tcW w:w="64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52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91,095</w:t>
            </w:r>
          </w:p>
        </w:tc>
        <w:tc>
          <w:tcPr>
            <w:tcW w:w="8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xml:space="preserve">$ — </w:t>
            </w:r>
          </w:p>
        </w:tc>
        <w:tc>
          <w:tcPr>
            <w:tcW w:w="136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xml:space="preserve">$ — </w:t>
            </w:r>
          </w:p>
        </w:tc>
        <w:tc>
          <w:tcPr>
            <w:tcW w:w="7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91,095</w:t>
            </w:r>
          </w:p>
        </w:tc>
      </w:tr>
      <w:tr>
        <w:trPr>
          <w:trHeight w:val="27"/>
        </w:trPr>
        <w:tc>
          <w:tcPr>
            <w:tcW w:w="6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91,095</w:t>
            </w:r>
          </w:p>
        </w:tc>
        <w:tc>
          <w:tcPr>
            <w:tcW w:w="8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xml:space="preserve">$ — </w:t>
            </w:r>
          </w:p>
        </w:tc>
        <w:tc>
          <w:tcPr>
            <w:tcW w:w="13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w:t>
            </w:r>
          </w:p>
        </w:tc>
        <w:tc>
          <w:tcPr>
            <w:tcW w:w="780" w:type="dxa"/>
            <w:vAlign w:val="bottom"/>
            <w:gridSpan w:val="3"/>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91,095</w:t>
            </w:r>
          </w:p>
        </w:tc>
      </w:tr>
      <w:tr>
        <w:trPr>
          <w:trHeight w:val="20"/>
        </w:trPr>
        <w:tc>
          <w:tcPr>
            <w:tcW w:w="6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years ended December 31, 2023 and 2022, there were no transfers between levels.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Supplemental Balance Sheet Information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6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3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572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$4,509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816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compensation benefits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Tax incentive refund, net of reserve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570</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1,008</w:t>
            </w: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1,958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7,112</w:t>
            </w:r>
          </w:p>
        </w:tc>
        <w:tc>
          <w:tcPr>
            <w:tcW w:w="4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34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F-37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and office equipment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$ 5,967</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629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6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(4,421)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(3,804)</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(937)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(1,348)</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$ 2,894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and amortization expense for the years ended December 31, 2023 and 2022 was $617 and $1,440,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and 2022, the Company had restricted cash as presented in the table below, which consists of cash used to secure a letter of credit for the benefit of the landlord in connection with the Company’s lease agreement as well as restricted cash related to the Company’s corporate credit card program. The cash will be restricted until the termination or modification of the lease arrangement and corporate credit card program, respectively.</w:t>
      </w:r>
    </w:p>
    <w:p>
      <w:pPr>
        <w:spacing w:after="0" w:line="200"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7620</wp:posOffset>
            </wp:positionV>
            <wp:extent cx="7626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ind w:left="8600"/>
        <w:spacing w:after="0"/>
        <w:tabs>
          <w:tab w:leader="none" w:pos="940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tbl>
      <w:tblPr>
        <w:tblLayout w:type="fixed"/>
        <w:tblInd w:w="120" w:type="dxa"/>
        <w:tblCellMar>
          <w:top w:w="0" w:type="dxa"/>
          <w:left w:w="0" w:type="dxa"/>
          <w:bottom w:w="0" w:type="dxa"/>
          <w:right w:w="0" w:type="dxa"/>
        </w:tblCellMar>
      </w:tblPr>
      <w:tr>
        <w:trPr>
          <w:trHeight w:val="210"/>
        </w:trPr>
        <w:tc>
          <w:tcPr>
            <w:tcW w:w="13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$283</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0"/>
                <w:szCs w:val="20"/>
                <w:color w:val="auto"/>
              </w:rPr>
            </w:pP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r>
      <w:tr>
        <w:trPr>
          <w:trHeight w:val="522"/>
        </w:trPr>
        <w:tc>
          <w:tcPr>
            <w:tcW w:w="8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80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132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132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13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$ 6,122</w:t>
            </w:r>
          </w:p>
        </w:tc>
        <w:tc>
          <w:tcPr>
            <w:tcW w:w="40" w:type="dxa"/>
            <w:vAlign w:val="bottom"/>
            <w:shd w:val="clear" w:color="auto" w:fill="CCEEFF"/>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benefit costs</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3,463</w:t>
            </w:r>
          </w:p>
        </w:tc>
        <w:tc>
          <w:tcPr>
            <w:tcW w:w="2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4,175</w:t>
            </w:r>
          </w:p>
        </w:tc>
      </w:tr>
      <w:tr>
        <w:trPr>
          <w:trHeight w:val="216"/>
        </w:trPr>
        <w:tc>
          <w:tcPr>
            <w:tcW w:w="13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professional fees</w:t>
            </w: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892</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13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13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1320" w:type="dxa"/>
            <w:vAlign w:val="bottom"/>
          </w:tcPr>
          <w:p>
            <w:pPr>
              <w:spacing w:after="0"/>
              <w:rPr>
                <w:sz w:val="18"/>
                <w:szCs w:val="18"/>
                <w:color w:val="auto"/>
              </w:rPr>
            </w:pPr>
          </w:p>
        </w:tc>
        <w:tc>
          <w:tcPr>
            <w:tcW w:w="67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5,449</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11,732</w:t>
            </w:r>
          </w:p>
        </w:tc>
      </w:tr>
      <w:tr>
        <w:trPr>
          <w:trHeight w:val="20"/>
        </w:trPr>
        <w:tc>
          <w:tcPr>
            <w:tcW w:w="13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August 31, 2018, the Company entered into a sublease agreement for lab space located in Cambridge Massachusetts, United States, which was set to expire in October 2020. On June 9, 2020, the Company amended the terms of the sublease, which was set to expire in April 2022. Effective January 1, 2022, the Company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amended the terms of the sublease, to extend the term through April 2023. In July 2022, the company moved its corporate headquarters to our subleased space in this location. Effective January 24, 2023, the Company amended the terms of the sublease, which is now set to expire in April 2024. The annual lease payments are subject to a 5% increase each year. In accordance with the lease agreement, the Company is required to maintain a security deposit of $283, which was recorded in restricted cash as of December 31, 2023 and 2022.</w:t>
      </w:r>
    </w:p>
    <w:p>
      <w:pPr>
        <w:spacing w:after="0" w:line="180"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On June 1, 2020, the Company entered into a lease agreement for office space located in Toronto, Ontario, Canada, which was set to expire in June 2025. On October 31, 2023, the lease agreement was terminated. The annual lease payments were fixed for years 1 and 2, and then subject to a 6.67% increase for years 3 through 5. In accordance with the lease agreement, the Company was required to maintain a security deposit of CAD$27, which was recorded in other long-term assets as of December 31, 2022. In October 2022, the Company entered into a sublease agreement to sublease this space. The term of the sublease agreement commenced on October 1, 2022 and expires on June 29, 2025. The sublease was also terminated on October 31, 2023.</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consolidated statement of operations and comprehensive loss: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6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2,118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w:t>
            </w:r>
          </w:p>
        </w:tc>
      </w:tr>
      <w:tr>
        <w:trPr>
          <w:trHeight w:val="20"/>
        </w:trPr>
        <w:tc>
          <w:tcPr>
            <w:tcW w:w="6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During the years ended December 31, 2023 and 2022 the Company made cash payments for operating leases of $2,771 and $3,167,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future minimum payments of operating lease liabilities are as follows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3"/>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896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6"/>
              </w:rPr>
              <w:t>896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6"/>
              </w:rPr>
              <w:t>878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 weighted average remaining lease term was 0.3 years and the weighted average incremental borrowing rate used to determine the operating lease liability was 16.15%. As of December 31, 2022, the weighted average remaining lease term was 0.9 years and the weighted average incremental borrowing rate used to determine the operating lease liability was 10.58%.</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Note Payable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November 2, 2021 (the “Closing Date”), the Company entered into a Loan and Security Agreement (the “Loan Agreement”) with Silicon Valley Bank pursuant to which a term loan in an aggregate principal amount of up to $50,000 (the “Term Loan Facility”) was available to the Company in three tranches, subject to certain terms and conditions. The first tranche of $15,000 was advanced to the Company on the Closing Date. Subject to the terms and conditions of the Loan Agreement, the first tranche allowed the Company to borrow an additional $15,000 through October 31, 2023. Upon satisfaction of certain milestones, the second and third tranches were available under the Term Loan Facility which allowed the Company to borrow an additional amount up to $10,000 in each tranche through October 31, 2023. Additionally, the Company could seek to borrow up to an additional $15,000 at the sole discretion of the lender through the term of the Loan Agreement. The Loan Agreement provided for an October 1, 2026 maturity date (the “Maturity Date”). The Company was required to pay an end of term fee (“End of Term Charge”) equal to 9.00% of the aggregate principal amount of the Term Loan advances upon repayment.</w:t>
      </w:r>
    </w:p>
    <w:p>
      <w:pPr>
        <w:spacing w:after="0" w:line="188" w:lineRule="exact"/>
        <w:rPr>
          <w:sz w:val="20"/>
          <w:szCs w:val="20"/>
          <w:color w:val="auto"/>
        </w:rPr>
      </w:pPr>
    </w:p>
    <w:p>
      <w:pPr>
        <w:ind w:left="120" w:right="340" w:firstLine="440"/>
        <w:spacing w:after="0" w:line="289" w:lineRule="auto"/>
        <w:rPr>
          <w:sz w:val="20"/>
          <w:szCs w:val="20"/>
          <w:color w:val="auto"/>
        </w:rPr>
      </w:pPr>
      <w:r>
        <w:rPr>
          <w:rFonts w:ascii="Times New Roman" w:cs="Times New Roman" w:eastAsia="Times New Roman" w:hAnsi="Times New Roman"/>
          <w:sz w:val="17"/>
          <w:szCs w:val="17"/>
          <w:color w:val="auto"/>
        </w:rPr>
        <w:t>Advances under the Term Loan Facility bore interest at a rate equal to the greater of either (i) the Prime Rate (as reported in The Wall Street Journal) plus 4.85%, and (ii) 8.10%. The Company was obligated to make interest only payments through November 1, 2024. Following the interest only period, the Company was to repay the principal balance and interest of the advances in equal monthly installments through October 1, 2026.</w:t>
      </w:r>
    </w:p>
    <w:p>
      <w:pPr>
        <w:spacing w:after="0" w:line="158"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Company could prepay advances under the Loan Agreement, in whole or in part, at any time subject to a prepayment charge (the “Prepayment Premium”) equal to: (a) 1.50% of amounts so prepaid, if such prepayment occurred during the first year following the Closing Date; (b) 1.00% of the amount so prepaid, if such prepayment occurred during the second year following the Closing Date, and (c) 0.00% of the amount so prepaid, if such prepayment occurred after the second year following the Closing Date.</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Upon prepayment or repayment of all or any of the term loans under the Term Loan Facility, the Company was required to pay (in addition to any Prepayment Premium) an end of term charge of 9.0% of the aggregate funded amount under the Term Loan Facility.</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Term Loan Facility was secured by substantially all of the Company’s assets, other than the Company’s intellectual property. The Company agreed to not pledge or secure its intellectual property to others.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End of Term Charge is recorded as a debt discount with an initial carrying balance of $1,350. During the year ended December 31, 2021 the Company recognized $103 of debt issuance costs related to legal expenses that has been included in the debt discount balance. The debt discount costs are being accreted to the principal amount of debt and being amortized from the date of issuance through the Maturity Date to interest expense using the effective-interest rate method. The effective interest rate of the outstanding debt under the Loan Agreement was approximately 16.29%.</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June 9, 2023, upon the closing of the Asset Sale, all outstanding amounts due and owed, including principal, interest, and other charges, under the Term Loan Facility, dated as of November 2, 2021, by and among the Company, Silicon Valley Bank, a division of First-Citizens Bank &amp; Trust and the other parties thereto, were repaid in full and the Term Loan Facility was terminated. Upon repayment, the obligations of the Company under the Term Loan Facility were satisfied in full, the Term Loan Facility and all related loan documents were terminated and all liens and security interests granted thereunder were released and terminated (excluding certain indemnification obligations that expressly survive termination of the Term Loan Facility).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2022 the carrying value of the note payable consists of the following:</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including End of Term Charge</w:t>
            </w:r>
          </w:p>
        </w:tc>
        <w:tc>
          <w:tcPr>
            <w:tcW w:w="1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net of discount, long-term</w:t>
            </w:r>
          </w:p>
        </w:tc>
        <w:tc>
          <w:tcPr>
            <w:tcW w:w="188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recognized $1,917 of interest expense related to the Loan Agreement, of which $939 is related to the loss on the extinguishment of debt due to the write off of the debt discount balance, which is reflected in other expense, net on the consolidated statements of operations and comprehensive loss. During year ended December 31, 2022, the Company recognized $1,808 of interest expense related to the Loan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Common Stock</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and 2022, the authorized capital stock of the Company included 150,000,000 shares of common stock, $0.0001 par value, and 10,000,000 shares of undesignated preferred stock. As of December 31, 2023 and 2022, no undesignated shares of preferred stock were outstanding.</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accordance to the Fourth Amended and Restated Certificate of Incorporation, the holders of the common stock shall have the exclusive right to vote for the election of directors of the Company and on all other matters requiring stockholder action, each outstanding share entitling the holder thereof to one vote on each matter properly submitted to the stockholders of the Company for their vote; provided, however, that, except as otherwise required by law, holders of common stock, as such, shall not be entitled to vote on any amendment to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a certificate of designations of any series of undesignated preferred stock.</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Through December 31, 2023, no cash dividends have been declared or paid.</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July 2019, the Company closed an underwritten public offering of 7,475,000 shares of its common stock at a public offering price of $18.50 per share (the “July 2019 Follow-on Offering”), which included 975,000 shares of the Company’s common stock resulting from the full exercise of the underwriters’ option to purchase additional shares at the public offering price, less underwriting discounts and commissions. The net proceeds to the Company from the July 2019 Follow-on Offering, after deducting underwriting discounts and commissions and other offering expenses payable by the Company, were $129,464.</w:t>
      </w:r>
    </w:p>
    <w:p>
      <w:pPr>
        <w:spacing w:after="0" w:line="183"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February 2020, the Company closed an underwritten public offering of 4,350,000 shares of its common stock at a public offering price of $23.00 per share (the “February 2020 Follow-on Offering”). The net proceeds to the Company from the February 2020 Follow-on Offering, after deducting underwriting discounts and commissions and other offering expenses payable by the Company, were $93,627.</w:t>
      </w:r>
    </w:p>
    <w:p>
      <w:pPr>
        <w:spacing w:after="0" w:line="17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In June 2020, the Company sold an aggregate of 384,140 shares of common stock under its 2019 “at-the-market” facility (the “2019 ATM Facility”) for net proceeds, after deducting commissions and other offering expenses payable by the Company, of $8,130.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November 2020, the Company closed an underwritten public offering of 5,000,000 shares of its common stock at a public offering price of $15.00 per share (the “November 2020 Follow-on Offering”). The net proceeds to the Company from the November 2020 Follow-on Offering, after deducting underwriting discounts and commissions and other offering expenses payable by the Company, were $70,221.</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May 2021, the Company sold an aggregate of 1,829,268 shares of common stock under the 2019 ATM Facility for net proceeds, after deducting commissions and other offering expenses payable by the Company, of $14,550.</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public offerings during the years ended December 31, 2023 and 2022.</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Common Stock Reserved for Future Issuance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the Company has reserved the following shares of common stock for future issuance:</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18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10"/>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exercise of outstanding 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reserved for vesting of restricted stock units</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936,358</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940,392</w:t>
            </w:r>
          </w:p>
        </w:tc>
      </w:tr>
      <w:tr>
        <w:trPr>
          <w:trHeight w:val="198"/>
        </w:trPr>
        <w:tc>
          <w:tcPr>
            <w:tcW w:w="58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reserved for issuance under the 2018 Stock Option and Incentive</w:t>
            </w: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26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7,978,667</w:t>
            </w: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5,005,295</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2018</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1,771,748</w:t>
            </w: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1,467,026</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2019</w:t>
            </w:r>
          </w:p>
        </w:tc>
        <w:tc>
          <w:tcPr>
            <w:tcW w:w="2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1,407,211</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786,656</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reserved for issuance under the 2020</w:t>
            </w:r>
          </w:p>
        </w:tc>
        <w:tc>
          <w:tcPr>
            <w:tcW w:w="2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Inducement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1,637,000</w:t>
            </w:r>
          </w:p>
        </w:tc>
      </w:tr>
      <w:tr>
        <w:trPr>
          <w:trHeight w:val="27"/>
        </w:trPr>
        <w:tc>
          <w:tcPr>
            <w:tcW w:w="31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authorized common stock reserved for future issuance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18,936,256</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19,259,640</w:t>
            </w:r>
          </w:p>
        </w:tc>
      </w:tr>
      <w:tr>
        <w:trPr>
          <w:trHeight w:val="20"/>
        </w:trPr>
        <w:tc>
          <w:tcPr>
            <w:tcW w:w="3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2015 Stock Option and Grant Plan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total number of common shares that may be issued under the 2015 Plan was 2,008,564 shares. Following the IPO, no further grants have been made under 2015 plan.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Shares that expire, are terminated, surrendered or cancelled under the 2015 Plan without having been fully exercised will be available for future awards under the 2018 Plan (as defined below). In addition, shares of common stock that are tendered to the Company by a participant to exercise an award are added to the number of shares of common stock available for future awards.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2015 Plan is administered by the Board. Equity awards granted to employees and members of the Board typically vest over four years.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2018 Stock Option and Incentive Plan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Company’s 2018 Stock Option and Incentive Plan (the “2018 Plan”) was adopted by the Board on June 1, 2018 and approved by stockholders on June 7, 2018 and became effective upon the effectiveness of the Company’s Registration Statement on Form S-1. The 2018 Plan replaced the 2015 Plan as the Board determined not to make additional awards under the 2015 Plan following the pricing of the Company’s IPO. The 2018 Plan allows the Board, compensation committee or other designated committee to make equity-based and cash-based incentive awards to its officers, employees, directors and other key persons (including consultants).</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initially reserved 616,300 shares of its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its Board or compensation committee (the “Plan Evergreen”). This number is subject to adjustment in the event of a stock split, stock dividend or other change in its capitalization.</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April 16, 2020, the Board adopted an amendment to the 2018 Plan (the “Amendment”), to (i) increase the number of shares of common stock currently reserved for issuance under the 2018 Plan by 3,300,000 shares and (ii) automatically terminate the 2018 Plan’s annual increase (or “evergreen”) provision after January 2022. The Amendment was approved by the Board on June 4, 2020 and the Company’s stockholders on June 4, 2020.</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2018 Plan was 7,978,667 as of December 31, 2023, which does not include the shares added to the 2018 Plan reserve on January 1, 2024 as a result of the Plan Evergreen for the year ended December 31, 2023.</w:t>
      </w:r>
    </w:p>
    <w:p>
      <w:pPr>
        <w:spacing w:after="0" w:line="16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granted options to purchase 123,501 and, 5,369,650 shares, respectively, of common stock to employees, nonemployees and members of the Board.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2018 Employee Stock Purchase Plan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2018 Employee Stock Purchase Plan (the “ESPP”) was adopted by the Board on June 1, 2018 and approved by stockholders on June 7, 2018 and became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 (i) 1% of the outstanding number of shares of our common stock on the immediately preceding December 31; (ii) 1,115,700 shares or (iii) such number of shares as determined by the ESPP administrator (the “ESPP Evergreen”). With respect to the January 1, 2024 ESPP Evergreen, the Company’s Compensation Committee opted to allocate zero additional shares to the ESPP share reserve. The number of shares reserved under the ESPP is subject to adjustment in the event of a stock split, stock dividend or other change in the Company’s capitalization.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issued 134,439 and 120,947 shares, respectively of common stock. The total number of shares of common stock available for future grant was 1,771,748 as of December 31, 2023.</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2019 Inducement Plan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Company’s 2019 Inducement Plan (the “2019 Plan”) was adopted by the Board on December 11, 2019. The purpose of the 2019 Plan is to allow the Company to grant equity awards to new employees as inducements material to such new employee’s acceptance of employment with the Company. The Company intends that the shares underlying the 2019 Plan be reserved for persons to whom the Company may issue securities without stockholder approval as an inducement pursuant to Rule 5635(c)(4) of the Nasdaq marketplace rules.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initially reserved 1,800,000 shares of its common stock for the issuance of awards under the 2019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2019 Plan was 1,407,211 as of December 31, 2023.</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Company’s 2020 Inducement Plan (the “2020 Plan”) was adopted by the Board on December 9, 2020. The purpose of the 2020 Plan is to allow the Company to grant equity awards to new employees as inducements material to such new employee’s acceptance of employment with the Company. The Company intends that the shares underlying the 2020 Plan be reserved for persons to whom the Company may issue securities without stockholder approval as an inducement pursuant to Rule 5635(c)(4) of the Nasdaq marketplace rules.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initially reserved 1,700,000 shares of its common stock for the issuance of awards under the 2020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number of shares of common stock available for future grant under the 2020 Plan was 1,700,000 as of December 31, 2023.</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46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00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2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52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3.82%</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52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83.36%</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80.43%</w:t>
            </w: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900" w:type="dxa"/>
            <w:vAlign w:val="bottom"/>
          </w:tcPr>
          <w:p>
            <w:pPr>
              <w:spacing w:after="0"/>
              <w:rPr>
                <w:sz w:val="20"/>
                <w:szCs w:val="20"/>
                <w:color w:val="auto"/>
              </w:rPr>
            </w:pPr>
          </w:p>
        </w:tc>
        <w:tc>
          <w:tcPr>
            <w:tcW w:w="16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346"/>
        </w:trPr>
        <w:tc>
          <w:tcPr>
            <w:tcW w:w="3000" w:type="dxa"/>
            <w:vAlign w:val="bottom"/>
          </w:tcPr>
          <w:p>
            <w:pPr>
              <w:spacing w:after="0"/>
              <w:rPr>
                <w:sz w:val="24"/>
                <w:szCs w:val="24"/>
                <w:color w:val="auto"/>
              </w:rPr>
            </w:pPr>
          </w:p>
        </w:tc>
        <w:tc>
          <w:tcPr>
            <w:tcW w:w="4520" w:type="dxa"/>
            <w:vAlign w:val="bottom"/>
            <w:gridSpan w:val="3"/>
          </w:tcPr>
          <w:p>
            <w:pPr>
              <w:jc w:val="right"/>
              <w:ind w:right="3160"/>
              <w:spacing w:after="0"/>
              <w:rPr>
                <w:sz w:val="20"/>
                <w:szCs w:val="20"/>
                <w:color w:val="auto"/>
              </w:rPr>
            </w:pPr>
            <w:r>
              <w:rPr>
                <w:rFonts w:ascii="Times New Roman" w:cs="Times New Roman" w:eastAsia="Times New Roman" w:hAnsi="Times New Roman"/>
                <w:sz w:val="18"/>
                <w:szCs w:val="18"/>
                <w:color w:val="auto"/>
              </w:rPr>
              <w:t>F-44</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00"/>
          </w:cols>
          <w:pgMar w:left="320" w:top="455" w:right="5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year ended December 31,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2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123,501</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1.09</w:t>
            </w: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(297,604)</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0.79</w:t>
            </w: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(4,106,896)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7.44</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5,142,272</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7.33</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December 31, 2023</w:t>
            </w:r>
          </w:p>
        </w:tc>
        <w:tc>
          <w:tcPr>
            <w:tcW w:w="1200" w:type="dxa"/>
            <w:vAlign w:val="bottom"/>
            <w:gridSpan w:val="2"/>
          </w:tcPr>
          <w:p>
            <w:pPr>
              <w:spacing w:after="0" w:line="20" w:lineRule="exact"/>
              <w:rPr>
                <w:sz w:val="1"/>
                <w:szCs w:val="1"/>
                <w:color w:val="auto"/>
              </w:rPr>
            </w:pPr>
          </w:p>
        </w:tc>
        <w:tc>
          <w:tcPr>
            <w:tcW w:w="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8.84</w:t>
            </w:r>
          </w:p>
        </w:tc>
        <w:tc>
          <w:tcPr>
            <w:tcW w:w="14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line="20" w:lineRule="exact"/>
              <w:rPr>
                <w:sz w:val="1"/>
                <w:szCs w:val="1"/>
                <w:color w:val="auto"/>
              </w:rPr>
            </w:pPr>
          </w:p>
        </w:tc>
      </w:tr>
      <w:tr>
        <w:trPr>
          <w:trHeight w:val="215"/>
        </w:trPr>
        <w:tc>
          <w:tcPr>
            <w:tcW w:w="5320" w:type="dxa"/>
            <w:vAlign w:val="bottom"/>
            <w:gridSpan w:val="2"/>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3,670,053</w:t>
            </w:r>
          </w:p>
        </w:tc>
        <w:tc>
          <w:tcPr>
            <w:tcW w:w="36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intrinsic value of options exercised during the years ended December 31, 2023 and 2022 was $123 and $50, respectively.</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weighted-average grant-date fair value of the Company’s stock options granted during the years ended December 31, 2023 and 2022 was $0.79 and $0.99,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granted restricted common stock (or restricted stock awards) with time-based vesting conditions to certain employees of the Company. The purchase price of the restricted stock awards are determined by the Board. Unvested shares of restricted stock awards may not be sold or transferred by the holder. These restrictions lapse according to the time- based vesting conditions of each award. The Company has the option to repurchase the restricted stock awards at the original purchase price if the grantee terminates its working relationship with the Company prior to the vesting date. There were no unvested restricted stock awards as of December 31, 2023.</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Restricted stock units represent an unsecured promise to grant at no cost a set number of shares of common stock upon vesting. With respect to restricted stock units, recipients are not entitled to cash dividends and have no voting rights during the vesting period.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award and restricted stock unit activity for the year ended December 31,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2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74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2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as of December 31, 2022</w:t>
            </w:r>
          </w:p>
        </w:tc>
        <w:tc>
          <w:tcPr>
            <w:tcW w:w="24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940,392</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9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1,548,117</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39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(305,502)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Forfeited, cancelled or expired</w:t>
            </w:r>
          </w:p>
        </w:tc>
        <w:tc>
          <w:tcPr>
            <w:tcW w:w="2440" w:type="dxa"/>
            <w:vAlign w:val="bottom"/>
          </w:tcPr>
          <w:p>
            <w:pPr>
              <w:spacing w:after="0"/>
              <w:rPr>
                <w:sz w:val="19"/>
                <w:szCs w:val="19"/>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(1,246,649)</w:t>
            </w: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unvested as of December 31, 2023</w:t>
            </w:r>
          </w:p>
        </w:tc>
        <w:tc>
          <w:tcPr>
            <w:tcW w:w="24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936,358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3960" w:type="dxa"/>
            <w:vAlign w:val="bottom"/>
            <w:gridSpan w:val="3"/>
          </w:tcPr>
          <w:p>
            <w:pPr>
              <w:jc w:val="right"/>
              <w:ind w:right="3260"/>
              <w:spacing w:after="0"/>
              <w:rPr>
                <w:sz w:val="20"/>
                <w:szCs w:val="20"/>
                <w:color w:val="auto"/>
              </w:rPr>
            </w:pPr>
            <w:r>
              <w:rPr>
                <w:rFonts w:ascii="Times New Roman" w:cs="Times New Roman" w:eastAsia="Times New Roman" w:hAnsi="Times New Roman"/>
                <w:sz w:val="18"/>
                <w:szCs w:val="18"/>
                <w:color w:val="auto"/>
              </w:rPr>
              <w:t>F-45</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total fair value of restricted stock awards and restricted stock units vested during the years ended December 31, 2023 and 2022 was $1,449 and $9, respectively.</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Stock-based compensation expense was allocated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0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3"/>
              </w:rPr>
              <w:t>1,927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4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3"/>
              </w:rPr>
              <w:t>4,964</w:t>
            </w:r>
          </w:p>
        </w:tc>
        <w:tc>
          <w:tcPr>
            <w:tcW w:w="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8,737</w:t>
            </w:r>
          </w:p>
        </w:tc>
        <w:tc>
          <w:tcPr>
            <w:tcW w:w="4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6,891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11,522</w:t>
            </w:r>
          </w:p>
        </w:tc>
      </w:tr>
      <w:tr>
        <w:trPr>
          <w:trHeight w:val="20"/>
        </w:trPr>
        <w:tc>
          <w:tcPr>
            <w:tcW w:w="4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total unrecognized compensation cost related to unvested stock-based awards was $4,221, which is expected to be recognized over a weighted-average period of 1.6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401(k) Savings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established a defined contribution savings plan under Section 401(k) of the Internal Revenue Code. Eligible employees may make pretax contributions to the 401(k) Plan up to statutory limits. At the election of the Board, the Company may elect to match employee contributions. Currently, the Company makes matching contributions at a rate of 50% of the first 8% of employee contributions. The Company recorded $388 and $599 of expenses related to its 401(k) match for the years ended December 31, 2023 and 2022,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discussion of the commitments associated with the Company’s lease portfolio.</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Funding Commitments</w:t>
      </w:r>
    </w:p>
    <w:p>
      <w:pPr>
        <w:spacing w:after="0" w:line="11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and clinical sites for the conduct of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and clinical sites. Under these provisions, the Company generally indemnifies and holds harmless the indemnified party for losses suffered or incurred by the indemnified party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980"/>
          </w:cols>
          <w:pgMar w:left="320" w:top="455" w:right="5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during the years ended December 31, 2023 and 2022, and to the best of its knowledge, no material legal proceedings are currently pending or threatened.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is also party to various agreements, principally relating to licensed technology, that require future payments relating to milestones not met as of December 31, 2023 and 2022, or royalties on future sales of specified products. No milestone or royalty payments under these agreements are expected to be payable in the immediate future. See Note 3 </w:t>
      </w:r>
      <w:r>
        <w:rPr>
          <w:rFonts w:ascii="Times New Roman" w:cs="Times New Roman" w:eastAsia="Times New Roman" w:hAnsi="Times New Roman"/>
          <w:sz w:val="18"/>
          <w:szCs w:val="18"/>
          <w:i w:val="1"/>
          <w:iCs w:val="1"/>
          <w:color w:val="auto"/>
        </w:rPr>
        <w:t>“Licenses Agreements”</w:t>
      </w:r>
      <w:r>
        <w:rPr>
          <w:rFonts w:ascii="Times New Roman" w:cs="Times New Roman" w:eastAsia="Times New Roman" w:hAnsi="Times New Roman"/>
          <w:sz w:val="18"/>
          <w:szCs w:val="18"/>
          <w:color w:val="auto"/>
        </w:rPr>
        <w:t xml:space="preserve"> for discussion of these arrangements.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 year ended December 31, 2023, the Company recorded $377 of current income tax expense as a result of the Asset Sale completed on June 9, 2023, and for the year ended December 31, 2022, the Company did not record a current income tax expense or (benefit) due to current and historical losses incurred by the Company. For the years ended December 31, 2023 and 2022 the Company did not record a deferred income tax expense or (benefit) due to current and historical losses incurred by the Company. The Company’s operations are predominantly based in the United States and the Company’s foreign subsidiaries generated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losses for the years ended December 31, 2023 and 2022.</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income tax expense (benefit) computed at the statutory federal income tax rate to the Company’s effective tax rate as reflected in the consolidated financial statements is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4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expense at statutory rate</w:t>
            </w:r>
          </w:p>
        </w:tc>
        <w:tc>
          <w:tcPr>
            <w:tcW w:w="2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21.0%</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94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3.7</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9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394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(0.4)</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94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(4.3)</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94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(48.2)</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394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37.0</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State rate changes</w:t>
            </w:r>
          </w:p>
        </w:tc>
        <w:tc>
          <w:tcPr>
            <w:tcW w:w="394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true ups</w:t>
            </w:r>
          </w:p>
        </w:tc>
        <w:tc>
          <w:tcPr>
            <w:tcW w:w="394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Provision to return</w:t>
            </w:r>
          </w:p>
        </w:tc>
        <w:tc>
          <w:tcPr>
            <w:tcW w:w="2320" w:type="dxa"/>
            <w:vAlign w:val="bottom"/>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10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spacing w:after="0"/>
              <w:rPr>
                <w:sz w:val="19"/>
                <w:szCs w:val="19"/>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4"/>
              </w:rPr>
              <w:t>—  %</w:t>
            </w:r>
          </w:p>
        </w:tc>
      </w:tr>
      <w:tr>
        <w:trPr>
          <w:trHeight w:val="20"/>
        </w:trPr>
        <w:tc>
          <w:tcPr>
            <w:tcW w:w="36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600" w:type="dxa"/>
            <w:vAlign w:val="bottom"/>
          </w:tcPr>
          <w:p>
            <w:pPr>
              <w:spacing w:after="0"/>
              <w:rPr>
                <w:sz w:val="24"/>
                <w:szCs w:val="24"/>
                <w:color w:val="auto"/>
              </w:rPr>
            </w:pPr>
          </w:p>
        </w:tc>
        <w:tc>
          <w:tcPr>
            <w:tcW w:w="394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F-47</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Deferred taxes are recognized for temporary differences between the basis of assets and liabilities for financial statement and income tax purposes.</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comprised of the following:</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5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U.S., foreign and state net operating loss carryforwards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80,185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91,416</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8,356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8,471</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start up and organizational costs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3,710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3,929</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174 R&amp;D capitalization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16,307</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125,015</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(118,658)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(124,695)</w:t>
            </w:r>
          </w:p>
        </w:tc>
      </w:tr>
      <w:tr>
        <w:trPr>
          <w:trHeight w:val="22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0"/>
                <w:szCs w:val="20"/>
                <w:color w:val="auto"/>
              </w:rPr>
            </w:pPr>
          </w:p>
        </w:tc>
      </w:tr>
      <w:tr>
        <w:trPr>
          <w:trHeight w:val="216"/>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As of December 31, 2023 and 2022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2023 and 2022. The valuation allowance decreased by $6,037 during the year ended December 31, 2023, due primarily to net operating income, and increased by $23,802 during the year ended December 31, 2022, due primarily to net operating losses generated.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2023 and 2022, the Company had U.S. federal net operating loss carryforwards of $298,282 and $340,350, respectively, that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be available to offset future income tax liabilities. All of the U.S. federal tax operating losses can be carried forward indefinitely.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2023 and 2022, the Company also had U.S. state net operating loss carryforwards of $277,626 and $316,668, respectively, which may be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available to offset future taxable income. These losses expire at various dates beginning in 2041.</w:t>
      </w:r>
    </w:p>
    <w:p>
      <w:pPr>
        <w:spacing w:after="0" w:line="207"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As of December 31, 2023 and 2022, the Company had federal research and development tax credit carryforwards of $6,395 and $6,824, respectively. Included in the $6,395 of federal tax credit carryforwards are $2,162 of orphan drug credits. Through the year ended December 31, 2020 the Company qualifies for, and has elected to, apply part of its federal research credits against its payroll tax liability in accordance with certain provisions of the Internal Revenue Code. The amount applied towards the Company’s payroll tax liability is capped at $250 per year. The federal research credits generated in excess of the $250 cap are able to be carried forward for 20 years. As of December 31, 2023 and 2022, the Company had state research and development tax credit carryforwards of approximately $2,482 and $2,084, respectively, available to reduce future tax liabilities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which expire at various dates beginning in 2035. For all years through December 31, 2023, the Company generated research credits but has not conducted a study to document the qualified activities. This study may result in an adjustment to the Company’s research and development credit carryforwards.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percentage points,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The Company performed an analysis to determine if an ownership change and subsequent limitation of its attributes had occurred.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 and may result in a limitation in future years.</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Australia and Canada, and in several states. The foreign, federal and state income tax returns are generally subject to tax examinations for the tax years ended December 31, 2020 through December 31, 2023.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Net Income (Loss) per Share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for the years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(in thousands, except share and per share amounts):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common stockholders—basic</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diluted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12,157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(105,890)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44,327,204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43,738,739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Options to purchase common shares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119,677</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95,010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outstanding—diluted</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44,567,918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43,738,739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applicable to common stockholders—</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198"/>
        </w:trPr>
        <w:tc>
          <w:tcPr>
            <w:tcW w:w="5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applicable to common stockholders—</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0.27</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365"/>
        </w:trPr>
        <w:tc>
          <w:tcPr>
            <w:tcW w:w="52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F-49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Diluted earnings per share includes the assumed exercise of dilutive options, the assumed issuance of unvested restricted stock units, and the assumed issuance of shares under the employee stock purchase plan using the treasury stock method unless the effect is anti-dilutive. The treasury stock method assumes that proceeds, including cash received from the exercise of employee stock options and the average unrecognized compensation expense for unvested share-based compensation awards, would be used to purchase the Company’s common stock at the average market price during the period.</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for purposes of the diluted net income (loss) per share calculation, stock options, unvested restricted stock units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income (loss) per share attributable to common stockholders is the same.</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common stock equivalents, presented based on amounts outstanding at each period end, were excluded from the computation of diluted net income (loss) per share attributable to common stockholders for the periods indicated:</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23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00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3,765,482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9,423,271</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662,103</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940,392</w:t>
            </w:r>
          </w:p>
        </w:tc>
      </w:tr>
      <w:tr>
        <w:trPr>
          <w:trHeight w:val="27"/>
        </w:trPr>
        <w:tc>
          <w:tcPr>
            <w:tcW w:w="60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anti-dilutive shares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4,427,585</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10,363,663</w:t>
            </w:r>
          </w:p>
        </w:tc>
      </w:tr>
      <w:tr>
        <w:trPr>
          <w:trHeight w:val="20"/>
        </w:trPr>
        <w:tc>
          <w:tcPr>
            <w:tcW w:w="6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UHN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connection with the Company’s entry into a license agreement with UHN on January 27, 2016, the Company issued UHN 1,161,665 shares of its common stock. Upon the closing of the IPO in 2018, as UHN’s fully-diluted percentage ownership of the Company was reduced within a range of specified percentages, the Company was obligated to pay UHN an amount of $2,000, which was paid in July 2018. For the years ended December 31, 2023 and 2022, the Company recognized $130 and $200, respectively, of research and development expense related to the license agreements with UHN. Refer to Note 3 </w:t>
      </w:r>
      <w:r>
        <w:rPr>
          <w:rFonts w:ascii="Times New Roman" w:cs="Times New Roman" w:eastAsia="Times New Roman" w:hAnsi="Times New Roman"/>
          <w:sz w:val="18"/>
          <w:szCs w:val="18"/>
          <w:i w:val="1"/>
          <w:iCs w:val="1"/>
          <w:color w:val="auto"/>
        </w:rPr>
        <w:t>“License and Purchase Agreements”</w:t>
      </w:r>
      <w:r>
        <w:rPr>
          <w:rFonts w:ascii="Times New Roman" w:cs="Times New Roman" w:eastAsia="Times New Roman" w:hAnsi="Times New Roman"/>
          <w:sz w:val="18"/>
          <w:szCs w:val="18"/>
          <w:color w:val="auto"/>
        </w:rPr>
        <w:t xml:space="preserve"> for additional information regarding the UHN license agreements.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Others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recorded expenses of $934 and $3,200, respectively, related to a sublease to rent lab space, provided by an entity affiliated with a member of the board.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Restructuring</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July 2023, the Board approved a reduction in the Company’s workforce by approximately 50% across different areas and functions in the Company’s July 2023 Workforce Reduction. The July 2023 Workforce Reduction was substantially completed by the end of July 2023. The Company informed affected employees in the July 2023 Workforce Reduction on July 12, 2023. Since the date of the July 2023 Workforce Reduction, the Company’s remaining employees have primarily focused on activities relating to halting further development of the Company’s programs, the pursuit of strategic alternatives, and the provision of services under the previously disclosed Separation Services Agreement between the Company and Novartis in connection with the sale to Novartis of the Company’s cystinosis gene therapy program. Under the July 2023 Workforce Reduction,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AVROBIO,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Company recognized total restructuring expenses of $3,015 for the year ended December 31, 2023, recognized as $1,800 and $1,215 of research and development and general and administrative expense, respectively, in the consolidated statement of operations and comprehensive income (loss). These one-time employee termination benefits are related to affected employees, who were offered separation benefits, including severance payments. Approximately $479 of these expenses were related to non-cash stock-based compensation expense and there are no remaining accrued payments at December 31, 2023.</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Company’s workforce was reduced by 11 employees in the October 2023 Workforce Reduction effective as of October 31, 2023. Under the October 2023 Workforce Reduction, the Company recognized total restructuring expenses of $1,093 for the year ended December 31, 2023 recognized as research and development expense in the consolidated statement of operations and comprehensive income (loss). These one-time employee termination benefits are related to affected employees, who were offered separation benefits, including severance payments. There are no remaining accrued payments at December 31, 2023.</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Company’s workforce was reduced by 8 employees in the December 2023 Workforce Reduction effective as of December 31, 2023. Under the December 2023 Workforce Reduction, the Company recognized total restructuring expenses of $950 for the year ended December 31, 2023 recognized as $866 and $64 of research and development and general and administrative expense, respectively, in the consolidated statement of operations and comprehensive income (loss). The Company estimates an additional $86 of expense related to future one-time employee benefits. These one-time employee termination benefits are related to affected employees, who were offered separation benefits, including severance payments. As of December 31, 2023, the Company had $521 in accrued payments. The Company expects that payments of these costs will substantially be made through the end of the first quarter of 2024.</w:t>
      </w:r>
    </w:p>
    <w:p>
      <w:pPr>
        <w:spacing w:after="0" w:line="19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Employee Severance</w:t>
            </w:r>
          </w:p>
        </w:tc>
      </w:tr>
      <w:tr>
        <w:trPr>
          <w:trHeight w:val="173"/>
        </w:trPr>
        <w:tc>
          <w:tcPr>
            <w:tcW w:w="6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and Other Benefits</w:t>
            </w:r>
          </w:p>
        </w:tc>
      </w:tr>
      <w:tr>
        <w:trPr>
          <w:trHeight w:val="209"/>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(4,058)</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expenses</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r>
      <w:tr>
        <w:trPr>
          <w:trHeight w:val="205"/>
        </w:trPr>
        <w:tc>
          <w:tcPr>
            <w:tcW w:w="61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Liability included in accrued expenses and other current</w:t>
            </w:r>
          </w:p>
        </w:tc>
        <w:tc>
          <w:tcPr>
            <w:tcW w:w="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at December 31, 2023</w:t>
            </w: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20"/>
                <w:szCs w:val="20"/>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Subsequent Events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January 30, 2024, following a comprehensive review of strategic alternatives, the Company entered into the Merger Agreement with Tectonic pursuant to which a wholly-owned subsidiary of the Company will merge with and into Tectonic, with Tectonic surviving as a wholly-owned subsidiary of the Company. The Merger was unanimously approved by the Company’s Board, and the Company’s Board resolved to recommend approval of the Merger Agreement to the Company’s stockholders.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closing of the Merger is subject to approval by the Company’s and Tectonic’s stockholders as well as other customary closing conditions, including the effectiveness of a registration statement on Form S-4 filed with the SEC in connection with the transaction and Nasdaq’s approval of the listing of the shares of the Company’s common stock to be issued in connection with the Merger. If the Company is unable to satisfy certain closing conditions or if other mutual closing conditions are not satisfied, Tectonic will not be obligated to complete the Merger. The Merger Agreement contains certain termination rights of each of the Company and Tectonic. Under certain circumstances detailed in the Merger Agreement, the Company could be required to pay Tectonic a termination fee of approximately $2,713 or Tectonic could be required to pay the Company a termination fee of approximately $4,900. In addition, in certain circumstances upon the termination of the Merger Agreement, the Company could be required to pay the costs and expenses of Tectonic in an amount not to exceed $650. If the Merger is completed, the business of Tectonic will continue as the business of the combined company.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142"/>
        </w:trPr>
        <w:tc>
          <w:tcPr>
            <w:tcW w:w="8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2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28,769</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2,115</w:t>
            </w: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30,884</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3,122</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2,669</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3,444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669</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2,563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8,141</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32,590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30,515</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1,388</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48,064</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120" w:type="dxa"/>
            <w:vAlign w:val="bottom"/>
          </w:tcPr>
          <w:p>
            <w:pPr>
              <w:spacing w:after="0"/>
              <w:rPr>
                <w:sz w:val="19"/>
                <w:szCs w:val="19"/>
                <w:color w:val="auto"/>
              </w:rPr>
            </w:pP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876</w:t>
            </w: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43,408</w:t>
            </w:r>
          </w:p>
        </w:tc>
      </w:tr>
      <w:tr>
        <w:trPr>
          <w:trHeight w:val="223"/>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8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A-1, A-2, A-3 and A-4), $0.0001 par value; 6,825,483 shares authorized as of</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2024 and December 31, 2023; 6,825,483 shares issued and outstanding as of March 31, 2024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aggregate liquidation preference of $87,459 as of March 31, 2024 and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80,627</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87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11,947,558 shares authorized as of March 31, 2024 and December 31,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 2,637,120 and 2,634,246 shares issued and outstanding as of March 31, 2024 and December 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8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6,304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5,979</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6"/>
              </w:rPr>
              <w:t>(105,825)</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(90,604)</w:t>
            </w: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(99,574)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(84,636)</w:t>
            </w:r>
          </w:p>
        </w:tc>
      </w:tr>
      <w:tr>
        <w:trPr>
          <w:trHeight w:val="223"/>
        </w:trPr>
        <w:tc>
          <w:tcPr>
            <w:tcW w:w="8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31,155</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12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OTHER COMPREHENSIVE LOSS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8"/>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10,818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12,985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(14,531)</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(15,221)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(5.83)</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2,608,740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2,222,800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(15,271)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(14,445)</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CONVERTIBLE PREFERRED STOCK AND STOCKHOLDERS’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220" w:type="dxa"/>
            <w:vAlign w:val="bottom"/>
          </w:tcPr>
          <w:p>
            <w:pPr>
              <w:spacing w:after="0"/>
              <w:rPr>
                <w:sz w:val="3"/>
                <w:szCs w:val="3"/>
                <w:color w:val="auto"/>
              </w:rPr>
            </w:pPr>
          </w:p>
        </w:tc>
        <w:tc>
          <w:tcPr>
            <w:tcW w:w="172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20" w:type="dxa"/>
            <w:vAlign w:val="bottom"/>
          </w:tcPr>
          <w:p>
            <w:pPr>
              <w:spacing w:after="0"/>
              <w:rPr>
                <w:sz w:val="3"/>
                <w:szCs w:val="3"/>
                <w:color w:val="auto"/>
              </w:rPr>
            </w:pPr>
          </w:p>
        </w:tc>
        <w:tc>
          <w:tcPr>
            <w:tcW w:w="160" w:type="dxa"/>
            <w:vAlign w:val="bottom"/>
            <w:vMerge w:val="restart"/>
          </w:tcPr>
          <w:p>
            <w:pPr>
              <w:spacing w:after="0"/>
              <w:rPr>
                <w:sz w:val="3"/>
                <w:szCs w:val="3"/>
                <w:color w:val="auto"/>
              </w:rPr>
            </w:pPr>
          </w:p>
        </w:tc>
        <w:tc>
          <w:tcPr>
            <w:tcW w:w="1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15"/>
        </w:trPr>
        <w:tc>
          <w:tcPr>
            <w:tcW w:w="3220" w:type="dxa"/>
            <w:vAlign w:val="bottom"/>
          </w:tcPr>
          <w:p>
            <w:pPr>
              <w:spacing w:after="0"/>
              <w:rPr>
                <w:sz w:val="9"/>
                <w:szCs w:val="9"/>
                <w:color w:val="auto"/>
              </w:rPr>
            </w:pPr>
          </w:p>
        </w:tc>
        <w:tc>
          <w:tcPr>
            <w:tcW w:w="1720" w:type="dxa"/>
            <w:vAlign w:val="bottom"/>
            <w:gridSpan w:val="6"/>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160" w:type="dxa"/>
            <w:vAlign w:val="bottom"/>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right"/>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line="20" w:lineRule="exact"/>
              <w:rPr>
                <w:sz w:val="1"/>
                <w:szCs w:val="1"/>
                <w:color w:val="auto"/>
              </w:rPr>
            </w:pPr>
          </w:p>
        </w:tc>
        <w:tc>
          <w:tcPr>
            <w:tcW w:w="140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0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4"/>
              </w:rPr>
              <w:t>Paid-in Capital</w:t>
            </w:r>
          </w:p>
        </w:tc>
        <w:tc>
          <w:tcPr>
            <w:tcW w:w="24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as of December 31, 2023</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6,825,483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5"/>
              </w:rPr>
              <w:t>80,627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2,634,246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74"/>
              </w:rPr>
              <w:t>(11)</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(90,604)</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(84,636)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(15,221)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(15,221)</w:t>
            </w:r>
          </w:p>
        </w:tc>
        <w:tc>
          <w:tcPr>
            <w:tcW w:w="0" w:type="dxa"/>
            <w:vAlign w:val="bottom"/>
          </w:tcPr>
          <w:p>
            <w:pPr>
              <w:spacing w:after="0"/>
              <w:rPr>
                <w:sz w:val="1"/>
                <w:szCs w:val="1"/>
                <w:color w:val="auto"/>
              </w:rPr>
            </w:pPr>
          </w:p>
        </w:tc>
      </w:tr>
      <w:tr>
        <w:trPr>
          <w:trHeight w:val="194"/>
        </w:trPr>
        <w:tc>
          <w:tcPr>
            <w:tcW w:w="3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w:t>
            </w: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6,825,483</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80,627</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2,637,120</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720" w:type="dxa"/>
            <w:vAlign w:val="bottom"/>
            <w:gridSpan w:val="2"/>
          </w:tcPr>
          <w:p>
            <w:pPr>
              <w:jc w:val="right"/>
              <w:ind w:right="33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(53)</w:t>
            </w: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w w:val="99"/>
              </w:rPr>
              <w:t>$ (105,825)</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(99,574)</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220" w:type="dxa"/>
            <w:vAlign w:val="bottom"/>
          </w:tcPr>
          <w:p>
            <w:pPr>
              <w:spacing w:after="0"/>
              <w:rPr>
                <w:sz w:val="24"/>
                <w:szCs w:val="24"/>
                <w:color w:val="auto"/>
              </w:rPr>
            </w:pPr>
          </w:p>
        </w:tc>
        <w:tc>
          <w:tcPr>
            <w:tcW w:w="172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20" w:type="dxa"/>
            <w:vAlign w:val="bottom"/>
            <w:shd w:val="clear" w:color="auto" w:fill="000000"/>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vMerge w:val="restart"/>
          </w:tcPr>
          <w:p>
            <w:pPr>
              <w:jc w:val="right"/>
              <w:ind w:right="4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40" w:type="dxa"/>
            <w:vAlign w:val="bottom"/>
          </w:tcPr>
          <w:p>
            <w:pPr>
              <w:spacing w:after="0" w:line="20" w:lineRule="exact"/>
              <w:rPr>
                <w:sz w:val="1"/>
                <w:szCs w:val="1"/>
                <w:color w:val="auto"/>
              </w:rPr>
            </w:pPr>
          </w:p>
        </w:tc>
        <w:tc>
          <w:tcPr>
            <w:tcW w:w="1400" w:type="dxa"/>
            <w:vAlign w:val="bottom"/>
            <w:gridSpan w:val="3"/>
            <w:vMerge w:val="restart"/>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00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vMerge w:val="restart"/>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95"/>
        </w:trPr>
        <w:tc>
          <w:tcPr>
            <w:tcW w:w="3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shd w:val="clear" w:color="auto" w:fill="000000"/>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00" w:type="dxa"/>
            <w:vAlign w:val="bottom"/>
            <w:gridSpan w:val="3"/>
            <w:vMerge w:val="continue"/>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shd w:val="clear" w:color="auto" w:fill="000000"/>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40" w:type="dxa"/>
            <w:vAlign w:val="bottom"/>
          </w:tcPr>
          <w:p>
            <w:pPr>
              <w:spacing w:after="0"/>
              <w:rPr>
                <w:sz w:val="13"/>
                <w:szCs w:val="13"/>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4"/>
              </w:rPr>
              <w:t>Paid-in Capital</w:t>
            </w:r>
          </w:p>
        </w:tc>
        <w:tc>
          <w:tcPr>
            <w:tcW w:w="240" w:type="dxa"/>
            <w:vAlign w:val="bottom"/>
          </w:tcPr>
          <w:p>
            <w:pPr>
              <w:spacing w:after="0"/>
              <w:rPr>
                <w:sz w:val="13"/>
                <w:szCs w:val="13"/>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3"/>
                <w:szCs w:val="13"/>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3"/>
                <w:szCs w:val="13"/>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as of December 31, 2022</w:t>
            </w:r>
          </w:p>
        </w:tc>
        <w:tc>
          <w:tcPr>
            <w:tcW w:w="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6"/>
              </w:rPr>
              <w:t>6,825,483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5"/>
              </w:rPr>
              <w:t>80,627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2,525,771</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2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3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9"/>
              </w:rPr>
              <w:t>— </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(45,654)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w w:val="91"/>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(14,445)</w:t>
            </w: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(14,445)</w:t>
            </w:r>
          </w:p>
        </w:tc>
        <w:tc>
          <w:tcPr>
            <w:tcW w:w="0" w:type="dxa"/>
            <w:vAlign w:val="bottom"/>
          </w:tcPr>
          <w:p>
            <w:pPr>
              <w:spacing w:after="0"/>
              <w:rPr>
                <w:sz w:val="1"/>
                <w:szCs w:val="1"/>
                <w:color w:val="auto"/>
              </w:rPr>
            </w:pPr>
          </w:p>
        </w:tc>
      </w:tr>
      <w:tr>
        <w:trPr>
          <w:trHeight w:val="18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as of</w:t>
            </w: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9"/>
              </w:rPr>
              <w:t>6,825,483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80,627</w:t>
            </w:r>
          </w:p>
        </w:tc>
        <w:tc>
          <w:tcPr>
            <w:tcW w:w="20" w:type="dxa"/>
            <w:vAlign w:val="bottom"/>
            <w:shd w:val="clear" w:color="auto" w:fill="000000"/>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2,527,056</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72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(62,226)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(59,823)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752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(15,221)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(14,445)</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2,326</w:t>
            </w:r>
          </w:p>
        </w:tc>
      </w:tr>
      <w:tr>
        <w:trPr>
          <w:trHeight w:val="216"/>
        </w:trPr>
        <w:tc>
          <w:tcPr>
            <w:tcW w:w="7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7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(10,815)</w:t>
            </w:r>
          </w:p>
        </w:tc>
        <w:tc>
          <w:tcPr>
            <w:tcW w:w="120" w:type="dxa"/>
            <w:vAlign w:val="bottom"/>
          </w:tcPr>
          <w:p>
            <w:pPr>
              <w:spacing w:after="0"/>
              <w:rPr>
                <w:sz w:val="20"/>
                <w:szCs w:val="20"/>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property, equipment and improvements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7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for deferred offering costs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7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0"/>
                <w:szCs w:val="20"/>
                <w:color w:val="auto"/>
              </w:rPr>
            </w:pP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 and restricted cash</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(10,021)</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(11,094)</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36,553</w:t>
            </w:r>
          </w:p>
        </w:tc>
      </w:tr>
      <w:tr>
        <w:trPr>
          <w:trHeight w:val="22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18,748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24,872</w:t>
            </w:r>
          </w:p>
        </w:tc>
      </w:tr>
      <w:tr>
        <w:trPr>
          <w:trHeight w:val="216"/>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75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19,335</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 and other current liabilities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left="560" w:right="100" w:firstLine="423"/>
        <w:spacing w:after="0" w:line="238" w:lineRule="auto"/>
        <w:rPr>
          <w:sz w:val="20"/>
          <w:szCs w:val="20"/>
          <w:color w:val="auto"/>
        </w:rPr>
      </w:pPr>
      <w:r>
        <w:rPr>
          <w:rFonts w:ascii="Times New Roman" w:cs="Times New Roman" w:eastAsia="Times New Roman" w:hAnsi="Times New Roman"/>
          <w:sz w:val="18"/>
          <w:szCs w:val="18"/>
          <w:color w:val="auto"/>
        </w:rPr>
        <w:t>Tectonic Therapeutic, Inc. (“Company”)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(“GPCRs Engineered for Optimal Discovery”), the Company is focused on developing biologic medicines that overcome the existing challenges of GPCR-targeted drug discovery and harness the human body to modify the course of disease. The Company focuses on areas of significant unmet medical need, often where therapeutic options are poor or nonexistent, as these are areas where new medicines have the potential to improve patient quality of life. The Company was incorporated on June 5, 2019 under the laws of the State of Delaware and has its principal headquarters in Watertown, Massachusetts.</w:t>
      </w: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560" w:right="100" w:firstLine="423"/>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560" w:right="80" w:firstLine="423"/>
        <w:spacing w:after="0" w:line="247" w:lineRule="auto"/>
        <w:rPr>
          <w:sz w:val="20"/>
          <w:szCs w:val="20"/>
          <w:color w:val="auto"/>
        </w:rPr>
      </w:pPr>
      <w:r>
        <w:rPr>
          <w:rFonts w:ascii="Times New Roman" w:cs="Times New Roman" w:eastAsia="Times New Roman" w:hAnsi="Times New Roman"/>
          <w:sz w:val="17"/>
          <w:szCs w:val="17"/>
          <w:color w:val="auto"/>
        </w:rPr>
        <w:t>The Company’s proprietary GEODe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As of March 31, 2024, the Company had an accumulated deficit of $105.8 million and has incurred losses and negative cash flows from operations since inception, including a net loss of $15.2 million for the three months ended March 31, 2024. To date, the Company has financed its operations primarily through the issuance of common stock,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w:t>
      </w:r>
    </w:p>
    <w:p>
      <w:pPr>
        <w:spacing w:after="0" w:line="79" w:lineRule="exact"/>
        <w:rPr>
          <w:sz w:val="20"/>
          <w:szCs w:val="20"/>
          <w:color w:val="auto"/>
        </w:rPr>
      </w:pPr>
    </w:p>
    <w:p>
      <w:pPr>
        <w:ind w:left="560" w:right="40" w:firstLine="423"/>
        <w:spacing w:after="0" w:line="256"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On June 20, 2024, the Company completed a merger with AVROBIO, Inc. (“AVROBIO”) pursuant to which the Company received $77.3 million of cash from AVROBIO and completed the sale of $96.6 million of common stock (see Note 14). Management believes that its current cash on hand along with the cash received from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140"/>
        <w:spacing w:after="0" w:line="282" w:lineRule="auto"/>
        <w:rPr>
          <w:sz w:val="20"/>
          <w:szCs w:val="20"/>
          <w:color w:val="auto"/>
        </w:rPr>
      </w:pPr>
      <w:r>
        <w:rPr>
          <w:rFonts w:ascii="Times New Roman" w:cs="Times New Roman" w:eastAsia="Times New Roman" w:hAnsi="Times New Roman"/>
          <w:sz w:val="18"/>
          <w:szCs w:val="18"/>
          <w:color w:val="auto"/>
        </w:rPr>
        <w:t>closing of the merger agreement are sufficient to fund the Company’s planned operations for at least one year from the date of issuance of these unaudited condensed consolidated financial statements.</w:t>
      </w:r>
    </w:p>
    <w:p>
      <w:pPr>
        <w:spacing w:after="0" w:line="306" w:lineRule="exact"/>
        <w:rPr>
          <w:sz w:val="20"/>
          <w:szCs w:val="20"/>
          <w:color w:val="auto"/>
        </w:rPr>
      </w:pPr>
    </w:p>
    <w:p>
      <w:pPr>
        <w:ind w:left="560" w:right="5800" w:hanging="444"/>
        <w:spacing w:after="0" w:line="378" w:lineRule="auto"/>
        <w:tabs>
          <w:tab w:leader="none" w:pos="552"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conformity with generally accepted accounting principles in the United States of America (“GAAP”) and the rules and regulations of the Securities and Exchange Commission (“SEC”). Any reference in these notes to applicable guidance is meant to refer to GAAP, as found in the Accounting Standards Codification (“ASC”) and Accounting Standards Updates (“ASU”) of the Financial Accounting Standards Board (“FASB”). In the opinion of the Company, the accompanying unaudited condensed consolidated financial statements contain all adjustments, consisting of only normal recurring adjustments, necessary for a fair presentation of its financial position and its results of operations, changes in convertible preferred stock and stockholders’ deficit and cash flows. The information as of December 31, 2023 included in the unaudited interim condensed consolidated balance sheets was derived from audited annual consolidated financial statements but does not contain all of the footnote disclosures from the audited annual consolidated financial statements.</w:t>
      </w:r>
    </w:p>
    <w:p>
      <w:pPr>
        <w:spacing w:after="0" w:line="80"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annual consolidated financial statements as of and for the years ended December 31, 2023 and 2022.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disclosure of contingent assets and liabilities at the date of the condensed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and the fair value determination of the SAFEs.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60" w:right="80" w:firstLine="423"/>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subsidiaries. All intercompany balances and transactions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condensed consolidated financial statements upon adoption.</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40"/>
          </w:cols>
          <w:pgMar w:left="320" w:top="455" w:right="5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an Entity’s Own Equity (Subtopic 815-40): Accounting for Convertible Instruments and Contracts in an Entity’s Own Equity (“ASU 2020-06”). ASU 2020-06 simplifies the accounting for convertible instruments by reducing the number of accounting models for 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not carried at fair value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adopted this guidance on January 1, 2024 with no material impact on the condensed consolidated financial statements and disclosures.</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19"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(Topic 280) (“ASU 2023-07”), which enhances the segment disclosure requirements for public entities on an annual and interim basis. Under ASU 2023-07, public entities will be required to disclose significant segment expenses that are regularly provided to the chief operating decision maker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condensed consolidated financial statements.</w:t>
      </w:r>
    </w:p>
    <w:p>
      <w:pPr>
        <w:spacing w:after="0" w:line="77" w:lineRule="exact"/>
        <w:rPr>
          <w:sz w:val="20"/>
          <w:szCs w:val="20"/>
          <w:color w:val="auto"/>
        </w:rPr>
      </w:pPr>
    </w:p>
    <w:p>
      <w:pPr>
        <w:ind w:left="560" w:right="100" w:firstLine="423"/>
        <w:spacing w:after="0" w:line="277" w:lineRule="auto"/>
        <w:rPr>
          <w:sz w:val="20"/>
          <w:szCs w:val="20"/>
          <w:color w:val="auto"/>
        </w:rPr>
      </w:pPr>
      <w:r>
        <w:rPr>
          <w:rFonts w:ascii="Times New Roman" w:cs="Times New Roman" w:eastAsia="Times New Roman" w:hAnsi="Times New Roman"/>
          <w:sz w:val="17"/>
          <w:szCs w:val="17"/>
          <w:color w:val="auto"/>
        </w:rPr>
        <w:t xml:space="preserve">In December 2023, the FASB issued 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condensed consolidated financial statements.</w:t>
      </w:r>
    </w:p>
    <w:p>
      <w:pPr>
        <w:spacing w:after="0" w:line="1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106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17,213</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17,213</w:t>
            </w:r>
          </w:p>
        </w:tc>
      </w:tr>
      <w:tr>
        <w:trPr>
          <w:trHeight w:val="223"/>
        </w:trPr>
        <w:tc>
          <w:tcPr>
            <w:tcW w:w="6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17,213</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17,213</w:t>
            </w:r>
          </w:p>
        </w:tc>
        <w:tc>
          <w:tcPr>
            <w:tcW w:w="4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32,590</w:t>
            </w:r>
          </w:p>
        </w:tc>
        <w:tc>
          <w:tcPr>
            <w:tcW w:w="220" w:type="dxa"/>
            <w:vAlign w:val="bottom"/>
          </w:tcPr>
          <w:p>
            <w:pPr>
              <w:spacing w:after="0"/>
              <w:rPr>
                <w:sz w:val="18"/>
                <w:szCs w:val="18"/>
                <w:color w:val="auto"/>
              </w:rPr>
            </w:pP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32,590</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32,590</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32,590</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6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460" w:type="dxa"/>
            <w:vAlign w:val="bottom"/>
          </w:tcPr>
          <w:p>
            <w:pPr>
              <w:spacing w:after="0"/>
              <w:rPr>
                <w:sz w:val="12"/>
                <w:szCs w:val="12"/>
                <w:color w:val="auto"/>
              </w:rPr>
            </w:pPr>
          </w:p>
        </w:tc>
        <w:tc>
          <w:tcPr>
            <w:tcW w:w="1060" w:type="dxa"/>
            <w:vAlign w:val="bottom"/>
            <w:gridSpan w:val="3"/>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82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4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27,278</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8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r>
      <w:tr>
        <w:trPr>
          <w:trHeight w:val="223"/>
        </w:trPr>
        <w:tc>
          <w:tcPr>
            <w:tcW w:w="6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27,278</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27,278</w:t>
            </w:r>
          </w:p>
        </w:tc>
        <w:tc>
          <w:tcPr>
            <w:tcW w:w="4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30,515</w:t>
            </w:r>
          </w:p>
        </w:tc>
        <w:tc>
          <w:tcPr>
            <w:tcW w:w="220" w:type="dxa"/>
            <w:vAlign w:val="bottom"/>
          </w:tcPr>
          <w:p>
            <w:pPr>
              <w:spacing w:after="0"/>
              <w:rPr>
                <w:sz w:val="18"/>
                <w:szCs w:val="18"/>
                <w:color w:val="auto"/>
              </w:rPr>
            </w:pPr>
          </w:p>
        </w:tc>
        <w:tc>
          <w:tcPr>
            <w:tcW w:w="8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30,515</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30,515</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4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Company’s cash equivalents, which were invested in money market funds, were valued based on Level 1 inputs.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(see Note 13). The SAFE liabilities are included within the Level 3 fair value hierarchy. The SAFE liabilities were valued using a probability weighted scenario analysis and discount rates derived by application of the build-up method to reflect the cost of equity. The valuation model requires a variety of inputs, including the probability of occurrence of events that would trigger conversion or redemption of the SAFEs, the expected timing of such events, and a discount rate.</w:t>
      </w:r>
    </w:p>
    <w:p>
      <w:pPr>
        <w:spacing w:after="0" w:line="75" w:lineRule="exact"/>
        <w:rPr>
          <w:sz w:val="20"/>
          <w:szCs w:val="20"/>
          <w:color w:val="auto"/>
        </w:rPr>
      </w:pPr>
    </w:p>
    <w:p>
      <w:pPr>
        <w:ind w:left="560" w:right="260" w:firstLine="423"/>
        <w:spacing w:after="0" w:line="276" w:lineRule="auto"/>
        <w:rPr>
          <w:sz w:val="20"/>
          <w:szCs w:val="20"/>
          <w:color w:val="auto"/>
        </w:rPr>
      </w:pPr>
      <w:r>
        <w:rPr>
          <w:rFonts w:ascii="Times New Roman" w:cs="Times New Roman" w:eastAsia="Times New Roman" w:hAnsi="Times New Roman"/>
          <w:sz w:val="17"/>
          <w:szCs w:val="17"/>
          <w:color w:val="auto"/>
        </w:rPr>
        <w:t>The valuations of the SAFE liabilities as of March 31, 2024 and December 31, 2023, were determined based on a probability-weighted scenario analysis that assumed the probabilities of the occurrence of an equity financing, public listing transaction and dissolution to be 10.0%,</w:t>
      </w:r>
    </w:p>
    <w:p>
      <w:pPr>
        <w:spacing w:after="0" w:line="1"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87.5% and 2.5% respectively. The estimated time to redemption used in the March 31, 2024 valuation was two months for an equity financing and dissolution and one month for a public listing transaction. The estimated time to redemption used in the December 31, 2023 valuation was five months for an equity financing and dissolution and four months for a public listing transaction. The valuations used a discount rate of 30.2% to approximate the cost of equity, which was derived from application of a build-up method that incorporated the risk-free rate at the valuation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date, and adjustments to reflect market risk, a small stock premium, and a selected company-specific risk premium. The valuation of the SAFE liabilities at the October issuance date was determined using the same methodology; however, the discount rate was 30.9% due to the higher risk-free rate at the valuation date. In October 2023, the probabilities of the occurrence of an equity financing, public listing transaction and dissolution used were 87.5%, 10.0%, and 2.5%, respectively. The estimated time to redemption used was 1.5 months for an equity financing and 5.5 months for a public listing transaction and dissolution.</w:t>
      </w:r>
    </w:p>
    <w:p>
      <w:pPr>
        <w:spacing w:after="0" w:line="75"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for the SAFE liabilities that were measured at fair value using significant unobservable Level 3 inputs during the three months ended March 31, 2024 and the year ended December 31, 2023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SAFE Liabilities</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31,515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32,590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7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EQUIPMENT AND IMPROVEMENTS, NET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70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70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w w:val="99"/>
              </w:rPr>
              <w:t>Property, equipment and improvements, net is comprised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5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(2,118)</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460" w:firstLine="423"/>
        <w:spacing w:after="0" w:line="282" w:lineRule="auto"/>
        <w:rPr>
          <w:sz w:val="20"/>
          <w:szCs w:val="20"/>
          <w:color w:val="auto"/>
        </w:rPr>
      </w:pPr>
      <w:r>
        <w:rPr>
          <w:rFonts w:ascii="Times New Roman" w:cs="Times New Roman" w:eastAsia="Times New Roman" w:hAnsi="Times New Roman"/>
          <w:sz w:val="18"/>
          <w:szCs w:val="18"/>
          <w:color w:val="auto"/>
        </w:rPr>
        <w:t>Depreciation expense was $0.3 million and $0.2 million during the three months ended March 31, 2024 and 2023 and was recorded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w w:val="78"/>
              </w:rPr>
              <w:t>2024</w:t>
            </w:r>
          </w:p>
        </w:tc>
        <w:tc>
          <w:tcPr>
            <w:tcW w:w="9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9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w:t>
            </w:r>
          </w:p>
        </w:tc>
        <w:tc>
          <w:tcPr>
            <w:tcW w:w="4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262</w:t>
            </w: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230</w:t>
            </w:r>
          </w:p>
        </w:tc>
      </w:tr>
      <w:tr>
        <w:trPr>
          <w:trHeight w:val="20"/>
        </w:trPr>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These amounts are exclusive of amortization related to finance lease assets of $0.1 million during the three months ended March 31, 2024 and 2023.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209"/>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related costs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office and laboratory costs</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research organization fees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3,207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development and manufacturing organization fees</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2,935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1,798</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392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w:t>
            </w:r>
          </w:p>
        </w:tc>
      </w:tr>
      <w:tr>
        <w:trPr>
          <w:trHeight w:val="27"/>
        </w:trPr>
        <w:tc>
          <w:tcPr>
            <w:tcW w:w="6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w w:val="96"/>
              </w:rPr>
              <w:t>11,048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8,141</w:t>
            </w:r>
          </w:p>
        </w:tc>
      </w:tr>
      <w:tr>
        <w:trPr>
          <w:trHeight w:val="20"/>
        </w:trPr>
        <w:tc>
          <w:tcPr>
            <w:tcW w:w="6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p>
      <w:pPr>
        <w:ind w:left="560" w:right="7140" w:hanging="444"/>
        <w:spacing w:after="0" w:line="377" w:lineRule="auto"/>
        <w:tabs>
          <w:tab w:leader="none" w:pos="552"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spacing w:after="0" w:line="1"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commitments under its operating and finance leases are described in Note 7.</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agreement with the President and Fellows of Harvard College (“Harvard”), for an option fee in the low five digits, whereby Harvard granted the Company an exclusive option to negotiate a worldwide, exclusive, royalty-bearing license under Harvard’s interest in the patent rights covering certain technology that was developed by Harvard. In October 2021, the Company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was expensed.</w:t>
      </w:r>
    </w:p>
    <w:p>
      <w:pPr>
        <w:spacing w:after="0" w:line="80"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As consideration for the License Agreement, the Company agreed to pay Harvard a non-refundable 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 The remaining installment amount of $56,668 is due in July 2024.</w:t>
      </w:r>
    </w:p>
    <w:p>
      <w:pPr>
        <w:spacing w:after="0" w:line="79"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20"/>
        <w:spacing w:after="0" w:line="253" w:lineRule="auto"/>
        <w:rPr>
          <w:sz w:val="20"/>
          <w:szCs w:val="20"/>
          <w:color w:val="auto"/>
        </w:rPr>
      </w:pPr>
      <w:r>
        <w:rPr>
          <w:rFonts w:ascii="Times New Roman" w:cs="Times New Roman" w:eastAsia="Times New Roman" w:hAnsi="Times New Roman"/>
          <w:sz w:val="18"/>
          <w:szCs w:val="18"/>
          <w:color w:val="auto"/>
        </w:rPr>
        <w:t>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w:t>
      </w:r>
    </w:p>
    <w:p>
      <w:pPr>
        <w:spacing w:after="0" w:line="5" w:lineRule="exact"/>
        <w:rPr>
          <w:sz w:val="20"/>
          <w:szCs w:val="20"/>
          <w:color w:val="auto"/>
        </w:rPr>
      </w:pPr>
    </w:p>
    <w:p>
      <w:pPr>
        <w:ind w:left="560" w:right="60" w:hanging="4"/>
        <w:spacing w:after="0" w:line="255" w:lineRule="auto"/>
        <w:tabs>
          <w:tab w:leader="none" w:pos="77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 years after the first commercial sale of the first Know-How Enabled Product and (ii) twelve years after the first commercial sale of the first Licensed Product. There was less than $0.1 million due to Harvard as of March 31, 2024. During the three months ended March 31, 2024 and 2023, the Company paid $0.1 million to Harvard.</w:t>
      </w:r>
    </w:p>
    <w:p>
      <w:pPr>
        <w:spacing w:after="0" w:line="2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121"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On November 29, 2021, the Company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the Company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 will be responsible to pay ATX commercial payments in the low seven digits per year during the first six years of commercial sales, amounting to an amount in the high eight digits in total commercial payments under the license agreement.</w:t>
      </w:r>
    </w:p>
    <w:p>
      <w:pPr>
        <w:spacing w:after="0" w:line="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paid $0.1 million and $0 to ATX, respectively.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left="560" w:right="340" w:firstLine="423"/>
        <w:spacing w:after="0" w:line="266" w:lineRule="auto"/>
        <w:rPr>
          <w:sz w:val="20"/>
          <w:szCs w:val="20"/>
          <w:color w:val="auto"/>
        </w:rPr>
      </w:pPr>
      <w:r>
        <w:rPr>
          <w:rFonts w:ascii="Times New Roman" w:cs="Times New Roman" w:eastAsia="Times New Roman" w:hAnsi="Times New Roman"/>
          <w:sz w:val="18"/>
          <w:szCs w:val="18"/>
          <w:color w:val="auto"/>
        </w:rPr>
        <w:t>On May 1, 2023, the Company entered into a discovery agreement with Adimab, LLC (“Adimab”), an antibody discovery company, whereby the Company and Adimab are collaborating on human antibody discovery in accordance with an agreed upon research program. The Company paid an upfront technology access fee totaling $20,000 upon execution of the agreement.</w:t>
      </w:r>
    </w:p>
    <w:p>
      <w:pPr>
        <w:spacing w:after="0" w:line="68" w:lineRule="exact"/>
        <w:rPr>
          <w:sz w:val="20"/>
          <w:szCs w:val="20"/>
          <w:color w:val="auto"/>
        </w:rPr>
      </w:pPr>
    </w:p>
    <w:p>
      <w:pPr>
        <w:ind w:left="560" w:right="100" w:firstLine="423"/>
        <w:spacing w:after="0" w:line="256" w:lineRule="auto"/>
        <w:rPr>
          <w:sz w:val="20"/>
          <w:szCs w:val="20"/>
          <w:color w:val="auto"/>
        </w:rPr>
      </w:pPr>
      <w:r>
        <w:rPr>
          <w:rFonts w:ascii="Times New Roman" w:cs="Times New Roman" w:eastAsia="Times New Roman" w:hAnsi="Times New Roman"/>
          <w:sz w:val="18"/>
          <w:szCs w:val="18"/>
          <w:color w:val="auto"/>
        </w:rPr>
        <w:t>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As of March 31, 2024, the Company recorded $0.1 million of costs associated with the FTEs in accrued expenses and other current liabilities and $0.1 million of discovery delivery fees in accounts payable.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60" w:right="220" w:firstLine="423"/>
        <w:spacing w:after="0" w:line="266" w:lineRule="auto"/>
        <w:rPr>
          <w:sz w:val="20"/>
          <w:szCs w:val="20"/>
          <w:color w:val="auto"/>
        </w:rPr>
      </w:pPr>
      <w:r>
        <w:rPr>
          <w:rFonts w:ascii="Times New Roman" w:cs="Times New Roman" w:eastAsia="Times New Roman" w:hAnsi="Times New Roman"/>
          <w:sz w:val="18"/>
          <w:szCs w:val="18"/>
          <w:color w:val="auto"/>
        </w:rPr>
        <w:t>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w:t>
      </w:r>
    </w:p>
    <w:p>
      <w:pPr>
        <w:spacing w:after="0" w:line="68" w:lineRule="exact"/>
        <w:rPr>
          <w:sz w:val="20"/>
          <w:szCs w:val="20"/>
          <w:color w:val="auto"/>
        </w:rPr>
      </w:pPr>
    </w:p>
    <w:p>
      <w:pPr>
        <w:ind w:left="560" w:right="120" w:firstLine="423"/>
        <w:spacing w:after="0" w:line="255" w:lineRule="auto"/>
        <w:rPr>
          <w:sz w:val="20"/>
          <w:szCs w:val="20"/>
          <w:color w:val="auto"/>
        </w:rPr>
      </w:pPr>
      <w:r>
        <w:rPr>
          <w:rFonts w:ascii="Times New Roman" w:cs="Times New Roman" w:eastAsia="Times New Roman" w:hAnsi="Times New Roman"/>
          <w:sz w:val="18"/>
          <w:szCs w:val="18"/>
          <w:color w:val="auto"/>
        </w:rPr>
        <w:t>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w:t>
      </w:r>
    </w:p>
    <w:p>
      <w:pPr>
        <w:spacing w:after="0" w:line="81"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w:t>
      </w:r>
    </w:p>
    <w:p>
      <w:pPr>
        <w:spacing w:after="0" w:line="75"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did not have any liabilities or other commitments related to indemnification claims.</w:t>
      </w:r>
    </w:p>
    <w:p>
      <w:pPr>
        <w:spacing w:after="0" w:line="306" w:lineRule="exact"/>
        <w:rPr>
          <w:sz w:val="20"/>
          <w:szCs w:val="20"/>
          <w:color w:val="auto"/>
        </w:rPr>
      </w:pPr>
    </w:p>
    <w:p>
      <w:pPr>
        <w:ind w:left="540" w:hanging="424"/>
        <w:spacing w:after="0"/>
        <w:tabs>
          <w:tab w:leader="none" w:pos="54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The Company has entered into operating leases for office and laboratory facilities and financing leases for laboratory equipment used in research and development activities. The remaining lease terms for its leases range from two years to four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w:t>
      </w:r>
    </w:p>
    <w:p>
      <w:pPr>
        <w:spacing w:after="0" w:line="81"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In November 2020, the Company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220"/>
        <w:spacing w:after="0" w:line="282" w:lineRule="auto"/>
        <w:rPr>
          <w:sz w:val="20"/>
          <w:szCs w:val="20"/>
          <w:color w:val="auto"/>
        </w:rPr>
      </w:pPr>
      <w:r>
        <w:rPr>
          <w:rFonts w:ascii="Times New Roman" w:cs="Times New Roman" w:eastAsia="Times New Roman" w:hAnsi="Times New Roman"/>
          <w:sz w:val="18"/>
          <w:szCs w:val="18"/>
          <w:color w:val="auto"/>
        </w:rPr>
        <w:t>measurement of the lease. The lease expires on January 31, 2026, and contains a five-year renewal option exercisable by the Company which is not included in the measurement of the lease.</w:t>
      </w:r>
    </w:p>
    <w:p>
      <w:pPr>
        <w:spacing w:after="0" w:line="54"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an agreement to sublease a portion of its facility lease to a related party (see Note 13) in exchange for $28,333 per month. The sublease agreement was an operating lease with a term of 18 months and was set to expire on September 30, 2022. In July 2022, the Company granted the sublessee permission to terminate the agreement on July 31, 2022. An immaterial adjustment to straight-line rental income and accrued rent receivable was recorded as part of the early termination. The proceeds from the sublease agreement are recorded as an offset to facilities costs in the periods in which they are earned.</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lease costs for the three months ended March 31, 2024 and 2023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leases for the three months ended March 31, 2024 and 2023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9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104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5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10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118</w:t>
            </w:r>
          </w:p>
        </w:tc>
        <w:tc>
          <w:tcPr>
            <w:tcW w:w="7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2260" w:type="dxa"/>
            <w:vAlign w:val="bottom"/>
            <w:gridSpan w:val="3"/>
          </w:tcPr>
          <w:p>
            <w:pPr>
              <w:jc w:val="right"/>
              <w:ind w:right="668"/>
              <w:spacing w:after="0"/>
              <w:rPr>
                <w:sz w:val="20"/>
                <w:szCs w:val="20"/>
                <w:color w:val="auto"/>
              </w:rPr>
            </w:pPr>
            <w:r>
              <w:rPr>
                <w:rFonts w:ascii="Times New Roman" w:cs="Times New Roman" w:eastAsia="Times New Roman" w:hAnsi="Times New Roman"/>
                <w:sz w:val="18"/>
                <w:szCs w:val="18"/>
                <w:color w:val="auto"/>
              </w:rPr>
              <w:t>31</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2260" w:type="dxa"/>
            <w:vAlign w:val="bottom"/>
            <w:gridSpan w:val="3"/>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381</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gridSpan w:val="3"/>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2.99</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3"/>
          </w:tcPr>
          <w:p>
            <w:pPr>
              <w:jc w:val="right"/>
              <w:ind w:right="668"/>
              <w:spacing w:after="0"/>
              <w:rPr>
                <w:sz w:val="20"/>
                <w:szCs w:val="20"/>
                <w:color w:val="auto"/>
              </w:rPr>
            </w:pPr>
            <w:r>
              <w:rPr>
                <w:rFonts w:ascii="Times New Roman" w:cs="Times New Roman" w:eastAsia="Times New Roman" w:hAnsi="Times New Roman"/>
                <w:sz w:val="18"/>
                <w:szCs w:val="18"/>
                <w:color w:val="auto"/>
              </w:rPr>
              <w:t>1.84</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226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9.65%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2260" w:type="dxa"/>
            <w:vAlign w:val="bottom"/>
            <w:gridSpan w:val="3"/>
            <w:shd w:val="clear" w:color="auto" w:fill="CCEEFF"/>
          </w:tcPr>
          <w:p>
            <w:pPr>
              <w:jc w:val="right"/>
              <w:ind w:right="528"/>
              <w:spacing w:after="0"/>
              <w:rPr>
                <w:sz w:val="20"/>
                <w:szCs w:val="20"/>
                <w:color w:val="auto"/>
              </w:rPr>
            </w:pPr>
            <w:r>
              <w:rPr>
                <w:rFonts w:ascii="Times New Roman" w:cs="Times New Roman" w:eastAsia="Times New Roman" w:hAnsi="Times New Roman"/>
                <w:sz w:val="18"/>
                <w:szCs w:val="18"/>
                <w:color w:val="auto"/>
              </w:rPr>
              <w:t>8.25%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365"/>
        </w:trPr>
        <w:tc>
          <w:tcPr>
            <w:tcW w:w="538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F-64</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38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maturity of the Company’s finance and operating lease liabilities for the three months ended March 31, 2024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40" w:type="dxa"/>
            <w:vAlign w:val="bottom"/>
          </w:tcPr>
          <w:p>
            <w:pPr>
              <w:spacing w:after="0"/>
              <w:rPr>
                <w:sz w:val="16"/>
                <w:szCs w:val="16"/>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 (remaining)</w:t>
            </w:r>
          </w:p>
        </w:tc>
        <w:tc>
          <w:tcPr>
            <w:tcW w:w="3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88"/>
              </w:rPr>
              <w:t>434</w:t>
            </w:r>
          </w:p>
        </w:tc>
        <w:tc>
          <w:tcPr>
            <w:tcW w:w="10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363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1,393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2,866</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(160)</w:t>
            </w:r>
          </w:p>
        </w:tc>
        <w:tc>
          <w:tcPr>
            <w:tcW w:w="3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15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40" w:type="dxa"/>
            <w:vAlign w:val="bottom"/>
            <w:gridSpan w:val="2"/>
            <w:shd w:val="clear" w:color="auto" w:fill="CCEEFF"/>
          </w:tcPr>
          <w:p>
            <w:pPr>
              <w:ind w:left="36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60"/>
              <w:spacing w:after="0"/>
              <w:rPr>
                <w:sz w:val="20"/>
                <w:szCs w:val="20"/>
                <w:color w:val="auto"/>
              </w:rPr>
            </w:pPr>
            <w:r>
              <w:rPr>
                <w:rFonts w:ascii="Times New Roman" w:cs="Times New Roman" w:eastAsia="Times New Roman" w:hAnsi="Times New Roman"/>
                <w:sz w:val="18"/>
                <w:szCs w:val="18"/>
                <w:color w:val="auto"/>
              </w:rPr>
              <w:t>1,233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2,668</w:t>
            </w:r>
          </w:p>
        </w:tc>
      </w:tr>
      <w:tr>
        <w:trPr>
          <w:trHeight w:val="20"/>
        </w:trPr>
        <w:tc>
          <w:tcPr>
            <w:tcW w:w="15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21" w:lineRule="exact"/>
        <w:rPr>
          <w:sz w:val="20"/>
          <w:szCs w:val="20"/>
          <w:color w:val="auto"/>
        </w:rPr>
      </w:pPr>
    </w:p>
    <w:p>
      <w:pPr>
        <w:ind w:left="560" w:right="160" w:firstLine="423"/>
        <w:spacing w:after="0" w:line="261" w:lineRule="auto"/>
        <w:rPr>
          <w:sz w:val="20"/>
          <w:szCs w:val="20"/>
          <w:color w:val="auto"/>
        </w:rPr>
      </w:pPr>
      <w:r>
        <w:rPr>
          <w:rFonts w:ascii="Times New Roman" w:cs="Times New Roman" w:eastAsia="Times New Roman" w:hAnsi="Times New Roman"/>
          <w:sz w:val="18"/>
          <w:szCs w:val="18"/>
          <w:color w:val="auto"/>
        </w:rPr>
        <w:t>The Company issued Series A-1 convertible preferred stock (the “Series A-1 Preferred Stock”), Series A-2 convertible preferred stock (the “Series A-2 Preferred Stock”), Series A-3 convertible preferred stock (the “Series A-3 Preferred Stock”), and Series A-4 convertible preferred stock (the “Series A-4 Preferred Stock” and collectively with the Series A-1 Preferred Stock, the Series A-2 Preferred Stock, and the Series A-3 Preferred Stock, the “Preferred Stock”).</w:t>
      </w:r>
    </w:p>
    <w:p>
      <w:pPr>
        <w:spacing w:after="0" w:line="72" w:lineRule="exact"/>
        <w:rPr>
          <w:sz w:val="20"/>
          <w:szCs w:val="20"/>
          <w:color w:val="auto"/>
        </w:rPr>
      </w:pPr>
    </w:p>
    <w:p>
      <w:pPr>
        <w:ind w:left="560" w:right="460" w:firstLine="423"/>
        <w:spacing w:after="0" w:line="282" w:lineRule="auto"/>
        <w:rPr>
          <w:sz w:val="20"/>
          <w:szCs w:val="20"/>
          <w:color w:val="auto"/>
        </w:rPr>
      </w:pPr>
      <w:r>
        <w:rPr>
          <w:rFonts w:ascii="Times New Roman" w:cs="Times New Roman" w:eastAsia="Times New Roman" w:hAnsi="Times New Roman"/>
          <w:sz w:val="18"/>
          <w:szCs w:val="18"/>
          <w:color w:val="auto"/>
        </w:rPr>
        <w:t>The Preferred Stock as of March 31, 2024 and December 31, 2023 consisted of the following (in thousands, expect share and per share amounts):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March 31, 2024 and December 31, 2023</w:t>
            </w:r>
          </w:p>
        </w:tc>
        <w:tc>
          <w:tcPr>
            <w:tcW w:w="1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0"/>
                <w:szCs w:val="10"/>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1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10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$ 0.0001</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21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$ 0.0001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1,649,188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1,649,188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21,654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21,749</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1,649,188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2100" w:type="dxa"/>
            <w:vAlign w:val="bottom"/>
            <w:gridSpan w:val="3"/>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$ 0.0001</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696,516</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696,516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7,348</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696,516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A-4 Preferred Stock</w:t>
            </w:r>
          </w:p>
        </w:tc>
        <w:tc>
          <w:tcPr>
            <w:tcW w:w="21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rPr>
              <w:t>$ 0.0001</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361,659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361,659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6,825,483</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6,825,483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80,627</w:t>
            </w:r>
          </w:p>
        </w:tc>
        <w:tc>
          <w:tcPr>
            <w:tcW w:w="34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87,459</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6,825,483</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Upon the issuance of each series of the Preferred Stock, the Company assessed the embedded conversion and liquidation features of the issued Preferred Stock and determined that such features did not require the Company to separately account for these features.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Preferred Stock have the following rights and privileges: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560" w:right="160" w:firstLine="423"/>
        <w:spacing w:after="0" w:line="281" w:lineRule="auto"/>
        <w:rPr>
          <w:sz w:val="20"/>
          <w:szCs w:val="20"/>
          <w:color w:val="auto"/>
        </w:rPr>
      </w:pPr>
      <w:r>
        <w:rPr>
          <w:rFonts w:ascii="Times New Roman" w:cs="Times New Roman" w:eastAsia="Times New Roman" w:hAnsi="Times New Roman"/>
          <w:sz w:val="17"/>
          <w:szCs w:val="17"/>
          <w:color w:val="auto"/>
        </w:rPr>
        <w:t>The holders of the Preferred Stock are entitled to receive noncumulative dividends if and when declared by the Board at a rate of 8% per annum. The Company may not declare, pay or set aside any dividends on shares of any other series of capital stock of the Company, other than dividends on common stock payable in common stock, unless the holders of the Preferred Stock first receive, or simultaneously receive, a dividend on each outstanding share of the Preferred Stock. No dividends were declared or paid during through the period ended March 31, 2024.</w:t>
      </w:r>
    </w:p>
    <w:p>
      <w:pPr>
        <w:spacing w:after="0" w:line="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In the event of any involuntary liquidation, dissolution or winding up of the Company or Deemed Liquidation Event, holders of the Preferred Stock shall be paid out of the assets of the Company available for distribution an amount per share equal to the greater of (i) the applicable original issue price, plus any dividends declared but unpaid, or (ii) such amount per share as would have been payable had all shares of the Preferred Stock been converted into shares of common stock.</w:t>
      </w:r>
    </w:p>
    <w:p>
      <w:pPr>
        <w:spacing w:after="0" w:line="72"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If the assets available for distribution to its stockholders are insufficient to pay the holders of shares of the Preferred Stock the full amount which they shall be entitled, the holders of shares of Preferred Stock shall share ratably in any distribution in proportion to the respective amounts which would otherwise be payable if all amounts payable were paid in full.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On any matter presented to the stockholders of the Company for their actions or consideration at any meeting of the Company, each holder of outstanding shares of Series A-1, Series A-3 and Series A-4 (the “Voting Preferred Stock”) shall be entitled to the number of votes equal to the number of whole shares of common stock into which the shares of the Voting Preferred Stock are convertible. Holders of outstanding shares of Series A-2 Preferred Stock are not entitled to voting rights.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The Preferred Stock is conditionally redeemable upon the occurrence of a Deemed Liquidation Event. A Deemed Liquidation Event is defined as (a) a merger or consolidation (an “event”) in which the Company is a constituent party (or a subsidiary of the Company is a constituent party and the Company issues shares of its capital stock pursuant to the event), except those in which the shares Company’s stock outstanding immediately before the event continue to represent, or are converted into or exchanged for shares of capital stock that represent, immediately following the event, at least a majority, by voting power, of the capital stock of (1) the surviving or resulting corporation; or (2) if the surviving or resulting corporation is a wholly owned subsidiary of another corporation immediately following such event, the parent corporation of the surviving or resulting corporation and (b) the sale or disposition of the Company or one or more subsidiaries of the Company.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outstanding shares of the Preferred Stock shall automatically convert into shares of common stock, at the conversion price upon either</w:t>
      </w:r>
    </w:p>
    <w:p>
      <w:pPr>
        <w:spacing w:after="0" w:line="27" w:lineRule="exact"/>
        <w:rPr>
          <w:sz w:val="20"/>
          <w:szCs w:val="20"/>
          <w:color w:val="auto"/>
        </w:rPr>
      </w:pPr>
    </w:p>
    <w:p>
      <w:pPr>
        <w:ind w:left="560" w:right="120" w:hanging="4"/>
        <w:spacing w:after="0" w:line="252" w:lineRule="auto"/>
        <w:tabs>
          <w:tab w:leader="none" w:pos="80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of shares of common stock to the public at a price of at least $39.56280 per share (subject to appropriate adjustment in the event of any stock dividend, stock split, combination or other similar recapitalization with respect to the common stock), in a firm-commitment underwritten initial public offering, resulting in at least $75.0 million of gross proceeds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or (b) the date and time, or the occurrence of an event, specified by vote or written consent of the holders of a majority of the voting preferred stock (the “Requisite Holders”).</w:t>
      </w:r>
    </w:p>
    <w:p>
      <w:pPr>
        <w:spacing w:after="0" w:line="8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As discussed in Note 14, all of the Company’s outstanding preferred stock converted into common stock immediately prior to the closing of the Merger.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60"/>
          </w:cols>
          <w:pgMar w:left="320" w:top="455" w:right="51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w:t>
      </w:r>
    </w:p>
    <w:p>
      <w:pPr>
        <w:spacing w:after="0" w:line="121" w:lineRule="exact"/>
        <w:rPr>
          <w:sz w:val="20"/>
          <w:szCs w:val="20"/>
          <w:color w:val="auto"/>
        </w:rPr>
      </w:pPr>
    </w:p>
    <w:p>
      <w:pPr>
        <w:jc w:val="both"/>
        <w:ind w:left="560" w:firstLine="423"/>
        <w:spacing w:after="0" w:line="266" w:lineRule="auto"/>
        <w:rPr>
          <w:sz w:val="20"/>
          <w:szCs w:val="20"/>
          <w:color w:val="auto"/>
        </w:rPr>
      </w:pPr>
      <w:r>
        <w:rPr>
          <w:rFonts w:ascii="Times New Roman" w:cs="Times New Roman" w:eastAsia="Times New Roman" w:hAnsi="Times New Roman"/>
          <w:sz w:val="18"/>
          <w:szCs w:val="18"/>
          <w:color w:val="auto"/>
        </w:rPr>
        <w:t>Each share of the Preferred Stock shall be convertible at any time and from time to time and without the payment of additional consideration by the holder into such number of fully paid and non-assessable shares of common stock as determined by dividing the original issue price by the conversion price. Each share of Series A-2 Preferred Stock shall be convertible into one share of Series A-1 Preferred Stock.</w:t>
      </w:r>
    </w:p>
    <w:p>
      <w:pPr>
        <w:spacing w:after="0" w:line="68"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The conversion price for the Series A-1 Preferred Stock and the Series A-2 Preferred Stock initially is equal to $13.18760, and the initial conversion price for the Series A-3 Preferred Stock and the Series A-4 Preferred Stock is $10.55008 and $11.20946, respectively. The conversion price is subject to adjustment for any stock-splits, stock dividends, combinations or other similar recapitalizations and other adjustments as set forth in the Company’s ARCOI.</w:t>
      </w:r>
    </w:p>
    <w:p>
      <w:pPr>
        <w:spacing w:after="0" w:line="324" w:lineRule="exact"/>
        <w:rPr>
          <w:sz w:val="20"/>
          <w:szCs w:val="20"/>
          <w:color w:val="auto"/>
        </w:rPr>
      </w:pPr>
    </w:p>
    <w:p>
      <w:pPr>
        <w:ind w:left="540" w:hanging="424"/>
        <w:spacing w:after="0"/>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As of March 31, 2024, the Company’s ARCOI authorized the Company to issue up to 11,947,558 shares of $0.0001 par value common stock, of which, 2,637,120 shares were issued and outstanding.</w:t>
      </w:r>
    </w:p>
    <w:p>
      <w:pPr>
        <w:spacing w:after="0" w:line="54"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Voting, dividend and liquidation rights of the holders of common stock are subject to and qualified by the rights, powers and preferences of the holders of the Preferred Stock. Holders of common stock are entitled to one vote for each share of common stock; however, the holders of the common stock shall not be entitled to vote on any amendment to the ARCOI that relates solely to the terms of one or more outstanding series of preferred stock.</w:t>
      </w:r>
    </w:p>
    <w:p>
      <w:pPr>
        <w:spacing w:after="0" w:line="72" w:lineRule="exact"/>
        <w:rPr>
          <w:sz w:val="20"/>
          <w:szCs w:val="20"/>
          <w:color w:val="auto"/>
        </w:rPr>
      </w:pPr>
    </w:p>
    <w:p>
      <w:pPr>
        <w:ind w:left="560" w:right="80" w:firstLine="423"/>
        <w:spacing w:after="0" w:line="282" w:lineRule="auto"/>
        <w:rPr>
          <w:sz w:val="20"/>
          <w:szCs w:val="20"/>
          <w:color w:val="auto"/>
        </w:rPr>
      </w:pPr>
      <w:r>
        <w:rPr>
          <w:rFonts w:ascii="Times New Roman" w:cs="Times New Roman" w:eastAsia="Times New Roman" w:hAnsi="Times New Roman"/>
          <w:sz w:val="18"/>
          <w:szCs w:val="18"/>
          <w:color w:val="auto"/>
        </w:rPr>
        <w:t>The Company has included in issued and outstanding common stock shares of restricted common stock granted by the Company. As of March 31, 2024, there were 2,637,120 common shares issued and outstanding, of which 2,615,555 relate to shares of unrestricted common stock.</w:t>
      </w:r>
    </w:p>
    <w:p>
      <w:pPr>
        <w:spacing w:after="0" w:line="306" w:lineRule="exact"/>
        <w:rPr>
          <w:sz w:val="20"/>
          <w:szCs w:val="20"/>
          <w:color w:val="auto"/>
        </w:rPr>
      </w:pPr>
    </w:p>
    <w:p>
      <w:pPr>
        <w:ind w:left="540" w:hanging="424"/>
        <w:spacing w:after="0"/>
        <w:tabs>
          <w:tab w:leader="none" w:pos="5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June 2019, the Company adopted the 2019 Equity Incentive Plan (the “2019 Plan”), which provides employees, consultants and advisors and non-employee members of the Board of Directors and its affiliates with the opportunity to receive grants of stock options, stock awards and equity awards. Since inception, the Company has only issued stock options. Under the 2019 Plan, the Company may grant equity awards that could require the issuance of up to 1,991,264 shares of the Company’s common stock.</w:t>
      </w:r>
    </w:p>
    <w:p>
      <w:pPr>
        <w:spacing w:after="0" w:line="72" w:lineRule="exact"/>
        <w:rPr>
          <w:sz w:val="20"/>
          <w:szCs w:val="20"/>
          <w:color w:val="auto"/>
        </w:rPr>
      </w:pPr>
    </w:p>
    <w:p>
      <w:pPr>
        <w:jc w:val="both"/>
        <w:ind w:left="560" w:right="20" w:firstLine="423"/>
        <w:spacing w:after="0" w:line="266" w:lineRule="auto"/>
        <w:rPr>
          <w:sz w:val="20"/>
          <w:szCs w:val="20"/>
          <w:color w:val="auto"/>
        </w:rPr>
      </w:pPr>
      <w:r>
        <w:rPr>
          <w:rFonts w:ascii="Times New Roman" w:cs="Times New Roman" w:eastAsia="Times New Roman" w:hAnsi="Times New Roman"/>
          <w:sz w:val="18"/>
          <w:szCs w:val="18"/>
          <w:color w:val="auto"/>
        </w:rPr>
        <w:t>For incentive stock options and non-statutory stock options, the option exercise price may not be less than 100% of the estimated fair value on the date of grant. Options granted typically vest over a four-year period but may be granted with different vesting terms. The options expire ten years from the grant date.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 summary of the activity in the 2019 Plan for the three months ended March 31, 2024 is as follows (in thousands except share and per share amounts):</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Weighted-Average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2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center"/>
              <w:ind w:left="494"/>
              <w:spacing w:after="0"/>
              <w:rPr>
                <w:sz w:val="20"/>
                <w:szCs w:val="20"/>
                <w:color w:val="auto"/>
              </w:rPr>
            </w:pPr>
            <w:r>
              <w:rPr>
                <w:rFonts w:ascii="Times New Roman" w:cs="Times New Roman" w:eastAsia="Times New Roman" w:hAnsi="Times New Roman"/>
                <w:sz w:val="18"/>
                <w:szCs w:val="18"/>
                <w:color w:val="auto"/>
              </w:rPr>
              <w:t>1.66</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60" w:type="dxa"/>
            <w:vAlign w:val="bottom"/>
            <w:gridSpan w:val="2"/>
          </w:tcPr>
          <w:p>
            <w:pPr>
              <w:jc w:val="center"/>
              <w:ind w:left="354"/>
              <w:spacing w:after="0"/>
              <w:rPr>
                <w:sz w:val="20"/>
                <w:szCs w:val="20"/>
                <w:color w:val="auto"/>
              </w:rPr>
            </w:pPr>
            <w:r>
              <w:rPr>
                <w:rFonts w:ascii="Times New Roman" w:cs="Times New Roman" w:eastAsia="Times New Roman" w:hAnsi="Times New Roman"/>
                <w:sz w:val="18"/>
                <w:szCs w:val="18"/>
                <w:color w:val="auto"/>
                <w:w w:val="81"/>
              </w:rPr>
              <w:t>— </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1.54</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and expired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(19,558)</w:t>
            </w:r>
          </w:p>
        </w:tc>
        <w:tc>
          <w:tcPr>
            <w:tcW w:w="160" w:type="dxa"/>
            <w:vAlign w:val="bottom"/>
          </w:tcPr>
          <w:p>
            <w:pPr>
              <w:spacing w:after="0"/>
              <w:rPr>
                <w:sz w:val="19"/>
                <w:szCs w:val="19"/>
                <w:color w:val="auto"/>
              </w:rPr>
            </w:pPr>
          </w:p>
        </w:tc>
        <w:tc>
          <w:tcPr>
            <w:tcW w:w="1060" w:type="dxa"/>
            <w:vAlign w:val="bottom"/>
            <w:gridSpan w:val="2"/>
          </w:tcPr>
          <w:p>
            <w:pPr>
              <w:jc w:val="center"/>
              <w:ind w:left="334"/>
              <w:spacing w:after="0"/>
              <w:rPr>
                <w:sz w:val="20"/>
                <w:szCs w:val="20"/>
                <w:color w:val="auto"/>
              </w:rPr>
            </w:pPr>
            <w:r>
              <w:rPr>
                <w:rFonts w:ascii="Times New Roman" w:cs="Times New Roman" w:eastAsia="Times New Roman" w:hAnsi="Times New Roman"/>
                <w:sz w:val="18"/>
                <w:szCs w:val="18"/>
                <w:color w:val="auto"/>
              </w:rPr>
              <w:t>1.36</w:t>
            </w: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0"/>
        </w:trPr>
        <w:tc>
          <w:tcPr>
            <w:tcW w:w="5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March 31, 2024</w:t>
            </w:r>
          </w:p>
        </w:tc>
        <w:tc>
          <w:tcPr>
            <w:tcW w:w="980" w:type="dxa"/>
            <w:vAlign w:val="bottom"/>
            <w:gridSpan w:val="2"/>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center"/>
              <w:ind w:left="334"/>
              <w:spacing w:after="0"/>
              <w:rPr>
                <w:sz w:val="20"/>
                <w:szCs w:val="20"/>
                <w:color w:val="auto"/>
              </w:rPr>
            </w:pPr>
            <w:r>
              <w:rPr>
                <w:rFonts w:ascii="Times New Roman" w:cs="Times New Roman" w:eastAsia="Times New Roman" w:hAnsi="Times New Roman"/>
                <w:sz w:val="18"/>
                <w:szCs w:val="18"/>
                <w:color w:val="auto"/>
              </w:rPr>
              <w:t>1.34</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line="20" w:lineRule="exact"/>
              <w:rPr>
                <w:sz w:val="1"/>
                <w:szCs w:val="1"/>
                <w:color w:val="auto"/>
              </w:rPr>
            </w:pPr>
          </w:p>
        </w:tc>
      </w:tr>
      <w:tr>
        <w:trPr>
          <w:trHeight w:val="210"/>
        </w:trPr>
        <w:tc>
          <w:tcPr>
            <w:tcW w:w="5680" w:type="dxa"/>
            <w:vAlign w:val="bottom"/>
            <w:gridSpan w:val="2"/>
            <w:vMerge w:val="continue"/>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1,068,487</w:t>
            </w:r>
          </w:p>
        </w:tc>
        <w:tc>
          <w:tcPr>
            <w:tcW w:w="2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March 31, 2024</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1,853,500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center"/>
              <w:ind w:left="334"/>
              <w:spacing w:after="0"/>
              <w:rPr>
                <w:sz w:val="20"/>
                <w:szCs w:val="20"/>
                <w:color w:val="auto"/>
              </w:rPr>
            </w:pPr>
            <w:r>
              <w:rPr>
                <w:rFonts w:ascii="Times New Roman" w:cs="Times New Roman" w:eastAsia="Times New Roman" w:hAnsi="Times New Roman"/>
                <w:sz w:val="18"/>
                <w:szCs w:val="18"/>
                <w:color w:val="auto"/>
              </w:rPr>
              <w:t>1.66</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2024. The weighted-average grant-date fair value of options granted during the three months ended March 31, 2023 was $1.34 per share. The total intrinsic value of options exercised during the three months ended March 31, 2024 and 2023 was $3,828 and $411, respectively. Forfeitures of options are recorded as incurred.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received from option exercises for the three months ended March 31, 2024 and 2023 was $4,420 and $0, respectively.</w:t>
      </w:r>
    </w:p>
    <w:p>
      <w:pPr>
        <w:spacing w:after="0" w:line="117" w:lineRule="exact"/>
        <w:rPr>
          <w:sz w:val="20"/>
          <w:szCs w:val="20"/>
          <w:color w:val="auto"/>
        </w:rPr>
      </w:pPr>
    </w:p>
    <w:p>
      <w:pPr>
        <w:ind w:left="560" w:right="180" w:firstLine="423"/>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in the three months ended March 31, 2023 were estimated based on the BSM option pricing model, using the following assumptions: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73"/>
        </w:trPr>
        <w:tc>
          <w:tcPr>
            <w:tcW w:w="590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590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5.93</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111.05% -111.21%</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Since 2019, the Company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March 31, 2024, there were 21,565 shares of unvested restricted common stock, with a repurchase liability of less than $0.1 million, that is classified in accrued expenses and other current liabilities in the accompanying condensed consolidated balance sheet.</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1040"/>
          </w:cols>
          <w:pgMar w:left="320" w:top="455" w:right="5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2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9"/>
        </w:trPr>
        <w:tc>
          <w:tcPr>
            <w:tcW w:w="20" w:type="dxa"/>
            <w:vAlign w:val="bottom"/>
          </w:tcPr>
          <w:p>
            <w:pPr>
              <w:spacing w:after="0"/>
              <w:rPr>
                <w:sz w:val="18"/>
                <w:szCs w:val="18"/>
                <w:color w:val="auto"/>
              </w:rPr>
            </w:pPr>
          </w:p>
        </w:tc>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January 1, 2024</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(13,929)</w:t>
            </w:r>
          </w:p>
        </w:tc>
      </w:tr>
      <w:tr>
        <w:trPr>
          <w:trHeight w:val="223"/>
        </w:trPr>
        <w:tc>
          <w:tcPr>
            <w:tcW w:w="20" w:type="dxa"/>
            <w:vAlign w:val="bottom"/>
          </w:tcPr>
          <w:p>
            <w:pPr>
              <w:spacing w:after="0"/>
              <w:rPr>
                <w:sz w:val="19"/>
                <w:szCs w:val="19"/>
                <w:color w:val="auto"/>
              </w:rPr>
            </w:pPr>
          </w:p>
        </w:tc>
        <w:tc>
          <w:tcPr>
            <w:tcW w:w="6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 as of March 31, 2024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21,565</w:t>
            </w: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00" w:firstLine="42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unvested restricted common stock and restricted common stock vested and forfeited for the three months ended March 31, 2024 and 2023 was immaterial.</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regarding its employees and nonemployees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174</w:t>
            </w:r>
          </w:p>
        </w:tc>
        <w:tc>
          <w:tcPr>
            <w:tcW w:w="40" w:type="dxa"/>
            <w:vAlign w:val="bottom"/>
            <w:shd w:val="clear" w:color="auto" w:fill="CCEEFF"/>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9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101</w:t>
            </w:r>
          </w:p>
        </w:tc>
        <w:tc>
          <w:tcPr>
            <w:tcW w:w="4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275</w:t>
            </w:r>
          </w:p>
        </w:tc>
      </w:tr>
      <w:tr>
        <w:trPr>
          <w:trHeight w:val="20"/>
        </w:trPr>
        <w:tc>
          <w:tcPr>
            <w:tcW w:w="3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The Company records compensation expense on a straight-line basis over the vesting period. As of March 31, 2024, total compensation cost not yet recognized related to unvested stock options was $2.0 million, which is expected to be recognized over a weighted-average period of 2.4 years.</w:t>
      </w:r>
    </w:p>
    <w:p>
      <w:pPr>
        <w:spacing w:after="0" w:line="320"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 Company recorded no income tax provision or benefit.</w:t>
      </w:r>
    </w:p>
    <w:p>
      <w:pPr>
        <w:spacing w:after="0" w:line="117" w:lineRule="exact"/>
        <w:rPr>
          <w:sz w:val="20"/>
          <w:szCs w:val="20"/>
          <w:color w:val="auto"/>
        </w:rPr>
      </w:pPr>
    </w:p>
    <w:p>
      <w:pPr>
        <w:ind w:left="560" w:firstLine="423"/>
        <w:spacing w:after="0" w:line="281" w:lineRule="auto"/>
        <w:rPr>
          <w:sz w:val="20"/>
          <w:szCs w:val="20"/>
          <w:color w:val="auto"/>
        </w:rPr>
      </w:pPr>
      <w:r>
        <w:rPr>
          <w:rFonts w:ascii="Times New Roman" w:cs="Times New Roman" w:eastAsia="Times New Roman" w:hAnsi="Times New Roman"/>
          <w:sz w:val="17"/>
          <w:szCs w:val="17"/>
          <w:color w:val="auto"/>
        </w:rPr>
        <w:t>The Company has evaluated the positive and negative evidence bearing upon its ability to realize its deferred tax assets, which primarily consist of net operating loss carryforwards. The Company has considered its history of cumulative net losses, estimated future taxable income and prudent and feasible tax planning strategies and has concluded that it is more likely than not that the Company will not realize the benefits of its deferred tax assets. As a result, as of March 31, 2024, the Company has maintained a full valuation allowance against its net deferred tax assets.</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080"/>
          </w:cols>
          <w:pgMar w:left="320" w:top="455"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r>
      <w:tr>
        <w:trPr>
          <w:trHeight w:val="196"/>
        </w:trPr>
        <w:tc>
          <w:tcPr>
            <w:tcW w:w="5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(15,221)</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(14,445)</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2,608,740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2,222,800</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74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(5.83)</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r>
      <w:tr>
        <w:trPr>
          <w:trHeight w:val="20"/>
        </w:trPr>
        <w:tc>
          <w:tcPr>
            <w:tcW w:w="5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three months ended March 31, 2024 and 2023, the Company excluded the following potential common shares from the computation of diluted net loss per share attributable to common stockholders for the period because including them would have had an anti-dilutive effect:</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23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6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1,853,500</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1,597,259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21,565</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294,733</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SAFEs (as converted to common 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2,752,216</w:t>
            </w:r>
          </w:p>
        </w:tc>
        <w:tc>
          <w:tcPr>
            <w:tcW w:w="2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11,452,764</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8,717,475</w:t>
            </w:r>
          </w:p>
        </w:tc>
      </w:tr>
      <w:tr>
        <w:trPr>
          <w:trHeight w:val="20"/>
        </w:trPr>
        <w:tc>
          <w:tcPr>
            <w:tcW w:w="6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Scientific Advisory Board Member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of the Company’s co-founders is a member of the Company’s Scientific Advisory Board (“SAB”) and meets the criteria of a related</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party. For each of the three months ended March 31, 2024 and 2023, the Company paid the SAB member fees in the amount of less than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$0.1 million for advisory services provided. There were no amounts due to or from this related party as of March 31, 2024 and December 31,</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2023.</w:t>
      </w:r>
    </w:p>
    <w:p>
      <w:pPr>
        <w:spacing w:after="0" w:line="3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jc w:val="both"/>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Harvard College (“Harvard”) meets the criteria of a related party resulting from the Company’s co-founders’ employment as professors in the Harvard Department of Molecular Pharmacology. Additionally, both co-founders were members of the Board during the three months ended March 31, 2024 and one co-founder is a major shareholder in the Company. Core intellectual property utilized by the Company is licensed from Harvard in exchange for license fees, future milestones and royalties, and equity in the Company in the form of common stock.</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80"/>
          </w:cols>
          <w:pgMar w:left="320" w:top="455"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6"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2024 and 2023, the Company paid Harvard $0.1 and $0.1 million in cash considerations, respectively (see Note 6). Accounts payable to Harvard amounted to less than $0.1 million and $0.1 million as of March 31, 2024 and December 31, 2023, respectively.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121"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representing the purchase amount. All investors are considered related parties of the Company.</w:t>
      </w:r>
    </w:p>
    <w:p>
      <w:pPr>
        <w:spacing w:after="0" w:line="54"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The SAFE agreements have no maturity date, bear no interest, and will be redeemed by the Company upon the occurrence of a triggering event, including an equity financing, public listing transaction, change of control or dissolution. Equity financing is defined as a sale of the Company’s preferred stock at a fixed valuation. In the event of an equity financing, the SAFEs will automatically be redeemed through delivery of a variable number of shares of Company preferred stock equal to the SAFE purchase amount divided by the preferred stock per share issuance price in the equity financing. In the case of the SAFE agreements issued in October 2023, a 10% discount will be applied to the per share issuance price in the equity financing in determining the number of shares of Company preferred stock issued to the investors upon redemption.</w:t>
      </w:r>
    </w:p>
    <w:p>
      <w:pPr>
        <w:spacing w:after="0" w:line="79"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Public listing transaction is defined as a direct listing, initial public offering (“IPO”) of the Company’s common stock, a reverse merger or a SPAC transaction. In any of these instances, the SAFEs will automatically be redeemed through delivery of a variable number of shares of the Company’s common stock determined by dividing the SAFE purchase amount by the offering or conversion price in the respective transaction. In the event of a change in control transaction, the SAFE investors will be entitled to receive a portion of the transaction proceeds equal to the greater of the SAFE purchase amount, payable in cash or other consideration, or the amount payable on the number of shares of the Company’s common stock equal to the SAFE purchase amount divided by the change in control conversion price, as defined in the agreement. In a dissolution event, the investor will automatically be entitled to receive a portion of the dissolution purchase amount equal to the SAFE proceeds.</w:t>
      </w:r>
    </w:p>
    <w:p>
      <w:pPr>
        <w:spacing w:after="0" w:line="7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SAFEs are not in the legal form of an outstanding share or debt and therefore were evaluated under ASC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Equity </w:t>
      </w:r>
      <w:r>
        <w:rPr>
          <w:rFonts w:ascii="Times New Roman" w:cs="Times New Roman" w:eastAsia="Times New Roman" w:hAnsi="Times New Roman"/>
          <w:sz w:val="18"/>
          <w:szCs w:val="18"/>
          <w:color w:val="auto"/>
        </w:rPr>
        <w:t>(“ASC 480”). Because the SAFEs allow for redemption based upon certain triggering events that are outside the Company’s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SAFEs were classified as liabilities pursuant to ASC 480 and initially measured at their fair value upon issuance. In addition, until redemption, the SAFEs are measured at fair value on a recurring basis with subsequent changes in fair value recoded in the Company’s statement of operations and comprehensive loss.</w:t>
      </w:r>
    </w:p>
    <w:p>
      <w:pPr>
        <w:spacing w:after="0" w:line="77"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The SAFEs issued in October 2023 were recognized at their fair value of $10.4 million on the issuance date. The issuance date fair value exceeded the proceeds received by approximately $0.3 million and this difference was recognized as loss at issuance in the consolidated statement of operations and comprehensive loss. The SAFEs issued in December 2023 were recognized at their fair value of approximately $21.4 million on the issuance date. The proceeds received exceeded the issuance date fair value by approximately $2.6 million and this difference was recognized as a capital contribution from the related party investors in additional paid-in capital in the consolidated statement of stockholders’ deficit. The subsequent measurement to the total SAFE liabilities fair value of $32.6 million is recorded in the condensed consolidated statement of operations and comprehensive loss.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160" w:firstLine="423"/>
        <w:spacing w:after="0" w:line="289" w:lineRule="auto"/>
        <w:rPr>
          <w:sz w:val="20"/>
          <w:szCs w:val="20"/>
          <w:color w:val="auto"/>
        </w:rPr>
      </w:pPr>
      <w:r>
        <w:rPr>
          <w:rFonts w:ascii="Times New Roman" w:cs="Times New Roman" w:eastAsia="Times New Roman" w:hAnsi="Times New Roman"/>
          <w:sz w:val="17"/>
          <w:szCs w:val="17"/>
          <w:color w:val="auto"/>
        </w:rPr>
        <w:t>Management has evaluated subsequent events through June 20, 2024, which is the date the unaudited condensed consolidated financial statements were available to be issued, to ensure that these consolidated financial statements include appropriate disclosure of events both recognized in the consolidated financial statements and events which occurred but were not recognized in the consolidated financial statements.</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Merger with AVROBIO</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As discussed in Note 1, on January 30, 2024, the Company entered into an Agreement and Plan of Merger and Reorganization (the “Merger Agreement”) with AVROBIO, pursuant to which the subsidiaries of AVROBIO merged with and into the Company on June 20, 2024, with the Company continuing as a wholly owned subsidiary of the surviving corporation of the merger (the “Merger”). The Merger is being accounted for as a reverse recapitalization in accordance with GAAP, with AVROBIO treated as the acquired company for financial reporting purposes, and the Company treated as the accounting acquirer.</w:t>
      </w:r>
    </w:p>
    <w:p>
      <w:pPr>
        <w:spacing w:after="0" w:line="75"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Upon the closing of the Merger, each outstanding share of the Company’s common stock, including outstanding and unvested restricted stock, was converted into the right to receive a number of shares of AVROBIO’s common stock based on the Exchange Ratio, as defined in the Merger Agreement. Each outstanding and unexercised option to purchase shares of the Company’s common stock immediately prior to closing was assumed by AVROBIO and was converted into an option to purchase shares of AVROBIO common stock, with necessary adjustments to the number of shares and exercise price to reflect the Exchange Ratio. All of the Company’s restricted common stock outstanding and unvested immediately prior to the closing that was assumed by AVROBIO in the Merger remains unvested to the same extent and is subject to the same repurchase option, risk of forfeiture or other condition under any applicable restricted stock purchase agreement. </w:t>
      </w:r>
    </w:p>
    <w:p>
      <w:pPr>
        <w:spacing w:after="0" w:line="81" w:lineRule="exact"/>
        <w:rPr>
          <w:sz w:val="20"/>
          <w:szCs w:val="20"/>
          <w:color w:val="auto"/>
        </w:rPr>
      </w:pPr>
    </w:p>
    <w:p>
      <w:pPr>
        <w:ind w:left="560" w:firstLine="423"/>
        <w:spacing w:after="0" w:line="277" w:lineRule="auto"/>
        <w:rPr>
          <w:sz w:val="20"/>
          <w:szCs w:val="20"/>
          <w:color w:val="auto"/>
        </w:rPr>
      </w:pPr>
      <w:r>
        <w:rPr>
          <w:rFonts w:ascii="Times New Roman" w:cs="Times New Roman" w:eastAsia="Times New Roman" w:hAnsi="Times New Roman"/>
          <w:sz w:val="17"/>
          <w:szCs w:val="17"/>
          <w:color w:val="auto"/>
        </w:rPr>
        <w:t>The Company’s stockholders received approximately 10,956,614 shares of AVROBIO common stock in connection with the Merger, including 11,448 shares of AVROBIO common stock subject to vesting terms, based on the number of shares of the Company’s common stock outstanding immediately prior to the Merger, including restricted stock, the number of shares of common stock issued to investors participating in the Subscription Agreements (as defined below) and SAFEs, and the Company’s convertible preferred stock outstanding immediately prior to the Merger, which was converted into shares of the Company’s common stock on a one-for-one basis immediately prior to the closing of the Merger.</w:t>
      </w:r>
    </w:p>
    <w:p>
      <w:pPr>
        <w:spacing w:after="0" w:line="2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121"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Merger, certain investors of the Company completed the purchase of 7,790,889 shares of the Company’s common stock pursuant to that certain subscription agreement dated January 30, 2024 (the “Subscription Agreement”) at a purchase price of approximately $12.40 per share for an aggregate purchase price of approximately $96.6 million. Shares of the Company’s common stock issued pursuant to the Subscription Agreements were converted into 4,163,606 shares of AVROBIO common stock at the closing of the Merger based on the exchange ratio, pursuant to the Merger Agreement.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60"/>
          </w:cols>
          <w:pgMar w:left="320" w:top="455" w:right="51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 of Tectonic Therapeutic,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Tectonic Therapeutic, Inc. and subsidiaries (the “Company”) as of December 31, 2023 and 2022, the related consolidated statements of operations and other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experienced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00"/>
          </w:cols>
          <w:pgMar w:left="320" w:top="455" w:right="4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 — Refer to Notes 2, 3, and 13 to the financial statements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October and December 2023, the Company entered into Simple Agreements for Future Equity (“SAFEs”) with certain existing investors. The SAFEs allow for redemption based upon certain triggering events that are outside of the control of the Company. As disclosed in Note 2 to the financial statements, the Company accounts for the SAFEs as liabilities at fair value on a recurring basis. Triggering events include an equity financing, public listing transaction, change of control or dissolution. On December 31, 2023, the probabilities of an equity financing, public listing transaction, and dissolution were estimated to be 10%, 87.5%, and 2.5%, respectively. The estimated time to redemption was five months for an equity financing or dissolution and four months for a public listing transaction. Changes in fair value are recognized in the Company’s statements of operations and other comprehensive loss. As of December 31, 2023, the Company has recorded SAFE liabilities of $30.5 million.</w:t>
      </w:r>
    </w:p>
    <w:p>
      <w:pPr>
        <w:spacing w:after="0" w:line="18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identified the valuation of the SAFE liabilities as a critical audit matter due to the level of judgment required by management. This requires a high degree of auditor judgment, subjectivity, and an increased extent of effort in performing procedures to evaluate the reasonableness of management’s estimate, including the need to involve our fair value specialists.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audit procedures related to the valuation of the SAFE liabilities included the following, among others:</w:t>
      </w:r>
    </w:p>
    <w:p>
      <w:pPr>
        <w:spacing w:after="0" w:line="131" w:lineRule="exact"/>
        <w:rPr>
          <w:sz w:val="20"/>
          <w:szCs w:val="20"/>
          <w:color w:val="auto"/>
        </w:rPr>
      </w:pPr>
    </w:p>
    <w:p>
      <w:pPr>
        <w:ind w:left="540" w:hanging="316"/>
        <w:spacing w:after="0"/>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and obtained an understanding of the key terms of the SAFE agreements, including the triggering events.</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valuation assumptions, including triggering event probabilities and the estimated time to triggering events, by comparing the assumptions to known and knowable information at the valuation date.</w:t>
      </w:r>
    </w:p>
    <w:p>
      <w:pPr>
        <w:spacing w:after="0" w:line="67" w:lineRule="exact"/>
        <w:rPr>
          <w:rFonts w:ascii="Times New Roman" w:cs="Times New Roman" w:eastAsia="Times New Roman" w:hAnsi="Times New Roman"/>
          <w:sz w:val="18"/>
          <w:szCs w:val="18"/>
          <w:color w:val="auto"/>
        </w:rPr>
      </w:pPr>
    </w:p>
    <w:p>
      <w:pPr>
        <w:ind w:left="540" w:right="460" w:hanging="316"/>
        <w:spacing w:after="0" w:line="282"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(i) the valuation methodology, and (ii) the discount rate, including testing the source information underlying the determination of the discount rate.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12, 2024</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080"/>
          </w:cols>
          <w:pgMar w:left="320" w:top="455"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35,966</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1,076</w:t>
            </w:r>
          </w:p>
        </w:tc>
      </w:tr>
      <w:tr>
        <w:trPr>
          <w:trHeight w:val="27"/>
        </w:trPr>
        <w:tc>
          <w:tcPr>
            <w:tcW w:w="8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37,042</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right-of-use assets,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3,787</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offering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47,209</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Convertible Preferred Stock and 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8,141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5,814</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7,837</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 - net of current portion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2,992</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liability - net of current portion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1,351</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43,408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A-1, A-2, A-3 and A-4), $0.0001 par value; 6,825,483 shares authorized as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and 2022; 6,825,483 shares issued and outstanding as of December 31, 2023 and 2022; aggregate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liquidation preference of $87,459 as of December 31, 2023 and 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80,627</w:t>
            </w: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80,627</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11,947,558 shares authorized as of December 31, 2023 and 2022; 2,634,246 and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2,525,771 shares issued and outstanding as of December 31, 2023 and 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2,127</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(90,604)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(47,781)</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(84,636)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(45,654)</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39,399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47,209</w:t>
            </w:r>
          </w:p>
        </w:tc>
      </w:tr>
      <w:tr>
        <w:trPr>
          <w:trHeight w:val="20"/>
        </w:trPr>
        <w:tc>
          <w:tcPr>
            <w:tcW w:w="8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gridSpan w:val="7"/>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36,966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25,654</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7,176</w:t>
            </w:r>
          </w:p>
        </w:tc>
        <w:tc>
          <w:tcPr>
            <w:tcW w:w="0" w:type="dxa"/>
            <w:vAlign w:val="bottom"/>
          </w:tcPr>
          <w:p>
            <w:pPr>
              <w:spacing w:after="0"/>
              <w:rPr>
                <w:sz w:val="1"/>
                <w:szCs w:val="1"/>
                <w:color w:val="auto"/>
              </w:rPr>
            </w:pP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(44,648)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issuance of SAFEs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2,373,674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1,969,418</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(42,834</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(32,180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8"/>
        </w:trPr>
        <w:tc>
          <w:tcPr>
            <w:tcW w:w="3380" w:type="dxa"/>
            <w:vAlign w:val="bottom"/>
          </w:tcPr>
          <w:p>
            <w:pPr>
              <w:spacing w:after="0"/>
              <w:rPr>
                <w:sz w:val="2"/>
                <w:szCs w:val="2"/>
                <w:color w:val="auto"/>
              </w:rPr>
            </w:pPr>
          </w:p>
        </w:tc>
        <w:tc>
          <w:tcPr>
            <w:tcW w:w="1700" w:type="dxa"/>
            <w:vAlign w:val="bottom"/>
            <w:gridSpan w:val="6"/>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20" w:type="dxa"/>
            <w:vAlign w:val="bottom"/>
          </w:tcPr>
          <w:p>
            <w:pPr>
              <w:spacing w:after="0"/>
              <w:rPr>
                <w:sz w:val="2"/>
                <w:szCs w:val="2"/>
                <w:color w:val="auto"/>
              </w:rPr>
            </w:pPr>
          </w:p>
        </w:tc>
        <w:tc>
          <w:tcPr>
            <w:tcW w:w="14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gridSpan w:val="2"/>
            <w:vMerge w:val="restart"/>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line="20" w:lineRule="exact"/>
              <w:rPr>
                <w:sz w:val="1"/>
                <w:szCs w:val="1"/>
                <w:color w:val="auto"/>
              </w:rPr>
            </w:pPr>
          </w:p>
        </w:tc>
      </w:tr>
      <w:tr>
        <w:trPr>
          <w:trHeight w:val="122"/>
        </w:trPr>
        <w:tc>
          <w:tcPr>
            <w:tcW w:w="3380" w:type="dxa"/>
            <w:vAlign w:val="bottom"/>
          </w:tcPr>
          <w:p>
            <w:pPr>
              <w:spacing w:after="0"/>
              <w:rPr>
                <w:sz w:val="10"/>
                <w:szCs w:val="10"/>
                <w:color w:val="auto"/>
              </w:rPr>
            </w:pPr>
          </w:p>
        </w:tc>
        <w:tc>
          <w:tcPr>
            <w:tcW w:w="170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3380" w:type="dxa"/>
            <w:vAlign w:val="bottom"/>
          </w:tcPr>
          <w:p>
            <w:pPr>
              <w:spacing w:after="0"/>
              <w:rPr>
                <w:sz w:val="11"/>
                <w:szCs w:val="11"/>
                <w:color w:val="auto"/>
              </w:rPr>
            </w:pPr>
          </w:p>
        </w:tc>
        <w:tc>
          <w:tcPr>
            <w:tcW w:w="880" w:type="dxa"/>
            <w:vAlign w:val="bottom"/>
            <w:gridSpan w:val="3"/>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3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44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200" w:type="dxa"/>
            <w:vAlign w:val="bottom"/>
          </w:tcPr>
          <w:p>
            <w:pPr>
              <w:spacing w:after="0"/>
              <w:rPr>
                <w:sz w:val="11"/>
                <w:szCs w:val="11"/>
                <w:color w:val="auto"/>
              </w:rPr>
            </w:pPr>
          </w:p>
        </w:tc>
        <w:tc>
          <w:tcPr>
            <w:tcW w:w="92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3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1"/>
                <w:szCs w:val="11"/>
                <w:color w:val="auto"/>
              </w:rPr>
            </w:pPr>
          </w:p>
        </w:tc>
        <w:tc>
          <w:tcPr>
            <w:tcW w:w="700" w:type="dxa"/>
            <w:vAlign w:val="bottom"/>
            <w:gridSpan w:val="2"/>
          </w:tcPr>
          <w:p>
            <w:pPr>
              <w:jc w:val="right"/>
              <w:ind w:right="21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as of January 1, 2022</w:t>
            </w:r>
          </w:p>
        </w:tc>
        <w:tc>
          <w:tcPr>
            <w:tcW w:w="7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3,941,829</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$42,610</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2,297,901</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87"/>
              </w:rPr>
              <w:t>(15,601)</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Series A preferred stock—net of</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costs of $12</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2,883,654</w:t>
            </w:r>
          </w:p>
        </w:tc>
        <w:tc>
          <w:tcPr>
            <w:tcW w:w="160" w:type="dxa"/>
            <w:vAlign w:val="bottom"/>
          </w:tcPr>
          <w:p>
            <w:pPr>
              <w:spacing w:after="0"/>
              <w:rPr>
                <w:sz w:val="18"/>
                <w:szCs w:val="18"/>
                <w:color w:val="auto"/>
              </w:rPr>
            </w:pP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38,017</w:t>
            </w:r>
          </w:p>
        </w:tc>
        <w:tc>
          <w:tcPr>
            <w:tcW w:w="20" w:type="dxa"/>
            <w:vAlign w:val="bottom"/>
            <w:shd w:val="clear" w:color="auto" w:fill="000000"/>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3,233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227,486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(32,180)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(32,180)</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December 31, 2022</w:t>
            </w:r>
          </w:p>
        </w:tc>
        <w:tc>
          <w:tcPr>
            <w:tcW w:w="7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6,825,483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80,627</w:t>
            </w:r>
          </w:p>
        </w:tc>
        <w:tc>
          <w:tcPr>
            <w:tcW w:w="28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2,525,771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w w:val="91"/>
              </w:rPr>
              <w:t>— </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87"/>
              </w:rPr>
              <w:t>(47,781)</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108,475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Contribution from related party investors related</w:t>
            </w: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 SAFEs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7"/>
                <w:szCs w:val="17"/>
                <w:color w:val="auto"/>
              </w:rPr>
            </w:pPr>
          </w:p>
        </w:tc>
        <w:tc>
          <w:tcPr>
            <w:tcW w:w="8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000000"/>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(42,823)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(42,823)</w:t>
            </w:r>
          </w:p>
        </w:tc>
        <w:tc>
          <w:tcPr>
            <w:tcW w:w="0" w:type="dxa"/>
            <w:vAlign w:val="bottom"/>
          </w:tcPr>
          <w:p>
            <w:pPr>
              <w:spacing w:after="0"/>
              <w:rPr>
                <w:sz w:val="1"/>
                <w:szCs w:val="1"/>
                <w:color w:val="auto"/>
              </w:rPr>
            </w:pPr>
          </w:p>
        </w:tc>
      </w:t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Balances as of December 31, 2023</w:t>
            </w:r>
          </w:p>
        </w:tc>
        <w:tc>
          <w:tcPr>
            <w:tcW w:w="7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99"/>
              </w:rPr>
              <w:t>6,825,483</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80,627</w:t>
            </w:r>
          </w:p>
        </w:tc>
        <w:tc>
          <w:tcPr>
            <w:tcW w:w="280" w:type="dxa"/>
            <w:vAlign w:val="bottom"/>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2,634,246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 </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5"/>
                <w:szCs w:val="15"/>
                <w:color w:val="auto"/>
                <w:w w:val="71"/>
              </w:rPr>
              <w:t>(11)</w:t>
            </w:r>
          </w:p>
        </w:tc>
        <w:tc>
          <w:tcPr>
            <w:tcW w:w="2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w w:val="97"/>
              </w:rPr>
              <w:t>(90,604</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(84,636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40"/>
          </w:cols>
          <w:pgMar w:left="320" w:top="455" w:right="4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5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(42,823)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(32,180)</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on fixed asset disposal</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issuance of SAFEs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lease expense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issuance of common stock for the exchange of license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(643)</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 of SAFE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4,509</w:t>
            </w:r>
          </w:p>
        </w:tc>
      </w:tr>
      <w:tr>
        <w:trPr>
          <w:trHeight w:val="216"/>
        </w:trPr>
        <w:tc>
          <w:tcPr>
            <w:tcW w:w="7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(1,105)</w:t>
            </w:r>
          </w:p>
        </w:tc>
      </w:tr>
      <w:tr>
        <w:trPr>
          <w:trHeight w:val="216"/>
        </w:trPr>
        <w:tc>
          <w:tcPr>
            <w:tcW w:w="7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(40,681)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(27,637)</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of property, equipment and improvements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(2,088)</w:t>
            </w:r>
          </w:p>
        </w:tc>
      </w:tr>
      <w:tr>
        <w:trPr>
          <w:trHeight w:val="230"/>
        </w:trPr>
        <w:tc>
          <w:tcPr>
            <w:tcW w:w="7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20" w:type="dxa"/>
            <w:vAlign w:val="bottom"/>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SAFEs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34,125</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preferred stock - net of issuance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38,017</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finance lease obligations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7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37,628</w:t>
            </w:r>
          </w:p>
        </w:tc>
        <w:tc>
          <w:tcPr>
            <w:tcW w:w="120" w:type="dxa"/>
            <w:vAlign w:val="bottom"/>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(7,197)</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7,903</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beginning of period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36,553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28,650</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as of end of period</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cash, cash equivalents and restricted cash:</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28,769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35,966</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75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12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equipment through finance leases</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 and other current liabilities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40"/>
          </w:cols>
          <w:pgMar w:left="320" w:top="455" w:right="4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right="5360" w:hanging="444"/>
        <w:spacing w:after="0" w:line="377" w:lineRule="auto"/>
        <w:tabs>
          <w:tab w:leader="none" w:pos="552"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ind w:left="560" w:right="60" w:firstLine="423"/>
        <w:spacing w:after="0" w:line="238" w:lineRule="auto"/>
        <w:rPr>
          <w:sz w:val="20"/>
          <w:szCs w:val="20"/>
          <w:color w:val="auto"/>
        </w:rPr>
      </w:pPr>
      <w:r>
        <w:rPr>
          <w:rFonts w:ascii="Times New Roman" w:cs="Times New Roman" w:eastAsia="Times New Roman" w:hAnsi="Times New Roman"/>
          <w:sz w:val="18"/>
          <w:szCs w:val="18"/>
          <w:color w:val="auto"/>
        </w:rPr>
        <w:t>Tectonic Therapeutic, Inc. (“Company”) is a biotechnology company focused on the discovery and development of therapeutic proteins and antibodies that modulate the activity of G-protein coupled receptors (“GPCRs”). Leveraging its proprietary technology platform called GEODe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(“GPCRs Engineered for Optimal Discovery”), the Company is focused on developing biologic medicines that overcome the existing challenges of GPCR-targeted drug discovery and harness the human body to modify the course of disease. The Company focuses on areas of significant unmet medical need, often where therapeutic options are poor or nonexistent, as these are areas where new medicines have the potential to improve patient quality of life. The Company was incorporated on June 5, 2019 under the laws of the State of Delaware and has its principal headquarters in Watertown, Massachusetts.</w:t>
      </w:r>
    </w:p>
    <w:p>
      <w:pPr>
        <w:spacing w:after="0" w:line="3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75" w:lineRule="exact"/>
        <w:rPr>
          <w:sz w:val="20"/>
          <w:szCs w:val="20"/>
          <w:color w:val="auto"/>
        </w:rPr>
      </w:pPr>
    </w:p>
    <w:p>
      <w:pPr>
        <w:ind w:left="560" w:right="40" w:firstLine="423"/>
        <w:spacing w:after="0" w:line="247" w:lineRule="auto"/>
        <w:rPr>
          <w:sz w:val="20"/>
          <w:szCs w:val="20"/>
          <w:color w:val="auto"/>
        </w:rPr>
      </w:pPr>
      <w:r>
        <w:rPr>
          <w:rFonts w:ascii="Times New Roman" w:cs="Times New Roman" w:eastAsia="Times New Roman" w:hAnsi="Times New Roman"/>
          <w:sz w:val="17"/>
          <w:szCs w:val="17"/>
          <w:color w:val="auto"/>
        </w:rPr>
        <w:t>The Company’s proprietary GEODe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platform is currently in development. There can be no assurance that current and future research and development activities will be successfully completed, that adequate protection for owned intellectual property will be obtained, that any products developed will obtain necessary government regulatory approval or that any approved products will be commercially viable. Even if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2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left="560" w:right="140" w:firstLine="423"/>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$90.6 million and has incurred losses and negative cash flows from operations since inception, including a net loss of $42.8 million for the year ended December 31, 2023. To date, the Company has financed its operations primarily through the issuance of convertible preferred stock, convertible promissory notes and Simple Agreements for Future Equity (“SAFEs”). The Company has devoted substantially all of its financial resources and efforts to business planning, conducting research and development, recruiting management and technical staff, and raising capital. Management expects that the Company’s operating losses and negative cash flows will continue for the foreseeable future as it continues to develop its product candidates.</w:t>
      </w:r>
    </w:p>
    <w:p>
      <w:pPr>
        <w:spacing w:after="0" w:line="79" w:lineRule="exact"/>
        <w:rPr>
          <w:sz w:val="20"/>
          <w:szCs w:val="20"/>
          <w:color w:val="auto"/>
        </w:rPr>
      </w:pPr>
    </w:p>
    <w:p>
      <w:pPr>
        <w:ind w:left="560" w:firstLine="423"/>
        <w:spacing w:after="0" w:line="256" w:lineRule="auto"/>
        <w:rPr>
          <w:sz w:val="20"/>
          <w:szCs w:val="20"/>
          <w:color w:val="auto"/>
        </w:rPr>
      </w:pPr>
      <w:r>
        <w:rPr>
          <w:rFonts w:ascii="Times New Roman" w:cs="Times New Roman" w:eastAsia="Times New Roman" w:hAnsi="Times New Roman"/>
          <w:sz w:val="18"/>
          <w:szCs w:val="18"/>
          <w:color w:val="auto"/>
        </w:rPr>
        <w:t>As the Company continues to develop its proprietary platform and potential product candidates, it will require significant additional research and development efforts, including extensive preclinical and clinical testing and regulatory approval prior to commercialization. It may never achieve profitability, and unless and until it does, it will continue to need to raise additional capital to fund its operations. The Company is seeking to complete a planned reverse merger with AVROBIO, Inc. (“AVROBIO”) (see Note 14). In the event the Company does not complete the reverse merger, the Company plans to seek additional funding through private equity financings, debt financings or other capital sources, including collaboration agreements, strategic alliances and licensing arrangements. The Company may not be able to obtain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100"/>
          </w:cols>
          <w:pgMar w:left="320" w:top="455" w:right="47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financing on acceptable terms, or at all. Although management continues to pursue these plans, there is no assurance that the Company will be successful in obtaining sufficient funding on terms acceptable to the Company to fund continuing operations, if at all. Management believes that the Company’s cash and cash equivalents of $28.8 million as of December 31, 2023 is not sufficient to maintain its current and planned operations for at least the next twelve months following the issuance date of these consolidated financial statements. Management has concluded that these conditions, in aggregate, raise substantial doubt about the Company’s ability to continue as a going concern.</w:t>
      </w:r>
    </w:p>
    <w:p>
      <w:pPr>
        <w:spacing w:after="0" w:line="75" w:lineRule="exact"/>
        <w:rPr>
          <w:sz w:val="20"/>
          <w:szCs w:val="20"/>
          <w:color w:val="auto"/>
        </w:rPr>
      </w:pPr>
    </w:p>
    <w:p>
      <w:pPr>
        <w:ind w:left="560" w:right="180" w:firstLine="423"/>
        <w:spacing w:after="0" w:line="256" w:lineRule="auto"/>
        <w:rPr>
          <w:sz w:val="20"/>
          <w:szCs w:val="20"/>
          <w:color w:val="auto"/>
        </w:rPr>
      </w:pPr>
      <w:r>
        <w:rPr>
          <w:rFonts w:ascii="Times New Roman" w:cs="Times New Roman" w:eastAsia="Times New Roman" w:hAnsi="Times New Roman"/>
          <w:sz w:val="18"/>
          <w:szCs w:val="18"/>
          <w:color w:val="auto"/>
        </w:rPr>
        <w:t>The Company intends to fund future operations through private and potentially public equity financings, debt financings, collaboration agreements, strategic alliances and licensing arrangements. The availability of sufficient funding to alleviate the conditions that raise substantial doubt are not within management’s control and cannot be assessed as being probable of occurring. If the Company is unable to obtain adequate financing, management will evaluate alternatives, which may include a delay, reduction or elimination of research and development programs, product portfolio expansion or commercialization efforts, which could adversely affect future business prospects, and the ability to continue operations.</w:t>
      </w:r>
    </w:p>
    <w:p>
      <w:pPr>
        <w:spacing w:after="0" w:line="332" w:lineRule="exact"/>
        <w:rPr>
          <w:sz w:val="20"/>
          <w:szCs w:val="20"/>
          <w:color w:val="auto"/>
        </w:rPr>
      </w:pPr>
    </w:p>
    <w:p>
      <w:pPr>
        <w:ind w:left="560" w:right="5860" w:hanging="444"/>
        <w:spacing w:after="0" w:line="377" w:lineRule="auto"/>
        <w:tabs>
          <w:tab w:leader="none" w:pos="55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spacing w:after="0" w:line="2" w:lineRule="exact"/>
        <w:rPr>
          <w:sz w:val="20"/>
          <w:szCs w:val="20"/>
          <w:color w:val="auto"/>
        </w:rPr>
      </w:pPr>
    </w:p>
    <w:p>
      <w:pPr>
        <w:ind w:left="560" w:right="40" w:firstLine="423"/>
        <w:spacing w:after="0" w:line="289"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conformity with generally accepted accounting principles in the United States of America (“GAAP”). Any reference in these notes to applicable guidance is meant to refer to GAAP, as found in the Accounting Standards Codification (“ASC”) and Accounting Standards Updates (“ASU”) of the Financial Accounting Standards Board (“FASB”).</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balances and transactions have been eliminated in consolidation.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at the date of the consolidated financial statements, and the reported amounts of expenses during the reporting periods. Significant items subject to such estimates and assumptions include the contract research accruals, stock-based compensation expense, the fair value of the Company’s common stock, the income tax valuation allowance, the fair value determination of the SAFEs and the preferred stock tranche liability settled in 2022. Management’s estimates are based on historical experience and various other assumptions that it believes are reasonable under the circumstances. Changes in estimates are recorded in the period in which they become known. Actual results could differ from those estimates.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functional currency of the Company’s wholly-owned foreign subsidiary in Australia is Australian Dollars.</w:t>
      </w:r>
    </w:p>
    <w:p>
      <w:pPr>
        <w:spacing w:after="0" w:line="117"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 xml:space="preserve">Accounts and transactions denominated in currencies other than an entity’s functional currency are remeasured into the functional currency using the appropriate foreign exchange rate in accordance with FASB ASC Topic 830, </w:t>
      </w:r>
      <w:r>
        <w:rPr>
          <w:rFonts w:ascii="Times New Roman" w:cs="Times New Roman" w:eastAsia="Times New Roman" w:hAnsi="Times New Roman"/>
          <w:sz w:val="18"/>
          <w:szCs w:val="18"/>
          <w:i w:val="1"/>
          <w:iCs w:val="1"/>
          <w:color w:val="auto"/>
        </w:rPr>
        <w:t>Foreign Currency Matters.</w:t>
      </w:r>
      <w:r>
        <w:rPr>
          <w:rFonts w:ascii="Times New Roman" w:cs="Times New Roman" w:eastAsia="Times New Roman" w:hAnsi="Times New Roman"/>
          <w:sz w:val="18"/>
          <w:szCs w:val="18"/>
          <w:color w:val="auto"/>
        </w:rPr>
        <w:t xml:space="preserve"> All foreign currency transaction gains and losses arising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00"/>
          </w:cols>
          <w:pgMar w:left="320" w:top="455" w:right="4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560" w:right="400"/>
        <w:spacing w:after="0" w:line="289" w:lineRule="auto"/>
        <w:rPr>
          <w:sz w:val="20"/>
          <w:szCs w:val="20"/>
          <w:color w:val="auto"/>
        </w:rPr>
      </w:pPr>
      <w:r>
        <w:rPr>
          <w:rFonts w:ascii="Times New Roman" w:cs="Times New Roman" w:eastAsia="Times New Roman" w:hAnsi="Times New Roman"/>
          <w:sz w:val="17"/>
          <w:szCs w:val="17"/>
          <w:color w:val="auto"/>
        </w:rPr>
        <w:t>from transactions denominated in foreign currencies are recorded in the statements of operations and comprehensive loss as other income or expenses. The financial statements of the Australian subsidiary will be translated into the Company’s U.S. dollar reporting currency at each reporting date, and the translation adjustments will be recognized as an unrealized gain or loss within the cumulative translation adjustment.</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Company considered the Company’s organizational structure and the information regularly reviewed and evaluated by the Company’s chief operating decision maker (“CODM”) when deciding how to allocate resources and assess performance. The Company has determined that its CODM is its Chief Executive Officer. The CODM reviews the financial information on a consolidated basis for purposes of evaluating financial performance and allocating resources. On the basis of this factor, the Company determined that it operates and manages its business as a single operating segment.</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560" w:right="720" w:firstLine="423"/>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As of December 31, 2023, cash equivalents were comprised primarily of money market funds.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60" w:right="200" w:firstLine="423"/>
        <w:spacing w:after="0" w:line="258" w:lineRule="auto"/>
        <w:rPr>
          <w:sz w:val="20"/>
          <w:szCs w:val="20"/>
          <w:color w:val="auto"/>
        </w:rPr>
      </w:pPr>
      <w:r>
        <w:rPr>
          <w:rFonts w:ascii="Times New Roman" w:cs="Times New Roman" w:eastAsia="Times New Roman" w:hAnsi="Times New Roman"/>
          <w:sz w:val="18"/>
          <w:szCs w:val="18"/>
          <w:color w:val="auto"/>
        </w:rPr>
        <w:t>The Company classifies all cash whose use is limited by contractual provisions as restricted cash. Restricted cash arises from the requirement for the Company to maintain cash of $0.6 million as collateral in connection with a letter of credit issued with the corporate headquarters and lab space lease agreement entered into on November 19, 2020 and may not access these funds until after the expiration of the initial lease term on December 31, 2025. The Company has classified the certificate of deposits collateralizing the letter of credits issued as a security deposit as restricted cash in the noncurrent asset section of the balance sheets.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left="560" w:right="100" w:firstLine="423"/>
        <w:spacing w:after="0" w:line="289" w:lineRule="auto"/>
        <w:rPr>
          <w:sz w:val="20"/>
          <w:szCs w:val="20"/>
          <w:color w:val="auto"/>
        </w:rPr>
      </w:pPr>
      <w:r>
        <w:rPr>
          <w:rFonts w:ascii="Times New Roman" w:cs="Times New Roman" w:eastAsia="Times New Roman" w:hAnsi="Times New Roman"/>
          <w:sz w:val="17"/>
          <w:szCs w:val="17"/>
          <w:color w:val="auto"/>
        </w:rPr>
        <w:t>Deferred offering costs consist of direct legal, accounting and other fees and costs directly attributable to the Company’s proposed Merger (see Note 14). The Company capitalized deferred offering costs incurred prior to the close of the Merger which are included in deferred offering costs within the consolidated balance sheet as of December 31, 2023. The deferred offering costs were $0.7 million as of December 31, 2023.</w:t>
      </w:r>
    </w:p>
    <w:p>
      <w:pPr>
        <w:spacing w:after="0" w:line="2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 Sheet Risk</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Periodically, the Company maintains deposits in accredited financial institutions in excess of governmental insured limits. The Company deposits its cash and cash equivalents in financial institutions that it believes have a high credit quality and have not experienced any losses on such accounts and does not believe it is exposed to any unusual credit risk beyond the normal credit risk associated with commercial banking relationships.</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Improvements</w:t>
      </w:r>
    </w:p>
    <w:p>
      <w:pPr>
        <w:spacing w:after="0" w:line="121" w:lineRule="exact"/>
        <w:rPr>
          <w:sz w:val="20"/>
          <w:szCs w:val="20"/>
          <w:color w:val="auto"/>
        </w:rPr>
      </w:pPr>
    </w:p>
    <w:p>
      <w:pPr>
        <w:ind w:left="560" w:right="200" w:firstLine="423"/>
        <w:spacing w:after="0" w:line="266" w:lineRule="auto"/>
        <w:rPr>
          <w:sz w:val="20"/>
          <w:szCs w:val="20"/>
          <w:color w:val="auto"/>
        </w:rPr>
      </w:pPr>
      <w:r>
        <w:rPr>
          <w:rFonts w:ascii="Times New Roman" w:cs="Times New Roman" w:eastAsia="Times New Roman" w:hAnsi="Times New Roman"/>
          <w:sz w:val="18"/>
          <w:szCs w:val="18"/>
          <w:color w:val="auto"/>
        </w:rPr>
        <w:t>Property, equipment and improvements are stated at cost less accumulated depreciation. Depreciation is calculated using the straight-line method over the estimated useful life of each asset. Construction in process is capitalized and once the asset is operational, the Company will commence depreciation of the asset.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40"/>
          </w:cols>
          <w:pgMar w:left="320" w:top="455" w:right="5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recognized. Expenditures for major renewals and improvements that extend the useful life of the asset are capitalized as part of the asset. Expenditures for repairs and maintenance are expensed as incurred.</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estimated useful lives for property and equipment are as follows: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3820" w:type="dxa"/>
            <w:vAlign w:val="bottom"/>
            <w:vMerge w:val="continue"/>
          </w:tcPr>
          <w:p>
            <w:pPr>
              <w:spacing w:after="0"/>
              <w:rPr>
                <w:sz w:val="16"/>
                <w:szCs w:val="16"/>
                <w:color w:val="auto"/>
              </w:rPr>
            </w:pPr>
          </w:p>
        </w:tc>
        <w:tc>
          <w:tcPr>
            <w:tcW w:w="3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years</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Shorter of the lease term or 10 years</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560" w:right="160" w:firstLine="423"/>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which consist primarily of property, equipment and improvements, for impairment whenever events or changes in circumstances indicate that the carrying amount of such assets may not be recoverable. The carrying amount of a long-lived asset is not recoverable if it exceeds the sum of the undiscounted cash flows expected to result from the use and eventual disposition of the asset. If the carrying amount of the asset is not recoverable, an impairment will be recognized and measured as the amount by which the carrying amount of the asset exceeds its fair value. No impairments were identified during the years ended December 31, 2023 and 2022.</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Market participants are independent buyers or sellers in the principal (or most advantageous) market for the asset or liability. Fair value measurements are categorized into a three-tier hierarchy on the basis of the inputs to valuation techniques used to measure fair value. The hierarchy gives the highest priority to unadjusted quoted prices in active markets for identical assets or liabilities (Level 1) and the lowest priority to unobservable inputs (Level 3).</w:t>
      </w:r>
    </w:p>
    <w:p>
      <w:pPr>
        <w:spacing w:after="0" w:line="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127" w:lineRule="exact"/>
        <w:rPr>
          <w:sz w:val="20"/>
          <w:szCs w:val="20"/>
          <w:color w:val="auto"/>
        </w:rPr>
      </w:pPr>
    </w:p>
    <w:p>
      <w:pPr>
        <w:ind w:left="1080" w:right="200" w:hanging="424"/>
        <w:spacing w:after="0" w:line="28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—Unadjusted quoted prices in active markets for identical, unrestricted assets or liabilities that are accessible at the measurement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w:t>
      </w:r>
    </w:p>
    <w:p>
      <w:pPr>
        <w:spacing w:after="0" w:line="60" w:lineRule="exact"/>
        <w:rPr>
          <w:rFonts w:ascii="Times New Roman" w:cs="Times New Roman" w:eastAsia="Times New Roman" w:hAnsi="Times New Roman"/>
          <w:sz w:val="18"/>
          <w:szCs w:val="18"/>
          <w:color w:val="auto"/>
        </w:rPr>
      </w:pPr>
    </w:p>
    <w:p>
      <w:pPr>
        <w:ind w:left="1080" w:right="60" w:hanging="424"/>
        <w:spacing w:after="0" w:line="286" w:lineRule="auto"/>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—Quoted prices for similar assets or liabilities in active markets, quoted prices for identical or similar asset or liabilities in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not active or valuations with significant inputs other than quoted prices that are observable, either directly or indirectly; and,</w:t>
      </w:r>
    </w:p>
    <w:p>
      <w:pPr>
        <w:spacing w:after="0" w:line="6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—Prices or valuations that require inputs that are both significant to the fair value measurement and unobservable.</w:t>
      </w:r>
    </w:p>
    <w:p>
      <w:pPr>
        <w:spacing w:after="0" w:line="121" w:lineRule="exact"/>
        <w:rPr>
          <w:sz w:val="20"/>
          <w:szCs w:val="20"/>
          <w:color w:val="auto"/>
        </w:rPr>
      </w:pPr>
    </w:p>
    <w:p>
      <w:pPr>
        <w:ind w:left="560" w:right="80" w:firstLine="423"/>
        <w:spacing w:after="0" w:line="282" w:lineRule="auto"/>
        <w:rPr>
          <w:sz w:val="20"/>
          <w:szCs w:val="20"/>
          <w:color w:val="auto"/>
        </w:rPr>
      </w:pPr>
      <w:r>
        <w:rPr>
          <w:rFonts w:ascii="Times New Roman" w:cs="Times New Roman" w:eastAsia="Times New Roman" w:hAnsi="Times New Roman"/>
          <w:sz w:val="18"/>
          <w:szCs w:val="18"/>
          <w:color w:val="auto"/>
        </w:rPr>
        <w:t>Financial instruments are categorized in their entirety in the same level of the fair value hierarchy as the lowest level input that is significant to the entire fair value measurement.</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60" w:right="260" w:firstLine="423"/>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costs incurred for the development of the proprietary platform and product candidates and include (1) expenses incurred under agreements with third parties and contract research organizations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(“CROs”), (2) costs to acquire and develop supplies for research, (3) salaries and related costs, including stock-based compensation,</w:t>
      </w:r>
    </w:p>
    <w:p>
      <w:pPr>
        <w:spacing w:after="0" w:line="27" w:lineRule="exact"/>
        <w:rPr>
          <w:sz w:val="20"/>
          <w:szCs w:val="20"/>
          <w:color w:val="auto"/>
        </w:rPr>
      </w:pPr>
    </w:p>
    <w:p>
      <w:pPr>
        <w:ind w:left="560" w:right="300" w:hanging="4"/>
        <w:spacing w:after="0" w:line="253" w:lineRule="auto"/>
        <w:tabs>
          <w:tab w:leader="none" w:pos="8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facility-related and overhead expenses, (5) licensing and license maintenance fees incurred under license option and license agreements where no alternative future use exists, and (6) costs related to compliance with regulatory requirements. The Company recognizes external research and development costs based on an evaluation of the progress to completion of specific tasks using information provided from the Company’s contracted service providers.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Prepaid and Accrued Research and Development Costs</w:t>
      </w:r>
    </w:p>
    <w:p>
      <w:pPr>
        <w:spacing w:after="0" w:line="121"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Substantial portions of the Company’s research are performed by third-party laboratories, CROs and other vendors. These vendors generally bill monthly for services performed, or bill based upon milestone achievement. The Company accrues expenses based upon estimates of percentage of work completed and the contract milestones remaining. On occasion, the Company is obligated to make upfront payments upon execution of research and development agreements. Advance payments, including nonrefundable amounts, for goods or services that will be used or rendered for future research and development activities are capitalized as prepaid expenses until such goods are delivered or the related services are performed. The Company estimates the period over which such services will be performed based on the terms of the agreements as well as the level of effort to be expended in each period. Since inception, the Company has not experienced any material differences between the actual and estimated timing of performance or level of effort.</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560" w:firstLine="423"/>
        <w:spacing w:after="0" w:line="269" w:lineRule="auto"/>
        <w:rPr>
          <w:sz w:val="20"/>
          <w:szCs w:val="20"/>
          <w:color w:val="auto"/>
        </w:rPr>
      </w:pPr>
      <w:r>
        <w:rPr>
          <w:rFonts w:ascii="Times New Roman" w:cs="Times New Roman" w:eastAsia="Times New Roman" w:hAnsi="Times New Roman"/>
          <w:sz w:val="17"/>
          <w:szCs w:val="17"/>
          <w:color w:val="auto"/>
        </w:rPr>
        <w:t xml:space="preserve">Effective January 1, 2022, the Company adopted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and elected to apply the modified retrospective transition approach using the effective date as the initial date of application. ASC 842 requires that lessees recognize leases with a term greater than twelve months on the balance sheet. The Company’s existing capital leases will now be referred to as finance leases. The Company’s existing operating sublease arrangement in which it is the sublessor will remain off balance sheet and lease income will continue to be recognized on a straight-lined basis. ASC 842 provided a number of optional practical expedients in transition. The Company applied the package of three practical expedients to leases that commenced prior to the January 1, 2022. Use of these practical expedients allowed the Company not to reassess:</w:t>
      </w:r>
    </w:p>
    <w:p>
      <w:pPr>
        <w:spacing w:after="0" w:line="2" w:lineRule="exact"/>
        <w:rPr>
          <w:sz w:val="20"/>
          <w:szCs w:val="20"/>
          <w:color w:val="auto"/>
        </w:rPr>
      </w:pPr>
    </w:p>
    <w:p>
      <w:pPr>
        <w:ind w:left="560" w:right="220" w:hanging="4"/>
        <w:spacing w:after="0" w:line="260" w:lineRule="auto"/>
        <w:tabs>
          <w:tab w:leader="none" w:pos="77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expired or existing contracts were or contained leases; (ii) the lease classification for any expired or existing leases; and (iii) the treatment of initial direct costs for existing leases.</w:t>
      </w:r>
    </w:p>
    <w:p>
      <w:pPr>
        <w:spacing w:after="0" w:line="73" w:lineRule="exact"/>
        <w:rPr>
          <w:sz w:val="20"/>
          <w:szCs w:val="20"/>
          <w:color w:val="auto"/>
        </w:rPr>
      </w:pPr>
    </w:p>
    <w:p>
      <w:pPr>
        <w:ind w:left="560" w:right="100" w:firstLine="423"/>
        <w:spacing w:after="0" w:line="255" w:lineRule="auto"/>
        <w:rPr>
          <w:sz w:val="20"/>
          <w:szCs w:val="20"/>
          <w:color w:val="auto"/>
        </w:rPr>
      </w:pPr>
      <w:r>
        <w:rPr>
          <w:rFonts w:ascii="Times New Roman" w:cs="Times New Roman" w:eastAsia="Times New Roman" w:hAnsi="Times New Roman"/>
          <w:sz w:val="18"/>
          <w:szCs w:val="18"/>
          <w:color w:val="auto"/>
        </w:rPr>
        <w:t>On January 1, 2022, the Company recorded operating lease liabilities and their corresponding right-of-use (“ROU”) assets based on the present value of lease payments over the remaining lease term. The Company used its incremental borrowing rate (“IBR”) on January 1, 2022, to calculate the present value of the Company’s leases. The IBR approximates the rate of interest the Company would have to pay to borrow on a collateralized basis over a similar term. The determination of the appropriate IBR was dependent on several factors, including the economic environment, the amount of the borrowing, the Company’s estimated credit rating and the lease term at the time of measurement. The Company’s unsecured credit rating was estimated via a synthetic credit rating model which included fundamental analysis. The Company’s unsecured credit rating was then adjusted upward using a notching technique to reflect collateralization.</w:t>
      </w:r>
    </w:p>
    <w:p>
      <w:pPr>
        <w:spacing w:after="0" w:line="81"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For leases entered into after January 1, 2022, the Company applies the guidance in ASC 842, and determines whether an arrangement is or contains a lease at inception. A contract is or contains a lease if the contract conveys the right to control the use of an identified asset for a period of time in exchange for consideration. The Company classifies a lease at the lease commencement date, when control of the underlying asset is transferred from the lessor to the lessee, as an operating or finance lease and records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560" w:right="260"/>
        <w:spacing w:after="0" w:line="266" w:lineRule="auto"/>
        <w:rPr>
          <w:sz w:val="20"/>
          <w:szCs w:val="20"/>
          <w:color w:val="auto"/>
        </w:rPr>
      </w:pPr>
      <w:r>
        <w:rPr>
          <w:rFonts w:ascii="Times New Roman" w:cs="Times New Roman" w:eastAsia="Times New Roman" w:hAnsi="Times New Roman"/>
          <w:sz w:val="18"/>
          <w:szCs w:val="18"/>
          <w:color w:val="auto"/>
        </w:rPr>
        <w:t>ROU asset and a lease liability on the consolidated balance sheet for any lease with a lease term greater than twelve months. The Company has elected the practical expedient to not recognize leases with a lease term of twelve months or less on the balance sheet (“short-term leases”) and will recognize lease payments for such short-term leases as an expense on a straight-line basis.</w:t>
      </w:r>
    </w:p>
    <w:p>
      <w:pPr>
        <w:spacing w:after="0" w:line="68" w:lineRule="exact"/>
        <w:rPr>
          <w:sz w:val="20"/>
          <w:szCs w:val="20"/>
          <w:color w:val="auto"/>
        </w:rPr>
      </w:pPr>
    </w:p>
    <w:p>
      <w:pPr>
        <w:ind w:left="560" w:right="160" w:firstLine="423"/>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items such as maintenance, utilities, or other operating costs. The Company has elected to combine the lease and associated non-lease components in its lease arrangements as a single lease component for all real estate and equipment leases. Variable lease costs, such as utilities or maintenance costs, are not included in the measurement of ROU assets and lease liabilities, but rather are expensed when the events determining the amount of variable lease consideration to be paid occurs.</w:t>
      </w:r>
    </w:p>
    <w:p>
      <w:pPr>
        <w:spacing w:after="0" w:line="75"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For lease arrangements in which the Company is a lessee, finance and operating ROU assets and liabilities are recognized at the lease commencement date based on the present value of the lease payments over the lease term determined using the discount rate implicit in the lease if readily determinable. When the rate implicit in the lease is not readily determinable, the Company utilizes its IBR, which is determined on the basis of information that is available at the lease commencement date. ROU assets are further adjusted for items such as initial direct costs, prepaid rent, or lease incentives. Operating lease costs are expensed using the straight-line method as an operating expense over the lease term unless the operating lease ROU asset has been impaired. The Company’s lease terms may include options to extend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between (i) a portion that is recorded as interest expense and (ii) a portion that reduces the finance lease liability associated with the lease.</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Simple Agreements for Future Equity</w:t>
      </w:r>
    </w:p>
    <w:p>
      <w:pPr>
        <w:spacing w:after="0" w:line="121" w:lineRule="exact"/>
        <w:rPr>
          <w:sz w:val="20"/>
          <w:szCs w:val="20"/>
          <w:color w:val="auto"/>
        </w:rPr>
      </w:pPr>
    </w:p>
    <w:p>
      <w:pPr>
        <w:ind w:left="560" w:right="140" w:firstLine="423"/>
        <w:spacing w:after="0" w:line="261" w:lineRule="auto"/>
        <w:rPr>
          <w:sz w:val="20"/>
          <w:szCs w:val="20"/>
          <w:color w:val="auto"/>
        </w:rPr>
      </w:pPr>
      <w:r>
        <w:rPr>
          <w:rFonts w:ascii="Times New Roman" w:cs="Times New Roman" w:eastAsia="Times New Roman" w:hAnsi="Times New Roman"/>
          <w:sz w:val="18"/>
          <w:szCs w:val="18"/>
          <w:color w:val="auto"/>
        </w:rPr>
        <w:t>SAFE instruments do not represent legal form debt (i.e., no creditor rights), but allow for redemption based upon certain triggering events that are outside of the control of the Company. The Company accounts for a SAFE as a liability at fair value on a recurring basis. Triggering events include an equity financing, public listing transaction, change of control or dissolution. Changes in the liability’s fair value are recognized in the Company’s statements of operations and comprehensive loss.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Preferred Stock</w:t>
      </w:r>
    </w:p>
    <w:p>
      <w:pPr>
        <w:spacing w:after="0" w:line="121" w:lineRule="exact"/>
        <w:rPr>
          <w:sz w:val="20"/>
          <w:szCs w:val="20"/>
          <w:color w:val="auto"/>
        </w:rPr>
      </w:pPr>
    </w:p>
    <w:p>
      <w:pPr>
        <w:ind w:left="560" w:right="120" w:firstLine="423"/>
        <w:spacing w:after="0" w:line="258" w:lineRule="auto"/>
        <w:rPr>
          <w:sz w:val="20"/>
          <w:szCs w:val="20"/>
          <w:color w:val="auto"/>
        </w:rPr>
      </w:pPr>
      <w:r>
        <w:rPr>
          <w:rFonts w:ascii="Times New Roman" w:cs="Times New Roman" w:eastAsia="Times New Roman" w:hAnsi="Times New Roman"/>
          <w:sz w:val="18"/>
          <w:szCs w:val="18"/>
          <w:color w:val="auto"/>
        </w:rPr>
        <w:t>The Company classifies convertible preferred stock outside of stockholders’ deficit on the consolidated balance sheets as it is redeemable upon the occurrence of a Deemed Liquidation Event, as defined below, that is not strictly within the Company’s control. The issuance of convertible preferred stock is recorded at the issuance price less any amounts allocated to freestanding liabilities associated with the issuance and related allocable issuance costs. The carrying values of the convertible preferred stock have not been adjusted to their liquidation preferences because it is not considered probable that a Deemed Liquidation Event will occur and make such stock redeemable.</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which is generally equal to the vesting period, using the straight-line method. For stock options with performance conditions, the Company records stock-based compensation expense when it is deemed probable that the performance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140"/>
        <w:spacing w:after="0" w:line="273" w:lineRule="auto"/>
        <w:rPr>
          <w:sz w:val="20"/>
          <w:szCs w:val="20"/>
          <w:color w:val="auto"/>
        </w:rPr>
      </w:pPr>
      <w:r>
        <w:rPr>
          <w:rFonts w:ascii="Times New Roman" w:cs="Times New Roman" w:eastAsia="Times New Roman" w:hAnsi="Times New Roman"/>
          <w:sz w:val="17"/>
          <w:szCs w:val="17"/>
          <w:color w:val="auto"/>
        </w:rPr>
        <w:t>condition will be met. The Company uses the Black-Scholes-Merton (“BSM”) option-pricing model to determine the fair value of stock options. The BSM option-pricing model requires the use of assumptions to determine the fair value of the stock options. The fair value of the shares of common stock underlying stock options has historically been determined by the Board of Directors (“Board”), with input from management and contemporaneous third-party valuations, as there was no public market for the common stock. Given the absence of a public market for the Company’s common stock, and in accordance with the American Institute of Certified Public Accountants Practice Aid, Valuation of Privately Held Company Equity Securities Issued as Compensation, the Board exercised reasonable judgment and considered numerous objective and subjective factors to determine the best estimate of the fair value of the Company’s common stock at each stock option grant date.</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calculates the fair value of stock options granted by using the BSM option-pricing model with the following assumptions:</w:t>
      </w:r>
    </w:p>
    <w:p>
      <w:pPr>
        <w:spacing w:after="0" w:line="115" w:lineRule="exact"/>
        <w:rPr>
          <w:sz w:val="20"/>
          <w:szCs w:val="20"/>
          <w:color w:val="auto"/>
        </w:rPr>
      </w:pPr>
    </w:p>
    <w:p>
      <w:pPr>
        <w:ind w:left="1100" w:right="20"/>
        <w:spacing w:after="0" w:line="284"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—The estimated volatility is determined by evaluating the average historical volatility of a peer group of companies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period preceding the stock option grant for a term that is approximately equal to the stock options’ expected term.</w:t>
      </w:r>
    </w:p>
    <w:p>
      <w:pPr>
        <w:spacing w:after="0" w:line="50" w:lineRule="exact"/>
        <w:rPr>
          <w:sz w:val="20"/>
          <w:szCs w:val="20"/>
          <w:color w:val="auto"/>
        </w:rPr>
      </w:pPr>
    </w:p>
    <w:p>
      <w:pPr>
        <w:ind w:left="1100" w:right="200"/>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life represents the period of time that the stock options are expected to be outstanding. Because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does not have substantial historical exercise behavior, it determines the expected life assumption using the simplified method, for employees and nonemployees, which is an average of the contractual term of the stock option and its vesting period.</w:t>
      </w:r>
    </w:p>
    <w:p>
      <w:pPr>
        <w:spacing w:after="0" w:line="65" w:lineRule="exact"/>
        <w:rPr>
          <w:sz w:val="20"/>
          <w:szCs w:val="20"/>
          <w:color w:val="auto"/>
        </w:rPr>
      </w:pPr>
    </w:p>
    <w:p>
      <w:pPr>
        <w:ind w:left="1100" w:right="140"/>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implied yield currently available on U.S. Treasury zero-coupon issues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term that is equal to the stock options’ expected term at the grant date.</w:t>
      </w:r>
    </w:p>
    <w:p>
      <w:pPr>
        <w:spacing w:after="0" w:line="50" w:lineRule="exact"/>
        <w:rPr>
          <w:sz w:val="20"/>
          <w:szCs w:val="20"/>
          <w:color w:val="auto"/>
        </w:rPr>
      </w:pPr>
    </w:p>
    <w:p>
      <w:pPr>
        <w:ind w:left="1100" w:right="140"/>
        <w:spacing w:after="0" w:line="284"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—The Company has not declared or paid dividends to date and does not anticipate declaring dividends for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As such, the dividend yield is estimated to be zero.</w:t>
      </w:r>
    </w:p>
    <w:p>
      <w:pPr>
        <w:spacing w:after="0" w:line="5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i w:val="1"/>
          <w:iCs w:val="1"/>
          <w:color w:val="auto"/>
        </w:rPr>
        <w:t>Forfeitures</w:t>
      </w:r>
      <w:r>
        <w:rPr>
          <w:rFonts w:ascii="Times New Roman" w:cs="Times New Roman" w:eastAsia="Times New Roman" w:hAnsi="Times New Roman"/>
          <w:sz w:val="18"/>
          <w:szCs w:val="18"/>
          <w:color w:val="auto"/>
        </w:rPr>
        <w:t>—The Company records forfeitures as they occur.</w:t>
      </w:r>
    </w:p>
    <w:p>
      <w:pPr>
        <w:spacing w:after="0" w:line="119"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The purchase price of restricted common stock granted to founders, employees and consultants is the estimated fair value on the grant date and is subject to various vesting schedules. Unvested restricted common stock are subject to repurchase rights held by the Company at the original issuance price in the event the restricted common stockholders’ service to the Company is terminated either voluntarily or involuntarily. The associated liability is classified in accrued expenses and other current liabilities in the consolidated balance sheets. The balance of this liability as of December 31, 2023 and 2022 is immaterial.</w:t>
      </w:r>
    </w:p>
    <w:p>
      <w:pPr>
        <w:spacing w:after="0" w:line="75" w:lineRule="exact"/>
        <w:rPr>
          <w:sz w:val="20"/>
          <w:szCs w:val="20"/>
          <w:color w:val="auto"/>
        </w:rPr>
      </w:pPr>
    </w:p>
    <w:p>
      <w:pPr>
        <w:jc w:val="both"/>
        <w:ind w:left="560" w:right="540" w:firstLine="423"/>
        <w:spacing w:after="0" w:line="266" w:lineRule="auto"/>
        <w:rPr>
          <w:sz w:val="20"/>
          <w:szCs w:val="20"/>
          <w:color w:val="auto"/>
        </w:rPr>
      </w:pPr>
      <w:r>
        <w:rPr>
          <w:rFonts w:ascii="Times New Roman" w:cs="Times New Roman" w:eastAsia="Times New Roman" w:hAnsi="Times New Roman"/>
          <w:sz w:val="18"/>
          <w:szCs w:val="18"/>
          <w:color w:val="auto"/>
        </w:rPr>
        <w:t>All stock-based compensation expense is recorded in research and development expense or general and administrative expense in the consolidated statements of operations and comprehensive loss, on the basis of the respective employee and nonemployee’s role within the Company.</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560" w:right="160" w:firstLine="423"/>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under the asset and liability method under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the recognition of deferred tax assets and liabilities for the expected future tax consequences of events that have been included in the financial statements. Under this method, the Company determined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00"/>
          </w:cols>
          <w:pgMar w:left="320" w:top="455" w:right="47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40" w:firstLine="423"/>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75" w:lineRule="exact"/>
        <w:rPr>
          <w:sz w:val="20"/>
          <w:szCs w:val="20"/>
          <w:color w:val="auto"/>
        </w:rPr>
      </w:pPr>
    </w:p>
    <w:p>
      <w:pPr>
        <w:ind w:left="560" w:firstLine="423"/>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left="560" w:right="20" w:firstLine="423"/>
        <w:spacing w:after="0" w:line="254" w:lineRule="auto"/>
        <w:rPr>
          <w:sz w:val="20"/>
          <w:szCs w:val="20"/>
          <w:color w:val="auto"/>
        </w:rPr>
      </w:pPr>
      <w:r>
        <w:rPr>
          <w:rFonts w:ascii="Times New Roman" w:cs="Times New Roman" w:eastAsia="Times New Roman" w:hAnsi="Times New Roman"/>
          <w:sz w:val="18"/>
          <w:szCs w:val="18"/>
          <w:color w:val="auto"/>
        </w:rPr>
        <w:t>Related parties are directly or indirectly related to the Company, through one or more intermediaries and are in control, controlled by, or under common control with the Company. Related parties also include principal owners of the Company, its management, members of the immediate families of principal owners of the Company and its management, and other parties with which the Company may transact with if one party controls or can significantly influence the management or operating policies of the other to an extent that one of the transacting parties might be prevented from fully pursuing its own separate interests. The Board reviews and approves transactions with directors, officers and holders of 5% or more of the Company’s voting securities and their affiliates or their family members. The material facts as to the related party’s relationship or interest in the transaction are disclosed to the Board prior to its consideration of such transaction, and the transaction is not considered approved by the Board unless a majority of the directors who are not interested in the transaction approve the transaction.</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The Company applies the two-class method when computing earnings per share attributable to common stockholders as the Company has issued securities that meet the definition of participating securities. The two-class method determines earnings per share for each class of common and participating securities according to dividends declared or accumulated in the current period and participation rights in undistributed earnings. The Company considers its convertible preferred stock and SAFEs to be participating securities as, in the event a dividend is paid on common stock, the holders of convertible preferred stock and SAFEs would be entitled to receive dividends on a basis consistent with the common stockholders. There is no allocation required under the two-class method during periods of loss since the participating securities do not have a contractual obligation to share in the losses of the Company.</w:t>
      </w:r>
    </w:p>
    <w:p>
      <w:pPr>
        <w:spacing w:after="0" w:line="81" w:lineRule="exact"/>
        <w:rPr>
          <w:sz w:val="20"/>
          <w:szCs w:val="20"/>
          <w:color w:val="auto"/>
        </w:rPr>
      </w:pPr>
    </w:p>
    <w:p>
      <w:pPr>
        <w:jc w:val="both"/>
        <w:ind w:left="560" w:right="240" w:firstLine="423"/>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excluding potentially dilutive common shares. Diluted net loss per share attributable to common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stockholders is computed by adjusting net loss attributable to common stockholders to reallocate earnings based on the potential impact of dilutive securities. Diluted net loss per share attributable to common stockholders is computed by dividing the diluted net loss attributable to common stockholders by the weighted-average number of common shares outstanding for the period, including potential dilutive common shares. For purposes of this calculation, the Company’s outstanding convertible preferred stock, stock options, unvested restricted common stock and the SAFEs are considered potential dilutive common shares.</w:t>
      </w:r>
    </w:p>
    <w:p>
      <w:pPr>
        <w:spacing w:after="0" w:line="75"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The Company generated a net loss for each of the years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are adopted by the Company as of the specified effective dates. Unless otherwise discussed, the impact of recently issued standards that are not yet effective are not anticipated to have a material impact on the Company’s consolidated financial statements upon adoption.</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 Not Yet Adopted</w:t>
      </w:r>
    </w:p>
    <w:p>
      <w:pPr>
        <w:spacing w:after="0" w:line="119"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470-20) and 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Hedging Contracts in an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ASU 2020-06 simplifies the accounting for convertible instruments by reducing the number of accounting models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debt instruments and convertible preferred stock. Limiting the accounting models results in fewer embedded conversion features being separately recognized from the host contract as compared with current GAAP. Convertible instruments that continue to be subject to separation models are (i) those not carried at fair value with embedded conversion features that are not clearly and closely related to the host contract, that meet the definition of a derivative, and that do not qualify for a scope exception from derivative accounting and (ii) convertible debt instruments issued with substantial premiums for which the premiums are recorded as paid-in capital. ASU 2020-06 also amends the guidance for the derivatives scope exception for contracts in an entity’s own equity to reduce form-over-substance-based accounting conclusions. ASU 2020-06 will be effective for the Company beginning after December 15, 2023. Early adoption is permitted, but no earlier than fiscal years beginning after December 15, 2020, including interim periods within those fiscal years. The Company is in the process of evaluating the impact of the adoption of ASU 2020-06 will have on the consolidated financial statements and disclosures.</w:t>
      </w:r>
    </w:p>
    <w:p>
      <w:pPr>
        <w:spacing w:after="0" w:line="82" w:lineRule="exact"/>
        <w:rPr>
          <w:sz w:val="20"/>
          <w:szCs w:val="20"/>
          <w:color w:val="auto"/>
        </w:rPr>
      </w:pPr>
    </w:p>
    <w:p>
      <w:pPr>
        <w:ind w:left="560" w:right="140" w:firstLine="423"/>
        <w:spacing w:after="0" w:line="271" w:lineRule="auto"/>
        <w:rPr>
          <w:sz w:val="20"/>
          <w:szCs w:val="20"/>
          <w:color w:val="auto"/>
        </w:rPr>
      </w:pPr>
      <w:r>
        <w:rPr>
          <w:rFonts w:ascii="Times New Roman" w:cs="Times New Roman" w:eastAsia="Times New Roman" w:hAnsi="Times New Roman"/>
          <w:sz w:val="17"/>
          <w:szCs w:val="17"/>
          <w:color w:val="auto"/>
        </w:rPr>
        <w:t xml:space="preserve">In November 2023, the FASB issued ASU No. 2023-07,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(Topic 280) (“ASU 2023-07”), which enhances the segment disclosure requirements for public entities on an annual and interim basis. Under ASU 2023-07, public entities will be required to disclose significant segment expenses that are regularly provided to the CODM and included within each reported measure of segment profit or loss. Additionally, current annual disclosures about a reportable segment’s profit or loss and assets will be required on an interim basis. Entities will also be required to disclose information about the CODM’s title and position at the Company along with an explanation of how the CODM uses the reported measures of segment profit or loss in their assessment of segment performance and deciding whether how to allocate resources. Finally, ASU 2023-07 requires all segment disclosures for public entities that have only a single reportable segment. The amendments in ASU 2023-07 are effective for fiscal years beginning after December 15, 2023, and interim periods within fiscal years beginning after December 15, 2024, and early adoption is permitted. The Company is currently evaluating the impact of ASU 2023-07 on its consolidated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20"/>
          </w:cols>
          <w:pgMar w:left="320" w:top="455" w:right="45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2" w:lineRule="exact"/>
        <w:rPr>
          <w:sz w:val="20"/>
          <w:szCs w:val="20"/>
          <w:color w:val="auto"/>
        </w:rPr>
      </w:pPr>
    </w:p>
    <w:p>
      <w:pPr>
        <w:ind w:left="560" w:right="300" w:firstLine="423"/>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(“ASU 2023-09”), which enhances the income tax disclosure requirements for public entities on an annual basis. Under ASU 2023-09, public entities will be required to disclose in their rate reconciliation, on an annual basis, both percentages and amounts in their reporting currency for certain categories in a tabular format, with accompanying qualitative disclosures. The amendments in ASU 2023-09 are effective for fiscal years beginning after December 15, 2024, and early adoption is permitted. The Company is currently evaluating the impact of ASU 2023-09 on its consolidated financial statements.</w:t>
      </w:r>
    </w:p>
    <w:p>
      <w:pPr>
        <w:spacing w:after="0" w:line="330"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560" w:right="30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financial assets and liabilities measured at fair value on a recurring basis and indicate the level of the fair value hierarchy utilized to determine such fair values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27,278</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$ 27,278</w:t>
            </w:r>
          </w:p>
        </w:tc>
      </w:tr>
      <w:tr>
        <w:trPr>
          <w:trHeight w:val="223"/>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$ 27,278</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SAFE liabilities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30,515</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$ 30,515</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30,515</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$ 30,515</w:t>
            </w: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6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33,640</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$ 33,640</w:t>
            </w:r>
          </w:p>
        </w:tc>
      </w:tr>
      <w:tr>
        <w:trPr>
          <w:trHeight w:val="223"/>
        </w:trPr>
        <w:tc>
          <w:tcPr>
            <w:tcW w:w="6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$ 33,640</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60" w:firstLine="423"/>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 Company’s cash equivalents, which were invested in money market funds, were valued based on Level 1 inputs.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Liabilities</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(see Note 13). The SAFE liabilities are included within the Level 3 fair value hierarchy. The SAFE liabilities were valued using a probability weighted scenario analysis and discount rates derived by application of the build-up method to reflect the cost of equity. The valuation model requires a variety of inputs, including the probability of occurrence of events that would trigger conversion or redemption of the SAFEs, the expected timing of such events, and a discount rate.</w:t>
      </w:r>
    </w:p>
    <w:p>
      <w:pPr>
        <w:spacing w:after="0" w:line="75" w:lineRule="exact"/>
        <w:rPr>
          <w:sz w:val="20"/>
          <w:szCs w:val="20"/>
          <w:color w:val="auto"/>
        </w:rPr>
      </w:pPr>
    </w:p>
    <w:p>
      <w:pPr>
        <w:ind w:left="560" w:right="160" w:firstLine="423"/>
        <w:spacing w:after="0" w:line="258" w:lineRule="auto"/>
        <w:rPr>
          <w:sz w:val="20"/>
          <w:szCs w:val="20"/>
          <w:color w:val="auto"/>
        </w:rPr>
      </w:pPr>
      <w:r>
        <w:rPr>
          <w:rFonts w:ascii="Times New Roman" w:cs="Times New Roman" w:eastAsia="Times New Roman" w:hAnsi="Times New Roman"/>
          <w:sz w:val="18"/>
          <w:szCs w:val="18"/>
          <w:color w:val="auto"/>
        </w:rPr>
        <w:t>The valuation of the SAFE liabilities as of December 31, 2023, was determined based on a probability-weighted scenario analysis that assumed the probabilities of the occurrence of an equity financing, public listing transaction and dissolution to be 10.0%, 87.5% and 2.5% respectively. The estimated time to redemption used was five months for an equity financing and dissolution and four months for a public listing transaction. The valuation used a discount rate of 30.2% to approximate the cost of equity, which was derived from application of a build-up method that incorporated the risk-free rate at the valuation date,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jc w:val="both"/>
        <w:ind w:left="560" w:right="20"/>
        <w:spacing w:after="0" w:line="272" w:lineRule="auto"/>
        <w:rPr>
          <w:sz w:val="20"/>
          <w:szCs w:val="20"/>
          <w:color w:val="auto"/>
        </w:rPr>
      </w:pPr>
      <w:r>
        <w:rPr>
          <w:rFonts w:ascii="Times New Roman" w:cs="Times New Roman" w:eastAsia="Times New Roman" w:hAnsi="Times New Roman"/>
          <w:sz w:val="17"/>
          <w:szCs w:val="17"/>
          <w:color w:val="auto"/>
        </w:rPr>
        <w:t>adjustments to reflect market risk, a small stock premium, and a selected company-specific risk premium. The valuation of the SAFE liabilities at the October issuance date was determined using the same methodology; however, the discount rate was 30.9% due the higher risk-free rate at the valuation date. In October 2023, the probabilities of the occurrence of an equity financing, public listing transaction and dissolution used were</w:t>
      </w:r>
    </w:p>
    <w:p>
      <w:pPr>
        <w:spacing w:after="0" w:line="2" w:lineRule="exact"/>
        <w:rPr>
          <w:sz w:val="20"/>
          <w:szCs w:val="20"/>
          <w:color w:val="auto"/>
        </w:rPr>
      </w:pPr>
    </w:p>
    <w:p>
      <w:pPr>
        <w:ind w:left="560"/>
        <w:spacing w:after="0" w:line="260" w:lineRule="auto"/>
        <w:rPr>
          <w:sz w:val="20"/>
          <w:szCs w:val="20"/>
          <w:color w:val="auto"/>
        </w:rPr>
      </w:pPr>
      <w:r>
        <w:rPr>
          <w:rFonts w:ascii="Times New Roman" w:cs="Times New Roman" w:eastAsia="Times New Roman" w:hAnsi="Times New Roman"/>
          <w:sz w:val="18"/>
          <w:szCs w:val="18"/>
          <w:color w:val="auto"/>
        </w:rPr>
        <w:t>87.5%, 10.0%, and 2.5%, respectively. The estimated time to redemption used was 1.5 months for an equity financing and 5.5 months for a public listing transaction and dissolution.</w:t>
      </w:r>
    </w:p>
    <w:p>
      <w:pPr>
        <w:spacing w:after="0" w:line="2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Liability</w:t>
      </w:r>
    </w:p>
    <w:p>
      <w:pPr>
        <w:spacing w:after="0" w:line="121" w:lineRule="exact"/>
        <w:rPr>
          <w:sz w:val="20"/>
          <w:szCs w:val="20"/>
          <w:color w:val="auto"/>
        </w:rPr>
      </w:pPr>
    </w:p>
    <w:p>
      <w:pPr>
        <w:ind w:left="560" w:right="120" w:firstLine="423"/>
        <w:spacing w:after="0" w:line="261" w:lineRule="auto"/>
        <w:rPr>
          <w:sz w:val="20"/>
          <w:szCs w:val="20"/>
          <w:color w:val="auto"/>
        </w:rPr>
      </w:pPr>
      <w:r>
        <w:rPr>
          <w:rFonts w:ascii="Times New Roman" w:cs="Times New Roman" w:eastAsia="Times New Roman" w:hAnsi="Times New Roman"/>
          <w:sz w:val="18"/>
          <w:szCs w:val="18"/>
          <w:color w:val="auto"/>
        </w:rPr>
        <w:t>The fair value of the preferred stock tranche liability was based on significant inputs not observable in the market and is a Level 3 measurement within the fair value hierarchy. The valuations were made using Black-Scholes-Merton pricing model with inputs based on certain subjective assumptions, including (a) estimated conversion dates, (b) expected stock price volatility, (c) a risk-free interest rates and (d) implied debt yields.</w:t>
      </w:r>
    </w:p>
    <w:p>
      <w:pPr>
        <w:spacing w:after="0" w:line="72" w:lineRule="exact"/>
        <w:rPr>
          <w:sz w:val="20"/>
          <w:szCs w:val="20"/>
          <w:color w:val="auto"/>
        </w:rPr>
      </w:pPr>
    </w:p>
    <w:p>
      <w:pPr>
        <w:ind w:left="560" w:right="160" w:firstLine="423"/>
        <w:spacing w:after="0" w:line="266" w:lineRule="auto"/>
        <w:rPr>
          <w:sz w:val="20"/>
          <w:szCs w:val="20"/>
          <w:color w:val="auto"/>
        </w:rPr>
      </w:pPr>
      <w:r>
        <w:rPr>
          <w:rFonts w:ascii="Times New Roman" w:cs="Times New Roman" w:eastAsia="Times New Roman" w:hAnsi="Times New Roman"/>
          <w:sz w:val="18"/>
          <w:szCs w:val="18"/>
          <w:color w:val="auto"/>
        </w:rPr>
        <w:t>The fair value of the preferred stock tranche liability was determined at the issuance of the Preferred Stock, as defined below, in 2021 and re-measured at each balance sheet date until its settlement in September 2022. Accordingly, there was no outstanding preferred stock tranche liability as of December 31, 2022.</w:t>
      </w:r>
    </w:p>
    <w:p>
      <w:pPr>
        <w:spacing w:after="0" w:line="68" w:lineRule="exact"/>
        <w:rPr>
          <w:sz w:val="20"/>
          <w:szCs w:val="20"/>
          <w:color w:val="auto"/>
        </w:rPr>
      </w:pPr>
    </w:p>
    <w:p>
      <w:pPr>
        <w:ind w:left="560" w:right="6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activity for the preferred stock tranche liability and the SAFE liabilities that were measured at fair value using significant unobservable Level 3 inputs during the years ended December 31, 2023 and 2022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2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SAFE Liabilities</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2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Tranche Liability</w:t>
            </w: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643</w:t>
            </w:r>
          </w:p>
        </w:tc>
        <w:tc>
          <w:tcPr>
            <w:tcW w:w="1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420" w:type="dxa"/>
            <w:vAlign w:val="bottom"/>
          </w:tcPr>
          <w:p>
            <w:pPr>
              <w:spacing w:after="0"/>
              <w:rPr>
                <w:sz w:val="19"/>
                <w:szCs w:val="19"/>
                <w:color w:val="auto"/>
              </w:rPr>
            </w:pPr>
          </w:p>
        </w:tc>
        <w:tc>
          <w:tcPr>
            <w:tcW w:w="1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(643)</w:t>
            </w:r>
          </w:p>
        </w:tc>
        <w:tc>
          <w:tcPr>
            <w:tcW w:w="300" w:type="dxa"/>
            <w:vAlign w:val="bottom"/>
          </w:tcPr>
          <w:p>
            <w:pPr>
              <w:spacing w:after="0"/>
              <w:rPr>
                <w:sz w:val="19"/>
                <w:szCs w:val="19"/>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4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fair value recognition</w:t>
            </w:r>
          </w:p>
        </w:tc>
        <w:tc>
          <w:tcPr>
            <w:tcW w:w="420" w:type="dxa"/>
            <w:vAlign w:val="bottom"/>
          </w:tcPr>
          <w:p>
            <w:pPr>
              <w:spacing w:after="0"/>
              <w:rPr>
                <w:sz w:val="18"/>
                <w:szCs w:val="18"/>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31,515</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w:t>
            </w:r>
          </w:p>
        </w:tc>
        <w:tc>
          <w:tcPr>
            <w:tcW w:w="4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5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adjustments</w:t>
            </w:r>
          </w:p>
        </w:tc>
        <w:tc>
          <w:tcPr>
            <w:tcW w:w="4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30,515</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There were no transfers between the Level 1, Level 2 or Level 3 categories during the years ended December 31, 2023 and 2022.</w:t>
      </w:r>
    </w:p>
    <w:p>
      <w:pPr>
        <w:spacing w:after="0" w:line="370"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EQUIPMENT AND IMPROVEMENTS, NET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Property, equipment and improvements, net is comprised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70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1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$ 4,510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244</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31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w:t>
            </w:r>
          </w:p>
        </w:tc>
        <w:tc>
          <w:tcPr>
            <w:tcW w:w="100" w:type="dxa"/>
            <w:vAlign w:val="bottom"/>
          </w:tcPr>
          <w:p>
            <w:pPr>
              <w:spacing w:after="0"/>
              <w:rPr>
                <w:sz w:val="19"/>
                <w:szCs w:val="19"/>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(1,856)</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3,608</w:t>
            </w:r>
          </w:p>
        </w:tc>
        <w:tc>
          <w:tcPr>
            <w:tcW w:w="10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140" w:type="dxa"/>
            <w:vAlign w:val="bottom"/>
          </w:tcPr>
          <w:p>
            <w:pPr>
              <w:spacing w:after="0"/>
              <w:rPr>
                <w:sz w:val="24"/>
                <w:szCs w:val="24"/>
                <w:color w:val="auto"/>
              </w:rPr>
            </w:pPr>
          </w:p>
        </w:tc>
        <w:tc>
          <w:tcPr>
            <w:tcW w:w="4380" w:type="dxa"/>
            <w:vAlign w:val="bottom"/>
            <w:gridSpan w:val="3"/>
          </w:tcPr>
          <w:p>
            <w:pPr>
              <w:jc w:val="right"/>
              <w:ind w:right="3160"/>
              <w:spacing w:after="0"/>
              <w:rPr>
                <w:sz w:val="20"/>
                <w:szCs w:val="20"/>
                <w:color w:val="auto"/>
              </w:rPr>
            </w:pPr>
            <w:r>
              <w:rPr>
                <w:rFonts w:ascii="Times New Roman" w:cs="Times New Roman" w:eastAsia="Times New Roman" w:hAnsi="Times New Roman"/>
                <w:sz w:val="18"/>
                <w:szCs w:val="18"/>
                <w:color w:val="auto"/>
              </w:rPr>
              <w:t>F-89</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Depreciation expense was $1.0 million and $0.6 million and was recorded as follows (in thousands):</w:t>
      </w:r>
    </w:p>
    <w:p>
      <w:pPr>
        <w:spacing w:after="0" w:line="367"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635</w:t>
            </w:r>
          </w:p>
        </w:tc>
      </w:tr>
      <w:tr>
        <w:trPr>
          <w:trHeight w:val="223"/>
        </w:trPr>
        <w:tc>
          <w:tcPr>
            <w:tcW w:w="6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560" w:right="160" w:firstLine="423"/>
        <w:spacing w:after="0" w:line="282" w:lineRule="auto"/>
        <w:rPr>
          <w:sz w:val="20"/>
          <w:szCs w:val="20"/>
          <w:color w:val="auto"/>
        </w:rPr>
      </w:pPr>
      <w:r>
        <w:rPr>
          <w:rFonts w:ascii="Times New Roman" w:cs="Times New Roman" w:eastAsia="Times New Roman" w:hAnsi="Times New Roman"/>
          <w:sz w:val="18"/>
          <w:szCs w:val="18"/>
          <w:color w:val="auto"/>
        </w:rPr>
        <w:t>These amounts are exclusive of amortization related to finance lease and capital lease assets of $0.5 million and $0.3 million in 2023 and 2022, respectively.</w:t>
      </w:r>
    </w:p>
    <w:p>
      <w:pPr>
        <w:spacing w:after="0" w:line="306" w:lineRule="exact"/>
        <w:rPr>
          <w:sz w:val="20"/>
          <w:szCs w:val="20"/>
          <w:color w:val="auto"/>
        </w:rPr>
      </w:pPr>
    </w:p>
    <w:p>
      <w:pPr>
        <w:ind w:left="540" w:hanging="424"/>
        <w:spacing w:after="0"/>
        <w:tabs>
          <w:tab w:leader="none" w:pos="5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Accrued expenses and other current liabilities is comprised of the following (in thousands):</w:t>
      </w:r>
    </w:p>
    <w:p>
      <w:pPr>
        <w:spacing w:after="0" w:line="36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8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2"/>
                <w:szCs w:val="12"/>
                <w:color w:val="auto"/>
              </w:rPr>
            </w:pPr>
          </w:p>
        </w:tc>
      </w:tr>
      <w:tr>
        <w:trPr>
          <w:trHeight w:val="209"/>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compensation related costs</w:t>
            </w:r>
          </w:p>
        </w:tc>
        <w:tc>
          <w:tcPr>
            <w:tcW w:w="9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$ 2,840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office and laboratory costs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211</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research organization fees</w:t>
            </w:r>
          </w:p>
        </w:tc>
        <w:tc>
          <w:tcPr>
            <w:tcW w:w="1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1,345</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Accrued contract development and manufacturing organization fees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660</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842</w:t>
            </w: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1,798</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334</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r>
      <w:tr>
        <w:trPr>
          <w:trHeight w:val="223"/>
        </w:trPr>
        <w:tc>
          <w:tcPr>
            <w:tcW w:w="5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$ 8,141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$ 5,814</w:t>
            </w:r>
          </w:p>
        </w:tc>
        <w:tc>
          <w:tcPr>
            <w:tcW w:w="4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7000" w:hanging="444"/>
        <w:spacing w:after="0" w:line="378" w:lineRule="auto"/>
        <w:tabs>
          <w:tab w:leader="none" w:pos="552"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commitments under its operating and finance leases are described in Note 7.</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University of Texas Research Agreement</w:t>
      </w:r>
    </w:p>
    <w:p>
      <w:pPr>
        <w:spacing w:after="0" w:line="121" w:lineRule="exact"/>
        <w:rPr>
          <w:sz w:val="20"/>
          <w:szCs w:val="20"/>
          <w:color w:val="auto"/>
        </w:rPr>
      </w:pPr>
    </w:p>
    <w:p>
      <w:pPr>
        <w:ind w:left="560" w:right="80" w:firstLine="423"/>
        <w:spacing w:after="0" w:line="258" w:lineRule="auto"/>
        <w:rPr>
          <w:sz w:val="20"/>
          <w:szCs w:val="20"/>
          <w:color w:val="auto"/>
        </w:rPr>
      </w:pPr>
      <w:r>
        <w:rPr>
          <w:rFonts w:ascii="Times New Roman" w:cs="Times New Roman" w:eastAsia="Times New Roman" w:hAnsi="Times New Roman"/>
          <w:sz w:val="18"/>
          <w:szCs w:val="18"/>
          <w:color w:val="auto"/>
        </w:rPr>
        <w:t>The Company executed a research agreement with the University of Texas, whereby the Company and the University of Texas are conducting joint research activities in accordance with an agreed upon research program. An upfront fee of $25,000 was paid upon execution of the agreement in 2020, with the remaining balance due in two payments of $37,500 each. The first payment was due upon the completion of the joint research activities and the second due upon the receipt of the final research report by the Company. The agreement was terminated on June 30, 2022.</w:t>
      </w:r>
    </w:p>
    <w:p>
      <w:pPr>
        <w:spacing w:after="0" w:line="75"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2022, the Company did not pay any amounts to the University of Texas under this agreement because the joint research activities were not completed before the research agreement terminated.</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Harvard Agreement</w:t>
      </w:r>
    </w:p>
    <w:p>
      <w:pPr>
        <w:spacing w:after="0" w:line="121" w:lineRule="exact"/>
        <w:rPr>
          <w:sz w:val="20"/>
          <w:szCs w:val="20"/>
          <w:color w:val="auto"/>
        </w:rPr>
      </w:pPr>
    </w:p>
    <w:p>
      <w:pPr>
        <w:ind w:left="560" w:right="80" w:firstLine="423"/>
        <w:spacing w:after="0" w:line="282" w:lineRule="auto"/>
        <w:rPr>
          <w:sz w:val="20"/>
          <w:szCs w:val="20"/>
          <w:color w:val="auto"/>
        </w:rPr>
      </w:pPr>
      <w:r>
        <w:rPr>
          <w:rFonts w:ascii="Times New Roman" w:cs="Times New Roman" w:eastAsia="Times New Roman" w:hAnsi="Times New Roman"/>
          <w:sz w:val="18"/>
          <w:szCs w:val="18"/>
          <w:color w:val="auto"/>
        </w:rPr>
        <w:t>In July 2020, the Company entered into an agreement with the President and Fellows of Harvard College (“Harvard”), for an option fee in the low five digits, whereby Harvard granted the Company an</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00"/>
          </w:cols>
          <w:pgMar w:left="320" w:top="455" w:right="5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160"/>
        <w:spacing w:after="0" w:line="254" w:lineRule="auto"/>
        <w:rPr>
          <w:sz w:val="20"/>
          <w:szCs w:val="20"/>
          <w:color w:val="auto"/>
        </w:rPr>
      </w:pPr>
      <w:r>
        <w:rPr>
          <w:rFonts w:ascii="Times New Roman" w:cs="Times New Roman" w:eastAsia="Times New Roman" w:hAnsi="Times New Roman"/>
          <w:sz w:val="18"/>
          <w:szCs w:val="18"/>
          <w:color w:val="auto"/>
        </w:rPr>
        <w:t>exclusive option to negotiate a worldwide, exclusive, royalty-bearing license under Harvard’s interest in the patent rights covering certain technology that was developed by Harvard. In October 2021, the Company exercised the option and on February 10, 2022, entered into a license agreement (“License Agreement”) with Harvard to conduct research and development activities using certain materials, technology and patent rights owned by Harvard, with the intent to develop, obtain regulatory approval for, and commercialize products. The License Agreement will remain in effect until the expiration of the last valid claim within the patent rights covering a product developed under the License Agreement or the termination of the License Agreement. Management concluded that the acquisition of patents and materials received under the License Agreement represents an asset acquisition of an in-progress research and development asset without future alternative use; therefore, any consideration paid were expensed.</w:t>
      </w:r>
    </w:p>
    <w:p>
      <w:pPr>
        <w:spacing w:after="0" w:line="84" w:lineRule="exact"/>
        <w:rPr>
          <w:sz w:val="20"/>
          <w:szCs w:val="20"/>
          <w:color w:val="auto"/>
        </w:rPr>
      </w:pPr>
    </w:p>
    <w:p>
      <w:pPr>
        <w:ind w:left="560" w:firstLine="423"/>
        <w:spacing w:after="0" w:line="277" w:lineRule="auto"/>
        <w:rPr>
          <w:sz w:val="20"/>
          <w:szCs w:val="20"/>
          <w:color w:val="auto"/>
        </w:rPr>
      </w:pPr>
      <w:r>
        <w:rPr>
          <w:rFonts w:ascii="Times New Roman" w:cs="Times New Roman" w:eastAsia="Times New Roman" w:hAnsi="Times New Roman"/>
          <w:sz w:val="17"/>
          <w:szCs w:val="17"/>
          <w:color w:val="auto"/>
        </w:rPr>
        <w:t>As consideration for the License Agreement, the Company agreed to pay Harvard a non-refundable license fee, consisting of a cash payment due in three equal annual installments, in total amounting to $170,000 and 227,486 shares of common stock. The installments became due on July 2, 2022 (“First Payment Due Date”) and the first and second anniversaries of the First Payment Due Date. The first payment of $56,666 was paid in July 2022. The common stock issued to Harvard had a fair value of $0.4 million. Both the cash payment and the issuance of shares were expensed to research and development during the year ended December 31, 2022. The second payment of $56,666 was made in July 2023.</w:t>
      </w:r>
    </w:p>
    <w:p>
      <w:pPr>
        <w:spacing w:after="0" w:line="60" w:lineRule="exact"/>
        <w:rPr>
          <w:sz w:val="20"/>
          <w:szCs w:val="20"/>
          <w:color w:val="auto"/>
        </w:rPr>
      </w:pPr>
    </w:p>
    <w:p>
      <w:pPr>
        <w:ind w:left="560" w:firstLine="423"/>
        <w:spacing w:after="0" w:line="253" w:lineRule="auto"/>
        <w:rPr>
          <w:sz w:val="20"/>
          <w:szCs w:val="20"/>
          <w:color w:val="auto"/>
        </w:rPr>
      </w:pPr>
      <w:r>
        <w:rPr>
          <w:rFonts w:ascii="Times New Roman" w:cs="Times New Roman" w:eastAsia="Times New Roman" w:hAnsi="Times New Roman"/>
          <w:sz w:val="18"/>
          <w:szCs w:val="18"/>
          <w:color w:val="auto"/>
        </w:rPr>
        <w:t>The Company also will be responsible for payment of (1) annual maintenance fees ranging from the low five digits to the low six digits during the term of the License Agreement (through the first commercial sale of a royalty-bearing product); (2) royalty payments as a percentage in the low single digits of the annual net sales that the Company generates from products that utilize the license technology (“Licensed Products”) and royalty payments as a percentage in the low single digits of the annual net sales that the Company generates from know-how enabled product licenses (“Know-How Enabled Products”) and (3) a percentage between 10-20% of all non-royalty income received by the Company under sublicenses, strategic partnerships and know-how enabled product licenses that utilize the license technology. Subsequent to the first commercial sale of a royalty-bearing product, annual maintenance fees will increase to a low six digits for the remainder of the term of the License Agreement. The royalty term from sales of Licensed Products will terminate on a country-by-country and product-by-product basis on the earlier of (i) the expiration of the patent rights covering the product, expected to be no earlier than May 2041, and (ii) the termination of the License Agreement. The royalty term from sales of Know-How Enabled Products will terminate on the earlier of (i) ten years after the first commercial sale of the first Know-How Enabled Product and (ii) twelve years after the first commercial sale of the first Licensed Product. There was less than $0.1 million due to Harvard as of December 31, 2023.</w:t>
      </w:r>
    </w:p>
    <w:p>
      <w:pPr>
        <w:spacing w:after="0" w:line="2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Alloy Therapeutics License Agreement</w:t>
      </w:r>
    </w:p>
    <w:p>
      <w:pPr>
        <w:spacing w:after="0" w:line="121" w:lineRule="exact"/>
        <w:rPr>
          <w:sz w:val="20"/>
          <w:szCs w:val="20"/>
          <w:color w:val="auto"/>
        </w:rPr>
      </w:pPr>
    </w:p>
    <w:p>
      <w:pPr>
        <w:ind w:left="560" w:right="20" w:firstLine="423"/>
        <w:spacing w:after="0" w:line="253" w:lineRule="auto"/>
        <w:rPr>
          <w:sz w:val="20"/>
          <w:szCs w:val="20"/>
          <w:color w:val="auto"/>
        </w:rPr>
      </w:pPr>
      <w:r>
        <w:rPr>
          <w:rFonts w:ascii="Times New Roman" w:cs="Times New Roman" w:eastAsia="Times New Roman" w:hAnsi="Times New Roman"/>
          <w:sz w:val="18"/>
          <w:szCs w:val="18"/>
          <w:color w:val="auto"/>
        </w:rPr>
        <w:t>On November 29, 2021, the Company executed a license agreement with Alloy Therapeutics, LLC (“ATX”), whereby the Company will use ATX technology for the purpose of preclinical development, clinical development and commercialization of potential product candidates, for an initial period of three years, with an option to extend the term for an additional two years. The Company will pay ATX a non-refundable and non-creditable annual fee of $0.1 million on each anniversary of the agreement. On November 7, 2022, the Company and ATX amended the agreement and extended the period of payment for the first fee due in May 2023. Additionally, the Company will be responsible for annual partnering fees if the Company decides to pursue clinical development of a product candidate using the ATX technology. The partnering fees may be creditable against future milestone development fees paid by the Company. The Company will also be responsible to pay ATX development milestone payments for the movement of certain product candidates through clinical trials, which range from the low six digits to the low seven digits upon completion of each milestone and amount to $4.8 million in total milestone payments under the license agreement. Provided the Company is able to commercialize a product using ATX technology, the Company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55" w:right="45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20"/>
        <w:spacing w:after="0" w:line="282" w:lineRule="auto"/>
        <w:rPr>
          <w:sz w:val="20"/>
          <w:szCs w:val="20"/>
          <w:color w:val="auto"/>
        </w:rPr>
      </w:pPr>
      <w:r>
        <w:rPr>
          <w:rFonts w:ascii="Times New Roman" w:cs="Times New Roman" w:eastAsia="Times New Roman" w:hAnsi="Times New Roman"/>
          <w:sz w:val="18"/>
          <w:szCs w:val="18"/>
          <w:color w:val="auto"/>
        </w:rPr>
        <w:t>will be responsible to pay ATX commercial payments in the low seven digits per year during the first six years of commercial sales, amounting to an amount in the high eight digits in total commercial payments under the license agreement.</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During the years ended December 31, 2023 and 2022, the Company paid $0.1 million and zero to ATX, respectively.</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Adimab Agreement</w:t>
      </w:r>
    </w:p>
    <w:p>
      <w:pPr>
        <w:spacing w:after="0" w:line="121" w:lineRule="exact"/>
        <w:rPr>
          <w:sz w:val="20"/>
          <w:szCs w:val="20"/>
          <w:color w:val="auto"/>
        </w:rPr>
      </w:pPr>
    </w:p>
    <w:p>
      <w:pPr>
        <w:ind w:left="560" w:right="300" w:firstLine="423"/>
        <w:spacing w:after="0" w:line="266" w:lineRule="auto"/>
        <w:rPr>
          <w:sz w:val="20"/>
          <w:szCs w:val="20"/>
          <w:color w:val="auto"/>
        </w:rPr>
      </w:pPr>
      <w:r>
        <w:rPr>
          <w:rFonts w:ascii="Times New Roman" w:cs="Times New Roman" w:eastAsia="Times New Roman" w:hAnsi="Times New Roman"/>
          <w:sz w:val="18"/>
          <w:szCs w:val="18"/>
          <w:color w:val="auto"/>
        </w:rPr>
        <w:t>On May 1, 2023, the Company entered into a discovery agreement with Adimab, LLC (“Adimab”), an antibody discovery company, whereby the Company and Adimab are collaborating on human antibody discovery in accordance with an agreed upon research program. The Company paid an upfront technology access fee totaling $20,000 upon execution of the agreement.</w:t>
      </w:r>
    </w:p>
    <w:p>
      <w:pPr>
        <w:spacing w:after="0" w:line="68" w:lineRule="exact"/>
        <w:rPr>
          <w:sz w:val="20"/>
          <w:szCs w:val="20"/>
          <w:color w:val="auto"/>
        </w:rPr>
      </w:pPr>
    </w:p>
    <w:p>
      <w:pPr>
        <w:ind w:left="560" w:right="60" w:firstLine="423"/>
        <w:spacing w:after="0" w:line="271" w:lineRule="auto"/>
        <w:rPr>
          <w:sz w:val="20"/>
          <w:szCs w:val="20"/>
          <w:color w:val="auto"/>
        </w:rPr>
      </w:pPr>
      <w:r>
        <w:rPr>
          <w:rFonts w:ascii="Times New Roman" w:cs="Times New Roman" w:eastAsia="Times New Roman" w:hAnsi="Times New Roman"/>
          <w:sz w:val="17"/>
          <w:szCs w:val="17"/>
          <w:color w:val="auto"/>
        </w:rPr>
        <w:t>The Company also will be responsible for payment of (1) quarterly funding equal to 100% of the actual full-time employee (“FTE”) expended by Adimab in the performance of its obligations in accordance with the agreed upon research program at an annual rate of $0.4 million per FTE (subject to annual consumer price index increases) per the agreement, (2) delivery fees equal to $0.1 million upon both Adimab’s initial delivery of sequences or physical materials and completion pursuant to the research program (initial and completion fees payable once per target for a total of up to $0.4 million), (3) a non-creditable, non-refundable fee of $0.5 million upon the exercise of an option to obtain the licenses and assignments for information discovered during the research program, (4) development milestone payments for the movement of certain product candidates thought clinical trials, which range in the low seven digits, and (5) royalty payments based on the annual net sales that the Company generates from products that utilize Adimab technology. The Company has the right to terminate the agreement if certain criteria are met. During the year ended December 31, 2023, the Company incurred $0.1 million of costs associated with the FTEs.</w:t>
      </w:r>
    </w:p>
    <w:p>
      <w:pPr>
        <w:spacing w:after="0" w:line="27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560" w:right="180" w:firstLine="423"/>
        <w:spacing w:after="0" w:line="266" w:lineRule="auto"/>
        <w:rPr>
          <w:sz w:val="20"/>
          <w:szCs w:val="20"/>
          <w:color w:val="auto"/>
        </w:rPr>
      </w:pPr>
      <w:r>
        <w:rPr>
          <w:rFonts w:ascii="Times New Roman" w:cs="Times New Roman" w:eastAsia="Times New Roman" w:hAnsi="Times New Roman"/>
          <w:sz w:val="18"/>
          <w:szCs w:val="18"/>
          <w:color w:val="auto"/>
        </w:rPr>
        <w:t>In accordance with the Company’s amended and restated certificate of incorporation (“ARCOI”) and certain indemnification agreements, the Company indemnifies certain officers and directors for specified events or occurrences, subject to certain limits, in which the officer or director is or was serving at the Company’s request in such capacity.</w:t>
      </w:r>
    </w:p>
    <w:p>
      <w:pPr>
        <w:spacing w:after="0" w:line="68" w:lineRule="exact"/>
        <w:rPr>
          <w:sz w:val="20"/>
          <w:szCs w:val="20"/>
          <w:color w:val="auto"/>
        </w:rPr>
      </w:pPr>
    </w:p>
    <w:p>
      <w:pPr>
        <w:ind w:left="560" w:right="80" w:firstLine="423"/>
        <w:spacing w:after="0" w:line="255" w:lineRule="auto"/>
        <w:rPr>
          <w:sz w:val="20"/>
          <w:szCs w:val="20"/>
          <w:color w:val="auto"/>
        </w:rPr>
      </w:pPr>
      <w:r>
        <w:rPr>
          <w:rFonts w:ascii="Times New Roman" w:cs="Times New Roman" w:eastAsia="Times New Roman" w:hAnsi="Times New Roman"/>
          <w:sz w:val="18"/>
          <w:szCs w:val="18"/>
          <w:color w:val="auto"/>
        </w:rPr>
        <w:t>The Company enters into certain types of contracts that contingently requires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with the Company, (ii) contracts under which it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its products, technology, intellectual property or services.</w:t>
      </w:r>
    </w:p>
    <w:p>
      <w:pPr>
        <w:spacing w:after="0" w:line="8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future business, operating results or financial condition. It is not possible to estimate the maximum amount potentially payable under these contracts since there is no history of prior indemnification claims and the unique facts and circumstances involved in each particular claim will be determinative.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060"/>
          </w:cols>
          <w:pgMar w:left="320" w:top="455" w:right="51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As of December 31, 2023 and 2022, the Company did not have any liabilities or other commitments related to indemnification claims.</w:t>
      </w:r>
    </w:p>
    <w:p>
      <w:pPr>
        <w:spacing w:after="0" w:line="370" w:lineRule="exact"/>
        <w:rPr>
          <w:sz w:val="20"/>
          <w:szCs w:val="20"/>
          <w:color w:val="auto"/>
        </w:rPr>
      </w:pPr>
    </w:p>
    <w:p>
      <w:pPr>
        <w:ind w:left="540" w:hanging="424"/>
        <w:spacing w:after="0"/>
        <w:tabs>
          <w:tab w:leader="none" w:pos="5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560" w:right="60" w:firstLine="423"/>
        <w:spacing w:after="0" w:line="255" w:lineRule="auto"/>
        <w:rPr>
          <w:sz w:val="20"/>
          <w:szCs w:val="20"/>
          <w:color w:val="auto"/>
        </w:rPr>
      </w:pPr>
      <w:r>
        <w:rPr>
          <w:rFonts w:ascii="Times New Roman" w:cs="Times New Roman" w:eastAsia="Times New Roman" w:hAnsi="Times New Roman"/>
          <w:sz w:val="18"/>
          <w:szCs w:val="18"/>
          <w:color w:val="auto"/>
        </w:rPr>
        <w:t>The Company has entered into operating leases for office and laboratory facilities and financing leases for laboratory equipment used in research and development activities. The remaining lease terms for its leases range from two years to four years. These leases often include options to extend the term of the lease. When it is reasonably certain that the option will be exercised, the impact of the renewal term is included in the lease term for purposes of determining total future lease payments and measuring the ROU asset and lease liability. The Company is not reasonably certain to exercise any available renewal options, which are therefore excluded from the measurement of leases. The Company applies the short-term lease policy election for its real estate and equipment leases, which allows it to exclude from recognition leases with an original term of twelve months or less.</w:t>
      </w:r>
    </w:p>
    <w:p>
      <w:pPr>
        <w:spacing w:after="0" w:line="81" w:lineRule="exact"/>
        <w:rPr>
          <w:sz w:val="20"/>
          <w:szCs w:val="20"/>
          <w:color w:val="auto"/>
        </w:rPr>
      </w:pPr>
    </w:p>
    <w:p>
      <w:pPr>
        <w:ind w:left="560" w:right="60" w:firstLine="423"/>
        <w:spacing w:after="0" w:line="258" w:lineRule="auto"/>
        <w:rPr>
          <w:sz w:val="20"/>
          <w:szCs w:val="20"/>
          <w:color w:val="auto"/>
        </w:rPr>
      </w:pPr>
      <w:r>
        <w:rPr>
          <w:rFonts w:ascii="Times New Roman" w:cs="Times New Roman" w:eastAsia="Times New Roman" w:hAnsi="Times New Roman"/>
          <w:sz w:val="18"/>
          <w:szCs w:val="18"/>
          <w:color w:val="auto"/>
        </w:rPr>
        <w:t>In November 2020, the Company executed a facilities lease agreement to occupy 18,768 square feet of office and laboratory space, that was subsequently amended on April 21, 2022. The lease requires the Company to pay fixed base rent, which is included in the measurement of the lease, as well as its proportionate share of the facilities operating expenses which are treated as variable lease costs based on the Company’s election to combine lease and associated non-lease components and are excluded from the measurement of the lease. The lease expires on January 31, 2026, and contains a five-year renewal option exercisable by the Company which is not included in the measurement of the lease.</w:t>
      </w:r>
    </w:p>
    <w:p>
      <w:pPr>
        <w:spacing w:after="0" w:line="75"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In April 2021, the Company entered into an agreement to sublease a portion of its facility lease to a related party (see Note 13) in exchange for $28,333 per month. The sublease agreement was an operating lease with a term of 18 months and was set to expire on September 30, 2022. In July 2022, the Company granted the sublessee permission to terminate the agreement on July 31, 2022. An immaterial adjustment to straight-line rental income and accrued rent receivable was recorded as part of the early termination. The proceeds from the sublease agreement are recorded as an offset to facilities costs in the periods in which they are earned.</w:t>
      </w:r>
    </w:p>
    <w:p>
      <w:pPr>
        <w:spacing w:after="0" w:line="75" w:lineRule="exact"/>
        <w:rPr>
          <w:sz w:val="20"/>
          <w:szCs w:val="20"/>
          <w:color w:val="auto"/>
        </w:rPr>
      </w:pPr>
    </w:p>
    <w:p>
      <w:pPr>
        <w:ind w:left="560" w:right="20" w:firstLine="423"/>
        <w:spacing w:after="0" w:line="282" w:lineRule="auto"/>
        <w:rPr>
          <w:sz w:val="20"/>
          <w:szCs w:val="20"/>
          <w:color w:val="auto"/>
        </w:rPr>
      </w:pPr>
      <w:r>
        <w:rPr>
          <w:rFonts w:ascii="Times New Roman" w:cs="Times New Roman" w:eastAsia="Times New Roman" w:hAnsi="Times New Roman"/>
          <w:sz w:val="18"/>
          <w:szCs w:val="18"/>
          <w:color w:val="auto"/>
        </w:rPr>
        <w:t>During 2022, the Company entered into four additional finance leases that resulted in an increase of $1.3 million in ROU assets, inclusive of lease payments made prior to commencement, and $1.3 million in related lease liabilities.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lease costs for the years ended December 31, 2023 and 2022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CCEEFF"/>
            </w:tcBorders>
            <w:vMerge w:val="continue"/>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1,404</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2,912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00" w:type="dxa"/>
            <w:vAlign w:val="bottom"/>
          </w:tcPr>
          <w:p>
            <w:pPr>
              <w:spacing w:after="0"/>
              <w:rPr>
                <w:sz w:val="24"/>
                <w:szCs w:val="24"/>
                <w:color w:val="auto"/>
              </w:rPr>
            </w:pPr>
          </w:p>
        </w:tc>
        <w:tc>
          <w:tcPr>
            <w:tcW w:w="3600" w:type="dxa"/>
            <w:vAlign w:val="bottom"/>
            <w:gridSpan w:val="2"/>
          </w:tcPr>
          <w:p>
            <w:pPr>
              <w:jc w:val="right"/>
              <w:ind w:right="2350"/>
              <w:spacing w:after="0"/>
              <w:rPr>
                <w:sz w:val="20"/>
                <w:szCs w:val="20"/>
                <w:color w:val="auto"/>
              </w:rPr>
            </w:pPr>
            <w:r>
              <w:rPr>
                <w:rFonts w:ascii="Times New Roman" w:cs="Times New Roman" w:eastAsia="Times New Roman" w:hAnsi="Times New Roman"/>
                <w:sz w:val="18"/>
                <w:szCs w:val="18"/>
                <w:color w:val="auto"/>
              </w:rPr>
              <w:t>F-93</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sets forth information about the Company’s leases for the years ended December 31, 2023 and 2022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7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6580" w:type="dxa"/>
            <w:vAlign w:val="bottom"/>
            <w:tcBorders>
              <w:bottom w:val="single" w:sz="8" w:color="CCEEFF"/>
            </w:tcBorders>
            <w:vMerge w:val="continue"/>
          </w:tcPr>
          <w:p>
            <w:pPr>
              <w:spacing w:after="0"/>
              <w:rPr>
                <w:sz w:val="15"/>
                <w:szCs w:val="15"/>
                <w:color w:val="auto"/>
              </w:rPr>
            </w:pP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 - financing cash flows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 - operating cash flows</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 - operating cash flows</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1,470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1,340</w:t>
            </w: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leases</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leases</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maturity of the Company’s finance and operating lease liabilities for the year ended December 31, 2023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80" w:type="dxa"/>
            <w:vAlign w:val="bottom"/>
          </w:tcPr>
          <w:p>
            <w:pPr>
              <w:spacing w:after="0"/>
              <w:rPr>
                <w:sz w:val="16"/>
                <w:szCs w:val="16"/>
                <w:color w:val="auto"/>
              </w:rPr>
            </w:pPr>
          </w:p>
        </w:tc>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2024</w:t>
            </w:r>
          </w:p>
        </w:tc>
        <w:tc>
          <w:tcPr>
            <w:tcW w:w="3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w w:val="88"/>
              </w:rPr>
              <w:t>583</w:t>
            </w:r>
          </w:p>
        </w:tc>
        <w:tc>
          <w:tcPr>
            <w:tcW w:w="10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552</w:t>
            </w:r>
          </w:p>
        </w:tc>
        <w:tc>
          <w:tcPr>
            <w:tcW w:w="3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363</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44</w:t>
            </w:r>
          </w:p>
        </w:tc>
        <w:tc>
          <w:tcPr>
            <w:tcW w:w="3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10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1,542</w:t>
            </w:r>
          </w:p>
        </w:tc>
        <w:tc>
          <w:tcPr>
            <w:tcW w:w="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3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15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980" w:type="dxa"/>
            <w:vAlign w:val="bottom"/>
            <w:gridSpan w:val="2"/>
            <w:shd w:val="clear" w:color="auto" w:fill="CCEEFF"/>
          </w:tcPr>
          <w:p>
            <w:pPr>
              <w:ind w:left="36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1,351</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w:t>
            </w:r>
          </w:p>
        </w:tc>
      </w:tr>
      <w:tr>
        <w:trPr>
          <w:trHeight w:val="20"/>
        </w:trPr>
        <w:tc>
          <w:tcPr>
            <w:tcW w:w="1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STOCK</w:t>
      </w:r>
    </w:p>
    <w:p>
      <w:pPr>
        <w:spacing w:after="0" w:line="121" w:lineRule="exact"/>
        <w:rPr>
          <w:sz w:val="20"/>
          <w:szCs w:val="20"/>
          <w:color w:val="auto"/>
        </w:rPr>
      </w:pPr>
    </w:p>
    <w:p>
      <w:pPr>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The Company issued Series A-1 convertible preferred stock (the “Series A-1 Preferred Stock”), Series A-2 convertible preferred stock (the “Series A-2 Preferred Stock”), Series A-3 convertible preferred stock (the “Series A-3 Preferred Stock”), and Series A-4 convertible preferred stock (the “Series A-4 Preferred Stock”); collectively the “Preferred Stock.”</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060"/>
          </w:cols>
          <w:pgMar w:left="320" w:top="455" w:right="51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Preferred Stock consisted of the following (in thousands, expect share and per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0"/>
                <w:szCs w:val="10"/>
                <w:color w:val="auto"/>
              </w:rPr>
            </w:pPr>
          </w:p>
        </w:tc>
        <w:tc>
          <w:tcPr>
            <w:tcW w:w="11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$ 45,016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1,649,188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1,649,188</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21,654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21,749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1,649,188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696,516</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696,516</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7,348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696,516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A-4 Preferred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361,659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361,659</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361,659</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$ 80,627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$ 87,459</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00" w:type="dxa"/>
            <w:vAlign w:val="bottom"/>
            <w:gridSpan w:val="2"/>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40" w:type="dxa"/>
            <w:vAlign w:val="bottom"/>
          </w:tcPr>
          <w:p>
            <w:pPr>
              <w:spacing w:after="0"/>
              <w:rPr>
                <w:sz w:val="10"/>
                <w:szCs w:val="10"/>
                <w:color w:val="auto"/>
              </w:rPr>
            </w:pPr>
          </w:p>
        </w:tc>
        <w:tc>
          <w:tcPr>
            <w:tcW w:w="11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2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$ 45,016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1,649,188</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1,649,188</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21,654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21,749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1,649,188</w:t>
            </w: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696,516</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696,516</w:t>
            </w: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7,348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696,516</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Series A-4 Preferred Stock</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0.0001</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361,659</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361,659</w:t>
            </w: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4,770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361,659</w:t>
            </w: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2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$ 80,627</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$ 87,459</w:t>
            </w:r>
          </w:p>
        </w:tc>
        <w:tc>
          <w:tcPr>
            <w:tcW w:w="2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6,825,483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Upon the issuance of each series of the Preferred Stock, the Company assessed the embedded conversion and liquidation features of the issued Preferred Stock and determined that such features did not require the Company to separately account for these features.</w:t>
      </w:r>
    </w:p>
    <w:p>
      <w:pPr>
        <w:spacing w:after="0" w:line="54" w:lineRule="exact"/>
        <w:rPr>
          <w:sz w:val="20"/>
          <w:szCs w:val="20"/>
          <w:color w:val="auto"/>
        </w:rPr>
      </w:pPr>
    </w:p>
    <w:p>
      <w:pPr>
        <w:ind w:left="560" w:right="420" w:firstLine="423"/>
        <w:spacing w:after="0" w:line="282" w:lineRule="auto"/>
        <w:rPr>
          <w:sz w:val="20"/>
          <w:szCs w:val="20"/>
          <w:color w:val="auto"/>
        </w:rPr>
      </w:pPr>
      <w:r>
        <w:rPr>
          <w:rFonts w:ascii="Times New Roman" w:cs="Times New Roman" w:eastAsia="Times New Roman" w:hAnsi="Times New Roman"/>
          <w:sz w:val="18"/>
          <w:szCs w:val="18"/>
          <w:color w:val="auto"/>
        </w:rPr>
        <w:t>On September 7, 2022, the Company issued 2,446,372 shares of Series A-1 Preferred Stock and 437,282 shares of Series A-2 Preferred Stock at a price of $13.1876 per share, for aggregate gross proceeds of $38.0 million and incurred $11,966 of issuance costs.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Preferred Stock have the following rights and privileges: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left="560" w:right="60" w:firstLine="423"/>
        <w:spacing w:after="0" w:line="281" w:lineRule="auto"/>
        <w:rPr>
          <w:sz w:val="20"/>
          <w:szCs w:val="20"/>
          <w:color w:val="auto"/>
        </w:rPr>
      </w:pPr>
      <w:r>
        <w:rPr>
          <w:rFonts w:ascii="Times New Roman" w:cs="Times New Roman" w:eastAsia="Times New Roman" w:hAnsi="Times New Roman"/>
          <w:sz w:val="17"/>
          <w:szCs w:val="17"/>
          <w:color w:val="auto"/>
        </w:rPr>
        <w:t>The holders of the Preferred Stock are entitled to receive noncumulative dividends if and when declared by the Board at a rate of 8% per annum. The Company may not declare, pay or set aside any dividends on shares of any other series of capital stock of the Company, other than dividends on common stock payable in common stock, unless the holders of the Preferred Stock first receive, or simultaneously receive, a dividend on each outstanding share of the Preferred Stock. No dividends were declared or paid during the year ended December 31, 2023 or 2022.</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In the event of any involuntary liquidation, dissolution or winding up of the Company or Deemed Liquidation Event, holders of the Preferred Stock shall be paid out of the assets of the Company available for distribution an amount per share equal to the greater of (i) the applicable original issue price, plus any dividends declared but unpaid, or (ii) such amount per share as would have been payable had all shares of the Preferred Stock been converted into shares of common stock.</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40" w:firstLine="423"/>
        <w:spacing w:after="0" w:line="266" w:lineRule="auto"/>
        <w:rPr>
          <w:sz w:val="20"/>
          <w:szCs w:val="20"/>
          <w:color w:val="auto"/>
        </w:rPr>
      </w:pPr>
      <w:r>
        <w:rPr>
          <w:rFonts w:ascii="Times New Roman" w:cs="Times New Roman" w:eastAsia="Times New Roman" w:hAnsi="Times New Roman"/>
          <w:sz w:val="18"/>
          <w:szCs w:val="18"/>
          <w:color w:val="auto"/>
        </w:rPr>
        <w:t>If the assets available for distribution to its stockholders are insufficient to pay the holders of shares of the Preferred Stock the full amount which they shall be entitled, the holders of shares of Preferred Stock shall share ratably in any distribution in proportion to the respective amounts which would otherwise be payable if all amounts payable were paid in full.</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left="560" w:right="80" w:firstLine="423"/>
        <w:spacing w:after="0" w:line="261" w:lineRule="auto"/>
        <w:rPr>
          <w:sz w:val="20"/>
          <w:szCs w:val="20"/>
          <w:color w:val="auto"/>
        </w:rPr>
      </w:pPr>
      <w:r>
        <w:rPr>
          <w:rFonts w:ascii="Times New Roman" w:cs="Times New Roman" w:eastAsia="Times New Roman" w:hAnsi="Times New Roman"/>
          <w:sz w:val="18"/>
          <w:szCs w:val="18"/>
          <w:color w:val="auto"/>
        </w:rPr>
        <w:t>On any matter presented to the stockholders of the Company for their actions or consideration at any meeting of the Company, each holder of outstanding shares of Series A-1, Series A-3 and Series A-4 (the “Voting Preferred Stock”) shall be entitled to the number of votes equal to the number of whole shares of common stock into which the shares of the Voting Preferred Stock are convertible. Holders of outstanding shares of Series A-2 Preferred Stock are not entitled to voting rights.</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560" w:right="40" w:firstLine="423"/>
        <w:spacing w:after="0" w:line="255" w:lineRule="auto"/>
        <w:rPr>
          <w:sz w:val="20"/>
          <w:szCs w:val="20"/>
          <w:color w:val="auto"/>
        </w:rPr>
      </w:pPr>
      <w:r>
        <w:rPr>
          <w:rFonts w:ascii="Times New Roman" w:cs="Times New Roman" w:eastAsia="Times New Roman" w:hAnsi="Times New Roman"/>
          <w:sz w:val="18"/>
          <w:szCs w:val="18"/>
          <w:color w:val="auto"/>
        </w:rPr>
        <w:t>The Preferred Stock is conditionally redeemable upon the occurrence of a Deemed Liquidation Event. A Deemed Liquidation Event is defined as (a) a merger or consolidation (an “event”) in which the Company is a constituent party (or a subsidiary of the Company is a constituent party and the Company issues shares of its capital stock pursuant to the event), except those in which the shares Company’s stock outstanding immediately before the event continue to represent, or are converted into or exchanged for shares of capital stock that represent, immediately following the event, at least a majority, by voting power, of the capital stock of (1) the surviving or resulting corporation; or (2) if the surviving or resulting corporation is a wholly owned subsidiary of another corporation immediately following such event, the parent corporation of the surviving or resulting corporation and (b) the sale or disposition of the Company or one or more subsidiaries of the Company.</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outstanding shares of the Preferred Stock shall automatically convert into shares of common stock, at the conversion price upon either</w:t>
      </w:r>
    </w:p>
    <w:p>
      <w:pPr>
        <w:spacing w:after="0" w:line="27" w:lineRule="exact"/>
        <w:rPr>
          <w:sz w:val="20"/>
          <w:szCs w:val="20"/>
          <w:color w:val="auto"/>
        </w:rPr>
      </w:pPr>
    </w:p>
    <w:p>
      <w:pPr>
        <w:ind w:left="560" w:right="160" w:hanging="4"/>
        <w:spacing w:after="0" w:line="252" w:lineRule="auto"/>
        <w:tabs>
          <w:tab w:leader="none" w:pos="8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sale of shares of common stock to the public at a price of at least $39.56280 per share (subject to appropriate adjustment in the event of any stock dividend, stock split, combination or other similar recapitalization with respect to the common stock), in a firm-commitment underwritten initial public offering, resulting in at least $75.0 million of gross proceeds and in connection with such offering the common stock is listed for trading on the Nasdaq Stock Market’s National Market, the New York Stock Exchange or another exchange or marketplace approved by the Board of Directors, including the approval of a majority of the preferred directors or (b) the date and time, or the occurrence of an event, specified by vote or written consent of the holders of a majority of the voting preferred stock (the “Requisite Holders”).</w:t>
      </w:r>
    </w:p>
    <w:p>
      <w:pPr>
        <w:spacing w:after="0" w:line="82" w:lineRule="exact"/>
        <w:rPr>
          <w:sz w:val="20"/>
          <w:szCs w:val="20"/>
          <w:color w:val="auto"/>
        </w:rPr>
      </w:pPr>
    </w:p>
    <w:p>
      <w:pPr>
        <w:jc w:val="both"/>
        <w:ind w:left="560" w:right="80" w:firstLine="423"/>
        <w:spacing w:after="0" w:line="266" w:lineRule="auto"/>
        <w:rPr>
          <w:sz w:val="20"/>
          <w:szCs w:val="20"/>
          <w:color w:val="auto"/>
        </w:rPr>
      </w:pPr>
      <w:r>
        <w:rPr>
          <w:rFonts w:ascii="Times New Roman" w:cs="Times New Roman" w:eastAsia="Times New Roman" w:hAnsi="Times New Roman"/>
          <w:sz w:val="18"/>
          <w:szCs w:val="18"/>
          <w:color w:val="auto"/>
        </w:rPr>
        <w:t>Additionally, shares of Series A-1 Preferred Stock and A-2 Preferred Stock held by stockholders that did not exercise their tranche rights as part of the September 7, 2022 second tranche closing of the Preferred Stock financing were automatically converted into shares of common stock at the conversion price in effect immediately prior to this closing.</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w:t>
      </w:r>
    </w:p>
    <w:p>
      <w:pPr>
        <w:spacing w:after="0" w:line="121" w:lineRule="exact"/>
        <w:rPr>
          <w:sz w:val="20"/>
          <w:szCs w:val="20"/>
          <w:color w:val="auto"/>
        </w:rPr>
      </w:pPr>
    </w:p>
    <w:p>
      <w:pPr>
        <w:jc w:val="both"/>
        <w:ind w:left="560" w:firstLine="423"/>
        <w:spacing w:after="0" w:line="266" w:lineRule="auto"/>
        <w:rPr>
          <w:sz w:val="20"/>
          <w:szCs w:val="20"/>
          <w:color w:val="auto"/>
        </w:rPr>
      </w:pPr>
      <w:r>
        <w:rPr>
          <w:rFonts w:ascii="Times New Roman" w:cs="Times New Roman" w:eastAsia="Times New Roman" w:hAnsi="Times New Roman"/>
          <w:sz w:val="18"/>
          <w:szCs w:val="18"/>
          <w:color w:val="auto"/>
        </w:rPr>
        <w:t>Each share of the Preferred Stock shall be convertible at any time and from time to time and without the payment of additional consideration by the holder into such number of fully paid and non-assessable shares of common stock as determined by dividing the original issue price by the conversion price. Each share of Series A-2 Preferred Stock shall be convertible into one share of Series A-1 Preferred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100"/>
          </w:cols>
          <w:pgMar w:left="320" w:top="455" w:right="47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The conversion price for the Series A-1 Preferred Stock and the Series A-2 Preferred Stock initially is equal to $13.18760, and the initial conversion price for the Series A-3 Preferred Stock and the Series A-4 Preferred Stock is $10.55008 and $11.20946, respectively. The conversion price is subject to adjustment for any stock-splits, stock dividends, combinations or other similar recapitalizations and other adjustments as set forth in the Company’s ARCOI.</w:t>
      </w:r>
    </w:p>
    <w:p>
      <w:pPr>
        <w:spacing w:after="0" w:line="324" w:lineRule="exact"/>
        <w:rPr>
          <w:sz w:val="20"/>
          <w:szCs w:val="20"/>
          <w:color w:val="auto"/>
        </w:rPr>
      </w:pPr>
    </w:p>
    <w:p>
      <w:pPr>
        <w:ind w:left="540" w:hanging="424"/>
        <w:spacing w:after="0"/>
        <w:tabs>
          <w:tab w:leader="none" w:pos="5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560" w:right="100" w:firstLine="423"/>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Company’s ARCOI authorized the Company to issue up to 11,947,558 shares of $0.0001 par value common stock, of which, 2,634,246 shares were issued and outstanding.</w:t>
      </w:r>
    </w:p>
    <w:p>
      <w:pPr>
        <w:spacing w:after="0" w:line="54"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Voting, dividend and liquidation rights of the holders of common stock are subject to and qualified by the rights, powers and preferences of the holders of the Preferred Stock. Holders of common stock are entitled to one vote for each share of common stock; however, the holders of the common stock shall not be entitled to vote on any amendment to the ARCOI that relates solely to the terms of one or more outstanding series of preferred stock.</w:t>
      </w:r>
    </w:p>
    <w:p>
      <w:pPr>
        <w:spacing w:after="0" w:line="72" w:lineRule="exact"/>
        <w:rPr>
          <w:sz w:val="20"/>
          <w:szCs w:val="20"/>
          <w:color w:val="auto"/>
        </w:rPr>
      </w:pPr>
    </w:p>
    <w:p>
      <w:pPr>
        <w:jc w:val="both"/>
        <w:ind w:left="560" w:right="280" w:firstLine="423"/>
        <w:spacing w:after="0" w:line="266" w:lineRule="auto"/>
        <w:rPr>
          <w:sz w:val="20"/>
          <w:szCs w:val="20"/>
          <w:color w:val="auto"/>
        </w:rPr>
      </w:pPr>
      <w:r>
        <w:rPr>
          <w:rFonts w:ascii="Times New Roman" w:cs="Times New Roman" w:eastAsia="Times New Roman" w:hAnsi="Times New Roman"/>
          <w:sz w:val="18"/>
          <w:szCs w:val="18"/>
          <w:color w:val="auto"/>
        </w:rPr>
        <w:t>The Company has included in issued and outstanding common stock shares of restricted common stock granted by the Company. As of December 31, 2023, there were 2,634,246 common shares issued and outstanding, of which 2,598,752 relate to shares of unrestricted common stock.</w:t>
      </w:r>
    </w:p>
    <w:p>
      <w:pPr>
        <w:spacing w:after="0" w:line="320" w:lineRule="exact"/>
        <w:rPr>
          <w:sz w:val="20"/>
          <w:szCs w:val="20"/>
          <w:color w:val="auto"/>
        </w:rPr>
      </w:pPr>
    </w:p>
    <w:p>
      <w:pPr>
        <w:ind w:left="540" w:hanging="424"/>
        <w:spacing w:after="0"/>
        <w:tabs>
          <w:tab w:leader="none" w:pos="54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560" w:right="60" w:firstLine="423"/>
        <w:spacing w:after="0" w:line="261" w:lineRule="auto"/>
        <w:rPr>
          <w:sz w:val="20"/>
          <w:szCs w:val="20"/>
          <w:color w:val="auto"/>
        </w:rPr>
      </w:pPr>
      <w:r>
        <w:rPr>
          <w:rFonts w:ascii="Times New Roman" w:cs="Times New Roman" w:eastAsia="Times New Roman" w:hAnsi="Times New Roman"/>
          <w:sz w:val="18"/>
          <w:szCs w:val="18"/>
          <w:color w:val="auto"/>
        </w:rPr>
        <w:t>In June 2019, the Company adopted the 2019 Equity Incentive Plan (the “2019 Plan”), which provides employees, consultants and advisors and non-employee members of the Board of Directors and its affiliates with the opportunity to receive grants of stock options, stock awards and equity awards. Since inception, the Company has only issued stock options. Under the 2019 Plan, the Company may grant equity awards that could require the issuance of up to 1,991,264 shares of the Company’s common stock.</w:t>
      </w:r>
    </w:p>
    <w:p>
      <w:pPr>
        <w:spacing w:after="0" w:line="72" w:lineRule="exact"/>
        <w:rPr>
          <w:sz w:val="20"/>
          <w:szCs w:val="20"/>
          <w:color w:val="auto"/>
        </w:rPr>
      </w:pPr>
    </w:p>
    <w:p>
      <w:pPr>
        <w:jc w:val="both"/>
        <w:ind w:left="560" w:firstLine="423"/>
        <w:spacing w:after="0" w:line="266" w:lineRule="auto"/>
        <w:rPr>
          <w:sz w:val="20"/>
          <w:szCs w:val="20"/>
          <w:color w:val="auto"/>
        </w:rPr>
      </w:pPr>
      <w:r>
        <w:rPr>
          <w:rFonts w:ascii="Times New Roman" w:cs="Times New Roman" w:eastAsia="Times New Roman" w:hAnsi="Times New Roman"/>
          <w:sz w:val="18"/>
          <w:szCs w:val="18"/>
          <w:color w:val="auto"/>
        </w:rPr>
        <w:t>For incentive stock options and non-statutory stock options, the option exercise price may not be less than 100% of the estimated fair value on the date of grant. Options granted typically vest over a four-year period but may be granted with different vesting terms. The options expire ten years from the grant date.</w:t>
      </w:r>
    </w:p>
    <w:p>
      <w:pPr>
        <w:spacing w:after="0" w:line="68" w:lineRule="exact"/>
        <w:rPr>
          <w:sz w:val="20"/>
          <w:szCs w:val="20"/>
          <w:color w:val="auto"/>
        </w:rPr>
      </w:pPr>
    </w:p>
    <w:p>
      <w:pPr>
        <w:ind w:left="560" w:right="280" w:firstLine="423"/>
        <w:spacing w:after="0" w:line="282" w:lineRule="auto"/>
        <w:rPr>
          <w:sz w:val="20"/>
          <w:szCs w:val="20"/>
          <w:color w:val="auto"/>
        </w:rPr>
      </w:pPr>
      <w:r>
        <w:rPr>
          <w:rFonts w:ascii="Times New Roman" w:cs="Times New Roman" w:eastAsia="Times New Roman" w:hAnsi="Times New Roman"/>
          <w:sz w:val="18"/>
          <w:szCs w:val="18"/>
          <w:color w:val="auto"/>
        </w:rPr>
        <w:t>A summary of the activity in the 2019 Plan for the year ended December 31, 2023 is as follows (in thousands except share and per share amounts):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4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4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1,556,819</w:t>
            </w: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5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8.7</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441,615</w:t>
            </w:r>
          </w:p>
        </w:tc>
        <w:tc>
          <w:tcPr>
            <w:tcW w:w="16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2.74</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(108,475)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1.27</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 and expired</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(14,027)</w:t>
            </w:r>
          </w:p>
        </w:tc>
        <w:tc>
          <w:tcPr>
            <w:tcW w:w="160" w:type="dxa"/>
            <w:vAlign w:val="bottom"/>
          </w:tcPr>
          <w:p>
            <w:pPr>
              <w:spacing w:after="0"/>
              <w:rPr>
                <w:sz w:val="19"/>
                <w:szCs w:val="19"/>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1.53</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1,875,932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1.66</w:t>
            </w: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w:t>
            </w: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20" w:type="dxa"/>
            <w:vAlign w:val="bottom"/>
            <w:gridSpan w:val="2"/>
            <w:vMerge w:val="continue"/>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972,054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1.30</w:t>
            </w:r>
          </w:p>
        </w:tc>
        <w:tc>
          <w:tcPr>
            <w:tcW w:w="14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Options vested and expected to vest as of</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14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1,875,932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1.66</w:t>
            </w:r>
          </w:p>
        </w:tc>
        <w:tc>
          <w:tcPr>
            <w:tcW w:w="14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8.2</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2,276</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F-97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firstLine="423"/>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years ended December 31, 2023 and 2022 was $2.16 and $1.57 per share, respectively. The total intrinsic value of options exercised during the years ended December 31, 2023 and 2022 was $171,915 and $1,458, respectively.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Cash received from option exercises for the years ended December 31, 2023 and 2022 was $111,770 and $4,105, respectively.</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fair values of the options granted were estimated based on the BSM option pricing model, using the following assumptions: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520" w:type="dxa"/>
            <w:vAlign w:val="bottom"/>
          </w:tcPr>
          <w:p>
            <w:pPr>
              <w:spacing w:after="0"/>
              <w:rPr>
                <w:sz w:val="15"/>
                <w:szCs w:val="15"/>
                <w:color w:val="auto"/>
              </w:rPr>
            </w:pPr>
          </w:p>
        </w:tc>
        <w:tc>
          <w:tcPr>
            <w:tcW w:w="28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52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underlying common stock</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$2.16</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6.01</w:t>
            </w:r>
          </w:p>
        </w:tc>
        <w:tc>
          <w:tcPr>
            <w:tcW w:w="4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93.44 - 111.21%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87.02 - 91.24%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w:t>
            </w:r>
          </w:p>
        </w:tc>
        <w:tc>
          <w:tcPr>
            <w:tcW w:w="4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30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w:t>
      </w:r>
    </w:p>
    <w:p>
      <w:pPr>
        <w:spacing w:after="0" w:line="121" w:lineRule="exact"/>
        <w:rPr>
          <w:sz w:val="20"/>
          <w:szCs w:val="20"/>
          <w:color w:val="auto"/>
        </w:rPr>
      </w:pPr>
    </w:p>
    <w:p>
      <w:pPr>
        <w:ind w:left="560" w:right="60" w:firstLine="423"/>
        <w:spacing w:after="0" w:line="256" w:lineRule="auto"/>
        <w:rPr>
          <w:sz w:val="20"/>
          <w:szCs w:val="20"/>
          <w:color w:val="auto"/>
        </w:rPr>
      </w:pPr>
      <w:r>
        <w:rPr>
          <w:rFonts w:ascii="Times New Roman" w:cs="Times New Roman" w:eastAsia="Times New Roman" w:hAnsi="Times New Roman"/>
          <w:sz w:val="18"/>
          <w:szCs w:val="18"/>
          <w:color w:val="auto"/>
        </w:rPr>
        <w:t>Since 2019, the Company has granted restricted common stock to founders, employees and consultants. The purchase price of the restricted common stock is the estimated fair value on the grant date and the restricted stock is subject to various vesting schedules. Unvested restricted common stock are subject to repurchase rights held by the Company at the original issuance price in the event the restricted common stockholders’ service to the Company is terminated either voluntarily or involuntarily. As of December 31, 2023, there were 35,494 unvested restricted common stock, with a repurchase liability of less than $0.1 million, that is classified in accrued expenses and other current liabilities in the accompanying consolidated balance sheet.</w:t>
      </w:r>
    </w:p>
    <w:p>
      <w:pPr>
        <w:spacing w:after="0" w:line="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178"/>
        </w:trPr>
        <w:tc>
          <w:tcPr>
            <w:tcW w:w="20" w:type="dxa"/>
            <w:vAlign w:val="bottom"/>
          </w:tcPr>
          <w:p>
            <w:pPr>
              <w:spacing w:after="0"/>
              <w:rPr>
                <w:sz w:val="15"/>
                <w:szCs w:val="15"/>
                <w:color w:val="auto"/>
              </w:rPr>
            </w:pPr>
          </w:p>
        </w:tc>
        <w:tc>
          <w:tcPr>
            <w:tcW w:w="6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Unvested restricted common stock as of</w:t>
            </w: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January 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312,826</w:t>
            </w: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(277,332)</w:t>
            </w:r>
          </w:p>
        </w:tc>
      </w:tr>
      <w:tr>
        <w:trPr>
          <w:trHeight w:val="223"/>
        </w:trPr>
        <w:tc>
          <w:tcPr>
            <w:tcW w:w="2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20" w:type="dxa"/>
            <w:vAlign w:val="bottom"/>
          </w:tcPr>
          <w:p>
            <w:pPr>
              <w:spacing w:after="0"/>
              <w:rPr>
                <w:sz w:val="17"/>
                <w:szCs w:val="17"/>
                <w:color w:val="auto"/>
              </w:rPr>
            </w:pPr>
          </w:p>
        </w:tc>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Unvested restricted common stock as of</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35,494</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unvested restricted common stock and restricted common stock vested and forfeited for the years ended December 31, 2023 and 2022 was immaterial.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100"/>
          </w:cols>
          <w:pgMar w:left="320" w:top="455" w:right="4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 recorded stock-based compensation expense regarding its employees and nonemployees as follows (in thousands):</w:t>
      </w:r>
    </w:p>
    <w:p>
      <w:pPr>
        <w:spacing w:after="0" w:line="246"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7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4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40" w:type="dxa"/>
            <w:vAlign w:val="bottom"/>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r>
      <w:tr>
        <w:trPr>
          <w:trHeight w:val="27"/>
        </w:trPr>
        <w:tc>
          <w:tcPr>
            <w:tcW w:w="4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1,121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1,119</w:t>
            </w: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560" w:firstLine="423"/>
        <w:spacing w:after="0" w:line="266" w:lineRule="auto"/>
        <w:rPr>
          <w:sz w:val="20"/>
          <w:szCs w:val="20"/>
          <w:color w:val="auto"/>
        </w:rPr>
      </w:pPr>
      <w:r>
        <w:rPr>
          <w:rFonts w:ascii="Times New Roman" w:cs="Times New Roman" w:eastAsia="Times New Roman" w:hAnsi="Times New Roman"/>
          <w:sz w:val="18"/>
          <w:szCs w:val="18"/>
          <w:color w:val="auto"/>
        </w:rPr>
        <w:t>The Company records compensation expense on a straight-line basis over the vesting period. As of December 31, 2023, total compensation cost not yet recognized related to unvested stock options was $2.4 million, which is expected to be recognized over a weighted-average period of 2.6 years.</w:t>
      </w:r>
    </w:p>
    <w:p>
      <w:pPr>
        <w:spacing w:after="0" w:line="320" w:lineRule="exact"/>
        <w:rPr>
          <w:sz w:val="20"/>
          <w:szCs w:val="20"/>
          <w:color w:val="auto"/>
        </w:rPr>
      </w:pPr>
    </w:p>
    <w:p>
      <w:pPr>
        <w:ind w:left="540" w:hanging="424"/>
        <w:spacing w:after="0"/>
        <w:tabs>
          <w:tab w:leader="none" w:pos="5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Income tax expense consists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expense (benefit):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expense (benefit):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11,207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7,407</w:t>
            </w: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2,189</w:t>
            </w:r>
          </w:p>
        </w:tc>
      </w:tr>
      <w:tr>
        <w:trPr>
          <w:trHeight w:val="22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benefit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14,568</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9,596</w:t>
            </w:r>
          </w:p>
        </w:tc>
        <w:tc>
          <w:tcPr>
            <w:tcW w:w="100" w:type="dxa"/>
            <w:vAlign w:val="bottom"/>
          </w:tcPr>
          <w:p>
            <w:pPr>
              <w:spacing w:after="0"/>
              <w:rPr>
                <w:sz w:val="19"/>
                <w:szCs w:val="19"/>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change in valuation allowance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7"/>
              </w:rPr>
              <w:t>(14,568)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(9,596)</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20" w:firstLine="423"/>
        <w:spacing w:after="0" w:line="282" w:lineRule="auto"/>
        <w:rPr>
          <w:sz w:val="20"/>
          <w:szCs w:val="20"/>
          <w:color w:val="auto"/>
        </w:rPr>
      </w:pPr>
      <w:r>
        <w:rPr>
          <w:rFonts w:ascii="Times New Roman" w:cs="Times New Roman" w:eastAsia="Times New Roman" w:hAnsi="Times New Roman"/>
          <w:sz w:val="18"/>
          <w:szCs w:val="18"/>
          <w:color w:val="auto"/>
        </w:rPr>
        <w:t>The components of the Company’s loss before income tax expense are compromised solely of domestic sources. The reconciliation of the federal statutory income tax rate to the Company’s effective income tax rate is as follows:</w:t>
      </w:r>
    </w:p>
    <w:p>
      <w:pPr>
        <w:spacing w:after="0" w:line="182"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640" w:type="dxa"/>
            <w:vAlign w:val="bottom"/>
            <w:tcBorders>
              <w:bottom w:val="single" w:sz="8" w:color="CCEEFF"/>
            </w:tcBorders>
          </w:tcPr>
          <w:p>
            <w:pPr>
              <w:spacing w:after="0"/>
              <w:rPr>
                <w:sz w:val="12"/>
                <w:szCs w:val="12"/>
                <w:color w:val="auto"/>
              </w:rPr>
            </w:pPr>
          </w:p>
        </w:tc>
        <w:tc>
          <w:tcPr>
            <w:tcW w:w="314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3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4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7.8%</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4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1.2%</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compensation</w:t>
            </w:r>
          </w:p>
        </w:tc>
        <w:tc>
          <w:tcPr>
            <w:tcW w:w="4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liability fair value adjustment</w:t>
            </w:r>
          </w:p>
        </w:tc>
        <w:tc>
          <w:tcPr>
            <w:tcW w:w="4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36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36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4100" w:type="dxa"/>
            <w:vAlign w:val="bottom"/>
            <w:gridSpan w:val="3"/>
          </w:tcPr>
          <w:p>
            <w:pPr>
              <w:jc w:val="right"/>
              <w:ind w:right="3380"/>
              <w:spacing w:after="0"/>
              <w:rPr>
                <w:sz w:val="20"/>
                <w:szCs w:val="20"/>
                <w:color w:val="auto"/>
              </w:rPr>
            </w:pPr>
            <w:r>
              <w:rPr>
                <w:rFonts w:ascii="Times New Roman" w:cs="Times New Roman" w:eastAsia="Times New Roman" w:hAnsi="Times New Roman"/>
                <w:sz w:val="18"/>
                <w:szCs w:val="18"/>
                <w:color w:val="auto"/>
              </w:rPr>
              <w:t>F-99</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20"/>
          </w:cols>
          <w:pgMar w:left="320" w:top="455" w:right="5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consist of the following (in thousands):</w:t>
      </w:r>
    </w:p>
    <w:p>
      <w:pPr>
        <w:spacing w:after="0" w:line="24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11,392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4,336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R&amp;D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7,027</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Accruals &amp; other</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32,167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18,805</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(30,228)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(15,658)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1,939</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(3,147)</w:t>
            </w:r>
          </w:p>
        </w:tc>
        <w:tc>
          <w:tcPr>
            <w:tcW w:w="0" w:type="dxa"/>
            <w:vAlign w:val="bottom"/>
          </w:tcPr>
          <w:p>
            <w:pPr>
              <w:spacing w:after="0"/>
              <w:rPr>
                <w:sz w:val="1"/>
                <w:szCs w:val="1"/>
                <w:color w:val="auto"/>
              </w:rPr>
            </w:pP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 assets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60" w:right="100" w:firstLine="423"/>
        <w:spacing w:after="0" w:line="256" w:lineRule="auto"/>
        <w:rPr>
          <w:sz w:val="20"/>
          <w:szCs w:val="20"/>
          <w:color w:val="auto"/>
        </w:rPr>
      </w:pPr>
      <w:r>
        <w:rPr>
          <w:rFonts w:ascii="Times New Roman" w:cs="Times New Roman" w:eastAsia="Times New Roman" w:hAnsi="Times New Roman"/>
          <w:sz w:val="18"/>
          <w:szCs w:val="18"/>
          <w:color w:val="auto"/>
        </w:rPr>
        <w:t>Future realization of the tax benefits of existing temporary differences and net operating loss (“NOL”) carryforwards ultimately depends on the existence of sufficient taxable income within the carryforward period. As of December 31, 2023 and 2022, the Company performed an evaluation to determine whether a valuation allowance was needed. The Company considered all available evidence, both positive and negative, which included the results of operations for the current and preceding years. The Company determined that it was not possible to reasonably quantify future taxable income and determined that it is more likely than not that all of the deferred tax assets will not be realized. Accordingly, the Company maintained a full valuation allowance as of December 31, 2023 and 2022.</w:t>
      </w:r>
    </w:p>
    <w:p>
      <w:pPr>
        <w:spacing w:after="0" w:line="79" w:lineRule="exact"/>
        <w:rPr>
          <w:sz w:val="20"/>
          <w:szCs w:val="20"/>
          <w:color w:val="auto"/>
        </w:rPr>
      </w:pPr>
    </w:p>
    <w:p>
      <w:pPr>
        <w:ind w:left="560" w:firstLine="423"/>
        <w:spacing w:after="0" w:line="254" w:lineRule="auto"/>
        <w:rPr>
          <w:sz w:val="20"/>
          <w:szCs w:val="20"/>
          <w:color w:val="auto"/>
        </w:rPr>
      </w:pPr>
      <w:r>
        <w:rPr>
          <w:rFonts w:ascii="Times New Roman" w:cs="Times New Roman" w:eastAsia="Times New Roman" w:hAnsi="Times New Roman"/>
          <w:sz w:val="18"/>
          <w:szCs w:val="18"/>
          <w:color w:val="auto"/>
        </w:rPr>
        <w:t>The utilization of NOLs and tax credit carryforwards to offset future taxable income may be subject to an annual limitation as a result of ownership changes that have occurred previously or may occur in the future. Under Sections 382 and 383 of the Internal Revenue Code (“IRC”) of 1986, as amended, a corporation that undergoes an ownership change may be subject to limitations on its ability to utilize its pre-change NOLs and other tax attributes otherwise available to offset future taxable income and/or tax liability. An ownership change is defined as a cumulative change of 50% or more in the ownership positions of certain stockholders during a rolling three-year period. The Company has not completed a formal study to determine if any ownership changes within the meaning of the IRC Section 382 and 383 have occurred as of December 31, 2023 and 2022. An ownership change would restrict its ability to use its NOLs or tax credit carryforwards and could require the Company to pay federal or state income taxes earlier than would be required if such limitations were not in effect.</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Company’s valuation allowance increased for the year ended December 31, 2023 by $14.6 million due primarily to the generation of</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NOLs. As of December 31, 2023, the Company has NOL carryforwards for federal and state tax reporting purposes of $43.6 million and</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$35.3 million, respectively. NOL carryforwards generated after December 31, 2017 for federal tax reporting purposes of $43.6 million have 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indefinite life. NOL carryforwards for state purposes of $35.3 million begin to expire in 2039. As of December 31, 2023, the Company also has</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federal and state research and development tax credits of</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120"/>
          </w:cols>
          <w:pgMar w:left="320" w:top="455" w:right="45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$2.9 million and $1.9 million, which being to expire in 2039 and 2034, respectively. The Tax Cuts and Jobs Act resulted in significant changes to the treatment of research and developmental expenses under Section 174. For tax years beginning after December 31, 2021, taxpayers are required to capitalize and amortize all research and development expenses that are paid or incurred in connection with their trade or business. Specifically, costs for U.S. based research and development activities must be amortized over five years and costs for foreign research and development activities must be amortized over 15 years using a midyear convention. During the year ended December 31, 2023, the Company capitalized $36.2 million of research and development expenses.</w:t>
      </w:r>
    </w:p>
    <w:p>
      <w:pPr>
        <w:spacing w:after="0" w:line="79" w:lineRule="exact"/>
        <w:rPr>
          <w:sz w:val="20"/>
          <w:szCs w:val="20"/>
          <w:color w:val="auto"/>
        </w:rPr>
      </w:pPr>
    </w:p>
    <w:p>
      <w:pPr>
        <w:ind w:left="560" w:right="40" w:firstLine="423"/>
        <w:spacing w:after="0" w:line="261" w:lineRule="auto"/>
        <w:rPr>
          <w:sz w:val="20"/>
          <w:szCs w:val="20"/>
          <w:color w:val="auto"/>
        </w:rPr>
      </w:pPr>
      <w:r>
        <w:rPr>
          <w:rFonts w:ascii="Times New Roman" w:cs="Times New Roman" w:eastAsia="Times New Roman" w:hAnsi="Times New Roman"/>
          <w:sz w:val="18"/>
          <w:szCs w:val="18"/>
          <w:color w:val="auto"/>
        </w:rPr>
        <w:t>The Company evaluates its uncertain tax positions under ASC 740-10, which requires that realization of an uncertain income tax position be recognized. The benefit to be recorded is the amount most likely to be realized assuming a review by tax authorities having all relevant information and applying current conventions. The Company concluded that there are no uncertain tax positions in any of the periods presented. Accrued interest and penalties are included on the related tax liability line in the consolidated balance sheet.</w:t>
      </w:r>
    </w:p>
    <w:p>
      <w:pPr>
        <w:spacing w:after="0" w:line="72" w:lineRule="exact"/>
        <w:rPr>
          <w:sz w:val="20"/>
          <w:szCs w:val="20"/>
          <w:color w:val="auto"/>
        </w:rPr>
      </w:pPr>
    </w:p>
    <w:p>
      <w:pPr>
        <w:ind w:left="560" w:right="180" w:firstLine="423"/>
        <w:spacing w:after="0" w:line="261"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 by federal and state jurisdictions, where applicable. The earliest tax years that remain subject to examination by jurisdiction is the year ended December 31, 2020 for both federal and state. However, to the extent the Company utilizes NOLs from years ending prior to 2020, the statute remains open to the extent of the NOLs or other credits are utilized.</w:t>
      </w:r>
    </w:p>
    <w:p>
      <w:pPr>
        <w:spacing w:after="0" w:line="324" w:lineRule="exact"/>
        <w:rPr>
          <w:sz w:val="20"/>
          <w:szCs w:val="20"/>
          <w:color w:val="auto"/>
        </w:rPr>
      </w:pPr>
    </w:p>
    <w:p>
      <w:pPr>
        <w:ind w:left="540" w:hanging="424"/>
        <w:spacing w:after="0"/>
        <w:tabs>
          <w:tab w:leader="none" w:pos="5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560" w:right="40" w:firstLine="423"/>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2"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7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(42,823)</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(32,180)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9"/>
              </w:rPr>
              <w:t>2,373,674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1,969,418</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80" w:type="dxa"/>
            <w:vAlign w:val="bottom"/>
            <w:shd w:val="clear" w:color="auto" w:fill="CCEEFF"/>
          </w:tcPr>
          <w:p>
            <w:pPr>
              <w:ind w:left="360"/>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(18.04)</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F-101</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80" w:firstLine="423"/>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For the years ended December 31, 2023 and 2022, the Company excluded the following potential common shares from the computation of diluted net loss per share attributable to common stockholders for the period because including them would have had an anti-dilutive effect:</w:t>
      </w:r>
    </w:p>
    <w:p>
      <w:pPr>
        <w:spacing w:after="0" w:line="204"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00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 to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6,825,483</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1,875,932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1,556,819</w:t>
            </w: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35,494</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312,826</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SAFEs (as converted to common 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2,842,954</w:t>
            </w:r>
          </w:p>
        </w:tc>
        <w:tc>
          <w:tcPr>
            <w:tcW w:w="2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r>
      <w:tr>
        <w:trPr>
          <w:trHeight w:val="216"/>
        </w:trPr>
        <w:tc>
          <w:tcPr>
            <w:tcW w:w="60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11,579,863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8,695,128</w:t>
            </w:r>
          </w:p>
        </w:tc>
      </w:tr>
      <w:tr>
        <w:trPr>
          <w:trHeight w:val="20"/>
        </w:trPr>
        <w:tc>
          <w:tcPr>
            <w:tcW w:w="60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ind w:left="560" w:right="7600" w:hanging="444"/>
        <w:spacing w:after="0" w:line="400" w:lineRule="auto"/>
        <w:tabs>
          <w:tab w:leader="none" w:pos="552"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i w:val="1"/>
          <w:iCs w:val="1"/>
          <w:color w:val="auto"/>
        </w:rPr>
        <w:t>Scientific Advisory Board Member</w:t>
      </w:r>
    </w:p>
    <w:p>
      <w:pPr>
        <w:ind w:left="560" w:right="320" w:firstLine="423"/>
        <w:spacing w:after="0" w:line="266" w:lineRule="auto"/>
        <w:rPr>
          <w:sz w:val="20"/>
          <w:szCs w:val="20"/>
          <w:color w:val="auto"/>
        </w:rPr>
      </w:pPr>
      <w:r>
        <w:rPr>
          <w:rFonts w:ascii="Times New Roman" w:cs="Times New Roman" w:eastAsia="Times New Roman" w:hAnsi="Times New Roman"/>
          <w:sz w:val="18"/>
          <w:szCs w:val="18"/>
          <w:color w:val="auto"/>
        </w:rPr>
        <w:t>One of the Company’s co-founders is a member of the Company’s Scientific Advisory Board (“SAB”) and meets the criteria of a related party. For each of the years ended December 31, 2023 and 2022, the Company paid the SAB member fees in the amount of $0.1 million for advisory services provided. There were no amounts due to or from this related party as of December 31, 2023 or 2022.</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left="560" w:right="200" w:firstLine="423"/>
        <w:spacing w:after="0" w:line="261" w:lineRule="auto"/>
        <w:rPr>
          <w:sz w:val="20"/>
          <w:szCs w:val="20"/>
          <w:color w:val="auto"/>
        </w:rPr>
      </w:pPr>
      <w:r>
        <w:rPr>
          <w:rFonts w:ascii="Times New Roman" w:cs="Times New Roman" w:eastAsia="Times New Roman" w:hAnsi="Times New Roman"/>
          <w:sz w:val="18"/>
          <w:szCs w:val="18"/>
          <w:color w:val="auto"/>
        </w:rPr>
        <w:t>Harvard College (“Harvard”) meets the criteria of a related party resulting from the Company’s co-founders’ employment as professors in the Harvard Department of Molecular Pharmacology. Additionally, both co-founders are members of the Board and one co-founder is a major shareholder in the Company. Core intellectual property utilized by the Company is licensed from Harvard in exchange for license fees, future milestones and royalties, and equity in the Company in the form of common stock.</w:t>
      </w:r>
    </w:p>
    <w:p>
      <w:pPr>
        <w:spacing w:after="0" w:line="72" w:lineRule="exact"/>
        <w:rPr>
          <w:sz w:val="20"/>
          <w:szCs w:val="20"/>
          <w:color w:val="auto"/>
        </w:rPr>
      </w:pPr>
    </w:p>
    <w:p>
      <w:pPr>
        <w:ind w:left="560" w:firstLine="423"/>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the Company paid Harvard $0.2 and $0.1 million in cash considerations, respectively (see Note 6). Accounts payable to Harvard amounted to less than $0.1 million and zero as of December 31, 2023 and 2022.</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Sublease Agreement</w:t>
      </w:r>
    </w:p>
    <w:p>
      <w:pPr>
        <w:spacing w:after="0" w:line="121" w:lineRule="exact"/>
        <w:rPr>
          <w:sz w:val="20"/>
          <w:szCs w:val="20"/>
          <w:color w:val="auto"/>
        </w:rPr>
      </w:pPr>
    </w:p>
    <w:p>
      <w:pPr>
        <w:ind w:left="560" w:right="280" w:firstLine="423"/>
        <w:spacing w:after="0" w:line="261" w:lineRule="auto"/>
        <w:rPr>
          <w:sz w:val="20"/>
          <w:szCs w:val="20"/>
          <w:color w:val="auto"/>
        </w:rPr>
      </w:pPr>
      <w:r>
        <w:rPr>
          <w:rFonts w:ascii="Times New Roman" w:cs="Times New Roman" w:eastAsia="Times New Roman" w:hAnsi="Times New Roman"/>
          <w:sz w:val="18"/>
          <w:szCs w:val="18"/>
          <w:color w:val="auto"/>
        </w:rPr>
        <w:t>The Company entered into a sublease agreement with a company controlled by the Company’s co-founders. The sublease agreement was terminated in July 2022. For the years ended December 31, 2023 and 2022, the Company received cash considerations and recorded sublease income in the amount of zero and $0.3 million, respectively (see Note 7). There were no amounts due to or from this related party as of December 31, 2023 or 2022.</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Issuance of Preferred Stock</w:t>
      </w:r>
    </w:p>
    <w:p>
      <w:pPr>
        <w:spacing w:after="0" w:line="121" w:lineRule="exact"/>
        <w:rPr>
          <w:sz w:val="20"/>
          <w:szCs w:val="20"/>
          <w:color w:val="auto"/>
        </w:rPr>
      </w:pPr>
    </w:p>
    <w:p>
      <w:pPr>
        <w:ind w:left="560" w:right="400" w:firstLine="423"/>
        <w:spacing w:after="0" w:line="282" w:lineRule="auto"/>
        <w:rPr>
          <w:sz w:val="20"/>
          <w:szCs w:val="20"/>
          <w:color w:val="auto"/>
        </w:rPr>
      </w:pPr>
      <w:r>
        <w:rPr>
          <w:rFonts w:ascii="Times New Roman" w:cs="Times New Roman" w:eastAsia="Times New Roman" w:hAnsi="Times New Roman"/>
          <w:sz w:val="18"/>
          <w:szCs w:val="18"/>
          <w:color w:val="auto"/>
        </w:rPr>
        <w:t>On September 7, 2022, the Company issued 2,237,846 shares of Series A-1 Preferred Stock and 437,282 shares of Series A-2 Preferred Stock to related parties (see Note 8). These related parties include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key members of management, members of the Board, and certain of the Chief Executive Officer’s family members.</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SAFE Agreements</w:t>
      </w:r>
    </w:p>
    <w:p>
      <w:pPr>
        <w:spacing w:after="0" w:line="121" w:lineRule="exact"/>
        <w:rPr>
          <w:sz w:val="20"/>
          <w:szCs w:val="20"/>
          <w:color w:val="auto"/>
        </w:rPr>
      </w:pPr>
    </w:p>
    <w:p>
      <w:pPr>
        <w:ind w:left="560" w:right="220" w:firstLine="423"/>
        <w:spacing w:after="0" w:line="282" w:lineRule="auto"/>
        <w:rPr>
          <w:sz w:val="20"/>
          <w:szCs w:val="20"/>
          <w:color w:val="auto"/>
        </w:rPr>
      </w:pPr>
      <w:r>
        <w:rPr>
          <w:rFonts w:ascii="Times New Roman" w:cs="Times New Roman" w:eastAsia="Times New Roman" w:hAnsi="Times New Roman"/>
          <w:sz w:val="18"/>
          <w:szCs w:val="18"/>
          <w:color w:val="auto"/>
        </w:rPr>
        <w:t>From October through December 2023, the Company entered into multiple SAFE agreements with certain existing investors and received $34.1 million representing the purchase amount. All investors are considered related parties of the Company.</w:t>
      </w:r>
    </w:p>
    <w:p>
      <w:pPr>
        <w:spacing w:after="0" w:line="54" w:lineRule="exact"/>
        <w:rPr>
          <w:sz w:val="20"/>
          <w:szCs w:val="20"/>
          <w:color w:val="auto"/>
        </w:rPr>
      </w:pPr>
    </w:p>
    <w:p>
      <w:pPr>
        <w:ind w:left="560" w:right="20" w:firstLine="423"/>
        <w:spacing w:after="0" w:line="256" w:lineRule="auto"/>
        <w:rPr>
          <w:sz w:val="20"/>
          <w:szCs w:val="20"/>
          <w:color w:val="auto"/>
        </w:rPr>
      </w:pPr>
      <w:r>
        <w:rPr>
          <w:rFonts w:ascii="Times New Roman" w:cs="Times New Roman" w:eastAsia="Times New Roman" w:hAnsi="Times New Roman"/>
          <w:sz w:val="18"/>
          <w:szCs w:val="18"/>
          <w:color w:val="auto"/>
        </w:rPr>
        <w:t>The SAFE agreements have no maturity date, bear no interest, and will be redeemed by the Company upon the occurrence of a triggering event, including an equity financing, public listing transaction, change of control or dissolution. Equity financing is defined as a sale of the Company’s preferred stock at a fixed valuation. In the event of an equity financing, the SAFEs will automatically be redeemed through delivery of a variable number of shares of Company preferred stock equal to the SAFE purchase amount divided by the preferred stock per share issuance price in the equity financing. In the case of SAFE agreements issued in October 2023, a 10% discount will be applied to the per share issuance price in the equity financing in determining the number of shares of Company preferred stock issued to the investors upon redemption.</w:t>
      </w:r>
    </w:p>
    <w:p>
      <w:pPr>
        <w:spacing w:after="0" w:line="79" w:lineRule="exact"/>
        <w:rPr>
          <w:sz w:val="20"/>
          <w:szCs w:val="20"/>
          <w:color w:val="auto"/>
        </w:rPr>
      </w:pPr>
    </w:p>
    <w:p>
      <w:pPr>
        <w:ind w:left="560" w:firstLine="423"/>
        <w:spacing w:after="0" w:line="255" w:lineRule="auto"/>
        <w:rPr>
          <w:sz w:val="20"/>
          <w:szCs w:val="20"/>
          <w:color w:val="auto"/>
        </w:rPr>
      </w:pPr>
      <w:r>
        <w:rPr>
          <w:rFonts w:ascii="Times New Roman" w:cs="Times New Roman" w:eastAsia="Times New Roman" w:hAnsi="Times New Roman"/>
          <w:sz w:val="18"/>
          <w:szCs w:val="18"/>
          <w:color w:val="auto"/>
        </w:rPr>
        <w:t>Public listing transaction is defined as a direct listing, initial public offering (“IPO”) of the Company’s common stock, a reverse merger or a SPAC transaction. In any of these instances, the SAFEs will automatically be redeemed through delivery of a variable number of shares of the Company’s common stock determined by dividing the SAFE purchase amount by the offering or conversion price in the respective transaction. In the event of a change in control transaction, the SAFE investors will be entitled to receive a portion of the transaction proceeds equal to the greater of the SAFE purchase amount, payable in cash or other consideration, or the amount payable on the number of shares of the Company’s common stock equal to the SAFE purchase amount divided by the change in control conversion price, as defined in the agreement. In a dissolution event, the investor will automatically be entitled to receive a portion of the dissolution purchase amount equal to the SAFE proceeds.</w:t>
      </w:r>
    </w:p>
    <w:p>
      <w:pPr>
        <w:spacing w:after="0" w:line="79"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SAFEs are not in the legal form of an outstanding share or debt and therefore were evaluated under ASC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Equity </w:t>
      </w:r>
      <w:r>
        <w:rPr>
          <w:rFonts w:ascii="Times New Roman" w:cs="Times New Roman" w:eastAsia="Times New Roman" w:hAnsi="Times New Roman"/>
          <w:sz w:val="18"/>
          <w:szCs w:val="18"/>
          <w:color w:val="auto"/>
        </w:rPr>
        <w:t>(“ASC 480”). Because the SAFEs allow for redemption based upon certain triggering events that are outside the Company’s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SAFEs were classified as liabilities pursuant to ASC 480 and initially measured at their fair value upon issuance. In addition, until redemption, the SAFEs are measured at fair value on a recurring basis with subsequent changes in fair value recoded in the Company’s statement of operations and comprehensive loss.</w:t>
      </w:r>
    </w:p>
    <w:p>
      <w:pPr>
        <w:spacing w:after="0" w:line="77" w:lineRule="exact"/>
        <w:rPr>
          <w:sz w:val="20"/>
          <w:szCs w:val="20"/>
          <w:color w:val="auto"/>
        </w:rPr>
      </w:pPr>
    </w:p>
    <w:p>
      <w:pPr>
        <w:ind w:left="560" w:right="20" w:firstLine="423"/>
        <w:spacing w:after="0" w:line="255" w:lineRule="auto"/>
        <w:rPr>
          <w:sz w:val="20"/>
          <w:szCs w:val="20"/>
          <w:color w:val="auto"/>
        </w:rPr>
      </w:pPr>
      <w:r>
        <w:rPr>
          <w:rFonts w:ascii="Times New Roman" w:cs="Times New Roman" w:eastAsia="Times New Roman" w:hAnsi="Times New Roman"/>
          <w:sz w:val="18"/>
          <w:szCs w:val="18"/>
          <w:color w:val="auto"/>
        </w:rPr>
        <w:t>The SAFEs issued in October 2023 were recognized at their fair value of $10.4 million on the issuance date. The issuance date fair value exceeded the proceeds received by approximately $0.3 million and this difference was recognized as loss at issuance in the consolidated statement of operations and comprehensive loss. The SAFEs issued in December 2023 were recognized at their fair value of approximately $21.4 million on the issuance date. The proceeds received exceeded the issuance date fair value by approximately $2.6 million and this difference was recognized as a capital contribution from the related party investors in additional paid-in capital in the consolidated statement of stockholders’ deficit. The subsequent measurement to the total SAFE liabilities fair value of $30.5 million is recorded in the consolidated statement of operations and comprehensive loss.</w:t>
      </w:r>
    </w:p>
    <w:p>
      <w:pPr>
        <w:spacing w:after="0" w:line="333" w:lineRule="exact"/>
        <w:rPr>
          <w:sz w:val="20"/>
          <w:szCs w:val="20"/>
          <w:color w:val="auto"/>
        </w:rPr>
      </w:pPr>
    </w:p>
    <w:p>
      <w:pPr>
        <w:ind w:left="540" w:hanging="424"/>
        <w:spacing w:after="0"/>
        <w:tabs>
          <w:tab w:leader="none" w:pos="54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left="560" w:right="380" w:firstLine="423"/>
        <w:spacing w:after="0" w:line="266" w:lineRule="auto"/>
        <w:rPr>
          <w:sz w:val="20"/>
          <w:szCs w:val="20"/>
          <w:color w:val="auto"/>
        </w:rPr>
      </w:pPr>
      <w:r>
        <w:rPr>
          <w:rFonts w:ascii="Times New Roman" w:cs="Times New Roman" w:eastAsia="Times New Roman" w:hAnsi="Times New Roman"/>
          <w:sz w:val="18"/>
          <w:szCs w:val="18"/>
          <w:color w:val="auto"/>
        </w:rPr>
        <w:t>Management has evaluated subsequent events through March 25, 2024, which is the date the consolidated financial statements were available to be issued and April 12, 2024, which is the date the consolidated financial statements were available to be re-issued, to ensure that these consolidated financial</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statements include appropriate disclosure of events both recognized in the consolidated financial statements and events which occurred but were not recognized in the consolidated financial statements.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Proposed Merger with AVROBIO</w:t>
      </w:r>
    </w:p>
    <w:p>
      <w:pPr>
        <w:spacing w:after="0" w:line="121" w:lineRule="exact"/>
        <w:rPr>
          <w:sz w:val="20"/>
          <w:szCs w:val="20"/>
          <w:color w:val="auto"/>
        </w:rPr>
      </w:pPr>
    </w:p>
    <w:p>
      <w:pPr>
        <w:ind w:left="560" w:right="20" w:firstLine="423"/>
        <w:spacing w:after="0" w:line="258" w:lineRule="auto"/>
        <w:rPr>
          <w:sz w:val="20"/>
          <w:szCs w:val="20"/>
          <w:color w:val="auto"/>
        </w:rPr>
      </w:pPr>
      <w:r>
        <w:rPr>
          <w:rFonts w:ascii="Times New Roman" w:cs="Times New Roman" w:eastAsia="Times New Roman" w:hAnsi="Times New Roman"/>
          <w:sz w:val="18"/>
          <w:szCs w:val="18"/>
          <w:color w:val="auto"/>
        </w:rPr>
        <w:t>As discussed in Note 1, on January 30, 2024, the Company entered into an Agreement and Plan of Merger and Reorganization (the “Merger Agreement”) with AVROBIO, pursuant to which the subsidiaries of AVROBIO will merge with and into the Company, with the Company continuing as a wholly owned subsidiary of the surviving corporation of the merger (the “Merger”). The Merger is expected to be accounted for as a reverse recapitalization in accordance with GAAP, with AVROBIO treated as the acquired company for financial reporting purposes, and the Company treated as the accounting acquirer.</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Subscription Agreement</w:t>
      </w:r>
    </w:p>
    <w:p>
      <w:pPr>
        <w:spacing w:after="0" w:line="121" w:lineRule="exact"/>
        <w:rPr>
          <w:sz w:val="20"/>
          <w:szCs w:val="20"/>
          <w:color w:val="auto"/>
        </w:rPr>
      </w:pPr>
    </w:p>
    <w:p>
      <w:pPr>
        <w:ind w:left="560" w:firstLine="423"/>
        <w:spacing w:after="0" w:line="258" w:lineRule="auto"/>
        <w:rPr>
          <w:sz w:val="20"/>
          <w:szCs w:val="20"/>
          <w:color w:val="auto"/>
        </w:rPr>
      </w:pPr>
      <w:r>
        <w:rPr>
          <w:rFonts w:ascii="Times New Roman" w:cs="Times New Roman" w:eastAsia="Times New Roman" w:hAnsi="Times New Roman"/>
          <w:sz w:val="18"/>
          <w:szCs w:val="18"/>
          <w:color w:val="auto"/>
        </w:rPr>
        <w:t>Concurrently with the Merger Agreement, certain parties will enter into certain subscription agreements (the “Subscription Agreements”) with the Company to purchase, prior to the consummation of the merger, approximately 7,790,903 shares of the Company’s common stock for an aggregate purchase price of approximately $96.6 million. Shares of the Company’s common stock issued pursuant to the Subscription Agreements will be converted into shares of AVROBIO common stock at the closing of the merger based on an exchange ratio, pursuant to the Merger Agreement.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F-104</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lowerLetter"/>
      <w:start w:val="1"/>
    </w:lvl>
  </w:abstractNum>
  <w:abstractNum w:abstractNumId="36">
    <w:nsid w:val="7FB7E0AA"/>
    <w:multiLevelType w:val="hybridMultilevel"/>
    <w:lvl w:ilvl="0">
      <w:lvlJc w:val="left"/>
      <w:lvlText w:val="(%1)"/>
      <w:numFmt w:val="decimal"/>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1)"/>
      <w:numFmt w:val="decimal"/>
      <w:start w:val="1"/>
    </w:lvl>
  </w:abstractNum>
  <w:abstractNum w:abstractNumId="39">
    <w:nsid w:val="94211F2"/>
    <w:multiLevelType w:val="hybridMultilevel"/>
    <w:lvl w:ilvl="0">
      <w:lvlJc w:val="left"/>
      <w:lvlText w:val="(%1)"/>
      <w:numFmt w:val="decimal"/>
      <w:start w:val="3"/>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1)"/>
      <w:numFmt w:val="decimal"/>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decimal"/>
      <w:start w:val="4"/>
    </w:lvl>
  </w:abstractNum>
  <w:abstractNum w:abstractNumId="48">
    <w:nsid w:val="2DF6D648"/>
    <w:multiLevelType w:val="hybridMultilevel"/>
    <w:lvl w:ilvl="0">
      <w:lvlJc w:val="left"/>
      <w:lvlText w:val="%1."/>
      <w:numFmt w:val="decimal"/>
      <w:start w:val="1"/>
    </w:lvl>
  </w:abstractNum>
  <w:abstractNum w:abstractNumId="49">
    <w:nsid w:val="46B7D447"/>
    <w:multiLevelType w:val="hybridMultilevel"/>
    <w:lvl w:ilvl="0">
      <w:lvlJc w:val="left"/>
      <w:lvlText w:val="(%1)"/>
      <w:numFmt w:val="lowerRoman"/>
      <w:start w:val="2"/>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
      <w:numFmt w:val="bullet"/>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1"/>
      <w:numFmt w:val="upperLetter"/>
      <w:start w:val="35"/>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
      <w:numFmt w:val="bullet"/>
      <w:start w:val="1"/>
    </w:lvl>
  </w:abstractNum>
  <w:abstractNum w:abstractNumId="63">
    <w:nsid w:val="5FB8011C"/>
    <w:multiLevelType w:val="hybridMultilevel"/>
    <w:lvl w:ilvl="0">
      <w:lvlJc w:val="left"/>
      <w:lvlText w:val="•"/>
      <w:numFmt w:val="bullet"/>
      <w:start w:val="1"/>
    </w:lvl>
  </w:abstractNum>
  <w:abstractNum w:abstractNumId="64">
    <w:nsid w:val="6AA78F7F"/>
    <w:multiLevelType w:val="hybridMultilevel"/>
    <w:lvl w:ilvl="0">
      <w:lvlJc w:val="left"/>
      <w:lvlText w:val="(%1)"/>
      <w:numFmt w:val="decimal"/>
      <w:start w:val="1"/>
    </w:lvl>
  </w:abstractNum>
  <w:abstractNum w:abstractNumId="65">
    <w:nsid w:val="7672BD23"/>
    <w:multiLevelType w:val="hybridMultilevel"/>
    <w:lvl w:ilvl="0">
      <w:lvlJc w:val="left"/>
      <w:lvlText w:val="(%1)"/>
      <w:numFmt w:val="decimal"/>
      <w:start w:val="4"/>
    </w:lvl>
  </w:abstractNum>
  <w:abstractNum w:abstractNumId="66">
    <w:nsid w:val="6FC75AF8"/>
    <w:multiLevelType w:val="hybridMultilevel"/>
    <w:lvl w:ilvl="0">
      <w:lvlJc w:val="left"/>
      <w:lvlText w:val="(%1)"/>
      <w:numFmt w:val="decimal"/>
      <w:start w:val="1"/>
    </w:lvl>
  </w:abstractNum>
  <w:abstractNum w:abstractNumId="67">
    <w:nsid w:val="6A5F7029"/>
    <w:multiLevelType w:val="hybridMultilevel"/>
    <w:lvl w:ilvl="0">
      <w:lvlJc w:val="left"/>
      <w:lvlText w:val="(%1)"/>
      <w:numFmt w:val="decimal"/>
      <w:start w:val="5"/>
    </w:lvl>
  </w:abstractNum>
  <w:abstractNum w:abstractNumId="68">
    <w:nsid w:val="7D5E18F8"/>
    <w:multiLevelType w:val="hybridMultilevel"/>
    <w:lvl w:ilvl="0">
      <w:lvlJc w:val="left"/>
      <w:lvlText w:val="(%1)"/>
      <w:numFmt w:val="lowerRoman"/>
      <w:start w:val="3"/>
    </w:lvl>
  </w:abstractNum>
  <w:abstractNum w:abstractNumId="69">
    <w:nsid w:val="5F3534A4"/>
    <w:multiLevelType w:val="hybridMultilevel"/>
    <w:lvl w:ilvl="0">
      <w:lvlJc w:val="left"/>
      <w:lvlText w:val="(%1)"/>
      <w:numFmt w:val="decimal"/>
      <w:start w:val="5"/>
    </w:lvl>
  </w:abstractNum>
  <w:abstractNum w:abstractNumId="70">
    <w:nsid w:val="73A1821B"/>
    <w:multiLevelType w:val="hybridMultilevel"/>
    <w:lvl w:ilvl="0">
      <w:lvlJc w:val="left"/>
      <w:lvlText w:val="(%1)"/>
      <w:numFmt w:val="decimal"/>
      <w:start w:val="2"/>
    </w:lvl>
  </w:abstractNum>
  <w:abstractNum w:abstractNumId="71">
    <w:nsid w:val="7DE67713"/>
    <w:multiLevelType w:val="hybridMultilevel"/>
    <w:lvl w:ilvl="0">
      <w:lvlJc w:val="left"/>
      <w:lvlText w:val="(%1)"/>
      <w:numFmt w:val="decimal"/>
      <w:start w:val="1"/>
    </w:lvl>
  </w:abstractNum>
  <w:abstractNum w:abstractNumId="72">
    <w:nsid w:val="555C55B5"/>
    <w:multiLevelType w:val="hybridMultilevel"/>
    <w:lvl w:ilvl="0">
      <w:lvlJc w:val="left"/>
      <w:lvlText w:val="(%1)"/>
      <w:numFmt w:val="decimal"/>
      <w:start w:val="1"/>
    </w:lvl>
  </w:abstractNum>
  <w:abstractNum w:abstractNumId="73">
    <w:nsid w:val="3FA62ACA"/>
    <w:multiLevelType w:val="hybridMultilevel"/>
    <w:lvl w:ilvl="0">
      <w:lvlJc w:val="left"/>
      <w:lvlText w:val="•"/>
      <w:numFmt w:val="bullet"/>
      <w:start w:val="1"/>
    </w:lvl>
  </w:abstractNum>
  <w:abstractNum w:abstractNumId="74">
    <w:nsid w:val="14FCE74E"/>
    <w:multiLevelType w:val="hybridMultilevel"/>
    <w:lvl w:ilvl="0">
      <w:lvlJc w:val="left"/>
      <w:lvlText w:val="(%1)"/>
      <w:numFmt w:val="decimal"/>
      <w:start w:val="1"/>
    </w:lvl>
  </w:abstractNum>
  <w:abstractNum w:abstractNumId="75">
    <w:nsid w:val="6A3DD3E8"/>
    <w:multiLevelType w:val="hybridMultilevel"/>
    <w:lvl w:ilvl="0">
      <w:lvlJc w:val="left"/>
      <w:lvlText w:val="(%1)"/>
      <w:numFmt w:val="decimal"/>
      <w:start w:val="1"/>
    </w:lvl>
  </w:abstractNum>
  <w:abstractNum w:abstractNumId="76">
    <w:nsid w:val="71C91298"/>
    <w:multiLevelType w:val="hybridMultilevel"/>
    <w:lvl w:ilvl="0">
      <w:lvlJc w:val="left"/>
      <w:lvlText w:val="•"/>
      <w:numFmt w:val="bullet"/>
      <w:start w:val="1"/>
    </w:lvl>
  </w:abstractNum>
  <w:abstractNum w:abstractNumId="77">
    <w:nsid w:val="9DAF632"/>
    <w:multiLevelType w:val="hybridMultilevel"/>
    <w:lvl w:ilvl="0">
      <w:lvlJc w:val="left"/>
      <w:lvlText w:val="*"/>
      <w:numFmt w:val="bullet"/>
      <w:start w:val="1"/>
    </w:lvl>
  </w:abstractNum>
  <w:abstractNum w:abstractNumId="78">
    <w:nsid w:val="53299938"/>
    <w:multiLevelType w:val="hybridMultilevel"/>
    <w:lvl w:ilvl="0">
      <w:lvlJc w:val="left"/>
      <w:lvlText w:val="(%1)"/>
      <w:numFmt w:val="decimal"/>
      <w:start w:val="1"/>
    </w:lvl>
  </w:abstractNum>
  <w:abstractNum w:abstractNumId="79">
    <w:nsid w:val="1FBFE8E0"/>
    <w:multiLevelType w:val="hybridMultilevel"/>
    <w:lvl w:ilvl="0">
      <w:lvlJc w:val="left"/>
      <w:lvlText w:val="(%1)"/>
      <w:numFmt w:val="decimal"/>
      <w:start w:val="2"/>
    </w:lvl>
  </w:abstractNum>
  <w:abstractNum w:abstractNumId="80">
    <w:nsid w:val="5092CA79"/>
    <w:multiLevelType w:val="hybridMultilevel"/>
    <w:lvl w:ilvl="0">
      <w:lvlJc w:val="left"/>
      <w:lvlText w:val="(%1)"/>
      <w:numFmt w:val="decimal"/>
      <w:start w:val="7"/>
    </w:lvl>
  </w:abstractNum>
  <w:abstractNum w:abstractNumId="81">
    <w:nsid w:val="1D545C4D"/>
    <w:multiLevelType w:val="hybridMultilevel"/>
    <w:lvl w:ilvl="0">
      <w:lvlJc w:val="left"/>
      <w:lvlText w:val="*"/>
      <w:numFmt w:val="bullet"/>
      <w:start w:val="1"/>
    </w:lvl>
  </w:abstractNum>
  <w:abstractNum w:abstractNumId="82">
    <w:nsid w:val="59ADEA3D"/>
    <w:multiLevelType w:val="hybridMultilevel"/>
    <w:lvl w:ilvl="0">
      <w:lvlJc w:val="left"/>
      <w:lvlText w:val="(%1)"/>
      <w:numFmt w:val="decimal"/>
      <w:start w:val="1"/>
    </w:lvl>
  </w:abstractNum>
  <w:abstractNum w:abstractNumId="83">
    <w:nsid w:val="288F1A34"/>
    <w:multiLevelType w:val="hybridMultilevel"/>
    <w:lvl w:ilvl="0">
      <w:lvlJc w:val="left"/>
      <w:lvlText w:val="(%1)"/>
      <w:numFmt w:val="decimal"/>
      <w:start w:val="2"/>
    </w:lvl>
  </w:abstractNum>
  <w:abstractNum w:abstractNumId="84">
    <w:nsid w:val="2A155DBC"/>
    <w:multiLevelType w:val="hybridMultilevel"/>
    <w:lvl w:ilvl="0">
      <w:lvlJc w:val="left"/>
      <w:lvlText w:val="•"/>
      <w:numFmt w:val="bullet"/>
      <w:start w:val="1"/>
    </w:lvl>
  </w:abstractNum>
  <w:abstractNum w:abstractNumId="85">
    <w:nsid w:val="1D9F6E5F"/>
    <w:multiLevelType w:val="hybridMultilevel"/>
    <w:lvl w:ilvl="0">
      <w:lvlJc w:val="left"/>
      <w:lvlText w:val="•"/>
      <w:numFmt w:val="bullet"/>
      <w:start w:val="1"/>
    </w:lvl>
  </w:abstractNum>
  <w:abstractNum w:abstractNumId="86">
    <w:nsid w:val="97E1B4E"/>
    <w:multiLevelType w:val="hybridMultilevel"/>
    <w:lvl w:ilvl="0">
      <w:lvlJc w:val="left"/>
      <w:lvlText w:val="•"/>
      <w:numFmt w:val="bullet"/>
      <w:start w:val="1"/>
    </w:lvl>
  </w:abstractNum>
  <w:abstractNum w:abstractNumId="87">
    <w:nsid w:val="51088277"/>
    <w:multiLevelType w:val="hybridMultilevel"/>
    <w:lvl w:ilvl="0">
      <w:lvlJc w:val="left"/>
      <w:lvlText w:val="•"/>
      <w:numFmt w:val="bullet"/>
      <w:start w:val="1"/>
    </w:lvl>
  </w:abstractNum>
  <w:abstractNum w:abstractNumId="88">
    <w:nsid w:val="1CA0C5FA"/>
    <w:multiLevelType w:val="hybridMultilevel"/>
    <w:lvl w:ilvl="0">
      <w:lvlJc w:val="left"/>
      <w:lvlText w:val="•"/>
      <w:numFmt w:val="bullet"/>
      <w:start w:val="1"/>
    </w:lvl>
  </w:abstractNum>
  <w:abstractNum w:abstractNumId="89">
    <w:nsid w:val="53584BCB"/>
    <w:multiLevelType w:val="hybridMultilevel"/>
    <w:lvl w:ilvl="0">
      <w:lvlJc w:val="left"/>
      <w:lvlText w:val="•"/>
      <w:numFmt w:val="bullet"/>
      <w:start w:val="1"/>
    </w:lvl>
  </w:abstractNum>
  <w:abstractNum w:abstractNumId="90">
    <w:nsid w:val="415E286C"/>
    <w:multiLevelType w:val="hybridMultilevel"/>
    <w:lvl w:ilvl="0">
      <w:lvlJc w:val="left"/>
      <w:lvlText w:val="•"/>
      <w:numFmt w:val="bullet"/>
      <w:start w:val="1"/>
    </w:lvl>
  </w:abstractNum>
  <w:abstractNum w:abstractNumId="91">
    <w:nsid w:val="7C58FD05"/>
    <w:multiLevelType w:val="hybridMultilevel"/>
    <w:lvl w:ilvl="0">
      <w:lvlJc w:val="left"/>
      <w:lvlText w:val="•"/>
      <w:numFmt w:val="bullet"/>
      <w:start w:val="1"/>
    </w:lvl>
  </w:abstractNum>
  <w:abstractNum w:abstractNumId="92">
    <w:nsid w:val="23D86AAC"/>
    <w:multiLevelType w:val="hybridMultilevel"/>
    <w:lvl w:ilvl="0">
      <w:lvlJc w:val="left"/>
      <w:lvlText w:val="(%1)"/>
      <w:numFmt w:val="lowerLetter"/>
      <w:start w:val="1"/>
    </w:lvl>
  </w:abstractNum>
  <w:abstractNum w:abstractNumId="93">
    <w:nsid w:val="45E6D486"/>
    <w:multiLevelType w:val="hybridMultilevel"/>
    <w:lvl w:ilvl="0">
      <w:lvlJc w:val="left"/>
      <w:lvlText w:val="•"/>
      <w:numFmt w:val="bullet"/>
      <w:start w:val="1"/>
    </w:lvl>
  </w:abstractNum>
  <w:abstractNum w:abstractNumId="94">
    <w:nsid w:val="5C10FE21"/>
    <w:multiLevelType w:val="hybridMultilevel"/>
    <w:lvl w:ilvl="0">
      <w:lvlJc w:val="left"/>
      <w:lvlText w:val="(%1)"/>
      <w:numFmt w:val="lowerRoman"/>
      <w:start w:val="3"/>
    </w:lvl>
  </w:abstractNum>
  <w:abstractNum w:abstractNumId="95">
    <w:nsid w:val="E7FFA2B"/>
    <w:multiLevelType w:val="hybridMultilevel"/>
    <w:lvl w:ilvl="0">
      <w:lvlJc w:val="left"/>
      <w:lvlText w:val="%1."/>
      <w:numFmt w:val="decimal"/>
      <w:start w:val="2"/>
    </w:lvl>
  </w:abstractNum>
  <w:abstractNum w:abstractNumId="96">
    <w:nsid w:val="3C5991AA"/>
    <w:multiLevelType w:val="hybridMultilevel"/>
    <w:lvl w:ilvl="0">
      <w:lvlJc w:val="left"/>
      <w:lvlText w:val="•"/>
      <w:numFmt w:val="bullet"/>
      <w:start w:val="1"/>
    </w:lvl>
  </w:abstractNum>
  <w:abstractNum w:abstractNumId="97">
    <w:nsid w:val="4BD8591A"/>
    <w:multiLevelType w:val="hybridMultilevel"/>
    <w:lvl w:ilvl="0">
      <w:lvlJc w:val="left"/>
      <w:lvlText w:val="(%1)"/>
      <w:numFmt w:val="lowerRoman"/>
      <w:start w:val="3"/>
    </w:lvl>
  </w:abstractNum>
  <w:abstractNum w:abstractNumId="98">
    <w:nsid w:val="78DF6A55"/>
    <w:multiLevelType w:val="hybridMultilevel"/>
    <w:lvl w:ilvl="0">
      <w:lvlJc w:val="left"/>
      <w:lvlText w:val="%1."/>
      <w:numFmt w:val="decimal"/>
      <w:start w:val="1"/>
    </w:lvl>
  </w:abstractNum>
  <w:abstractNum w:abstractNumId="99">
    <w:nsid w:val="39B7AAA2"/>
    <w:multiLevelType w:val="hybridMultilevel"/>
    <w:lvl w:ilvl="0">
      <w:lvlJc w:val="left"/>
      <w:lvlText w:val="%1."/>
      <w:numFmt w:val="decimal"/>
      <w:start w:val="2"/>
    </w:lvl>
  </w:abstractNum>
  <w:abstractNum w:abstractNumId="100">
    <w:nsid w:val="2B0D8DBE"/>
    <w:multiLevelType w:val="hybridMultilevel"/>
    <w:lvl w:ilvl="0">
      <w:lvlJc w:val="left"/>
      <w:lvlText w:val="%1."/>
      <w:numFmt w:val="decimal"/>
      <w:start w:val="3"/>
    </w:lvl>
  </w:abstractNum>
  <w:abstractNum w:abstractNumId="101">
    <w:nsid w:val="6C80EC70"/>
    <w:multiLevelType w:val="hybridMultilevel"/>
    <w:lvl w:ilvl="0">
      <w:lvlJc w:val="left"/>
      <w:lvlText w:val="%1."/>
      <w:numFmt w:val="decimal"/>
      <w:start w:val="5"/>
    </w:lvl>
  </w:abstractNum>
  <w:abstractNum w:abstractNumId="102">
    <w:nsid w:val="379E21B5"/>
    <w:multiLevelType w:val="hybridMultilevel"/>
    <w:lvl w:ilvl="0">
      <w:lvlJc w:val="left"/>
      <w:lvlText w:val="%1."/>
      <w:numFmt w:val="decimal"/>
      <w:start w:val="6"/>
    </w:lvl>
  </w:abstractNum>
  <w:abstractNum w:abstractNumId="103">
    <w:nsid w:val="69E373"/>
    <w:multiLevelType w:val="hybridMultilevel"/>
    <w:lvl w:ilvl="0">
      <w:lvlJc w:val="left"/>
      <w:lvlText w:val="(%1)"/>
      <w:numFmt w:val="lowerRoman"/>
      <w:start w:val="1"/>
    </w:lvl>
  </w:abstractNum>
  <w:abstractNum w:abstractNumId="104">
    <w:nsid w:val="2C27173B"/>
    <w:multiLevelType w:val="hybridMultilevel"/>
    <w:lvl w:ilvl="0">
      <w:lvlJc w:val="left"/>
      <w:lvlText w:val="%1."/>
      <w:numFmt w:val="decimal"/>
      <w:start w:val="7"/>
    </w:lvl>
  </w:abstractNum>
  <w:abstractNum w:abstractNumId="105">
    <w:nsid w:val="4C9B0904"/>
    <w:multiLevelType w:val="hybridMultilevel"/>
    <w:lvl w:ilvl="0">
      <w:lvlJc w:val="left"/>
      <w:lvlText w:val="%1."/>
      <w:numFmt w:val="decimal"/>
      <w:start w:val="8"/>
    </w:lvl>
  </w:abstractNum>
  <w:abstractNum w:abstractNumId="106">
    <w:nsid w:val="6AA7B75C"/>
    <w:multiLevelType w:val="hybridMultilevel"/>
    <w:lvl w:ilvl="0">
      <w:lvlJc w:val="left"/>
      <w:lvlText w:val="(%1)"/>
      <w:numFmt w:val="lowerLetter"/>
      <w:start w:val="1"/>
    </w:lvl>
  </w:abstractNum>
  <w:abstractNum w:abstractNumId="107">
    <w:nsid w:val="1DF029D3"/>
    <w:multiLevelType w:val="hybridMultilevel"/>
    <w:lvl w:ilvl="0">
      <w:lvlJc w:val="left"/>
      <w:lvlText w:val="%1."/>
      <w:numFmt w:val="decimal"/>
      <w:start w:val="9"/>
    </w:lvl>
  </w:abstractNum>
  <w:abstractNum w:abstractNumId="108">
    <w:nsid w:val="5675FF36"/>
    <w:multiLevelType w:val="hybridMultilevel"/>
    <w:lvl w:ilvl="0">
      <w:lvlJc w:val="left"/>
      <w:lvlText w:val="%1."/>
      <w:numFmt w:val="decimal"/>
      <w:start w:val="10"/>
    </w:lvl>
  </w:abstractNum>
  <w:abstractNum w:abstractNumId="109">
    <w:nsid w:val="3DD15094"/>
    <w:multiLevelType w:val="hybridMultilevel"/>
    <w:lvl w:ilvl="0">
      <w:lvlJc w:val="left"/>
      <w:lvlText w:val="%1."/>
      <w:numFmt w:val="decimal"/>
      <w:start w:val="11"/>
    </w:lvl>
  </w:abstractNum>
  <w:abstractNum w:abstractNumId="110">
    <w:nsid w:val="3DB012B3"/>
    <w:multiLevelType w:val="hybridMultilevel"/>
    <w:lvl w:ilvl="0">
      <w:lvlJc w:val="left"/>
      <w:lvlText w:val="%1."/>
      <w:numFmt w:val="decimal"/>
      <w:start w:val="12"/>
    </w:lvl>
  </w:abstractNum>
  <w:abstractNum w:abstractNumId="111">
    <w:nsid w:val="2708C9AF"/>
    <w:multiLevelType w:val="hybridMultilevel"/>
    <w:lvl w:ilvl="0">
      <w:lvlJc w:val="left"/>
      <w:lvlText w:val="%1."/>
      <w:numFmt w:val="decimal"/>
      <w:start w:val="13"/>
    </w:lvl>
  </w:abstractNum>
  <w:abstractNum w:abstractNumId="112">
    <w:nsid w:val="5B25ACE2"/>
    <w:multiLevelType w:val="hybridMultilevel"/>
    <w:lvl w:ilvl="0">
      <w:lvlJc w:val="left"/>
      <w:lvlText w:val="%1."/>
      <w:numFmt w:val="decimal"/>
      <w:start w:val="14"/>
    </w:lvl>
  </w:abstractNum>
  <w:abstractNum w:abstractNumId="113">
    <w:nsid w:val="175DFCF0"/>
    <w:multiLevelType w:val="hybridMultilevel"/>
    <w:lvl w:ilvl="0">
      <w:lvlJc w:val="left"/>
      <w:lvlText w:val="•"/>
      <w:numFmt w:val="bullet"/>
      <w:start w:val="1"/>
    </w:lvl>
  </w:abstractNum>
  <w:abstractNum w:abstractNumId="114">
    <w:nsid w:val="4F97E3E4"/>
    <w:multiLevelType w:val="hybridMultilevel"/>
    <w:lvl w:ilvl="0">
      <w:lvlJc w:val="left"/>
      <w:lvlText w:val="%1."/>
      <w:numFmt w:val="decimal"/>
      <w:start w:val="1"/>
    </w:lvl>
  </w:abstractNum>
  <w:abstractNum w:abstractNumId="115">
    <w:nsid w:val="53B0A9E"/>
    <w:multiLevelType w:val="hybridMultilevel"/>
    <w:lvl w:ilvl="0">
      <w:lvlJc w:val="left"/>
      <w:lvlText w:val="%1."/>
      <w:numFmt w:val="decimal"/>
      <w:start w:val="2"/>
    </w:lvl>
  </w:abstractNum>
  <w:abstractNum w:abstractNumId="116">
    <w:nsid w:val="34FD6B4F"/>
    <w:multiLevelType w:val="hybridMultilevel"/>
    <w:lvl w:ilvl="0">
      <w:lvlJc w:val="left"/>
      <w:lvlText w:val="•"/>
      <w:numFmt w:val="bullet"/>
      <w:start w:val="1"/>
    </w:lvl>
  </w:abstractNum>
  <w:abstractNum w:abstractNumId="117">
    <w:nsid w:val="5915FF32"/>
    <w:multiLevelType w:val="hybridMultilevel"/>
    <w:lvl w:ilvl="0">
      <w:lvlJc w:val="left"/>
      <w:lvlText w:val="(%1)"/>
      <w:numFmt w:val="decimal"/>
      <w:start w:val="4"/>
    </w:lvl>
  </w:abstractNum>
  <w:abstractNum w:abstractNumId="118">
    <w:nsid w:val="56438D15"/>
    <w:multiLevelType w:val="hybridMultilevel"/>
    <w:lvl w:ilvl="0">
      <w:lvlJc w:val="left"/>
      <w:lvlText w:val="(%1)"/>
      <w:numFmt w:val="lowerRoman"/>
      <w:start w:val="1"/>
    </w:lvl>
  </w:abstractNum>
  <w:abstractNum w:abstractNumId="119">
    <w:nsid w:val="519E3149"/>
    <w:multiLevelType w:val="hybridMultilevel"/>
    <w:lvl w:ilvl="0">
      <w:lvlJc w:val="left"/>
      <w:lvlText w:val="%1."/>
      <w:numFmt w:val="decimal"/>
      <w:start w:val="3"/>
    </w:lvl>
  </w:abstractNum>
  <w:abstractNum w:abstractNumId="120">
    <w:nsid w:val="2C6E4AFD"/>
    <w:multiLevelType w:val="hybridMultilevel"/>
    <w:lvl w:ilvl="0">
      <w:lvlJc w:val="left"/>
      <w:lvlText w:val="%1."/>
      <w:numFmt w:val="decimal"/>
      <w:start w:val="4"/>
    </w:lvl>
  </w:abstractNum>
  <w:abstractNum w:abstractNumId="121">
    <w:nsid w:val="17A1B582"/>
    <w:multiLevelType w:val="hybridMultilevel"/>
    <w:lvl w:ilvl="0">
      <w:lvlJc w:val="left"/>
      <w:lvlText w:val="%1."/>
      <w:numFmt w:val="decimal"/>
      <w:start w:val="5"/>
    </w:lvl>
  </w:abstractNum>
  <w:abstractNum w:abstractNumId="122">
    <w:nsid w:val="4DF72E4E"/>
    <w:multiLevelType w:val="hybridMultilevel"/>
    <w:lvl w:ilvl="0">
      <w:lvlJc w:val="left"/>
      <w:lvlText w:val="%1."/>
      <w:numFmt w:val="decimal"/>
      <w:start w:val="6"/>
    </w:lvl>
  </w:abstractNum>
  <w:abstractNum w:abstractNumId="123">
    <w:nsid w:val="5046B5A9"/>
    <w:multiLevelType w:val="hybridMultilevel"/>
    <w:lvl w:ilvl="0">
      <w:lvlJc w:val="left"/>
      <w:lvlText w:val="%1."/>
      <w:numFmt w:val="decimal"/>
      <w:start w:val="7"/>
    </w:lvl>
  </w:abstractNum>
  <w:abstractNum w:abstractNumId="124">
    <w:nsid w:val="5D888A08"/>
    <w:multiLevelType w:val="hybridMultilevel"/>
    <w:lvl w:ilvl="0">
      <w:lvlJc w:val="left"/>
      <w:lvlText w:val="%1."/>
      <w:numFmt w:val="decimal"/>
      <w:start w:val="8"/>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decimal"/>
      <w:start w:val="9"/>
    </w:lvl>
  </w:abstractNum>
  <w:abstractNum w:abstractNumId="127">
    <w:nsid w:val="19E21BB2"/>
    <w:multiLevelType w:val="hybridMultilevel"/>
    <w:lvl w:ilvl="0">
      <w:lvlJc w:val="left"/>
      <w:lvlText w:val="%1."/>
      <w:numFmt w:val="decimal"/>
      <w:start w:val="10"/>
    </w:lvl>
  </w:abstractNum>
  <w:abstractNum w:abstractNumId="128">
    <w:nsid w:val="75E0858A"/>
    <w:multiLevelType w:val="hybridMultilevel"/>
    <w:lvl w:ilvl="0">
      <w:lvlJc w:val="left"/>
      <w:lvlText w:val="%1."/>
      <w:numFmt w:val="decimal"/>
      <w:start w:val="11"/>
    </w:lvl>
  </w:abstractNum>
  <w:abstractNum w:abstractNumId="129">
    <w:nsid w:val="57A61A29"/>
    <w:multiLevelType w:val="hybridMultilevel"/>
    <w:lvl w:ilvl="0">
      <w:lvlJc w:val="left"/>
      <w:lvlText w:val="%1."/>
      <w:numFmt w:val="decimal"/>
      <w:start w:val="12"/>
    </w:lvl>
  </w:abstractNum>
  <w:abstractNum w:abstractNumId="130">
    <w:nsid w:val="5399C654"/>
    <w:multiLevelType w:val="hybridMultilevel"/>
    <w:lvl w:ilvl="0">
      <w:lvlJc w:val="left"/>
      <w:lvlText w:val="%1."/>
      <w:numFmt w:val="decimal"/>
      <w:start w:val="13"/>
    </w:lvl>
  </w:abstractNum>
  <w:abstractNum w:abstractNumId="131">
    <w:nsid w:val="20EE1348"/>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2024-07-30T15:45:50Z</dcterms:created>
  <dcterms:modified xsi:type="dcterms:W3CDTF">2024-07-30T15:45:50Z</dcterms:modified>
</cp:coreProperties>
</file>