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4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-226695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5387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3879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Cortis Christian</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60" w:type="dxa"/>
            <w:vAlign w:val="bottom"/>
          </w:tcPr>
          <w:p>
            <w:pPr>
              <w:ind w:left="40"/>
              <w:spacing w:after="0"/>
              <w:rPr>
                <w:sz w:val="20"/>
                <w:szCs w:val="20"/>
                <w:color w:val="auto"/>
              </w:rPr>
            </w:pPr>
            <w:r>
              <w:rPr>
                <w:rFonts w:ascii="Arial" w:cs="Arial" w:eastAsia="Arial" w:hAnsi="Arial"/>
                <w:sz w:val="13"/>
                <w:szCs w:val="13"/>
                <w:color w:val="auto"/>
              </w:rPr>
              <w:t>(Last)</w:t>
            </w:r>
          </w:p>
        </w:tc>
        <w:tc>
          <w:tcPr>
            <w:tcW w:w="1220" w:type="dxa"/>
            <w:vAlign w:val="bottom"/>
          </w:tcPr>
          <w:p>
            <w:pPr>
              <w:ind w:left="100"/>
              <w:spacing w:after="0"/>
              <w:rPr>
                <w:sz w:val="20"/>
                <w:szCs w:val="20"/>
                <w:color w:val="auto"/>
              </w:rPr>
            </w:pPr>
            <w:r>
              <w:rPr>
                <w:rFonts w:ascii="Arial" w:cs="Arial" w:eastAsia="Arial" w:hAnsi="Arial"/>
                <w:sz w:val="13"/>
                <w:szCs w:val="13"/>
                <w:color w:val="auto"/>
              </w:rPr>
              <w:t>(First)</w:t>
            </w:r>
          </w:p>
        </w:tc>
        <w:tc>
          <w:tcPr>
            <w:tcW w:w="560" w:type="dxa"/>
            <w:vAlign w:val="bottom"/>
          </w:tcPr>
          <w:p>
            <w:pPr>
              <w:ind w:left="100"/>
              <w:spacing w:after="0"/>
              <w:rPr>
                <w:sz w:val="20"/>
                <w:szCs w:val="20"/>
                <w:color w:val="auto"/>
              </w:rPr>
            </w:pPr>
            <w:r>
              <w:rPr>
                <w:rFonts w:ascii="Arial" w:cs="Arial" w:eastAsia="Arial" w:hAnsi="Arial"/>
                <w:sz w:val="13"/>
                <w:szCs w:val="13"/>
                <w:color w:val="auto"/>
                <w:w w:val="93"/>
              </w:rPr>
              <w:t>(Middle)</w:t>
            </w:r>
          </w:p>
        </w:tc>
      </w:tr>
      <w:tr>
        <w:trPr>
          <w:trHeight w:val="262"/>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TECTONIC THERAPEUTIC, INC.</w:t>
            </w:r>
          </w:p>
        </w:tc>
      </w:tr>
      <w:tr>
        <w:trPr>
          <w:trHeight w:val="252"/>
        </w:trPr>
        <w:tc>
          <w:tcPr>
            <w:tcW w:w="23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490 ARSENAL WAY, SUITE 210</w:t>
            </w:r>
          </w:p>
        </w:tc>
        <w:tc>
          <w:tcPr>
            <w:tcW w:w="560" w:type="dxa"/>
            <w:vAlign w:val="bottom"/>
          </w:tcPr>
          <w:p>
            <w:pPr>
              <w:spacing w:after="0"/>
              <w:rPr>
                <w:sz w:val="21"/>
                <w:szCs w:val="21"/>
                <w:color w:val="auto"/>
              </w:rPr>
            </w:pPr>
          </w:p>
        </w:tc>
      </w:tr>
      <w:tr>
        <w:trPr>
          <w:trHeight w:val="419"/>
        </w:trPr>
        <w:tc>
          <w:tcPr>
            <w:tcW w:w="1160" w:type="dxa"/>
            <w:vAlign w:val="bottom"/>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4"/>
        </w:trPr>
        <w:tc>
          <w:tcPr>
            <w:tcW w:w="11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WATERTOWN</w:t>
            </w:r>
          </w:p>
        </w:tc>
        <w:tc>
          <w:tcPr>
            <w:tcW w:w="122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MA</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0000FF"/>
              </w:rPr>
              <w:t>02472</w:t>
            </w:r>
          </w:p>
        </w:tc>
      </w:tr>
      <w:tr>
        <w:trPr>
          <w:trHeight w:val="456"/>
        </w:trPr>
        <w:tc>
          <w:tcPr>
            <w:tcW w:w="1160" w:type="dxa"/>
            <w:vAlign w:val="bottom"/>
          </w:tcPr>
          <w:p>
            <w:pPr>
              <w:ind w:left="40"/>
              <w:spacing w:after="0"/>
              <w:rPr>
                <w:sz w:val="20"/>
                <w:szCs w:val="20"/>
                <w:color w:val="auto"/>
              </w:rPr>
            </w:pPr>
            <w:r>
              <w:rPr>
                <w:rFonts w:ascii="Arial" w:cs="Arial" w:eastAsia="Arial" w:hAnsi="Arial"/>
                <w:sz w:val="13"/>
                <w:szCs w:val="13"/>
                <w:color w:val="auto"/>
              </w:rPr>
              <w:t>(City)</w:t>
            </w:r>
          </w:p>
        </w:tc>
        <w:tc>
          <w:tcPr>
            <w:tcW w:w="1220" w:type="dxa"/>
            <w:vAlign w:val="bottom"/>
          </w:tcPr>
          <w:p>
            <w:pPr>
              <w:ind w:left="100"/>
              <w:spacing w:after="0"/>
              <w:rPr>
                <w:sz w:val="20"/>
                <w:szCs w:val="20"/>
                <w:color w:val="auto"/>
              </w:rPr>
            </w:pPr>
            <w:r>
              <w:rPr>
                <w:rFonts w:ascii="Arial" w:cs="Arial" w:eastAsia="Arial" w:hAnsi="Arial"/>
                <w:sz w:val="13"/>
                <w:szCs w:val="13"/>
                <w:color w:val="auto"/>
              </w:rPr>
              <w:t>(State)</w:t>
            </w:r>
          </w:p>
        </w:tc>
        <w:tc>
          <w:tcPr>
            <w:tcW w:w="5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780" w:type="dxa"/>
            <w:vAlign w:val="bottom"/>
            <w:gridSpan w:val="3"/>
          </w:tcPr>
          <w:p>
            <w:pPr>
              <w:spacing w:after="0" w:line="202"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Tectonic Therapeutic,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80" w:type="dxa"/>
            <w:vAlign w:val="bottom"/>
            <w:tcBorders>
              <w:top w:val="single" w:sz="8" w:color="0000EE"/>
            </w:tcBorders>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ind w:left="400"/>
              <w:spacing w:after="0" w:line="141"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1"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3"/>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40" w:type="dxa"/>
            <w:vAlign w:val="bottom"/>
          </w:tcPr>
          <w:p>
            <w:pPr>
              <w:ind w:left="4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1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06/20/2024</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6"/>
                <w:szCs w:val="16"/>
                <w:color w:val="0000FF"/>
              </w:rPr>
              <w:t>Chief Operating Officer</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440"/>
        <w:spacing w:after="0" w:line="28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2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tcPr>
          <w:p>
            <w:pPr>
              <w:ind w:left="200"/>
              <w:spacing w:after="0"/>
              <w:rPr>
                <w:sz w:val="20"/>
                <w:szCs w:val="20"/>
                <w:color w:val="auto"/>
              </w:rPr>
            </w:pPr>
            <w:r>
              <w:rPr>
                <w:rFonts w:ascii="Arial" w:cs="Arial" w:eastAsia="Arial" w:hAnsi="Arial"/>
                <w:sz w:val="11"/>
                <w:szCs w:val="11"/>
                <w:b w:val="1"/>
                <w:bCs w:val="1"/>
                <w:color w:val="auto"/>
                <w:w w:val="95"/>
              </w:rPr>
              <w:t>(A) or</w:t>
            </w: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1"/>
                <w:szCs w:val="21"/>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06/20/2024</w:t>
            </w: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126,368</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A</w:t>
            </w:r>
          </w:p>
        </w:tc>
        <w:tc>
          <w:tcPr>
            <w:tcW w:w="660" w:type="dxa"/>
            <w:vAlign w:val="bottom"/>
          </w:tcPr>
          <w:p>
            <w:pPr>
              <w:ind w:left="360"/>
              <w:spacing w:after="0"/>
              <w:rPr>
                <w:sz w:val="20"/>
                <w:szCs w:val="20"/>
                <w:color w:val="auto"/>
              </w:rPr>
            </w:pPr>
            <w:r>
              <w:rPr>
                <w:rFonts w:ascii="Times New Roman" w:cs="Times New Roman" w:eastAsia="Times New Roman" w:hAnsi="Times New Roman"/>
                <w:sz w:val="10"/>
                <w:szCs w:val="10"/>
                <w:color w:val="008000"/>
              </w:rPr>
              <w:t>(1)</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126,368</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gridSpan w:val="2"/>
          </w:tcPr>
          <w:p>
            <w:pPr>
              <w:jc w:val="right"/>
              <w:ind w:right="416"/>
              <w:spacing w:after="0"/>
              <w:rPr>
                <w:sz w:val="20"/>
                <w:szCs w:val="20"/>
                <w:color w:val="auto"/>
              </w:rPr>
            </w:pPr>
            <w:r>
              <w:rPr>
                <w:rFonts w:ascii="Arial" w:cs="Arial" w:eastAsia="Arial" w:hAnsi="Arial"/>
                <w:sz w:val="11"/>
                <w:szCs w:val="11"/>
                <w:b w:val="1"/>
                <w:bCs w:val="1"/>
                <w:color w:val="auto"/>
              </w:rPr>
              <w:t>4)</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2.38</w:t>
            </w:r>
            <w:r>
              <w:rPr>
                <w:rFonts w:ascii="Times New Roman" w:cs="Times New Roman" w:eastAsia="Times New Roman" w:hAnsi="Times New Roman"/>
                <w:sz w:val="20"/>
                <w:szCs w:val="20"/>
                <w:color w:val="008000"/>
                <w:vertAlign w:val="superscript"/>
              </w:rPr>
              <w:t>(2)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56,061</w:t>
            </w:r>
            <w:r>
              <w:rPr>
                <w:rFonts w:ascii="Times New Roman" w:cs="Times New Roman" w:eastAsia="Times New Roman" w:hAnsi="Times New Roman"/>
                <w:sz w:val="20"/>
                <w:szCs w:val="20"/>
                <w:color w:val="008000"/>
                <w:vertAlign w:val="superscript"/>
              </w:rPr>
              <w:t>(2)</w:t>
            </w: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56,061</w:t>
            </w:r>
            <w:r>
              <w:rPr>
                <w:rFonts w:ascii="Times New Roman" w:cs="Times New Roman" w:eastAsia="Times New Roman" w:hAnsi="Times New Roman"/>
                <w:sz w:val="20"/>
                <w:szCs w:val="20"/>
                <w:color w:val="008000"/>
                <w:vertAlign w:val="superscript"/>
              </w:rPr>
              <w:t>(2)</w:t>
            </w: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(2)(4)</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06/20/2024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06/27/2031</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3"/>
                <w:szCs w:val="13"/>
                <w:color w:val="0000FF"/>
              </w:rPr>
              <w:t>56,061</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36"/>
              <w:spacing w:after="0" w:line="126" w:lineRule="exact"/>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5.38</w:t>
            </w:r>
            <w:r>
              <w:rPr>
                <w:rFonts w:ascii="Times New Roman" w:cs="Times New Roman" w:eastAsia="Times New Roman" w:hAnsi="Times New Roman"/>
                <w:sz w:val="20"/>
                <w:szCs w:val="20"/>
                <w:color w:val="008000"/>
                <w:vertAlign w:val="superscript"/>
              </w:rPr>
              <w:t>(2)</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18,704</w:t>
            </w:r>
            <w:r>
              <w:rPr>
                <w:rFonts w:ascii="Times New Roman" w:cs="Times New Roman" w:eastAsia="Times New Roman" w:hAnsi="Times New Roman"/>
                <w:sz w:val="20"/>
                <w:szCs w:val="20"/>
                <w:color w:val="008000"/>
                <w:vertAlign w:val="superscript"/>
              </w:rPr>
              <w:t>(2)</w:t>
            </w:r>
          </w:p>
        </w:tc>
        <w:tc>
          <w:tcPr>
            <w:tcW w:w="30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70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18,704</w:t>
            </w:r>
            <w:r>
              <w:rPr>
                <w:rFonts w:ascii="Times New Roman" w:cs="Times New Roman" w:eastAsia="Times New Roman" w:hAnsi="Times New Roman"/>
                <w:sz w:val="20"/>
                <w:szCs w:val="20"/>
                <w:color w:val="008000"/>
                <w:vertAlign w:val="superscript"/>
              </w:rPr>
              <w:t>(2)</w:t>
            </w:r>
          </w:p>
        </w:tc>
        <w:tc>
          <w:tcPr>
            <w:tcW w:w="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0"/>
                <w:szCs w:val="10"/>
                <w:color w:val="008000"/>
              </w:rPr>
              <w:t>(2)(6)</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12"/>
                <w:szCs w:val="12"/>
                <w:color w:val="auto"/>
              </w:rPr>
            </w:pP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06/20/2024</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11/30/2033</w:t>
            </w:r>
          </w:p>
        </w:tc>
        <w:tc>
          <w:tcPr>
            <w:tcW w:w="64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6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3"/>
                <w:szCs w:val="13"/>
                <w:color w:val="0000FF"/>
              </w:rPr>
              <w:t>18,704</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136"/>
              <w:spacing w:after="0" w:line="126" w:lineRule="exact"/>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4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236,458 shares of common stock of Tectonic Therapeutic, Inc., a Delaware corporation ("Tectonic"), pursuant to an Agreement and Plan of Merger dated as of January 30, 2024 (the "Merger Agreement") by and among AVROBIO, Inc., a Delaware corporation ("AVROBIO"), Tectonic and Alpine Merger Subsidiary, Inc., a direct, wholly owned subsidiary of AVROBIO (the "Merger Sub"). Under the terms of the Merger Agreement, on June 20, 2024, Merger Sub merged with and into Tectonic (the "Merger"), with Tectonic surviving the Merger as a wholly owned subsidiary of AVROBIO. Upon the closing of the Merger, each share of Tectonic common stock was converted into the right to receive 0.534419990 shares of the Issuer's common stock, after giving effect to a reverse stock split of the Issuer's common stock of 1-for-12. Subsequent to the Merger, the name of the Issuer was changed from AVROBIO, Inc. to Tectonic Therapeutic, Inc.</w:t>
      </w:r>
    </w:p>
    <w:p>
      <w:pPr>
        <w:spacing w:after="0" w:line="27" w:lineRule="exact"/>
        <w:rPr>
          <w:rFonts w:ascii="Times New Roman" w:cs="Times New Roman" w:eastAsia="Times New Roman" w:hAnsi="Times New Roman"/>
          <w:sz w:val="13"/>
          <w:szCs w:val="13"/>
          <w:color w:val="008000"/>
        </w:rPr>
      </w:pPr>
    </w:p>
    <w:p>
      <w:pPr>
        <w:ind w:left="40" w:right="2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closing of the Merger, each outstanding option to purchase shares of Tectonic common stock was assumed by the Issuer and converted into an option to purchase the Issuer's common stock, on the same terms and conditions as were applicable to such Tectonic stock option prior to the Merger, as adjusted for the exchange ratio and the reverse stock split.</w:t>
      </w:r>
    </w:p>
    <w:p>
      <w:pPr>
        <w:spacing w:after="0" w:line="21" w:lineRule="exact"/>
        <w:rPr>
          <w:rFonts w:ascii="Times New Roman" w:cs="Times New Roman" w:eastAsia="Times New Roman" w:hAnsi="Times New Roman"/>
          <w:sz w:val="13"/>
          <w:szCs w:val="13"/>
          <w:color w:val="008000"/>
        </w:rPr>
      </w:pPr>
    </w:p>
    <w:p>
      <w:pPr>
        <w:ind w:left="40" w:right="24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22,508 shares subject to the option are fully vested. The remaining shares subject to the option vest in 10 equal monthly installments beginning on June 30, 2024, such that the option will be fully vested on March 31, 2025, subject to the Reporting Person's continued service to the Issuer on each such vesting date.</w:t>
      </w:r>
    </w:p>
    <w:p>
      <w:pPr>
        <w:spacing w:after="0" w:line="21"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104,901 shares of Tectonic common stock pursuant to the Merger Agreement.</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December 1, 2023, subject to the Reporting Person's continued service to the Issuer on each such vesting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Received in exchange for a stock option to acquire 35,000 shares of Tectonic common stock pursuant to the Merger Agreement.</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Daniel Lochner, Attorney-in- </w:t>
      </w:r>
      <w:r>
        <w:rPr>
          <w:rFonts w:ascii="Times New Roman" w:cs="Times New Roman" w:eastAsia="Times New Roman" w:hAnsi="Times New Roman"/>
          <w:sz w:val="32"/>
          <w:szCs w:val="32"/>
          <w:color w:val="0000FF"/>
          <w:vertAlign w:val="subscript"/>
        </w:rPr>
        <w:t>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-15240</wp:posOffset>
            </wp:positionV>
            <wp:extent cx="179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07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-79375</wp:posOffset>
            </wp:positionV>
            <wp:extent cx="473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3710"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44495"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2024-06-24T15:33:40Z</dcterms:created>
  <dcterms:modified xsi:type="dcterms:W3CDTF">2024-06-24T15:33:40Z</dcterms:modified>
</cp:coreProperties>
</file>