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0804ds3.htm"/>
        <w:bookmarkStart w:id="1" w:name="ksd940804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July 7, 2025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Tectonic Therapeutic,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81-0710585</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490 Arsenal Way </w:t>
      </w:r>
    </w:p>
    <w:p>
      <w:pPr>
        <w:pStyle w:val="TextBody"/>
        <w:bidi w:val="0"/>
        <w:spacing w:before="0" w:after="0"/>
        <w:jc w:val="center"/>
        <w:rPr>
          <w:rFonts w:ascii="Times New Roman" w:hAnsi="Times New Roman"/>
          <w:b/>
          <w:sz w:val="18"/>
        </w:rPr>
      </w:pPr>
      <w:r>
        <w:rPr>
          <w:rFonts w:ascii="Times New Roman" w:hAnsi="Times New Roman"/>
          <w:b/>
          <w:sz w:val="18"/>
        </w:rPr>
        <w:t xml:space="preserve">Suite 210 </w:t>
      </w:r>
    </w:p>
    <w:p>
      <w:pPr>
        <w:pStyle w:val="TextBody"/>
        <w:bidi w:val="0"/>
        <w:spacing w:before="0" w:after="0"/>
        <w:jc w:val="center"/>
        <w:rPr>
          <w:rFonts w:ascii="Times New Roman" w:hAnsi="Times New Roman"/>
          <w:b/>
          <w:sz w:val="18"/>
        </w:rPr>
      </w:pPr>
      <w:r>
        <w:rPr>
          <w:rFonts w:ascii="Times New Roman" w:hAnsi="Times New Roman"/>
          <w:b/>
          <w:sz w:val="18"/>
        </w:rPr>
        <w:t xml:space="preserve">Watertown, MA 02472 (339) 666-3320 </w:t>
      </w:r>
    </w:p>
    <w:p>
      <w:pPr>
        <w:pStyle w:val="TextBody"/>
        <w:bidi w:val="0"/>
        <w:spacing w:before="0" w:after="0"/>
        <w:jc w:val="center"/>
        <w:rPr>
          <w:rFonts w:ascii="Times New Roman" w:hAnsi="Times New Roman"/>
          <w:b/>
          <w:sz w:val="18"/>
        </w:rPr>
      </w:pPr>
      <w:r>
        <w:rPr>
          <w:rFonts w:ascii="Times New Roman" w:hAnsi="Times New Roman"/>
          <w:b/>
          <w:sz w:val="18"/>
        </w:rPr>
        <w:t xml:space="preserve">(I.R.S. Employer </w:t>
      </w:r>
    </w:p>
    <w:p>
      <w:pPr>
        <w:pStyle w:val="TextBody"/>
        <w:bidi w:val="0"/>
        <w:spacing w:before="0" w:after="0"/>
        <w:jc w:val="center"/>
        <w:rPr>
          <w:rFonts w:ascii="Times New Roman" w:hAnsi="Times New Roman"/>
          <w:b/>
          <w:sz w:val="18"/>
        </w:rPr>
      </w:pPr>
      <w:r>
        <w:rPr>
          <w:rFonts w:ascii="Times New Roman" w:hAnsi="Times New Roman"/>
          <w:b/>
          <w:sz w:val="18"/>
        </w:rPr>
        <w:t xml:space="preserve">Identification Number)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Daniel Lochner </w:t>
      </w:r>
    </w:p>
    <w:p>
      <w:pPr>
        <w:pStyle w:val="TextBody"/>
        <w:bidi w:val="0"/>
        <w:spacing w:before="0" w:after="0"/>
        <w:jc w:val="center"/>
        <w:rPr>
          <w:rFonts w:ascii="Times New Roman" w:hAnsi="Times New Roman"/>
          <w:b/>
          <w:sz w:val="18"/>
        </w:rPr>
      </w:pPr>
      <w:r>
        <w:rPr>
          <w:rFonts w:ascii="Times New Roman" w:hAnsi="Times New Roman"/>
          <w:b/>
          <w:sz w:val="18"/>
        </w:rPr>
        <w:t xml:space="preserve">Chief Financial Officer </w:t>
      </w:r>
    </w:p>
    <w:p>
      <w:pPr>
        <w:pStyle w:val="TextBody"/>
        <w:bidi w:val="0"/>
        <w:spacing w:before="0" w:after="0"/>
        <w:jc w:val="center"/>
        <w:rPr>
          <w:rFonts w:ascii="Times New Roman" w:hAnsi="Times New Roman"/>
          <w:b/>
          <w:sz w:val="18"/>
        </w:rPr>
      </w:pPr>
      <w:r>
        <w:rPr>
          <w:rFonts w:ascii="Times New Roman" w:hAnsi="Times New Roman"/>
          <w:b/>
          <w:sz w:val="18"/>
        </w:rPr>
        <w:t xml:space="preserve">490 Arsenal Way </w:t>
      </w:r>
    </w:p>
    <w:p>
      <w:pPr>
        <w:pStyle w:val="TextBody"/>
        <w:bidi w:val="0"/>
        <w:spacing w:before="0" w:after="0"/>
        <w:jc w:val="center"/>
        <w:rPr>
          <w:rFonts w:ascii="Times New Roman" w:hAnsi="Times New Roman"/>
          <w:b/>
          <w:sz w:val="18"/>
        </w:rPr>
      </w:pPr>
      <w:r>
        <w:rPr>
          <w:rFonts w:ascii="Times New Roman" w:hAnsi="Times New Roman"/>
          <w:b/>
          <w:sz w:val="18"/>
        </w:rPr>
        <w:t xml:space="preserve">Suite 210 </w:t>
      </w:r>
    </w:p>
    <w:p>
      <w:pPr>
        <w:pStyle w:val="TextBody"/>
        <w:bidi w:val="0"/>
        <w:spacing w:before="0" w:after="0"/>
        <w:jc w:val="center"/>
        <w:rPr>
          <w:rFonts w:ascii="Times New Roman" w:hAnsi="Times New Roman"/>
          <w:b/>
          <w:sz w:val="18"/>
        </w:rPr>
      </w:pPr>
      <w:r>
        <w:rPr>
          <w:rFonts w:ascii="Times New Roman" w:hAnsi="Times New Roman"/>
          <w:b/>
          <w:sz w:val="18"/>
        </w:rPr>
        <w:t xml:space="preserve">Watertown, MA 02472 (339) 666-3320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center"/>
        <w:rPr>
          <w:rFonts w:ascii="Times New Roman" w:hAnsi="Times New Roman"/>
          <w:b/>
          <w:sz w:val="18"/>
        </w:rPr>
      </w:pPr>
      <w:r>
        <w:rPr>
          <w:rFonts w:ascii="Times New Roman" w:hAnsi="Times New Roman"/>
          <w:b/>
          <w:sz w:val="18"/>
        </w:rPr>
        <w:t xml:space="preserve">Divakar S. Gupta </w:t>
      </w:r>
    </w:p>
    <w:p>
      <w:pPr>
        <w:pStyle w:val="TextBody"/>
        <w:bidi w:val="0"/>
        <w:spacing w:before="0" w:after="0"/>
        <w:jc w:val="center"/>
        <w:rPr>
          <w:rFonts w:ascii="Times New Roman" w:hAnsi="Times New Roman"/>
          <w:b/>
          <w:sz w:val="18"/>
        </w:rPr>
      </w:pPr>
      <w:r>
        <w:rPr>
          <w:rFonts w:ascii="Times New Roman" w:hAnsi="Times New Roman"/>
          <w:b/>
          <w:sz w:val="18"/>
        </w:rPr>
        <w:t xml:space="preserve">Brandon Fenn </w:t>
      </w:r>
    </w:p>
    <w:p>
      <w:pPr>
        <w:pStyle w:val="TextBody"/>
        <w:bidi w:val="0"/>
        <w:spacing w:before="0" w:after="0"/>
        <w:jc w:val="center"/>
        <w:rPr>
          <w:rFonts w:ascii="Times New Roman" w:hAnsi="Times New Roman"/>
          <w:b/>
          <w:sz w:val="18"/>
        </w:rPr>
      </w:pPr>
      <w:r>
        <w:rPr>
          <w:rFonts w:ascii="Times New Roman" w:hAnsi="Times New Roman"/>
          <w:b/>
          <w:sz w:val="18"/>
        </w:rPr>
        <w:t xml:space="preserve">Minkyu Park </w:t>
      </w:r>
    </w:p>
    <w:p>
      <w:pPr>
        <w:pStyle w:val="TextBody"/>
        <w:bidi w:val="0"/>
        <w:spacing w:before="0" w:after="0"/>
        <w:jc w:val="center"/>
        <w:rPr>
          <w:rFonts w:ascii="Times New Roman" w:hAnsi="Times New Roman"/>
          <w:b/>
          <w:sz w:val="18"/>
        </w:rPr>
      </w:pPr>
      <w:r>
        <w:rPr>
          <w:rFonts w:ascii="Times New Roman" w:hAnsi="Times New Roman"/>
          <w:b/>
          <w:sz w:val="18"/>
        </w:rPr>
        <w:t xml:space="preserve">Cooley LLP </w:t>
      </w:r>
    </w:p>
    <w:p>
      <w:pPr>
        <w:pStyle w:val="TextBody"/>
        <w:bidi w:val="0"/>
        <w:spacing w:before="0" w:after="0"/>
        <w:jc w:val="center"/>
        <w:rPr>
          <w:rFonts w:ascii="Times New Roman" w:hAnsi="Times New Roman"/>
          <w:b/>
          <w:sz w:val="18"/>
        </w:rPr>
      </w:pPr>
      <w:r>
        <w:rPr>
          <w:rFonts w:ascii="Times New Roman" w:hAnsi="Times New Roman"/>
          <w:b/>
          <w:sz w:val="18"/>
        </w:rPr>
        <w:t xml:space="preserve">55 Hudson Yards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10001 </w:t>
      </w:r>
    </w:p>
    <w:p>
      <w:pPr>
        <w:pStyle w:val="TextBody"/>
        <w:bidi w:val="0"/>
        <w:spacing w:before="0" w:after="0"/>
        <w:jc w:val="center"/>
        <w:rPr>
          <w:rFonts w:ascii="Times New Roman" w:hAnsi="Times New Roman"/>
          <w:b/>
          <w:sz w:val="18"/>
        </w:rPr>
      </w:pPr>
      <w:r>
        <w:rPr>
          <w:rFonts w:ascii="Times New Roman" w:hAnsi="Times New Roman"/>
          <w:b/>
          <w:sz w:val="18"/>
        </w:rPr>
        <w:t xml:space="preserve">(212) 479-6000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6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the registrant of up to $400,000,000 in the aggregate of the registrants common stock, preferred stock, debt securities and/or warrants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which covers the offering, issuance and sale by the registrant of up to a maximum aggregate offering price of $100,000,000 of the registrants common stock that may be issued and sold from time to time under that certain sales agreement, dated July 7, 2025, with TD Securities (USA) LLC (the Sales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other than the shares under the Sales Agreement will be specified in one or more prospectus supplements to the base prospectus. The specific terms of the securities to be offered, issued and sold under the Sales Agreement are specified in the sales agreement prospectus supplement, which immediately follows the base prospectus. The $100,000,000 of common stock that may be offered, issued and sold under the sales agreement prospectus supplement is included in the $400,000,000 of securities that may be offered, issued and sold by the registrant under the base prospectus. Upon termination of the Sales Agreement or upon suspension of sales under the sales agreement prospectus supplement, any portion of the $100,000,000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7,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258695" cy="633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8695" cy="63373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$400,000,000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From time to time, we may offer and sell up to an aggregate amount of $400,000,000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This prospectus may not be used to consummate a sale of any securities unless accompanied by a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Global Market under the symbol TECX. On July 3, 2025, the last reported sale price of our common stock was $21.34 per share. The applicable prospectus supplement will contain information, where applicable, as to any other listing on the Nasdaq Global Market or any securities market or other exchange of the securities, if any, covered by the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offer and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240" w:after="0"/>
        <w:ind w:left="960" w:right="960" w:hanging="0"/>
        <w:jc w:val="left"/>
        <w:rPr/>
      </w:pPr>
      <w:r>
        <w:rPr>
          <w:rFonts w:ascii="Times New Roman" w:hAnsi="Times New Roman"/>
          <w:b/>
          <w:sz w:val="24"/>
        </w:rPr>
        <w:t>Investing in our securities involves a high degree of risk. You should carefully review the risks and uncertainties described under the heading </w:t>
      </w:r>
      <w:hyperlink w:anchor="rom940804_3">
        <w:r>
          <w:rPr>
            <w:rStyle w:val="InternetLink"/>
            <w:rFonts w:ascii="Times New Roman" w:hAnsi="Times New Roman"/>
            <w:b/>
            <w:sz w:val="24"/>
          </w:rPr>
          <w:t>Risk Factors</w:t>
        </w:r>
      </w:hyperlink>
      <w:r>
        <w:rPr>
          <w:rFonts w:ascii="Times New Roman" w:hAnsi="Times New Roman"/>
          <w:b/>
          <w:sz w:val="24"/>
        </w:rPr>
        <w:t xml:space="preserve"> on page 4 of this prospectus as well as those contained in the applicable prospectus supplement and any related free writing prospectus, and under similar headings in the other documents that are incorporated by reference into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03"/>
        <w:gridCol w:w="423"/>
        <w:gridCol w:w="96"/>
        <w:gridCol w:w="421"/>
        <w:gridCol w:w="62"/>
      </w:tblGrid>
      <w:tr>
        <w:trPr/>
        <w:tc>
          <w:tcPr>
            <w:tcW w:w="9203"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03"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
              <w:r>
                <w:rPr>
                  <w:rStyle w:val="InternetLink"/>
                  <w:rFonts w:ascii="Times New Roman" w:hAnsi="Times New Roman"/>
                  <w:sz w:val="20"/>
                </w:rPr>
                <w:t>ABOUT THIS PROSPECTUS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2">
              <w:r>
                <w:rPr>
                  <w:rStyle w:val="InternetLink"/>
                  <w:rFonts w:ascii="Times New Roman" w:hAnsi="Times New Roman"/>
                  <w:sz w:val="20"/>
                </w:rPr>
                <w:t>PROSPECTUS SUMMARY</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3">
              <w:r>
                <w:rPr>
                  <w:rStyle w:val="InternetLink"/>
                  <w:rFonts w:ascii="Times New Roman" w:hAnsi="Times New Roman"/>
                  <w:sz w:val="20"/>
                </w:rPr>
                <w:t>RISK FACTORS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4">
              <w:r>
                <w:rPr>
                  <w:rStyle w:val="InternetLink"/>
                  <w:rFonts w:ascii="Times New Roman" w:hAnsi="Times New Roman"/>
                  <w:sz w:val="20"/>
                </w:rPr>
                <w:t>SPECIAL NOTE REGARDING FORWARD-LOOKING STATEMENTS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5">
              <w:r>
                <w:rPr>
                  <w:rStyle w:val="InternetLink"/>
                  <w:rFonts w:ascii="Times New Roman" w:hAnsi="Times New Roman"/>
                  <w:sz w:val="20"/>
                </w:rPr>
                <w:t>USE OF PROCEEDS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6">
              <w:r>
                <w:rPr>
                  <w:rStyle w:val="InternetLink"/>
                  <w:rFonts w:ascii="Times New Roman" w:hAnsi="Times New Roman"/>
                  <w:sz w:val="20"/>
                </w:rPr>
                <w:t>DESCRIPTION OF CAPITAL STOCK</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7">
              <w:r>
                <w:rPr>
                  <w:rStyle w:val="InternetLink"/>
                  <w:rFonts w:ascii="Times New Roman" w:hAnsi="Times New Roman"/>
                  <w:sz w:val="20"/>
                </w:rPr>
                <w:t>DESCRIPTION OF DEBT SECURITIES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8">
              <w:r>
                <w:rPr>
                  <w:rStyle w:val="InternetLink"/>
                  <w:rFonts w:ascii="Times New Roman" w:hAnsi="Times New Roman"/>
                  <w:sz w:val="20"/>
                </w:rPr>
                <w:t>DESCRIPTION OF WARRANTS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9">
              <w:r>
                <w:rPr>
                  <w:rStyle w:val="InternetLink"/>
                  <w:rFonts w:ascii="Times New Roman" w:hAnsi="Times New Roman"/>
                  <w:sz w:val="20"/>
                </w:rPr>
                <w:t>LEGAL OWNERSHIP OF SECURITIES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0">
              <w:r>
                <w:rPr>
                  <w:rStyle w:val="InternetLink"/>
                  <w:rFonts w:ascii="Times New Roman" w:hAnsi="Times New Roman"/>
                  <w:sz w:val="20"/>
                </w:rPr>
                <w:t>PLAN OF DISTRIBUTION</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1">
              <w:r>
                <w:rPr>
                  <w:rStyle w:val="InternetLink"/>
                  <w:rFonts w:ascii="Times New Roman" w:hAnsi="Times New Roman"/>
                  <w:sz w:val="20"/>
                </w:rPr>
                <w:t xml:space="preserve">LEGAL MATTERS </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2">
              <w:r>
                <w:rPr>
                  <w:rStyle w:val="InternetLink"/>
                  <w:rFonts w:ascii="Times New Roman" w:hAnsi="Times New Roman"/>
                  <w:sz w:val="20"/>
                </w:rPr>
                <w:t xml:space="preserve">EXPERTS </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3">
              <w:r>
                <w:rPr>
                  <w:rStyle w:val="InternetLink"/>
                  <w:rFonts w:ascii="Times New Roman" w:hAnsi="Times New Roman"/>
                  <w:sz w:val="20"/>
                </w:rPr>
                <w:t xml:space="preserve">WHERE YOU CAN FIND MORE INFORMATION </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940804_14">
              <w:r>
                <w:rPr>
                  <w:rStyle w:val="InternetLink"/>
                  <w:rFonts w:ascii="Times New Roman" w:hAnsi="Times New Roman"/>
                  <w:sz w:val="20"/>
                </w:rPr>
                <w:t>INCORPORATION OF CERTAIN INFORMATION BY REFERENCE</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94080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U.S. Securities and Exchange Commission (SEC) utilizing a shelf registration process under the Securities Act of 1933, as amended (the Securities Act). Under this shelf registration process, we may offer and sell from time to time in one or more offerings the securities described in this prospectus up to a total dollar amount of $400,000,000.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contained in this document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940804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requires otherwise, references in this prospectus to the Company, Tectonic, we, us and our refer to Tectonic Therapeutic,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Heart Failure with reduced Ejection Fraction (PH-HFrEF). APEX is a 24-week, placebo-controlled trial designed to evaluate the safety and efficacy of TX45 administered subcutaneously (SC) in subjects with PH-HFpEF.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 which is assessing the acute hemodynamic effects of TX45 in subjects with Group 2 PH-HFrEF enrolled its first patient in the first half of 2025 with data expected to be announced in the second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2015. Legacy Tectonic (as defined below) was incorporated under the laws of the State of Delaware in June 2019. On January 30, 2024, we entered into the Agreement and Plan of Merger and Reorganization (the Merger Agreement) with Tectonic Operating Company, Inc. (previously Tectonic Therapeutic, Inc., referred to as Legacy Tectonic) and Alpine Merger Subsidiary, Inc. (Merger Sub). Pursuant to the Merger Agreement, on June 20, 2024, Merger Sub merged with and into Legacy Tectonic, with Legacy Tectonic surviving as our wholly owned subsidiary (the Merger). In connection with the completion of the Merger, we changed our name from AVROBIO, Inc. to Tectonic Therapeutic, Inc. 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shares of our preferred stock, debt securities and warrants to purchase any of such securities, up to a total aggregate amount of $400,000,000,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or agents;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94080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and any subsequent Quarterly Reports on Form 10-Q or Current Reports on Form 8-K we file after the date of this prospectus, and all other information contained in or incorporated by reference into this prospectus and the applicable prospectus supplement and any related free writing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940804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macroeconomic and geopolitical conditions and unforeseeable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use of proceeds from offerings of our securities under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set forth in documents filed, or to be filed,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in this prospectus, any accompanying prospectus supplement or free writing prospectus and in the documents incorporated by reference, in addition to the other information set forth in this prospectus, any accompanying prospectus supplement or free writing prospectus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94080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any prospectus supplement or in any related free writing prospectus that we may authorize to be provided to you, we currently intend to use the net proceeds from the sale of securities under this prospectus for continued clinical development of pipeline products, working capital and other general corporate purposes. We may also use the net proceeds to in-license, acquire or invest in complementary businesses, technologies, products or assets. However, we have no current commitments or obligations to do so. As of the date of this prospectus, we cannot specify with certainty all of the particular uses of the net proceeds, if any, from the sale of securities under this prospectus. Accordingly, we will retain broad discretion over the use of any such proceeds. We will set forth in the prospectus supplement our intended use for the net proceeds to be received from the sale of any securities. Pending the use of the net proceeds from the sale of securities under this prospectus as described above, we intend to invest the net proceeds in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940804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fourth amended and restated certificate of incorporation (the charter) and amended and restated by-laws (the by-laws) are summaries and are qualified by reference to such charter and by-laws and applicable provisions of the General Corporation Law of the State of Delaware (the DGCL). Copies of these documents are filed as exhibits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$0.0001 per share (the common stock), and 10,000,000 shares of preferred stock, par value $0.0001 per share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receive dividends ratably, if any, as may be declared by our board of directors out of legally available funds, subject to any preferential dividend rights of any our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of our common stock held of record for the election of directors of the Company and on all matters submitted to a vote of the stockholders. The holders of our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not entitled to preemptive, subscription, redemption or conversion rights, and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10,000,000 authorized shares of preferred stock. The existence of authorized but unissued shares of preferred stock may enable our board of directors to discourage an attempt to obtain control of the Company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Provisions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hold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the division of our board of directors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The provision would not apply to suits brought to enforce a duty or liability created by the Securities Act, the Exchange Act or any other claim for which the federal courts have exclusive jurisdiction. Our by-laws also provide that any person or entity purchasing or otherwise acquiring any interest in shares of our capital stock will be deemed to have notice of and to have consented to this choice of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 02021, and its telephone number is (800) 962-4284.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Global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TECX.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940804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or ACH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940804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940804_9"/>
      <w:bookmarkEnd w:id="11"/>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940804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by this prospectus from time to time pursuant to underwritten public offerings, negotiated transactions, block trades or a combination of these methods. We may sell the securities offered by this prospectus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offered by this prospectus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a prospectus supplement are underwriters of the securities offered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with respect to any given offering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940804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hereto, will be passed upon by Cooley LLP.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4" w:name="rom940804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Therapeutic, Inc. as of December 31, 2024 and 2023, and for the years then ended,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5" w:name="rom940804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Statements in this prospectus or any prospectus supplement about these documents are summaries and each statement is qualified in all respects by reference to the document to which it refers.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www.tectonictx.com. The information contained in, or that can be accessed through, our website is not incorporated by reference herein and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940804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2024, filed with the SEC on </w:t>
            </w:r>
            <w:hyperlink r:id="rId3">
              <w:r>
                <w:rPr>
                  <w:rStyle w:val="InternetLink"/>
                  <w:rFonts w:ascii="Times New Roman" w:hAnsi="Times New Roman"/>
                  <w:sz w:val="20"/>
                </w:rPr>
                <w:t>March 20, 2025</w:t>
              </w:r>
            </w:hyperlink>
            <w:r>
              <w:rPr>
                <w:rFonts w:ascii="Times New Roman" w:hAnsi="Times New Roman"/>
                <w:sz w:val="20"/>
              </w:rPr>
              <w:t xml:space="preserve"> and the information specifically incorporated by reference into our Annual Report on Form 10-K for the year ended December  31, 2024 from our Definitive Proxy Statement on Schedule 14A, filed with the SEC on </w:t>
            </w:r>
            <w:hyperlink r:id="rId4">
              <w:r>
                <w:rPr>
                  <w:rStyle w:val="InternetLink"/>
                  <w:rFonts w:ascii="Times New Roman" w:hAnsi="Times New Roman"/>
                  <w:sz w:val="20"/>
                </w:rPr>
                <w:t>April 25,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 ended March 31, 2025, filed with the SEC on </w:t>
            </w:r>
            <w:hyperlink r:id="rId5">
              <w:r>
                <w:rPr>
                  <w:rStyle w:val="InternetLink"/>
                  <w:rFonts w:ascii="Times New Roman" w:hAnsi="Times New Roman"/>
                  <w:sz w:val="20"/>
                </w:rPr>
                <w:t>May 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6">
              <w:r>
                <w:rPr>
                  <w:rStyle w:val="InternetLink"/>
                  <w:rFonts w:ascii="Times New Roman" w:hAnsi="Times New Roman"/>
                  <w:sz w:val="20"/>
                </w:rPr>
                <w:t>January  30, 2025</w:t>
              </w:r>
            </w:hyperlink>
            <w:r>
              <w:rPr>
                <w:rFonts w:ascii="Times New Roman" w:hAnsi="Times New Roman"/>
                <w:sz w:val="20"/>
              </w:rPr>
              <w:t xml:space="preserve">, </w:t>
            </w:r>
            <w:hyperlink r:id="rId7">
              <w:r>
                <w:rPr>
                  <w:rStyle w:val="InternetLink"/>
                  <w:rFonts w:ascii="Times New Roman" w:hAnsi="Times New Roman"/>
                  <w:sz w:val="20"/>
                </w:rPr>
                <w:t>February  3, 2025</w:t>
              </w:r>
            </w:hyperlink>
            <w:r>
              <w:rPr>
                <w:rFonts w:ascii="Times New Roman" w:hAnsi="Times New Roman"/>
                <w:sz w:val="20"/>
              </w:rPr>
              <w:t xml:space="preserve">, </w:t>
            </w:r>
            <w:hyperlink r:id="rId8">
              <w:r>
                <w:rPr>
                  <w:rStyle w:val="InternetLink"/>
                  <w:rFonts w:ascii="Times New Roman" w:hAnsi="Times New Roman"/>
                  <w:sz w:val="20"/>
                </w:rPr>
                <w:t>May  19, 2025</w:t>
              </w:r>
            </w:hyperlink>
            <w:r>
              <w:rPr>
                <w:rFonts w:ascii="Times New Roman" w:hAnsi="Times New Roman"/>
                <w:sz w:val="20"/>
              </w:rPr>
              <w:t xml:space="preserve"> and </w:t>
            </w:r>
            <w:hyperlink r:id="rId9">
              <w:r>
                <w:rPr>
                  <w:rStyle w:val="InternetLink"/>
                  <w:rFonts w:ascii="Times New Roman" w:hAnsi="Times New Roman"/>
                  <w:sz w:val="20"/>
                </w:rPr>
                <w:t>June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filed with the SEC on </w:t>
            </w:r>
            <w:hyperlink r:id="rId11">
              <w:r>
                <w:rPr>
                  <w:rStyle w:val="InternetLink"/>
                  <w:rFonts w:ascii="Times New Roman" w:hAnsi="Times New Roman"/>
                  <w:sz w:val="20"/>
                </w:rPr>
                <w:t>March 20,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or by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center"/>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center"/>
        <w:rPr>
          <w:rFonts w:ascii="Times New Roman" w:hAnsi="Times New Roman"/>
          <w:sz w:val="20"/>
        </w:rPr>
      </w:pPr>
      <w:r>
        <w:rPr>
          <w:rFonts w:ascii="Times New Roman" w:hAnsi="Times New Roman"/>
          <w:sz w:val="20"/>
        </w:rPr>
        <w:t xml:space="preserve">Watertown, Massachusetts 02472 </w:t>
      </w:r>
    </w:p>
    <w:p>
      <w:pPr>
        <w:pStyle w:val="TextBody"/>
        <w:bidi w:val="0"/>
        <w:spacing w:before="0" w:after="0"/>
        <w:jc w:val="center"/>
        <w:rPr>
          <w:rFonts w:ascii="Times New Roman" w:hAnsi="Times New Roman"/>
          <w:sz w:val="20"/>
        </w:rPr>
      </w:pPr>
      <w:r>
        <w:rPr>
          <w:rFonts w:ascii="Times New Roman" w:hAnsi="Times New Roman"/>
          <w:sz w:val="20"/>
        </w:rPr>
        <w:t xml:space="preserve">(339) 666-3320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supplement is not complete and may be changed. We may not sell these securities or accept an offer to buy these securities until the registration statement filed with the Securities and Exchange Commission is effective. This prospectus supplement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7, 2025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Up to $100,000,000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258695" cy="633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258695" cy="63373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entered into a sales agreement with TD Securities (USA) LLC (TD Cowen), dated as of July 7, 2025 (the sales agreement), relating to the sale of shares of our common stock, par value $0.0001 per share (the common stock), offered by this prospectus supplement. In accordance with the terms of the sales agreement, we may offer and sell shares of our common stock under this prospectus supplement having an aggregate gross sales price of up to $100,000,000 from time to time through TD Cowen acting as our sales agent or principal.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(Nasdaq) under the symbol TECX. On July 3, 2025, the last reported sale price of our common stock on Nasdaq was $21.34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our common stock, if any, under this prospectus supplement will be made in negotiated transactions, including block trades or block sales, or at market prices by any method that is deemed to be an at the market offering as defined in Rule 415(a)(4) promulgated under the Securities Act of 1933, as amended (the Securities Act), including without limitation sales made through Nasdaq or on any other trading market for our common stock, or by any other method permitted by law.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compensation to TD Cowen for sales of common stock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 smaller reporting company under the federal securities laws and, as such, we have elected to comply with certain reduced public company reporting requirements for this prospectus supplement and for future filings. See Prospectus SummaryImplications of Being a Smaller Reporting Company on page S-2 of this prospectus supplement. </w:t>
      </w:r>
    </w:p>
    <w:p>
      <w:pPr>
        <w:pStyle w:val="TextBody"/>
        <w:bidi w:val="0"/>
        <w:spacing w:before="240" w:after="0"/>
        <w:ind w:left="960" w:right="960" w:hanging="0"/>
        <w:jc w:val="left"/>
        <w:rPr/>
      </w:pPr>
      <w:r>
        <w:rPr>
          <w:rFonts w:ascii="Times New Roman" w:hAnsi="Times New Roman"/>
          <w:b/>
          <w:sz w:val="24"/>
        </w:rPr>
        <w:t>Investing in our common stock involves a high degree of risk. Before making an investment decision, you should carefully review the risks and uncertainties described under the heading </w:t>
      </w:r>
      <w:hyperlink w:anchor="supprom940804_3">
        <w:r>
          <w:rPr>
            <w:rStyle w:val="InternetLink"/>
            <w:rFonts w:ascii="Times New Roman" w:hAnsi="Times New Roman"/>
            <w:b/>
            <w:sz w:val="24"/>
          </w:rPr>
          <w:t>Risk Factors</w:t>
        </w:r>
      </w:hyperlink>
      <w:r>
        <w:rPr>
          <w:rFonts w:ascii="Times New Roman" w:hAnsi="Times New Roman"/>
          <w:b/>
          <w:sz w:val="24"/>
        </w:rPr>
        <w:t xml:space="preserve"> beginning on page S-4 of this prospectus supplement and under similar headings in the documents that we have filed or that are filed after the date hereof and are incorporated by reference into this prospectus supplement.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TD Cowen </w:t>
      </w:r>
    </w:p>
    <w:p>
      <w:pPr>
        <w:pStyle w:val="TextBody"/>
        <w:bidi w:val="0"/>
        <w:spacing w:before="240" w:after="0"/>
        <w:ind w:left="960" w:right="960" w:hanging="0"/>
        <w:jc w:val="center"/>
        <w:rPr/>
      </w:pPr>
      <w:r>
        <w:rPr/>
        <w:t>    </w:t>
      </w:r>
      <w:r>
        <w:rPr>
          <w:rFonts w:ascii="Times New Roman" w:hAnsi="Times New Roman"/>
          <w:b/>
          <w:sz w:val="20"/>
        </w:rPr>
        <w:t xml:space="preserve">,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6">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7">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8">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9">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10">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940804_11">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rom940804_1"/>
      <w:bookmarkEnd w:id="17"/>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that we have filed with the U.S. Securities and Exchange Commission (the SEC), utilizing a shelf registration process. Under the shelf registration statement, we may offer shares of our common stock, preferred stock, debt securities and warrants, including common stock or preferred stock upon conversion of debt securities, common stock upon conversion of preferred stock, or common stock, preferred stock or debt securities upon the exercise of warrants. Under this prospectus supplement, we may offer shares of our common stock having an aggregate gross proceeds of up to $100,000,000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relate to the offering of our common stock. Before buying any of the common stock that we are offering, we urge you to carefully read this prospectus supplement and the accompanying base prospectus, together with the information incorporated by reference herein and therein as described under the headings Where You Can Find More Information and Incorporation of Certain Information by Reference in this prospectus supplement and the accompanying base prospectus.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describes the terms of this offering of common stock and also adds to and updates information contained in the accompanying base prospectus and the documents incorporated by reference into this prospectus supplement and the accompanying base prospectus. If there is a conflict between the information contained in this prospectus supplement and the information contained in the accompanying base prospectus, you should rely on the information in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TD Cowen has not, authorized anyone to provide you with information in addition to or different from that contained in or incorporated by reference into this prospectus supplement. We are not, and TD Cowen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documents incorporated by reference into this prospectus supplement,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in this prospectus supplement to the Company, Tectonic, we, us and our refer to Tectonic Therapeutic,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contained in, or incorporated by reference into, this prospectus supplement relates to or is based on studies, publications, surveys and other data obtained from third-party sources and our own internal estimates and research. While we believe these third-party sources to be reliable as of the date of this prospectus supplement, we have not independently verified the market and industry data contained in this prospectus supplement or the underlying assumptions relied on therein. Finally, while we believe our own internal research is reliable, such research has not been verified by any independent source. Notwithstanding the foregoing, we are liable for the information provided in this prospectus supplement.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supprom940804_2"/>
      <w:bookmarkEnd w:id="18"/>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base prospectus, including the information incorporated by reference herein and therein, and the information included in any free writing prospectus that we have authorized for use in connection with this offering, including the information under the heading Risk Factors in this prospectus supplement beginning on page S-4 and in the documents incorporated by reference into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Heart Failure with reduced Ejection Fraction (PH-HFrEF). APEX is a 24-week, placebo-controlled trial designed to evaluate the safety and efficacy of TX45 administered subcutaneously (SC) in subjects with PH-HFpEF.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 Part A clinical trial enrolled a patient population and evaluated hemodynamic endpoints which are similar to the ongoing APEX Phase 2 clinical trial. We dosed our first patient in the APEX Phase 2 clinical trial in October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2024. Subjects will be randomized to 300 mg SC once monthly of TX45, 300 mg SC once every other week of TX45, or placebo. We expect topline trial results from the APEX clinical trial in 2026. Part B of the Phase 1b trial, which is assessing the acute hemodynamic effects of TX45 in subjects with Group 2 PH-HFrEF enrolled its first patient in the first half of 2025 with data expected to be announced in the second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IND-enabling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2015. Legacy Tectonic (as defined below) was incorporated under the laws of the State of Delaware in June 2019. On January 30, 2024, we entered into the Agreement and Plan of Merger and Reorganization (the Merger Agreement) with Tectonic Operating Company, Inc. (previously Tectonic Therapeutic, Inc., referred to as Legacy Tectonic) and Alpine Merger Subsidiary, Inc. (Merger Sub). Pursuant to the Merger Agreement, on June 20, 2024, Merger Sub merged with and into Legacy Tectonic, with Legacy Tectonic surviving as our wholly owned subsidiary (the Merger). In connection with the completion of the Merger, we changed our name from AVROBIO, Inc. to Tectonic Therapeutic, Inc. Our principal executive office is located at 490 Arsenal Way, Suite 210, Watertown, Massachusetts 02472, and our telephone number is (339) 666-3320. Our website address is www.tectonictx.com. We do not incorporate the information on or accessible through our website into this prospectus supplement, and you should not consider any information on, or that can be accessed through, our website as part of this prospectus supplement. Our common stock is listed on Nasdaq under the symbol TECX.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contains references to our trademarks and to trademarks belonging to other entities. Solely for convenience, trademarks and trade names referred to in this prospectus supplement,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currently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Specifically, as a smaller reporting company we may choose to present only the two most recent fiscal years of audited financial statements in our Annual Report on Form 10-K and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$100,000,000.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9" w:type="dxa"/>
            <w:tcBorders/>
          </w:tcPr>
          <w:p>
            <w:pPr>
              <w:pStyle w:val="TableContents"/>
              <w:bidi w:val="0"/>
              <w:spacing w:before="0" w:after="283"/>
              <w:jc w:val="left"/>
              <w:rPr/>
            </w:pPr>
            <w:r>
              <w:rPr/>
              <w:t xml:space="preserve">Up to 23,357,265 shares (as more fully described in the notes following this table), assuming sales of $100.0 million of shares of our common stock in this offering at an assumed offering price of $21.34 per share, which was the last reported sale price of our common stock on Nasdaq on July 3, 2025. The actual number of shares issued will vary depending on the prices at which shares of our common stock are sold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8" w:type="dxa"/>
            <w:tcBorders/>
          </w:tcPr>
          <w:p>
            <w:pPr>
              <w:pStyle w:val="TableContents"/>
              <w:bidi w:val="0"/>
              <w:spacing w:before="0" w:after="283"/>
              <w:jc w:val="left"/>
              <w:rPr/>
            </w:pPr>
            <w:r>
              <w:rPr/>
              <w:t xml:space="preserve">At the market offering that may be made from time to time through our sales agent, TD Cowen.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currently intend to use the net proceeds from this offering for continued clinical development of pipeline products, working capital and other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Investing in our common stock involves significant risks. See Risk Factors beginning on page S-4 of this prospectus supplement, and under similar headings in documents incorporated by reference into this prospectus supplement and in the accompanying base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Market symbol </w:t>
            </w:r>
          </w:p>
        </w:tc>
        <w:tc>
          <w:tcPr>
            <w:tcW w:w="6328" w:type="dxa"/>
            <w:tcBorders/>
          </w:tcPr>
          <w:p>
            <w:pPr>
              <w:pStyle w:val="TableContents"/>
              <w:bidi w:val="0"/>
              <w:spacing w:before="0" w:after="283"/>
              <w:jc w:val="left"/>
              <w:rPr/>
            </w:pPr>
            <w:r>
              <w:rPr/>
              <w:t xml:space="preserve">TECX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to be outstanding after this offering is based on 18,671,229 shares of our common stock outstanding as of March 31, 2025,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1,791,232 shares of common stock issuable upon the exercise of outstanding stock options at a weighted average exercise price of $19.32 under our 2019 and 2024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31,891 shares of common stock issuable upon the exercise of outstanding options at a weighted average exercise price of $40.80 under the AVROBIO, Inc. 2018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181,987 shares of common stock issuable upon the settlement of outstanding restricted stock units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1,227,159 shares of common stock reserved for future issuance under our 2024 Equity Incentive Plan as of March 31,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295,906 shares of common stock reserved for future issuance under our 2024 Employee Stock Purchase Plan as of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upprom940804_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review the risks and uncertainties described below and under the section titled Risk Factors in our most recent Annual Report on Form 10-K, and any subsequent Quarterly Reports on Form 10-Q or Current Reports on Form 8-K we file after the date of this prospectus supplement, and all other information contained in or incorporated by reference into this prospectus supplement, before deciding whether to purchase any common stock in this offering. Each of the risk factors could adversely affect our business, operating results and financial condition,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 Please also carefully read the section below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the shares of common stock we are selling in this offering, and we may not use these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the shares of common stock we are selling in this offering and could spend these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common stock in this offering, you may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of our common stock in this offering may exceed the net tangible book value per share of our common stock outstanding prior to this offering. The prices at which we sell shares in this offering will vary and these variations may be significant. Purchasers of the shares we sell, as well as our existing stockholders, will experience significant dilution if we sell shares at prices significantly below the price at which they invested.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See the section titled Dilution for an illustration of the dilution you may incur if you participate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Further, the exercise of outstanding stock options or the exercise of stock options issued in the future could result in further dilution to investors and any additional shares issued in connection with acquisitions, should we choose to pursue any, will result in dilution to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addition, the market price of our common stock could fall as a result of resales of any of our shares of common stock due to an increased number of shares available for sale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warrants, or </w:t>
      </w:r>
    </w:p>
    <w:p>
      <w:pPr>
        <w:pStyle w:val="TextBody"/>
        <w:bidi w:val="0"/>
        <w:spacing w:before="0" w:after="0"/>
        <w:jc w:val="left"/>
        <w:rPr>
          <w:rFonts w:ascii="Times New Roman" w:hAnsi="Times New Roman"/>
          <w:sz w:val="20"/>
        </w:rPr>
      </w:pPr>
      <w:r>
        <w:rPr>
          <w:rFonts w:ascii="Times New Roman" w:hAnsi="Times New Roman"/>
          <w:sz w:val="20"/>
        </w:rPr>
        <w:t xml:space="preserve">the perception that such sales may occur, could adversely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and the aggregate proceeds resulting therefrom,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TD Cowen to sell shares of our common stock at any time throughout the term of the sales agreement. The number of shares that are sold by TD Cowen after delivering a placement notice will fluctuate based on a number of factors, including the market price of our common stock during the sales period and limits we set with TD Cowen in any placement notice to sell shares, and the demand for our common stock during the sales period. Because the price per share of each share sold will fluctuate based on the market price of our common stock during the sales period, it is not possible at this stage to predict the number of shares that will be ultimately issued or the aggregate proceeds to be raised in connection with those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purchase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therefore may experience different levels of dilution and different outcomes in their investment results. We will have discretion, subject to market demand, to vary the timing and price of sales and the number of shares sold. In addition, subject to any restrictions in any applicable placement notice delivered to TD Cowen, there is no minimum or maximum sales price for shares to be sold in this offering. Investors may experience a decline in the value of their shares they purchase in this offering as a result of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supprom940804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prospectus supplement and in the documents incorporated by reference herein that are not strictly historical in nature are forward-looking statements within the meaning of Section 27A of the Securities Act, and within the meaning of Section 21E of the Exchange Act. These forward-looking statements are subject to the safe harbor created by Section 27A of the Securities Act and Section 21E of the Exchange Act and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macroeconomic and geopolitical conditions and unforeseeable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use of proceeds from offerings of our securities under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set forth in documents filed, or to be filed,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and in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any free writing prospectus we authorize for use in connection with this offering and in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supprom940804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under this prospectus supplement having aggregate gross sales proceeds of up to $100.0 million from time to time. Because we are not required to sell any shares of our common stock under the sales agreement, and any shares that may be sold pursuant to the sales agreement will be sold in at the market offerings at fluctuating prices, the actual total public offering amount, commissions and proceeds to us, if any, are not determinable at this time. There can be no assurance that we will sell any shares of our common stock under or fully utilize the sales agreement as a source of financing. </w:t>
      </w:r>
    </w:p>
    <w:p>
      <w:pPr>
        <w:pStyle w:val="TextBody"/>
        <w:bidi w:val="0"/>
        <w:spacing w:before="240" w:after="0"/>
        <w:jc w:val="left"/>
        <w:rPr>
          <w:rFonts w:ascii="Times New Roman" w:hAnsi="Times New Roman"/>
          <w:sz w:val="20"/>
        </w:rPr>
      </w:pPr>
      <w:r>
        <w:rPr>
          <w:rFonts w:ascii="Times New Roman" w:hAnsi="Times New Roman"/>
          <w:sz w:val="20"/>
        </w:rPr>
        <w:t>We currently intend to use the net proceeds from this offering for continued clinical development of pipeline products, working capital and other general corporate purposes. We may also use the net proceeds to in-license, acquire or invest in complementary businesses, technologies, products or assets. However, we have no current commitments or obligations to do so. As of the date of this prospectus supplement, we cannot specify with certainty all of the particular uses of the net proceeds, if any, from this offering. Accordingly, we will retain broad discretion over the use of any such proceeds. Pending the use of the net proceeds from this offering, we intend to invest the net proceeds in investment-grade, interest-bearing instruments.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supprom940804_6"/>
      <w:bookmarkEnd w:id="22"/>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March 31, 2025 was approximately $301.0 million, or $16.12 per share of common stock. Net tangible book value per share is determined by dividing our total tangible assets, less total liabilities, by the number of shares of our common stock outstanding as of March 31, 2025.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4,686,036 shares of our common stock in this offering at an assumed public offering price of $21.34 per share, the last reported sale price of our common stock on Nasdaq on July 3, 2025, and after deducting offering commissions and estimated offering expenses payable by us, our as adjusted net tangible book value as of March 31, 2025 would have been approximately $397.7 million, or $17.03 per share. This represents an immediate increase in net tangible book value of $0.91 per share to our existing stockholders and immediate dilution in net tangible book value of $4.31 per share to investors purchasing our common stock in this offering at the assumed public offering price. 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39"/>
        <w:gridCol w:w="685"/>
        <w:gridCol w:w="403"/>
        <w:gridCol w:w="567"/>
        <w:gridCol w:w="60"/>
        <w:gridCol w:w="685"/>
        <w:gridCol w:w="403"/>
        <w:gridCol w:w="567"/>
        <w:gridCol w:w="63"/>
      </w:tblGrid>
      <w:tr>
        <w:trPr/>
        <w:tc>
          <w:tcPr>
            <w:tcW w:w="5139"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r>
              <w:rPr/>
              <w:t>$</w:t>
            </w:r>
          </w:p>
        </w:tc>
        <w:tc>
          <w:tcPr>
            <w:tcW w:w="567" w:type="dxa"/>
            <w:tcBorders/>
            <w:shd w:fill="CCEEFF" w:val="clear"/>
            <w:vAlign w:val="bottom"/>
          </w:tcPr>
          <w:p>
            <w:pPr>
              <w:pStyle w:val="TableContents"/>
              <w:bidi w:val="0"/>
              <w:spacing w:before="0" w:after="283"/>
              <w:jc w:val="right"/>
              <w:rPr/>
            </w:pPr>
            <w:r>
              <w:rPr/>
              <w:t>21.34</w:t>
            </w:r>
          </w:p>
        </w:tc>
        <w:tc>
          <w:tcPr>
            <w:tcW w:w="63" w:type="dxa"/>
            <w:tcBorders/>
            <w:shd w:fill="CCEEFF" w:val="clear"/>
            <w:vAlign w:val="bottom"/>
          </w:tcPr>
          <w:p>
            <w:pPr>
              <w:pStyle w:val="TableContents"/>
              <w:bidi w:val="0"/>
              <w:spacing w:before="0" w:after="283"/>
              <w:jc w:val="left"/>
              <w:rPr/>
            </w:pPr>
            <w:r>
              <w:rPr/>
              <w:t> </w:t>
            </w:r>
          </w:p>
        </w:tc>
      </w:tr>
      <w:tr>
        <w:trPr/>
        <w:tc>
          <w:tcPr>
            <w:tcW w:w="5139"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2025</w:t>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r>
              <w:rPr/>
              <w:t>$</w:t>
            </w:r>
          </w:p>
        </w:tc>
        <w:tc>
          <w:tcPr>
            <w:tcW w:w="567" w:type="dxa"/>
            <w:tcBorders/>
            <w:vAlign w:val="bottom"/>
          </w:tcPr>
          <w:p>
            <w:pPr>
              <w:pStyle w:val="TableContents"/>
              <w:bidi w:val="0"/>
              <w:spacing w:before="0" w:after="283"/>
              <w:jc w:val="right"/>
              <w:rPr/>
            </w:pPr>
            <w:r>
              <w:rPr/>
              <w:t>16.12</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r>
              <w:rPr/>
              <w:t>$</w:t>
            </w:r>
          </w:p>
        </w:tc>
        <w:tc>
          <w:tcPr>
            <w:tcW w:w="567" w:type="dxa"/>
            <w:tcBorders/>
            <w:shd w:fill="CCEEFF" w:val="clear"/>
            <w:vAlign w:val="bottom"/>
          </w:tcPr>
          <w:p>
            <w:pPr>
              <w:pStyle w:val="TableContents"/>
              <w:bidi w:val="0"/>
              <w:spacing w:before="0" w:after="283"/>
              <w:jc w:val="right"/>
              <w:rPr/>
            </w:pPr>
            <w:r>
              <w:rPr/>
              <w:t>0.91</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39"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2025, after giving effect to this offering</w:t>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r>
              <w:rPr/>
              <w:t>$</w:t>
            </w:r>
          </w:p>
        </w:tc>
        <w:tc>
          <w:tcPr>
            <w:tcW w:w="567" w:type="dxa"/>
            <w:tcBorders/>
            <w:vAlign w:val="bottom"/>
          </w:tcPr>
          <w:p>
            <w:pPr>
              <w:pStyle w:val="TableContents"/>
              <w:bidi w:val="0"/>
              <w:spacing w:before="0" w:after="283"/>
              <w:jc w:val="right"/>
              <w:rPr/>
            </w:pPr>
            <w:r>
              <w:rPr/>
              <w:t>17.03</w:t>
            </w:r>
          </w:p>
        </w:tc>
        <w:tc>
          <w:tcPr>
            <w:tcW w:w="63" w:type="dxa"/>
            <w:tcBorders/>
            <w:vAlign w:val="bottom"/>
          </w:tcPr>
          <w:p>
            <w:pPr>
              <w:pStyle w:val="TableContents"/>
              <w:bidi w:val="0"/>
              <w:spacing w:before="0" w:after="283"/>
              <w:jc w:val="left"/>
              <w:rPr/>
            </w:pPr>
            <w:r>
              <w:rPr/>
              <w:t> </w:t>
            </w:r>
          </w:p>
        </w:tc>
      </w:tr>
      <w:tr>
        <w:trPr/>
        <w:tc>
          <w:tcPr>
            <w:tcW w:w="51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our common stock in this offering</w:t>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r>
              <w:rPr/>
              <w:t>$</w:t>
            </w:r>
          </w:p>
        </w:tc>
        <w:tc>
          <w:tcPr>
            <w:tcW w:w="567" w:type="dxa"/>
            <w:tcBorders/>
            <w:shd w:fill="CCEEFF" w:val="clear"/>
            <w:vAlign w:val="bottom"/>
          </w:tcPr>
          <w:p>
            <w:pPr>
              <w:pStyle w:val="TableContents"/>
              <w:bidi w:val="0"/>
              <w:spacing w:before="0" w:after="283"/>
              <w:jc w:val="right"/>
              <w:rPr/>
            </w:pPr>
            <w:r>
              <w:rPr/>
              <w:t>4.31</w:t>
            </w:r>
          </w:p>
        </w:tc>
        <w:tc>
          <w:tcPr>
            <w:tcW w:w="63" w:type="dxa"/>
            <w:tcBorders/>
            <w:shd w:fill="CCEEFF" w:val="clear"/>
            <w:vAlign w:val="bottom"/>
          </w:tcPr>
          <w:p>
            <w:pPr>
              <w:pStyle w:val="TableContents"/>
              <w:bidi w:val="0"/>
              <w:spacing w:before="0" w:after="283"/>
              <w:jc w:val="left"/>
              <w:rPr/>
            </w:pPr>
            <w:r>
              <w:rPr/>
              <w:t> </w:t>
            </w:r>
          </w:p>
        </w:tc>
      </w:tr>
      <w:tr>
        <w:trPr/>
        <w:tc>
          <w:tcPr>
            <w:tcW w:w="5139"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18,671,229 shares of our common stock outstanding as of March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1,791,232 shares of common stock issuable upon the exercise of outstanding stock options at a weighted average exercise price of $19.32 under our 2019 and 2024 Equity Incentive Plan as of March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31,891 shares of common stock issuable upon the exercise of outstanding options at a weighted average exercise price of $40.80 under the AVROBIO, Inc. 2018 Equity Incentive Plan as of March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181,987 shares of common stock issuable upon the settlement of outstanding restricted stock units as of March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1,227,159 shares of common stock reserved for future issuance under our 2024 Equity Incentive Plan as of March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295,906 shares of common stock reserved for future issuance under our 2024 Employee Stock Purchase Plan as of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4,686,036 shares of our common stock are sold under this prospectus supplement at a price of $21.34 per share, the last reported sale price of our common stock on Nasdaq on July 3, 2025, for aggregate gross proceeds of $100.0 million. The shares subject to the sales agreement are being sold from time to time at various prices. An increase of $1.00 per share in the price at which the shares are sold from the assumed public offering price of $21.34 per share shown in the table above, assuming all of our common stock in the aggregate amount of $100.0 million under this prospectus supplement is sold at that price, would increase our adjusted net tangible book value per share after the offering to $17.18 per share and would increase the dilution in net tangible book value per share to new investors in this offering to $5.16 per share, after deducting commissions and estimated aggregate offering expenses payable by us.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 of $1.00 per share in the price at which the shares are sold from the assumed public offering price of $21.34 per share shown in the table above, assuming all of our common stock in the aggregate amount of $100.0 million under this prospectus supplement is sold at that price, would decrease our adjusted net tangible book value per share after the offering to $16.86 per share and would decrease the dilution in net tangible book value per share to new investors in this offering to $3.48 per share, after deducting commissions and estimated aggregate offering expenses payable by us. This information is supplied for illustrative purposes only and assumes no exercise of the options outstanding as of March 31, 2025 and no settlement of the restricted stock units outstanding as of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are exercised, restricted stock units vest or other shares are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supprom940804_7"/>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TD Cowen, under which we may issue and sell from time to time up to $100,000,000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 </w:t>
      </w:r>
    </w:p>
    <w:p>
      <w:pPr>
        <w:pStyle w:val="TextBody"/>
        <w:bidi w:val="0"/>
        <w:spacing w:before="240" w:after="0"/>
        <w:jc w:val="left"/>
        <w:rPr>
          <w:rFonts w:ascii="Times New Roman" w:hAnsi="Times New Roman"/>
          <w:sz w:val="20"/>
        </w:rPr>
      </w:pPr>
      <w:r>
        <w:rPr>
          <w:rFonts w:ascii="Times New Roman" w:hAnsi="Times New Roman"/>
          <w:sz w:val="20"/>
        </w:rPr>
        <w:t xml:space="preserve">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the execution of the sales agreement, in addition to certain ongoing disbursements of its legal counsel. We estimate that the total expenses of the offering payable by us, excluding commissions payable to TD Cowen under the sales agreement, will be approximately $350,000.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TD Cowen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common stock is listed on Nasdaq and trades under the symbol TECX. The transfer agent of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TD Cowen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supprom940804_8"/>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offered by this prospectus supplement will be passed upon by Cooley LLP, New York, New York. TD Securities (USA) LLC is being represented in connection with this offering by Mintz, Levin, Cohn, Ferris, Glovsky and Popeo, P.C., Boston, Massachusetts. </w:t>
      </w:r>
    </w:p>
    <w:p>
      <w:pPr>
        <w:pStyle w:val="TextBody"/>
        <w:bidi w:val="0"/>
        <w:spacing w:before="480" w:after="0"/>
        <w:jc w:val="center"/>
        <w:rPr>
          <w:rFonts w:ascii="Times New Roman" w:hAnsi="Times New Roman"/>
          <w:b/>
          <w:sz w:val="20"/>
        </w:rPr>
      </w:pPr>
      <w:bookmarkStart w:id="25" w:name="supprom940804_9"/>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Therapeutic, Inc. as of December 31, 2024 and 2023, and for the years then ended,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26" w:name="supprom940804_10"/>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This prospectus supplement does not contain all of the information set forth in the registration statement and the exhibits to the registration statement. For further information with respect to us and the securities we are offering under this prospectus supplement, we refer you to the registration statement, the exhibits and schedules filed as a part of the registration statement, and the documents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below.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Tectonic.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www.tectonictx.com. The information contained in, or that can be accessed through, our website is not incorporated by reference herein and is not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supprom940804_11"/>
      <w:bookmarkEnd w:id="2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also incorporate by reference into this prospectus supplement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supplement is a part and prior to effectiveness of the registration statement, and (ii) after the effectiveness of the registration statement but prior to the termination of the offering of securities covered by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2024, filed with the SEC on </w:t>
            </w:r>
            <w:hyperlink r:id="rId13">
              <w:r>
                <w:rPr>
                  <w:rStyle w:val="InternetLink"/>
                  <w:rFonts w:ascii="Times New Roman" w:hAnsi="Times New Roman"/>
                  <w:sz w:val="20"/>
                </w:rPr>
                <w:t>March 20, 2025</w:t>
              </w:r>
            </w:hyperlink>
            <w:r>
              <w:rPr>
                <w:rFonts w:ascii="Times New Roman" w:hAnsi="Times New Roman"/>
                <w:sz w:val="20"/>
              </w:rPr>
              <w:t xml:space="preserve"> and the information specifically incorporated by reference into our Annual Report on Form 10-K for the year ended December 31, 2024 from our Definitive Proxy Statement on Schedule  14A, filed with the SEC on </w:t>
            </w:r>
            <w:hyperlink r:id="rId14">
              <w:r>
                <w:rPr>
                  <w:rStyle w:val="InternetLink"/>
                  <w:rFonts w:ascii="Times New Roman" w:hAnsi="Times New Roman"/>
                  <w:sz w:val="20"/>
                </w:rPr>
                <w:t>April 25,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 ended March 31, 2025, filed with the SEC on </w:t>
            </w:r>
            <w:hyperlink r:id="rId15">
              <w:r>
                <w:rPr>
                  <w:rStyle w:val="InternetLink"/>
                  <w:rFonts w:ascii="Times New Roman" w:hAnsi="Times New Roman"/>
                  <w:sz w:val="20"/>
                </w:rPr>
                <w:t>May 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16">
              <w:r>
                <w:rPr>
                  <w:rStyle w:val="InternetLink"/>
                  <w:rFonts w:ascii="Times New Roman" w:hAnsi="Times New Roman"/>
                  <w:sz w:val="20"/>
                </w:rPr>
                <w:t>January  30, 2025</w:t>
              </w:r>
            </w:hyperlink>
            <w:r>
              <w:rPr>
                <w:rFonts w:ascii="Times New Roman" w:hAnsi="Times New Roman"/>
                <w:sz w:val="20"/>
              </w:rPr>
              <w:t xml:space="preserve">, </w:t>
            </w:r>
            <w:hyperlink r:id="rId17">
              <w:r>
                <w:rPr>
                  <w:rStyle w:val="InternetLink"/>
                  <w:rFonts w:ascii="Times New Roman" w:hAnsi="Times New Roman"/>
                  <w:sz w:val="20"/>
                </w:rPr>
                <w:t>February  3, 2025</w:t>
              </w:r>
            </w:hyperlink>
            <w:r>
              <w:rPr>
                <w:rFonts w:ascii="Times New Roman" w:hAnsi="Times New Roman"/>
                <w:sz w:val="20"/>
              </w:rPr>
              <w:t xml:space="preserve">, </w:t>
            </w:r>
            <w:hyperlink r:id="rId18">
              <w:r>
                <w:rPr>
                  <w:rStyle w:val="InternetLink"/>
                  <w:rFonts w:ascii="Times New Roman" w:hAnsi="Times New Roman"/>
                  <w:sz w:val="20"/>
                </w:rPr>
                <w:t>May  19, 2025</w:t>
              </w:r>
            </w:hyperlink>
            <w:r>
              <w:rPr>
                <w:rFonts w:ascii="Times New Roman" w:hAnsi="Times New Roman"/>
                <w:sz w:val="20"/>
              </w:rPr>
              <w:t xml:space="preserve"> and </w:t>
            </w:r>
            <w:hyperlink r:id="rId19">
              <w:r>
                <w:rPr>
                  <w:rStyle w:val="InternetLink"/>
                  <w:rFonts w:ascii="Times New Roman" w:hAnsi="Times New Roman"/>
                  <w:sz w:val="20"/>
                </w:rPr>
                <w:t>June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2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filed with the SEC on </w:t>
            </w:r>
            <w:hyperlink r:id="rId21">
              <w:r>
                <w:rPr>
                  <w:rStyle w:val="InternetLink"/>
                  <w:rFonts w:ascii="Times New Roman" w:hAnsi="Times New Roman"/>
                  <w:sz w:val="20"/>
                </w:rPr>
                <w:t>March 20,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which are specifically incorporated by reference into such documents. You should direct any requests for documents by writing or by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center"/>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center"/>
        <w:rPr>
          <w:rFonts w:ascii="Times New Roman" w:hAnsi="Times New Roman"/>
          <w:sz w:val="20"/>
        </w:rPr>
      </w:pPr>
      <w:r>
        <w:rPr>
          <w:rFonts w:ascii="Times New Roman" w:hAnsi="Times New Roman"/>
          <w:sz w:val="20"/>
        </w:rPr>
        <w:t xml:space="preserve">Watertown, Massachusetts </w:t>
      </w:r>
    </w:p>
    <w:p>
      <w:pPr>
        <w:pStyle w:val="TextBody"/>
        <w:bidi w:val="0"/>
        <w:spacing w:before="0" w:after="0"/>
        <w:jc w:val="center"/>
        <w:rPr>
          <w:rFonts w:ascii="Times New Roman" w:hAnsi="Times New Roman"/>
          <w:sz w:val="20"/>
        </w:rPr>
      </w:pPr>
      <w:r>
        <w:rPr>
          <w:rFonts w:ascii="Times New Roman" w:hAnsi="Times New Roman"/>
          <w:sz w:val="20"/>
        </w:rPr>
        <w:t xml:space="preserve">(339) 666-3320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Up to $100,000,000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7185" cy="816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877185" cy="816610"/>
                    </a:xfrm>
                    <a:prstGeom prst="rect">
                      <a:avLst/>
                    </a:prstGeom>
                  </pic:spPr>
                </pic:pic>
              </a:graphicData>
            </a:graphic>
          </wp:inline>
        </w:drawing>
      </w:r>
      <w:r>
        <w:rPr/>
        <w:t xml:space="preserve"> </w:t>
      </w:r>
    </w:p>
    <w:p>
      <w:pPr>
        <w:pStyle w:val="TextBody"/>
        <w:bidi w:val="0"/>
        <w:spacing w:before="20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0" w:after="0"/>
        <w:jc w:val="center"/>
        <w:rPr>
          <w:rFonts w:ascii="Times New Roman" w:hAnsi="Times New Roman"/>
          <w:b/>
          <w:sz w:val="28"/>
        </w:rPr>
      </w:pPr>
      <w:r>
        <w:rPr>
          <w:rFonts w:ascii="Times New Roman" w:hAnsi="Times New Roman"/>
          <w:b/>
          <w:sz w:val="28"/>
        </w:rPr>
        <w:t xml:space="preserve">TD Cowen </w:t>
      </w:r>
    </w:p>
    <w:p>
      <w:pPr>
        <w:pStyle w:val="TextBody"/>
        <w:bidi w:val="0"/>
        <w:spacing w:before="200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us in connection with the offering of the securities being registered. All the amounts shown below are estimates, except for the SEC registration fee and the FINRA filing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8"/>
        <w:gridCol w:w="289"/>
        <w:gridCol w:w="60"/>
        <w:gridCol w:w="820"/>
        <w:gridCol w:w="62"/>
      </w:tblGrid>
      <w:tr>
        <w:trPr/>
        <w:tc>
          <w:tcPr>
            <w:tcW w:w="5708"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$61,240</w:t>
            </w:r>
          </w:p>
        </w:tc>
        <w:tc>
          <w:tcPr>
            <w:tcW w:w="62" w:type="dxa"/>
            <w:tcBorders/>
            <w:shd w:fill="CCEEFF" w:val="clear"/>
            <w:vAlign w:val="bottom"/>
          </w:tcPr>
          <w:p>
            <w:pPr>
              <w:pStyle w:val="TableContents"/>
              <w:bidi w:val="0"/>
              <w:spacing w:before="0" w:after="283"/>
              <w:jc w:val="left"/>
              <w:rPr/>
            </w:pPr>
            <w:r>
              <w:rPr/>
              <w:t> </w:t>
            </w:r>
          </w:p>
        </w:tc>
      </w:tr>
      <w:tr>
        <w:trPr/>
        <w:tc>
          <w:tcPr>
            <w:tcW w:w="570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$60,500</w:t>
            </w:r>
          </w:p>
        </w:tc>
        <w:tc>
          <w:tcPr>
            <w:tcW w:w="62" w:type="dxa"/>
            <w:tcBorders/>
            <w:vAlign w:val="bottom"/>
          </w:tcPr>
          <w:p>
            <w:pPr>
              <w:pStyle w:val="TableContents"/>
              <w:bidi w:val="0"/>
              <w:spacing w:before="0" w:after="283"/>
              <w:jc w:val="left"/>
              <w:rPr/>
            </w:pPr>
            <w:r>
              <w:rPr/>
              <w:t> </w:t>
            </w:r>
          </w:p>
        </w:tc>
      </w:tr>
      <w:tr>
        <w:trPr/>
        <w:tc>
          <w:tcPr>
            <w:tcW w:w="5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70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708" w:type="dxa"/>
            <w:tcBorders/>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5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0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70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145 of the Delaware General Corporation Law (DGCL), we have broad powers to indemnify our directors and officers against liabilities they may incur in such capacities, including liabilities under the Securities Act of 1933, as amended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no reasonable cause to believe their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not in good faith or which involve intentional misconduct or a knowing violation of law, (iii) for payments of unlawful dividends or unlawful stock purchases or redemptions, (iv) for any transaction from which the director or officer derived an improper personal benefit, or (v) of officers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fourth amended and restated certificate of incorporation and amended and restated by-laws include provisions that (i) eliminate the personal liability of our directors for monetary damages resulting from breaches of their fiduciary duty to the fullest extent permitted under applicable law, (ii) require us to indemnify our directors and executive officers to the fullest extent permitted by the DGCL or other applicable law and (iii) provide us with the power, in our discretion, to indemnify our other officers, employees and other agents as set forth in the DGCL or other applicable law. We believe that these provisions of our fourth amended and restated certificate of incorporation and amended and restated by-laws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improper loans to directors and officers. These provisions also do not affect a directors responsibilities under any other law, such as the federal securities law or state or federal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we have entered into indemnification agreements with each of our current directors and officers pursuant to the foregoing provisions. We have an insurance policy covering our officers and directors with respect to certain liabilities, including liabilities arising under the Securities 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that we may enter into, filed as Exhibit 1.1 to this Registration Statement, will provide, and the sales agreement with TD Securities (USA) LLC that we have entered into, filed as Exhibit 1.2 to this Registration Statement, provides, for indemnification by any underwriters of the Company, our directors, our officers who sign the registration statement and our controlling persons, if any, for some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9"/>
        <w:gridCol w:w="418"/>
        <w:gridCol w:w="8888"/>
      </w:tblGrid>
      <w:tr>
        <w:trPr/>
        <w:tc>
          <w:tcPr>
            <w:tcW w:w="899"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8888" w:type="dxa"/>
            <w:tcBorders/>
            <w:vAlign w:val="center"/>
          </w:tcPr>
          <w:p>
            <w:pPr>
              <w:pStyle w:val="TableContents"/>
              <w:bidi w:val="0"/>
              <w:spacing w:before="0" w:after="283"/>
              <w:jc w:val="left"/>
              <w:rPr>
                <w:sz w:val="4"/>
                <w:szCs w:val="4"/>
              </w:rPr>
            </w:pPr>
            <w:r>
              <w:rPr>
                <w:sz w:val="4"/>
                <w:szCs w:val="4"/>
              </w:rPr>
            </w:r>
          </w:p>
        </w:tc>
      </w:tr>
      <w:tr>
        <w:trPr/>
        <w:tc>
          <w:tcPr>
            <w:tcW w:w="899"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418" w:type="dxa"/>
            <w:tcBorders/>
            <w:vAlign w:val="bottom"/>
          </w:tcPr>
          <w:p>
            <w:pPr>
              <w:pStyle w:val="TableContents"/>
              <w:bidi w:val="0"/>
              <w:spacing w:before="0" w:after="283"/>
              <w:jc w:val="left"/>
              <w:rPr/>
            </w:pPr>
            <w:r>
              <w:rPr/>
              <w:t>  </w:t>
            </w:r>
          </w:p>
        </w:tc>
        <w:tc>
          <w:tcPr>
            <w:tcW w:w="88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1.1*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Form of Underwriting Agreement.</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1.2+</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12.htm">
              <w:r>
                <w:rPr>
                  <w:rStyle w:val="InternetLink"/>
                </w:rPr>
                <w:t xml:space="preserve">Sales Agreement, by and between the Registrant and TD Securities (USA) LLC, dated July 7, 2025.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23">
              <w:r>
                <w:rPr>
                  <w:rStyle w:val="InternetLink"/>
                </w:rPr>
                <w:t>Fourth Amended and Restated Certificate of Incorporation of the Company, as amended through June  20, 2024 (incorporated by reference to Exhibit 3.1 to the Registrants Quarterly Report on Form 10-Q (File No.  001-38537), filed with the SEC on August 14, 2024).</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4.2</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24">
              <w:r>
                <w:rPr>
                  <w:rStyle w:val="InternetLink"/>
                </w:rPr>
                <w:t>Amended and Restated By-laws of the Registrant (incorporated by reference to Exhibit 3.2 to the Registrants Current Report on Form 8-K (File No. 001-38537), filed with the SEC on June 25, 2018).</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4.3</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25">
              <w:r>
                <w:rPr>
                  <w:rStyle w:val="InternetLink"/>
                </w:rPr>
                <w:t>Form of Specimen Common Stock Certificate of the Registrant (incorporated by reference to Exhibit  4.1 to the Registrants Registration Statement on Form S-1 (File No. 333-225213), filed with the SEC on June 11, 2018).</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4.4*</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Form of Specimen Preferred Stock Certificate and Certificate of Designation of Preferred Stock.</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4.5+</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45.htm">
              <w:r>
                <w:rPr>
                  <w:rStyle w:val="InternetLink"/>
                </w:rPr>
                <w:t xml:space="preserve">Form of Indenture.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4.6*</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Form of Senior Note.</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4.7*</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Form of Subordinated Note.</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4.8+</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48.htm">
              <w:r>
                <w:rPr>
                  <w:rStyle w:val="InternetLink"/>
                </w:rPr>
                <w:t xml:space="preserve">Form of Common Stock Warrant Agreement and Warrant Certificate.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4.9+</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49.htm">
              <w:r>
                <w:rPr>
                  <w:rStyle w:val="InternetLink"/>
                </w:rPr>
                <w:t xml:space="preserve">Form of Preferred Stock Warrant Agreement and Warrant Certificate.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4.10+</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410.htm">
              <w:r>
                <w:rPr>
                  <w:rStyle w:val="InternetLink"/>
                </w:rPr>
                <w:t xml:space="preserve">Form of Debt Securities Warrant Agreement and Warrant Certificate.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 </w:t>
            </w:r>
            <w:r>
              <w:rPr/>
              <w:t>5.1+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51.htm">
              <w:r>
                <w:rPr>
                  <w:rStyle w:val="InternetLink"/>
                </w:rPr>
                <w:t xml:space="preserve">Opinion of Cooley LLP.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23.1+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231.htm">
              <w:r>
                <w:rPr>
                  <w:rStyle w:val="InternetLink"/>
                </w:rPr>
                <w:t xml:space="preserve">Consent of Independent Registered Public Accounting Firm.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23.2+</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51.htm">
              <w:r>
                <w:rPr>
                  <w:rStyle w:val="InternetLink"/>
                </w:rPr>
                <w:t xml:space="preserve">Consent of Cooley LLP (included in Exhibit 5.1). </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24.1+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poa">
              <w:r>
                <w:rPr>
                  <w:rStyle w:val="InternetLink"/>
                </w:rPr>
                <w:t>Power of Attorney (included on signature page).</w:t>
              </w:r>
            </w:hyperlink>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25.1*</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r>
              <w:rPr/>
              <w:t>Statement of Eligibility of Trustee under the Indenture.</w:t>
            </w:r>
          </w:p>
        </w:tc>
      </w:tr>
      <w:tr>
        <w:trPr>
          <w:trHeight w:val="120" w:hRule="atLeast"/>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107+</w:t>
            </w:r>
          </w:p>
        </w:tc>
        <w:tc>
          <w:tcPr>
            <w:tcW w:w="418"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940804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report filed under the Securities Exchange Act of 1934, as amended, and incorporated herein by reference, if applicable.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(a)(1)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the undertakings set forth in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are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poa"/>
      <w:bookmarkEnd w:id="2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Commonwealth of Massachusetts, on July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Tectonic Therapeutic,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Alise Reicin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Alise Reicin, M.D.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Chief Executive Officer, President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Alise Reicin and Daniel Lochner,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or he might or could do in person, hereby ratifying and confirming all that said attorneys-in-fact and agents, or their,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76"/>
        <w:gridCol w:w="122"/>
        <w:gridCol w:w="4511"/>
        <w:gridCol w:w="203"/>
        <w:gridCol w:w="1993"/>
      </w:tblGrid>
      <w:tr>
        <w:trPr/>
        <w:tc>
          <w:tcPr>
            <w:tcW w:w="33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bottom"/>
          </w:tcPr>
          <w:p>
            <w:pPr>
              <w:pStyle w:val="TableContents"/>
              <w:bidi w:val="0"/>
              <w:spacing w:before="0" w:after="283"/>
              <w:jc w:val="center"/>
              <w:rPr>
                <w:b/>
              </w:rPr>
            </w:pPr>
            <w:r>
              <w:rPr>
                <w:b/>
              </w:rPr>
              <w:t>Signature</w:t>
            </w:r>
          </w:p>
        </w:tc>
        <w:tc>
          <w:tcPr>
            <w:tcW w:w="122" w:type="dxa"/>
            <w:tcBorders/>
            <w:vAlign w:val="bottom"/>
          </w:tcPr>
          <w:p>
            <w:pPr>
              <w:pStyle w:val="TableContents"/>
              <w:bidi w:val="0"/>
              <w:spacing w:before="0" w:after="283"/>
              <w:jc w:val="left"/>
              <w:rPr/>
            </w:pPr>
            <w:r>
              <w:rPr/>
              <w:t>  </w:t>
            </w:r>
          </w:p>
        </w:tc>
        <w:tc>
          <w:tcPr>
            <w:tcW w:w="4511"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center"/>
              <w:rPr>
                <w:b/>
              </w:rPr>
            </w:pPr>
            <w:r>
              <w:rPr>
                <w:b/>
              </w:rPr>
              <w:t>Date</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Alise Reicin</w:t>
            </w:r>
          </w:p>
          <w:p>
            <w:pPr>
              <w:pStyle w:val="TableContents"/>
              <w:bidi w:val="0"/>
              <w:spacing w:before="0" w:after="20"/>
              <w:jc w:val="left"/>
              <w:rPr>
                <w:rFonts w:ascii="Times New Roman" w:hAnsi="Times New Roman"/>
                <w:sz w:val="20"/>
              </w:rPr>
            </w:pPr>
            <w:r>
              <w:rPr>
                <w:rFonts w:ascii="Times New Roman" w:hAnsi="Times New Roman"/>
                <w:sz w:val="20"/>
              </w:rPr>
              <w:t>Alise Reicin</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 Lochner</w:t>
            </w:r>
          </w:p>
          <w:p>
            <w:pPr>
              <w:pStyle w:val="TableContents"/>
              <w:bidi w:val="0"/>
              <w:spacing w:before="0" w:after="20"/>
              <w:jc w:val="left"/>
              <w:rPr>
                <w:rFonts w:ascii="Times New Roman" w:hAnsi="Times New Roman"/>
                <w:sz w:val="20"/>
              </w:rPr>
            </w:pPr>
            <w:r>
              <w:rPr>
                <w:rFonts w:ascii="Times New Roman" w:hAnsi="Times New Roman"/>
                <w:sz w:val="20"/>
              </w:rPr>
              <w:t>Daniel Lochner</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Terrance McGuire</w:t>
            </w:r>
          </w:p>
          <w:p>
            <w:pPr>
              <w:pStyle w:val="TableContents"/>
              <w:bidi w:val="0"/>
              <w:spacing w:before="0" w:after="20"/>
              <w:jc w:val="left"/>
              <w:rPr>
                <w:rFonts w:ascii="Times New Roman" w:hAnsi="Times New Roman"/>
                <w:sz w:val="20"/>
              </w:rPr>
            </w:pPr>
            <w:r>
              <w:rPr>
                <w:rFonts w:ascii="Times New Roman" w:hAnsi="Times New Roman"/>
                <w:sz w:val="20"/>
              </w:rPr>
              <w:t>Terrance McGuire</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Stefan Vitorovic</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Timothy A. Springer</w:t>
            </w:r>
          </w:p>
          <w:p>
            <w:pPr>
              <w:pStyle w:val="TableContents"/>
              <w:bidi w:val="0"/>
              <w:spacing w:before="0" w:after="20"/>
              <w:jc w:val="left"/>
              <w:rPr>
                <w:rFonts w:ascii="Times New Roman" w:hAnsi="Times New Roman"/>
                <w:sz w:val="20"/>
              </w:rPr>
            </w:pPr>
            <w:r>
              <w:rPr>
                <w:rFonts w:ascii="Times New Roman" w:hAnsi="Times New Roman"/>
                <w:sz w:val="20"/>
              </w:rPr>
              <w:t>Timothy A. Springer</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Praveen Tipirneni</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r>
        <w:trPr>
          <w:trHeight w:val="120" w:hRule="atLeast"/>
        </w:trPr>
        <w:tc>
          <w:tcPr>
            <w:tcW w:w="3376" w:type="dxa"/>
            <w:tcBorders/>
            <w:vAlign w:val="center"/>
          </w:tcPr>
          <w:p>
            <w:pPr>
              <w:pStyle w:val="TableContents"/>
              <w:bidi w:val="0"/>
              <w:spacing w:before="0" w:after="283"/>
              <w:jc w:val="left"/>
              <w:rPr>
                <w:sz w:val="4"/>
                <w:szCs w:val="4"/>
              </w:rPr>
            </w:pPr>
            <w:r>
              <w:rPr>
                <w:sz w:val="4"/>
                <w:szCs w:val="4"/>
              </w:rPr>
            </w:r>
          </w:p>
        </w:tc>
        <w:tc>
          <w:tcPr>
            <w:tcW w:w="4633"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3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Phillip B. Donenberg</w:t>
            </w:r>
          </w:p>
          <w:p>
            <w:pPr>
              <w:pStyle w:val="TableContents"/>
              <w:bidi w:val="0"/>
              <w:spacing w:before="0" w:after="20"/>
              <w:jc w:val="left"/>
              <w:rPr>
                <w:rFonts w:ascii="Times New Roman" w:hAnsi="Times New Roman"/>
                <w:sz w:val="20"/>
              </w:rPr>
            </w:pPr>
            <w:r>
              <w:rPr>
                <w:rFonts w:ascii="Times New Roman" w:hAnsi="Times New Roman"/>
                <w:sz w:val="20"/>
              </w:rPr>
              <w:t>Phillip B. Donenberg</w:t>
            </w:r>
          </w:p>
        </w:tc>
        <w:tc>
          <w:tcPr>
            <w:tcW w:w="122" w:type="dxa"/>
            <w:tcBorders/>
            <w:vAlign w:val="bottom"/>
          </w:tcPr>
          <w:p>
            <w:pPr>
              <w:pStyle w:val="TableContents"/>
              <w:bidi w:val="0"/>
              <w:spacing w:before="0" w:after="283"/>
              <w:jc w:val="left"/>
              <w:rPr/>
            </w:pPr>
            <w:r>
              <w:rPr/>
              <w:t>  </w:t>
            </w:r>
          </w:p>
        </w:tc>
        <w:tc>
          <w:tcPr>
            <w:tcW w:w="45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1993" w:type="dxa"/>
            <w:tcBorders/>
          </w:tcPr>
          <w:p>
            <w:pPr>
              <w:pStyle w:val="TableContents"/>
              <w:bidi w:val="0"/>
              <w:spacing w:before="0" w:after="283"/>
              <w:jc w:val="center"/>
              <w:rPr/>
            </w:pPr>
            <w:r>
              <w:rPr/>
              <w:t>July 7, 2025</w:t>
            </w:r>
          </w:p>
        </w:tc>
      </w:tr>
    </w:tbl>
    <w:p>
      <w:pPr>
        <w:pStyle w:val="TextBody"/>
        <w:bidi w:val="0"/>
        <w:spacing w:before="0" w:after="0"/>
        <w:jc w:val="right"/>
        <w:rPr>
          <w:rFonts w:ascii="Times New Roman" w:hAnsi="Times New Roman"/>
          <w:b/>
          <w:sz w:val="20"/>
        </w:rPr>
      </w:pPr>
      <w:bookmarkStart w:id="29" w:name="d940804dex12.htm"/>
      <w:bookmarkStart w:id="30" w:name="ksd940804dex12"/>
      <w:bookmarkEnd w:id="29"/>
      <w:bookmarkEnd w:id="30"/>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7, 2025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Tectonic Therapeutic, Inc.,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TD Securities (USA) LLC (</w:t>
      </w:r>
      <w:r>
        <w:rPr>
          <w:rFonts w:ascii="Times New Roman" w:hAnsi="Times New Roman"/>
          <w:b/>
          <w:sz w:val="20"/>
          <w:u w:val="single"/>
        </w:rPr>
        <w:t>TD Cowen</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sz w:val="20"/>
          <w:u w:val="single"/>
        </w:rPr>
        <w:t>Placement Shares</w:t>
      </w:r>
      <w:r>
        <w:rPr>
          <w:rFonts w:ascii="Times New Roman" w:hAnsi="Times New Roman"/>
          <w:sz w:val="20"/>
        </w:rPr>
        <w:t>) of the Companys common stock, par value $0.0001 per share (the </w:t>
      </w:r>
      <w:r>
        <w:rPr>
          <w:rFonts w:ascii="Times New Roman" w:hAnsi="Times New Roman"/>
          <w:b/>
          <w:sz w:val="20"/>
          <w:u w:val="single"/>
        </w:rPr>
        <w:t>Common Stock</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in no event shall the Company issue or sell through TD Cowen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(as defined below) (the lesser of (a), (b), (c) and (d),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 set forth in this </w:t>
      </w:r>
      <w:r>
        <w:rPr>
          <w:rFonts w:ascii="Times New Roman" w:hAnsi="Times New Roman"/>
          <w:sz w:val="20"/>
          <w:u w:val="single"/>
        </w:rPr>
        <w:t>Section 1</w:t>
      </w:r>
      <w:r>
        <w:rPr>
          <w:rFonts w:ascii="Times New Roman" w:hAnsi="Times New Roman"/>
          <w:sz w:val="20"/>
        </w:rPr>
        <w:t xml:space="preserve"> on the number of shares of Common Stock issued and sold under this Agreement shall be the sole responsibility of the Company, and TD Cowen shall have no obligation in connection with such compliance. The issuance and sale of the Placement Shares through TD Cowen will be effected pursuant to the Registration Statement (as defined below) filed by the Company and after such Registration Statement has been declared effective by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(as defined below) to issue the Placement Shares. The Company acknowledges and agrees that sales of Common Stock under this Agreement may be made through affiliates of TD Cowen, and that TD Cowen may otherwise fulfill its obligations pursuant to this Agreement to or through an affiliated broker-dealer.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shall file,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The Company has prepared a prospectus specifically relating to the Placement Shares (the </w:t>
      </w:r>
      <w:r>
        <w:rPr>
          <w:rFonts w:ascii="Times New Roman" w:hAnsi="Times New Roman"/>
          <w:b/>
          <w:sz w:val="20"/>
          <w:u w:val="single"/>
        </w:rPr>
        <w:t>ATM</w:t>
      </w:r>
      <w:r>
        <w:rPr>
          <w:rFonts w:ascii="Times New Roman" w:hAnsi="Times New Roman"/>
          <w:sz w:val="20"/>
          <w:u w:val="single"/>
        </w:rPr>
        <w:t xml:space="preserve"> </w:t>
      </w:r>
      <w:r>
        <w:rPr>
          <w:rFonts w:ascii="Times New Roman" w:hAnsi="Times New Roman"/>
          <w:b/>
          <w:sz w:val="20"/>
          <w:u w:val="single"/>
        </w:rPr>
        <w:t>Prospectus</w:t>
      </w:r>
      <w:r>
        <w:rPr>
          <w:rFonts w:ascii="Times New Roman" w:hAnsi="Times New Roman"/>
          <w:sz w:val="20"/>
        </w:rPr>
        <w:t>) to the base prospectus included as part of such registration statement, and shall, if necessary, prepare a prospectus supplement specifically relating to the Placement Shares (the </w:t>
      </w:r>
      <w:r>
        <w:rPr>
          <w:rFonts w:ascii="Times New Roman" w:hAnsi="Times New Roman"/>
          <w:b/>
          <w:sz w:val="20"/>
          <w:u w:val="single"/>
        </w:rPr>
        <w:t>Prospectus Supplement</w:t>
      </w:r>
      <w:r>
        <w:rPr>
          <w:rFonts w:ascii="Times New Roman" w:hAnsi="Times New Roman"/>
          <w:sz w:val="20"/>
        </w:rPr>
        <w:t>) to the base prospectus included as part of such registration statement. The Company may file one or more additional registration statements from time to time that will contain a base prospectus and related prospectus or prospectus supplement, if applicable, with respect to the Placement Shares. The Company shall furnish to TD Cowen, for use by TD Cowen, copies of the prospectus included as part of such registration statement, as supplemented by the Prospectus Supplement, if any,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hAnsi="Times New Roman"/>
          <w:b/>
          <w:sz w:val="20"/>
          <w:u w:val="single"/>
        </w:rPr>
        <w:t>Registration Statement</w:t>
      </w:r>
      <w:r>
        <w:rPr>
          <w:rFonts w:ascii="Times New Roman" w:hAnsi="Times New Roman"/>
          <w:sz w:val="20"/>
        </w:rPr>
        <w:t>. Any registration statement and amendments thereto filed pursuant to Rule 462(b) of the Securities Act and relating to the offering covered by the Registration Statement is herein called a </w:t>
      </w:r>
      <w:r>
        <w:rPr>
          <w:rFonts w:ascii="Times New Roman" w:hAnsi="Times New Roman"/>
          <w:b/>
          <w:sz w:val="20"/>
          <w:u w:val="single"/>
        </w:rPr>
        <w:t>Rule 462(b) Registration Statement</w:t>
      </w:r>
      <w:r>
        <w:rPr>
          <w:rFonts w:ascii="Times New Roman" w:hAnsi="Times New Roman"/>
          <w:sz w:val="20"/>
        </w:rPr>
        <w:t> and, after such filing, the Registration Statement shall include any Rule 462(b) Registration Statement.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hAnsi="Times New Roman"/>
          <w:b/>
          <w:sz w:val="20"/>
          <w:u w:val="single"/>
        </w:rPr>
        <w:t>Rule 433</w:t>
      </w:r>
      <w:r>
        <w:rPr>
          <w:rFonts w:ascii="Times New Roman" w:hAnsi="Times New Roman"/>
          <w:sz w:val="20"/>
        </w:rPr>
        <w:t>), relating to the Placement Shares that (i) is consented to by TD Cowen, hereinafter referred to as a </w:t>
      </w:r>
      <w:r>
        <w:rPr>
          <w:rFonts w:ascii="Times New Roman" w:hAnsi="Times New Roman"/>
          <w:b/>
          <w:sz w:val="20"/>
          <w:u w:val="single"/>
        </w:rPr>
        <w:t>Permitted Free Writing Prospectus</w:t>
      </w:r>
      <w:r>
        <w:rPr>
          <w:rFonts w:ascii="Times New Roman" w:hAnsi="Times New Roman"/>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Placements</w:t>
      </w:r>
      <w:r>
        <w:rPr>
          <w:rFonts w:ascii="Times New Roman" w:hAnsi="Times New Roman"/>
          <w:sz w:val="20"/>
        </w:rPr>
        <w:t>. Each time that the Company wishes to issue and sell the Placement Shares hereunder (each, a </w:t>
      </w:r>
      <w:r>
        <w:rPr>
          <w:rFonts w:ascii="Times New Roman" w:hAnsi="Times New Roman"/>
          <w:b/>
          <w:sz w:val="20"/>
          <w:u w:val="single"/>
        </w:rPr>
        <w:t>Placement</w:t>
      </w:r>
      <w:r>
        <w:rPr>
          <w:rFonts w:ascii="Times New Roman" w:hAnsi="Times New Roman"/>
          <w:sz w:val="20"/>
        </w:rPr>
        <w:t>), it will notify TD Cowen by email notice (or other method mutually agreed to in writing by the parties)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hAnsi="Times New Roman"/>
          <w:sz w:val="20"/>
          <w:u w:val="single"/>
        </w:rPr>
        <w:t>Section 3</w:t>
      </w:r>
      <w:r>
        <w:rPr>
          <w:rFonts w:ascii="Times New Roman" w:hAnsi="Times New Roman"/>
          <w:sz w:val="20"/>
        </w:rPr>
        <w:t xml:space="preserve">) and any minimum price below which sales may not be made, a form of which containing such minimum sales parameters necessary is attached hereto as </w:t>
      </w:r>
      <w:r>
        <w:rPr>
          <w:rFonts w:ascii="Times New Roman" w:hAnsi="Times New Roman"/>
          <w:b/>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schedule), and shall be addressed to each of the individuals from TD Cowen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amended from time to time. The Placement Notice shall be effective upon receipt by TD Cowen unless and until (i) in accordance with the notice requirements set forth in </w:t>
      </w:r>
      <w:r>
        <w:rPr>
          <w:rFonts w:ascii="Times New Roman" w:hAnsi="Times New Roman"/>
          <w:sz w:val="20"/>
          <w:u w:val="single"/>
        </w:rPr>
        <w:t>Section 4</w:t>
      </w:r>
      <w:r>
        <w:rPr>
          <w:rFonts w:ascii="Times New Roman" w:hAnsi="Times New Roman"/>
          <w:sz w:val="20"/>
        </w:rPr>
        <w:t xml:space="preserve">, TD Cowen declines in writing to accept the terms contained therein for any reason, in its sole discretion, (ii) the entire amount of the Placement Shares have been sold, (iii) in accordance with the notice requirements set forth in </w:t>
      </w:r>
      <w:r>
        <w:rPr>
          <w:rFonts w:ascii="Times New Roman" w:hAnsi="Times New Roman"/>
          <w:sz w:val="20"/>
          <w:u w:val="single"/>
        </w:rPr>
        <w:t>Section 4</w:t>
      </w:r>
      <w:r>
        <w:rPr>
          <w:rFonts w:ascii="Times New Roman" w:hAnsi="Times New Roman"/>
          <w:sz w:val="20"/>
        </w:rPr>
        <w:t xml:space="preserve">, the Company suspends amends, supersedes,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 w:hAnsi="Times New Roman"/>
          <w:sz w:val="20"/>
          <w:u w:val="single"/>
        </w:rPr>
        <w:t>Section 11</w:t>
      </w:r>
      <w:r>
        <w:rPr>
          <w:rFonts w:ascii="Times New Roman" w:hAnsi="Times New Roman"/>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(and the Company does to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Sale of Placement Shares by TD Cowen.</w:t>
      </w:r>
      <w:r>
        <w:rPr>
          <w:rFonts w:ascii="Times New Roman" w:hAnsi="Times New Roman"/>
          <w:sz w:val="20"/>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hAnsi="Times New Roman"/>
          <w:b/>
          <w:sz w:val="20"/>
          <w:u w:val="single"/>
        </w:rPr>
        <w:t>Nasdaq</w:t>
      </w:r>
      <w:r>
        <w:rPr>
          <w:rFonts w:ascii="Times New Roman" w:hAnsi="Times New Roman"/>
          <w:sz w:val="20"/>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hAnsi="Times New Roman"/>
          <w:b/>
          <w:sz w:val="20"/>
          <w:u w:val="single"/>
        </w:rPr>
        <w:t>Block Sale</w:t>
      </w:r>
      <w:r>
        <w:rPr>
          <w:rFonts w:ascii="Times New Roman" w:hAnsi="Times New Roman"/>
          <w:sz w:val="20"/>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hAnsi="Times New Roman"/>
          <w:sz w:val="20"/>
          <w:u w:val="single"/>
        </w:rPr>
        <w:t>Section 8</w:t>
      </w:r>
      <w:r>
        <w:rPr>
          <w:rFonts w:ascii="Times New Roman" w:hAnsi="Times New Roman"/>
          <w:sz w:val="20"/>
        </w:rPr>
        <w:t xml:space="preserve"> hereof, each dated the Settlement Date, and such other documents and information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TD Cowen shall reasonably request. TD Cowen may sell Placement Shares in negotiated transactions, including block trades or Block Sales, or by any method permitted by law deemed to be an at the market offering as defined in Rule 415(a)(4)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hAnsi="Times New Roman"/>
          <w:sz w:val="20"/>
          <w:u w:val="single"/>
        </w:rPr>
        <w:t>Section 3</w:t>
      </w:r>
      <w:r>
        <w:rPr>
          <w:rFonts w:ascii="Times New Roman" w:hAnsi="Times New Roman"/>
          <w:sz w:val="20"/>
        </w:rPr>
        <w:t>. For the purposes hereof, </w:t>
      </w:r>
      <w:r>
        <w:rPr>
          <w:rFonts w:ascii="Times New Roman" w:hAnsi="Times New Roman"/>
          <w:b/>
          <w:sz w:val="20"/>
          <w:u w:val="single"/>
        </w:rPr>
        <w:t>Trading Day</w:t>
      </w:r>
      <w:r>
        <w:rPr>
          <w:rFonts w:ascii="Times New Roman" w:hAnsi="Times New Roman"/>
          <w:sz w:val="20"/>
        </w:rPr>
        <w:t xml:space="preserve"> means any day on which the Companys Common Stock is purchased and sold on the principal market on which the Common Stock is listed or quoted.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would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TD Cowen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Placement Shares sold hereunder prior to the receipt of such notice. While a suspension is in effect, any obligation under Section 7(o), 7(p) and 7(q) with respect to delivery of certificates, opinions or comfort letters to TD Cowen shall be waived.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2</w:t>
      </w:r>
      <w:r>
        <w:rPr>
          <w:rFonts w:ascii="Times New Roman" w:hAnsi="Times New Roman"/>
          <w:sz w:val="20"/>
        </w:rPr>
        <w:t xml:space="preserve"> hereto,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sz w:val="20"/>
          <w:u w:val="single"/>
        </w:rPr>
        <w:t>Settlement Date</w:t>
      </w:r>
      <w:r>
        <w:rPr>
          <w:rFonts w:ascii="Times New Roman" w:hAnsi="Times New Roman"/>
          <w:sz w:val="20"/>
        </w:rPr>
        <w:t> and the first such settlement date, the </w:t>
      </w:r>
      <w:r>
        <w:rPr>
          <w:rFonts w:ascii="Times New Roman" w:hAnsi="Times New Roman"/>
          <w:b/>
          <w:sz w:val="20"/>
          <w:u w:val="single"/>
        </w:rPr>
        <w:t>First Delivery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(ii) any other amounts due and payable by the Company to TD Cowen hereunder pursuant to </w:t>
      </w:r>
      <w:r>
        <w:rPr>
          <w:rFonts w:ascii="Times New Roman" w:hAnsi="Times New Roman"/>
          <w:sz w:val="20"/>
          <w:u w:val="single"/>
        </w:rPr>
        <w:t>Section 7(g)</w:t>
      </w:r>
      <w:r>
        <w:rPr>
          <w:rFonts w:ascii="Times New Roman" w:hAnsi="Times New Roman"/>
          <w:sz w:val="20"/>
        </w:rPr>
        <w:t xml:space="preserve"> (Expenses) hereof, and (iii) any transaction fees imposed by any governmental or self-regulatory organization in respect of such sales.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TD Cowen, the Company agrees that in addition to and in no way limiting the rights and obligations set forth in </w:t>
      </w:r>
      <w:r>
        <w:rPr>
          <w:rFonts w:ascii="Times New Roman" w:hAnsi="Times New Roman"/>
          <w:sz w:val="20"/>
          <w:u w:val="single"/>
        </w:rPr>
        <w:t>Section 9(a)</w:t>
      </w:r>
      <w:r>
        <w:rPr>
          <w:rFonts w:ascii="Times New Roman" w:hAnsi="Times New Roman"/>
          <w:sz w:val="20"/>
        </w:rPr>
        <w:t xml:space="preserve"> (Indemnification and Contribution) hereto, it will (i) hold TD Cowen harmless against any loss, claim, damage, or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 </w:t>
      </w:r>
    </w:p>
    <w:p>
      <w:pPr>
        <w:pStyle w:val="TextBody"/>
        <w:bidi w:val="0"/>
        <w:spacing w:before="120" w:after="0"/>
        <w:jc w:val="left"/>
        <w:rPr>
          <w:rFonts w:ascii="Times New Roman" w:hAnsi="Times New Roman"/>
          <w:sz w:val="20"/>
        </w:rPr>
      </w:pPr>
      <w:r>
        <w:rPr>
          <w:rFonts w:ascii="Times New Roman" w:hAnsi="Times New Roman"/>
          <w:sz w:val="20"/>
        </w:rPr>
        <w:t>6. Representations and Warranties of the Company.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hAnsi="Times New Roman"/>
          <w:b/>
          <w:sz w:val="20"/>
        </w:rPr>
        <w:t>Representation Date</w:t>
      </w:r>
      <w:r>
        <w:rPr>
          <w:rFonts w:ascii="Times New Roman" w:hAnsi="Times New Roman"/>
          <w:sz w:val="20"/>
        </w:rPr>
        <w:t xml:space="preserve">), unless such representation, warranty or agreement specifies a different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Compliance with Registration Requirements</w:t>
      </w:r>
      <w:r>
        <w:rPr>
          <w:rFonts w:ascii="Times New Roman" w:hAnsi="Times New Roman"/>
          <w:sz w:val="20"/>
        </w:rPr>
        <w:t xml:space="preserve">. 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of Form S-3.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Misstatement or Omission</w:t>
      </w:r>
      <w:r>
        <w:rPr>
          <w:rFonts w:ascii="Times New Roman" w:hAnsi="Times New Roman"/>
          <w:sz w:val="20"/>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hAnsi="Times New Roman"/>
          <w:b/>
          <w:sz w:val="20"/>
          <w:u w:val="single"/>
        </w:rPr>
        <w:t>Time of Sale</w:t>
      </w:r>
      <w:r>
        <w:rPr>
          <w:rFonts w:ascii="Times New Roman" w:hAnsi="Times New Roman"/>
          <w:sz w:val="20"/>
        </w:rPr>
        <w:t xml:space="preserve"> means with respect to each offering of Placement Shares pursuant to this Agreement, the time of TD Cowens initial entry into contracts with purchasers for the sale of such Placement Shares.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Offering Materials Furnished to TD Cowen</w:t>
      </w:r>
      <w:r>
        <w:rPr>
          <w:rFonts w:ascii="Times New Roman" w:hAnsi="Times New Roman"/>
          <w:sz w:val="20"/>
        </w:rPr>
        <w:t xml:space="preserve">.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Not an Ineligible Issuer</w:t>
      </w:r>
      <w:r>
        <w:rPr>
          <w:rFonts w:ascii="Times New Roman" w:hAnsi="Times New Roman"/>
          <w:sz w:val="20"/>
        </w:rPr>
        <w:t xml:space="preserve">. The Company currently is not an ineligible issuer, as defined in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Distribution of Offering Material By the Company</w:t>
      </w:r>
      <w:r>
        <w:rPr>
          <w:rFonts w:ascii="Times New Roman" w:hAnsi="Times New Roman"/>
          <w:sz w:val="20"/>
        </w:rPr>
        <w:t xml:space="preserve">. The Company has not distributed and will not distribute, prior to the completion of TD Cowens distribution of the Placement Shares, any offering material in connection with the offering and sale of the Placement Shares other than the Prospectus or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The Sales Agreement</w:t>
      </w:r>
      <w:r>
        <w:rPr>
          <w:rFonts w:ascii="Times New Roman" w:hAnsi="Times New Roman"/>
          <w:sz w:val="20"/>
        </w:rPr>
        <w:t xml:space="preserve">.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Authorization of the Common Stock</w:t>
      </w:r>
      <w:r>
        <w:rPr>
          <w:rFonts w:ascii="Times New Roman" w:hAnsi="Times New Roman"/>
          <w:sz w:val="20"/>
        </w:rPr>
        <w:t xml:space="preserve">.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Subsidiary is a party or otherwise.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No Material Adverse Change</w:t>
      </w:r>
      <w:r>
        <w:rPr>
          <w:rFonts w:ascii="Times New Roman" w:hAnsi="Times New Roman"/>
          <w:sz w:val="20"/>
        </w:rPr>
        <w:t>. Except as otherwise disclosed in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hAnsi="Times New Roman"/>
          <w:b/>
          <w:sz w:val="20"/>
          <w:u w:val="single"/>
        </w:rPr>
        <w:t>Material Adverse Change</w:t>
      </w:r>
      <w:r>
        <w:rPr>
          <w:rFonts w:ascii="Times New Roman" w:hAnsi="Times New Roman"/>
          <w:sz w:val="20"/>
        </w:rPr>
        <w:t xml:space="preserv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Independent Accountants</w:t>
      </w:r>
      <w:r>
        <w:rPr>
          <w:rFonts w:ascii="Times New Roman" w:hAnsi="Times New Roman"/>
          <w:sz w:val="20"/>
        </w:rPr>
        <w:t xml:space="preserve">. Deloitte &amp; Touche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Preparation of the Financial Statements</w:t>
      </w:r>
      <w:r>
        <w:rPr>
          <w:rFonts w:ascii="Times New Roman" w:hAnsi="Times New Roman"/>
          <w:sz w:val="20"/>
        </w:rPr>
        <w:t xml:space="preserve">. The financial statements filed with the Commission as a part of or incorporated by reference in the Registration Statement and included in the Prospectus present fairly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or incorporated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(m)</w:t>
      </w:r>
      <w:r>
        <w:rPr>
          <w:rFonts w:ascii="Times New Roman" w:hAnsi="Times New Roman"/>
          <w:sz w:val="20"/>
          <w:u w:val="single"/>
        </w:rPr>
        <w:t> Incorporation and Good Standing of the Company and its Subsidiaries</w:t>
      </w:r>
      <w:r>
        <w:rPr>
          <w:rFonts w:ascii="Times New Roman" w:hAnsi="Times New Roman"/>
          <w:sz w:val="20"/>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Each subsidiary of the Company (each a </w:t>
      </w:r>
      <w:r>
        <w:rPr>
          <w:rFonts w:ascii="Times New Roman" w:hAnsi="Times New Roman"/>
          <w:b/>
          <w:sz w:val="20"/>
          <w:u w:val="single"/>
        </w:rPr>
        <w:t>Subsidiary</w:t>
      </w:r>
      <w:r>
        <w:rPr>
          <w:rFonts w:ascii="Times New Roman" w:hAnsi="Times New Roman"/>
          <w:sz w:val="20"/>
        </w:rPr>
        <w:t xml:space="preserve">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Capital Stock Matters</w:t>
      </w:r>
      <w:r>
        <w:rPr>
          <w:rFonts w:ascii="Times New Roman" w:hAnsi="Times New Roman"/>
          <w:sz w:val="20"/>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in violation of its charter or by-laws or is in default (or, with the giving of notice or lapse of time, would be in default) (</w:t>
      </w:r>
      <w:r>
        <w:rPr>
          <w:rFonts w:ascii="Times New Roman" w:hAnsi="Times New Roman"/>
          <w:b/>
          <w:sz w:val="20"/>
          <w:u w:val="single"/>
        </w:rPr>
        <w:t>Default</w:t>
      </w:r>
      <w:r>
        <w:rPr>
          <w:rFonts w:ascii="Times New Roman" w:hAnsi="Times New Roman"/>
          <w:sz w:val="20"/>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hAnsi="Times New Roman"/>
          <w:b/>
          <w:sz w:val="20"/>
          <w:u w:val="single"/>
        </w:rPr>
        <w:t>Existing Instrument</w:t>
      </w:r>
      <w:r>
        <w:rPr>
          <w:rFonts w:ascii="Times New Roman" w:hAnsi="Times New Roman"/>
          <w:sz w:val="20"/>
        </w:rPr>
        <w:t>), except for such Defaults as would not, individually or in the aggregate,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hAnsi="Times New Roman"/>
          <w:b/>
          <w:sz w:val="20"/>
          <w:u w:val="single"/>
        </w:rPr>
        <w:t>FINRA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No Material Actions or Proceedings</w:t>
      </w:r>
      <w:r>
        <w:rPr>
          <w:rFonts w:ascii="Times New Roman" w:hAnsi="Times New Roman"/>
          <w:sz w:val="20"/>
        </w:rPr>
        <w:t xml:space="preserve">.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All Necessary Permits, etc</w:t>
      </w:r>
      <w:r>
        <w:rPr>
          <w:rFonts w:ascii="Times New Roman" w:hAnsi="Times New Roman"/>
          <w:sz w:val="20"/>
        </w:rPr>
        <w:t xml:space="preserve">.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 </w:t>
      </w:r>
      <w:r>
        <w:rPr>
          <w:rFonts w:ascii="Times New Roman" w:hAnsi="Times New Roman"/>
          <w:sz w:val="20"/>
          <w:u w:val="single"/>
        </w:rPr>
        <w:t>Tax Law Compliance</w:t>
      </w:r>
      <w:r>
        <w:rPr>
          <w:rFonts w:ascii="Times New Roman" w:hAnsi="Times New Roman"/>
          <w:sz w:val="20"/>
        </w:rPr>
        <w:t xml:space="preserve">. The Company and its consolidated subsidiaries have filed all necessary federal, state and foreign income, property and franchise tax returns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hAnsi="Times New Roman"/>
          <w:sz w:val="20"/>
          <w:u w:val="single"/>
        </w:rPr>
        <w:t>Section 1(l)</w:t>
      </w:r>
      <w:r>
        <w:rPr>
          <w:rFonts w:ascii="Times New Roman" w:hAnsi="Times New Roman"/>
          <w:sz w:val="20"/>
        </w:rPr>
        <w:t xml:space="preserve"> above in respect of all federal, state and foreign income, property and franchise taxes for all periods as to which the tax liability of the Company or any of its consolidated subsidiaries has not been finally determined.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Not an Investment Company</w:t>
      </w:r>
      <w:r>
        <w:rPr>
          <w:rFonts w:ascii="Times New Roman" w:hAnsi="Times New Roman"/>
          <w:sz w:val="20"/>
        </w:rPr>
        <w:t>. The Company has been advised of the rules and requirements under the Investment Company Act of 1940, as amended (the </w:t>
      </w:r>
      <w:r>
        <w:rPr>
          <w:rFonts w:ascii="Times New Roman" w:hAnsi="Times New Roman"/>
          <w:b/>
          <w:sz w:val="20"/>
          <w:u w:val="single"/>
        </w:rPr>
        <w:t>Investment Company Act</w:t>
      </w:r>
      <w:r>
        <w:rPr>
          <w:rFonts w:ascii="Times New Roman" w:hAnsi="Times New Roman"/>
          <w:sz w:val="20"/>
        </w:rPr>
        <w:t xml:space="preserve">). The Company is not, and after receipt of payment for the Common Stock will not be, an investment company within the meaning of Investment Company Act.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Insurance</w:t>
      </w:r>
      <w:r>
        <w:rPr>
          <w:rFonts w:ascii="Times New Roman" w:hAnsi="Times New Roman"/>
          <w:sz w:val="20"/>
        </w:rPr>
        <w:t xml:space="preserve">. Except as otherwise described in the Prospectus, each of the Company and its subsidiaries are insured by insurers of recognized financial responsibility with policies in such amounts and with such deductibles and covering such risks as are generally deemed prudent and customary for the business for which it is engaged including, but not limited to, policies covering real and personal property owned or leased by the Company and its subsidiaries against theft, damage, destruction, acts of vandalism and earthquakes.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 Price Stabilization or Manipulation</w:t>
      </w:r>
      <w:r>
        <w:rPr>
          <w:rFonts w:ascii="Times New Roman" w:hAnsi="Times New Roman"/>
          <w:sz w:val="20"/>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Subsidiary or any other person required to be described in the Prospectus which have not been described as required.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Exchange Act Compliance</w:t>
      </w:r>
      <w:r>
        <w:rPr>
          <w:rFonts w:ascii="Times New Roman" w:hAnsi="Times New Roman"/>
          <w:sz w:val="20"/>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No Unlawful Contributions or Other Payments</w:t>
      </w:r>
      <w:r>
        <w:rPr>
          <w:rFonts w:ascii="Times New Roman" w:hAnsi="Times New Roman"/>
          <w:sz w:val="20"/>
        </w:rPr>
        <w:t xml:space="preserve">. Neither the Company nor any of its subsidiaries nor, to the Companys knowledge, any director, officer, employee, agent,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Compliance with 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Compliance with OFAC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b/>
                <w:sz w:val="20"/>
                <w:u w:val="single"/>
              </w:rPr>
              <w:t>Person</w:t>
            </w:r>
            <w:r>
              <w:rPr>
                <w:rFonts w:ascii="Times New Roman" w:hAnsi="Times New Roman"/>
                <w:sz w:val="20"/>
              </w:rPr>
              <w:t>) that is, or is 50% or more owned or controlled by a Person that is: (i) the subject of any economic, financial or trade sanctions administered or enforced by the U.S. Department of Treasurys Office of Foreign Assets Control (</w:t>
            </w:r>
            <w:r>
              <w:rPr>
                <w:rFonts w:ascii="Times New Roman" w:hAnsi="Times New Roman"/>
                <w:b/>
                <w:sz w:val="20"/>
                <w:u w:val="single"/>
              </w:rPr>
              <w:t>OFAC</w:t>
            </w:r>
            <w:r>
              <w:rPr>
                <w:rFonts w:ascii="Times New Roman" w:hAnsi="Times New Roman"/>
                <w:sz w:val="20"/>
              </w:rPr>
              <w:t>), the United Nations Security Council, the European Union (</w:t>
            </w:r>
            <w:r>
              <w:rPr>
                <w:rFonts w:ascii="Times New Roman" w:hAnsi="Times New Roman"/>
                <w:b/>
                <w:sz w:val="20"/>
                <w:u w:val="single"/>
              </w:rPr>
              <w:t>EU</w:t>
            </w:r>
            <w:r>
              <w:rPr>
                <w:rFonts w:ascii="Times New Roman" w:hAnsi="Times New Roman"/>
                <w:sz w:val="20"/>
              </w:rPr>
              <w:t>), His Majestys Treasury, the Swiss Secretariat of Economic Affairs, or other relevant sanctions authority (collectively, </w:t>
            </w:r>
            <w:r>
              <w:rPr>
                <w:rFonts w:ascii="Times New Roman" w:hAnsi="Times New Roman"/>
                <w:b/>
                <w:sz w:val="20"/>
                <w:u w:val="single"/>
              </w:rPr>
              <w:t>Sanctions</w:t>
            </w:r>
            <w:r>
              <w:rPr>
                <w:rFonts w:ascii="Times New Roman" w:hAnsi="Times New Roman"/>
                <w:sz w:val="20"/>
              </w:rPr>
              <w:t xml:space="preserve">),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TD Cowen)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April 24, 2019,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 </w:t>
            </w:r>
          </w:p>
        </w:tc>
      </w:tr>
    </w:tbl>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Companys Accounting System</w:t>
      </w:r>
      <w:r>
        <w:rPr>
          <w:rFonts w:ascii="Times New Roman" w:hAnsi="Times New Roman"/>
          <w:sz w:val="20"/>
        </w:rPr>
        <w:t>. The Company maintains a system of internal control over financial reporting (as such term is defined in Rule 13a-15(f) of the General Rules and Regulations under the Exchange Act (the </w:t>
      </w:r>
      <w:r>
        <w:rPr>
          <w:rFonts w:ascii="Times New Roman" w:hAnsi="Times New Roman"/>
          <w:b/>
          <w:sz w:val="20"/>
          <w:u w:val="single"/>
        </w:rPr>
        <w:t>Exchange Act Rules</w:t>
      </w:r>
      <w:r>
        <w:rPr>
          <w:rFonts w:ascii="Times New Roman" w:hAnsi="Times New Roman"/>
          <w:sz w:val="20"/>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Disclosure Controls</w:t>
      </w:r>
      <w:r>
        <w:rPr>
          <w:rFonts w:ascii="Times New Roman" w:hAnsi="Times New Roman"/>
          <w:sz w:val="20"/>
        </w:rPr>
        <w:t xml:space="preserve">.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Compliance with Environmental Laws</w:t>
      </w:r>
      <w:r>
        <w:rPr>
          <w:rFonts w:ascii="Times New Roman" w:hAnsi="Times New Roman"/>
          <w:sz w:val="20"/>
        </w:rPr>
        <w:t>. Except as otherwise described in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hAnsi="Times New Roman"/>
          <w:b/>
          <w:sz w:val="20"/>
          <w:u w:val="single"/>
        </w:rPr>
        <w:t>Materials of Environmental Concern</w:t>
      </w:r>
      <w:r>
        <w:rPr>
          <w:rFonts w:ascii="Times New Roman" w:hAnsi="Times New Roman"/>
          <w:sz w:val="20"/>
        </w:rPr>
        <w:t>), or otherwise relating to the manufacture, processing, distribution, use, treatment, storage, disposal, transport or handling of Materials of Environmental Concern (collectively, </w:t>
      </w:r>
      <w:r>
        <w:rPr>
          <w:rFonts w:ascii="Times New Roman" w:hAnsi="Times New Roman"/>
          <w:b/>
          <w:sz w:val="20"/>
          <w:u w:val="single"/>
        </w:rPr>
        <w:t>Environmental Laws</w:t>
      </w:r>
      <w:r>
        <w:rPr>
          <w:rFonts w:ascii="Times New Roman" w:hAnsi="Times New Roman"/>
          <w:sz w:val="20"/>
        </w:rPr>
        <w:t xml:space="preserve">), which violation includes, but is not limited to, noncompliance with any permits or other governmental authorizations required for the operation of the business of the Company or its subsidiaries under applicable Environmental Laws,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hAnsi="Times New Roman"/>
          <w:b/>
          <w:sz w:val="20"/>
          <w:u w:val="single"/>
        </w:rPr>
        <w:t>Environmental Claims</w:t>
      </w:r>
      <w:r>
        <w:rPr>
          <w:rFonts w:ascii="Times New Roman" w:hAnsi="Times New Roman"/>
          <w:sz w:val="20"/>
        </w:rPr>
        <w:t xml:space="preserve">),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best of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xml:space="preserve"> The Company and its subsidiaries own or possess the valid right to use all (i) patents, patent applications, trademarks, trademark registrations, service marks, service mark registrations, Internet domain name registrations, copyrights, copyright registrations, licenses, trade secret rights (</w:t>
      </w:r>
      <w:r>
        <w:rPr>
          <w:rFonts w:ascii="Times New Roman" w:hAnsi="Times New Roman"/>
          <w:b/>
          <w:sz w:val="20"/>
          <w:u w:val="single"/>
        </w:rPr>
        <w:t>Intellectual Property Rights</w:t>
      </w:r>
      <w:r>
        <w:rPr>
          <w:rFonts w:ascii="Times New Roman" w:hAnsi="Times New Roman"/>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hAnsi="Times New Roman"/>
          <w:b/>
          <w:sz w:val="20"/>
          <w:u w:val="single"/>
        </w:rPr>
        <w:t>Intellectual Property Assets</w:t>
      </w:r>
      <w:r>
        <w:rPr>
          <w:rFonts w:ascii="Times New Roman" w:hAnsi="Times New Roman"/>
          <w:sz w:val="20"/>
        </w:rPr>
        <w:t xml:space="preserve">)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the knowledge of the Company,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The Company has taken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Brokers</w:t>
      </w:r>
      <w:r>
        <w:rPr>
          <w:rFonts w:ascii="Times New Roman" w:hAnsi="Times New Roman"/>
          <w:sz w:val="20"/>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No Outstanding Loans or Other Indebtedness</w:t>
      </w:r>
      <w:r>
        <w:rPr>
          <w:rFonts w:ascii="Times New Roman" w:hAnsi="Times New Roman"/>
          <w:sz w:val="20"/>
        </w:rPr>
        <w:t xml:space="preserve">.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 </w:t>
      </w:r>
    </w:p>
    <w:p>
      <w:pPr>
        <w:pStyle w:val="TextBody"/>
        <w:bidi w:val="0"/>
        <w:spacing w:before="120" w:after="0"/>
        <w:jc w:val="left"/>
        <w:rPr>
          <w:rFonts w:ascii="Times New Roman" w:hAnsi="Times New Roman"/>
          <w:sz w:val="20"/>
        </w:rPr>
      </w:pPr>
      <w:r>
        <w:rPr>
          <w:rFonts w:ascii="Times New Roman" w:hAnsi="Times New Roman"/>
          <w:sz w:val="20"/>
        </w:rPr>
        <w:t>(hh)</w:t>
      </w:r>
      <w:r>
        <w:rPr>
          <w:rFonts w:ascii="Times New Roman" w:hAnsi="Times New Roman"/>
          <w:sz w:val="20"/>
          <w:u w:val="single"/>
        </w:rPr>
        <w:t> No Reliance</w:t>
      </w:r>
      <w:r>
        <w:rPr>
          <w:rFonts w:ascii="Times New Roman" w:hAnsi="Times New Roman"/>
          <w:sz w:val="20"/>
        </w:rPr>
        <w:t xml:space="preserve">. The Company has not relied upon TD Cowen or legal counsel for TD Cowen for any legal, tax or accounting advice in connection with the offering and sale of the Placement Shares. </w:t>
      </w:r>
    </w:p>
    <w:p>
      <w:pPr>
        <w:pStyle w:val="TextBody"/>
        <w:bidi w:val="0"/>
        <w:spacing w:before="120" w:after="0"/>
        <w:jc w:val="left"/>
        <w:rPr>
          <w:rFonts w:ascii="Times New Roman" w:hAnsi="Times New Roman"/>
          <w:sz w:val="20"/>
        </w:rPr>
      </w:pPr>
      <w:r>
        <w:rPr>
          <w:rFonts w:ascii="Times New Roman" w:hAnsi="Times New Roman"/>
          <w:sz w:val="20"/>
        </w:rPr>
        <w:t>(ii)</w:t>
      </w:r>
      <w:r>
        <w:rPr>
          <w:rFonts w:ascii="Times New Roman" w:hAnsi="Times New Roman"/>
          <w:sz w:val="20"/>
          <w:u w:val="single"/>
        </w:rPr>
        <w:t> Lending Relationship</w:t>
      </w:r>
      <w:r>
        <w:rPr>
          <w:rFonts w:ascii="Times New Roman" w:hAnsi="Times New Roman"/>
          <w:sz w:val="20"/>
        </w:rPr>
        <w:t xml:space="preserve">. Except as disclosed in the Prospectus, the Company does not intend to use any of the proceeds from the sale of the Placement Shares to repay any outstanding debt owed to TD Cowen or any affiliate of TD Cowen. </w:t>
      </w:r>
    </w:p>
    <w:p>
      <w:pPr>
        <w:pStyle w:val="TextBody"/>
        <w:bidi w:val="0"/>
        <w:spacing w:before="120" w:after="0"/>
        <w:jc w:val="left"/>
        <w:rPr>
          <w:rFonts w:ascii="Times New Roman" w:hAnsi="Times New Roman"/>
          <w:sz w:val="20"/>
        </w:rPr>
      </w:pPr>
      <w:r>
        <w:rPr>
          <w:rFonts w:ascii="Times New Roman" w:hAnsi="Times New Roman"/>
          <w:sz w:val="20"/>
        </w:rPr>
        <w:t>(jj)</w:t>
      </w:r>
      <w:r>
        <w:rPr>
          <w:rFonts w:ascii="Times New Roman" w:hAnsi="Times New Roman"/>
          <w:sz w:val="20"/>
          <w:u w:val="single"/>
        </w:rPr>
        <w:t> Privacy Laws</w:t>
      </w:r>
      <w:r>
        <w:rPr>
          <w:rFonts w:ascii="Times New Roman" w:hAnsi="Times New Roman"/>
          <w:sz w:val="20"/>
        </w:rPr>
        <w:t>. The Company and each of its subsidiaries are, and at all prior times were, in material compliance with all applicable data privacy and security laws and regulations, including, without limitation, the Health Insurance Portability and Accountability Act (</w:t>
      </w:r>
      <w:r>
        <w:rPr>
          <w:rFonts w:ascii="Times New Roman" w:hAnsi="Times New Roman"/>
          <w:b/>
          <w:sz w:val="20"/>
          <w:u w:val="single"/>
        </w:rPr>
        <w:t>HIPAA</w:t>
      </w:r>
      <w:r>
        <w:rPr>
          <w:rFonts w:ascii="Times New Roman" w:hAnsi="Times New Roman"/>
          <w:sz w:val="20"/>
        </w:rPr>
        <w:t>), as amended by the Health Information Technology for Economic and Clinical Health Act (the </w:t>
      </w:r>
      <w:r>
        <w:rPr>
          <w:rFonts w:ascii="Times New Roman" w:hAnsi="Times New Roman"/>
          <w:b/>
          <w:sz w:val="20"/>
          <w:u w:val="single"/>
        </w:rPr>
        <w:t>HITECH Act</w:t>
      </w:r>
      <w:r>
        <w:rPr>
          <w:rFonts w:ascii="Times New Roman" w:hAnsi="Times New Roman"/>
          <w:sz w:val="20"/>
        </w:rPr>
        <w:t>) (42 U.S.C. Section 17921 et seq.); and the Company and each its subsidiaries have taken all necessary actions to comply with the European Union General Data Protection Regulation (</w:t>
      </w:r>
      <w:r>
        <w:rPr>
          <w:rFonts w:ascii="Times New Roman" w:hAnsi="Times New Roman"/>
          <w:b/>
          <w:sz w:val="20"/>
          <w:u w:val="single"/>
        </w:rPr>
        <w:t>GDPR</w:t>
      </w:r>
      <w:r>
        <w:rPr>
          <w:rFonts w:ascii="Times New Roman" w:hAnsi="Times New Roman"/>
          <w:sz w:val="20"/>
        </w:rPr>
        <w:t>) (EU 2016/679) (collectively, </w:t>
      </w:r>
      <w:r>
        <w:rPr>
          <w:rFonts w:ascii="Times New Roman" w:hAnsi="Times New Roman"/>
          <w:b/>
          <w:sz w:val="20"/>
          <w:u w:val="single"/>
        </w:rPr>
        <w:t>Privacy Laws</w:t>
      </w:r>
      <w:r>
        <w:rPr>
          <w:rFonts w:ascii="Times New Roman" w:hAnsi="Times New Roman"/>
          <w:sz w:val="20"/>
        </w:rPr>
        <w:t xml:space="preserve">). To ensure compliance with the Privacy Laws, the Company and each of its subsidiaries have in place, comply with, and take appropriate steps reasonably designed to ensure compliance in all material respects with their policies and procedures relating to data privacy and security and the collection, storage,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disclosure, handling and analysis of Personal Data (the </w:t>
      </w:r>
      <w:r>
        <w:rPr>
          <w:rFonts w:ascii="Times New Roman" w:hAnsi="Times New Roman"/>
          <w:b/>
          <w:sz w:val="20"/>
          <w:u w:val="single"/>
        </w:rPr>
        <w:t>Policies</w:t>
      </w:r>
      <w:r>
        <w:rPr>
          <w:rFonts w:ascii="Times New Roman" w:hAnsi="Times New Roman"/>
          <w:sz w:val="20"/>
        </w:rPr>
        <w:t>). The Company provides accurate notice of its Policies to its customers, employees, third party vendors and representatives. The Policies provide accurate and sufficient notice of the Companys then-current privacy practices relating to its subject matter and such Policies do not contain any material omissions of the Companys then-current privacy practices. </w:t>
      </w:r>
      <w:r>
        <w:rPr>
          <w:rFonts w:ascii="Times New Roman" w:hAnsi="Times New Roman"/>
          <w:b/>
          <w:sz w:val="20"/>
          <w:u w:val="single"/>
        </w:rPr>
        <w:t>Personal Data</w:t>
      </w:r>
      <w:r>
        <w:rPr>
          <w:rFonts w:ascii="Times New Roman" w:hAnsi="Times New Roman"/>
          <w:sz w:val="20"/>
        </w:rPr>
        <w:t xml:space="preserve">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any Privacy Laws or Policies. Neither the Company nor any of its subsidiaries,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 </w:t>
      </w:r>
    </w:p>
    <w:p>
      <w:pPr>
        <w:pStyle w:val="TextBody"/>
        <w:bidi w:val="0"/>
        <w:spacing w:before="120" w:after="0"/>
        <w:jc w:val="left"/>
        <w:rPr>
          <w:rFonts w:ascii="Times New Roman" w:hAnsi="Times New Roman"/>
          <w:sz w:val="20"/>
        </w:rPr>
      </w:pPr>
      <w:r>
        <w:rPr>
          <w:rFonts w:ascii="Times New Roman" w:hAnsi="Times New Roman"/>
          <w:sz w:val="20"/>
        </w:rPr>
        <w:t>(kk)</w:t>
      </w:r>
      <w:r>
        <w:rPr>
          <w:rFonts w:ascii="Times New Roman" w:hAnsi="Times New Roman"/>
          <w:sz w:val="20"/>
          <w:u w:val="single"/>
        </w:rPr>
        <w:t> Compliance with Certain Regulatory Matters</w:t>
      </w:r>
      <w:r>
        <w:rPr>
          <w:rFonts w:ascii="Times New Roman" w:hAnsi="Times New Roman"/>
          <w:sz w:val="20"/>
        </w:rPr>
        <w:t>. Except as described in the Registration Statement and the Prospectus, the Company: (i) has operated and currently operates its business in compliance in all material respects with all applicable Health Care Laws (as defined below) and any other applicable requirements of the Food and Drug Administration (</w:t>
      </w:r>
      <w:r>
        <w:rPr>
          <w:rFonts w:ascii="Times New Roman" w:hAnsi="Times New Roman"/>
          <w:b/>
          <w:sz w:val="20"/>
          <w:u w:val="single"/>
        </w:rPr>
        <w:t>FDA</w:t>
      </w:r>
      <w:r>
        <w:rPr>
          <w:rFonts w:ascii="Times New Roman" w:hAnsi="Times New Roman"/>
          <w:sz w:val="20"/>
        </w:rPr>
        <w:t>), the Department of Health and Human Services (</w:t>
      </w:r>
      <w:r>
        <w:rPr>
          <w:rFonts w:ascii="Times New Roman" w:hAnsi="Times New Roman"/>
          <w:b/>
          <w:sz w:val="20"/>
          <w:u w:val="single"/>
        </w:rPr>
        <w:t>HHS</w:t>
      </w:r>
      <w:r>
        <w:rPr>
          <w:rFonts w:ascii="Times New Roman" w:hAnsi="Times New Roman"/>
          <w:sz w:val="20"/>
        </w:rPr>
        <w:t>) and any comparable foreign or other regulatory authority to which they are subject (collectively, the </w:t>
      </w:r>
      <w:r>
        <w:rPr>
          <w:rFonts w:ascii="Times New Roman" w:hAnsi="Times New Roman"/>
          <w:b/>
          <w:sz w:val="20"/>
          <w:u w:val="single"/>
        </w:rPr>
        <w:t>Applicable Regulatory Authorities</w:t>
      </w:r>
      <w:r>
        <w:rPr>
          <w:rFonts w:ascii="Times New Roman" w:hAnsi="Times New Roman"/>
          <w:sz w:val="20"/>
        </w:rPr>
        <w:t>) applicable to the ownership, testing, development, manufacture, packaging, processing, use, distribution, storage, import, export or disposal of any of the Companys product candidates; (ii) has not received any FDA Form 483, written notice of adverse finding, warning letter, untitled letter or other correspondence or written notice from any court or arbitrator or governmental or regulatory authority alleging or asserting material non-compliance with (A) any Health Care Laws or (B) or any licenses, certificates, approvals, clearances, exemptions, registrations, authorizations, permits and supplements or amendments thereto required by any such Health Care Laws (</w:t>
      </w:r>
      <w:r>
        <w:rPr>
          <w:rFonts w:ascii="Times New Roman" w:hAnsi="Times New Roman"/>
          <w:b/>
          <w:sz w:val="20"/>
          <w:u w:val="single"/>
        </w:rPr>
        <w:t>Regulatory Authorizations</w:t>
      </w:r>
      <w:r>
        <w:rPr>
          <w:rFonts w:ascii="Times New Roman" w:hAnsi="Times New Roman"/>
          <w:sz w:val="20"/>
        </w:rPr>
        <w:t xml:space="preserve">);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the Applicable Regulatory Authorities or any other third party alleging that any product operation or activity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nor has any ongoing reporting obligations pursuant to any corporate integrity agreements, deferred or non-prosecution agreements, monitoring agreements, consent decrees, settlement orders, plans of correction or similar agreements with or imposed by any Applicable Regulatory Authority; and (viii) along with its employees, officers and directors, and, to the Companys knowledge, agents,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w:t>
      </w:r>
      <w:r>
        <w:rPr>
          <w:rFonts w:ascii="Times New Roman" w:hAnsi="Times New Roman"/>
          <w:b/>
          <w:sz w:val="20"/>
          <w:u w:val="single"/>
        </w:rPr>
        <w:t>Health Care Laws</w:t>
      </w:r>
      <w:r>
        <w:rPr>
          <w:rFonts w:ascii="Times New Roman" w:hAnsi="Times New Roman"/>
          <w:sz w:val="20"/>
        </w:rPr>
        <w:t xml:space="preserve">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287 and 1349 and the health care fraud criminal provisions under HIPAA; the Civil Monetary Penalties Law, 42 U.S.C. §§ 1320a-7a and 1320a-7b; the Physician Payments Sunshine Act, 42 U.S.C. § 1320a-7h; the Exclusion Laws, 42 U.S.C. § 1320a-7; </w:t>
      </w:r>
      <w:r>
        <w:rPr>
          <w:rFonts w:ascii="Times New Roman" w:hAnsi="Times New Roman"/>
          <w:sz w:val="20"/>
          <w:u w:val="single"/>
        </w:rPr>
        <w:t>HITECH Act</w:t>
      </w:r>
      <w:r>
        <w:rPr>
          <w:rFonts w:ascii="Times New Roman" w:hAnsi="Times New Roman"/>
          <w:sz w:val="20"/>
        </w:rPr>
        <w:t xml:space="preserve">; the Federal Food, Drug, and Cosmetic Act, 21 U.S.C. §§ 301 et seq.; the regulations promulgated pursuant to such laws; and any similar federal, state and local laws and regulations. </w:t>
      </w:r>
    </w:p>
    <w:p>
      <w:pPr>
        <w:pStyle w:val="TextBody"/>
        <w:bidi w:val="0"/>
        <w:spacing w:before="120" w:after="0"/>
        <w:jc w:val="left"/>
        <w:rPr>
          <w:rFonts w:ascii="Times New Roman" w:hAnsi="Times New Roman"/>
          <w:sz w:val="20"/>
        </w:rPr>
      </w:pPr>
      <w:r>
        <w:rPr>
          <w:rFonts w:ascii="Times New Roman" w:hAnsi="Times New Roman"/>
          <w:sz w:val="20"/>
        </w:rPr>
        <w:t>(ll)</w:t>
      </w:r>
      <w:r>
        <w:rPr>
          <w:rFonts w:ascii="Times New Roman" w:hAnsi="Times New Roman"/>
          <w:sz w:val="20"/>
          <w:u w:val="single"/>
        </w:rPr>
        <w:t> Manufacturing Compliance</w:t>
      </w:r>
      <w:r>
        <w:rPr>
          <w:rFonts w:ascii="Times New Roman" w:hAnsi="Times New Roman"/>
          <w:sz w:val="20"/>
        </w:rPr>
        <w:t xml:space="preserve">. To the Companys knowledge, the manufacturing facilities and operations of its suppliers are operated in compliance in all material respects with all applicable statutes, rules, regulations and policies of the Applicable Regulatory Authorities. </w:t>
      </w:r>
    </w:p>
    <w:p>
      <w:pPr>
        <w:pStyle w:val="TextBody"/>
        <w:bidi w:val="0"/>
        <w:spacing w:before="120" w:after="0"/>
        <w:jc w:val="left"/>
        <w:rPr>
          <w:rFonts w:ascii="Times New Roman" w:hAnsi="Times New Roman"/>
          <w:sz w:val="20"/>
        </w:rPr>
      </w:pPr>
      <w:r>
        <w:rPr>
          <w:rFonts w:ascii="Times New Roman" w:hAnsi="Times New Roman"/>
          <w:sz w:val="20"/>
        </w:rPr>
        <w:t>(mm)</w:t>
      </w:r>
      <w:r>
        <w:rPr>
          <w:rFonts w:ascii="Times New Roman" w:hAnsi="Times New Roman"/>
          <w:sz w:val="20"/>
          <w:u w:val="single"/>
        </w:rPr>
        <w:t> Company Trials</w:t>
      </w:r>
      <w:r>
        <w:rPr>
          <w:rFonts w:ascii="Times New Roman" w:hAnsi="Times New Roman"/>
          <w:sz w:val="20"/>
        </w:rPr>
        <w:t>. None of the Companys product candidates have received marketing approval from any Applicable Regulatory Authority. All clinical and pre-clinical studies and trials conducted by or on behalf of or sponsored by the Company, or in which the Company has participated with respect to the Companys product candidates, including without limitation any such studies and trials that are described in the Registration Statement and the Prospectus, or the results of which are referred to in the Registration Statement and the Prospectus, as applicable (collectively, </w:t>
      </w:r>
      <w:r>
        <w:rPr>
          <w:rFonts w:ascii="Times New Roman" w:hAnsi="Times New Roman"/>
          <w:b/>
          <w:sz w:val="20"/>
          <w:u w:val="single"/>
        </w:rPr>
        <w:t>Company Trials</w:t>
      </w:r>
      <w:r>
        <w:rPr>
          <w:rFonts w:ascii="Times New Roman" w:hAnsi="Times New Roman"/>
          <w:sz w:val="20"/>
        </w:rPr>
        <w:t xml:space="preserve">), were, and if still pending are, being conducted in all material respects in accordance with all applicable Health Care Laws, standard medical and scientific research procedures and any applicable rules, regulations and policies of the jurisdiction in which such trials and studies are being conducted; the descriptions in the Registration Statement and the Prospectus of the results of any Company Trials are accurate and complete descriptions in all material respects and fairly present the data derived therefrom; the Company has no knowledge of any other studies or trials not described in the Registration Statement and the Prospectus, the results of which are inconsistent with or call into question the results described or referred to in the Registration Statement and the Prospectus; the Company has not received, and the Company has no knowledge after due inquiry that any of its collaboration partners have received, any written notices, correspondence or other communications from the Applicable Regulatory Authorities or any other governmental entity requiring or threatening the termination, material modification or suspension of Company Trials, other than ordinary course communications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modifications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in connection with a Company Trial, the Company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by FDA or has been found by the FDA to have engaged in scientific misconduct. </w:t>
      </w:r>
    </w:p>
    <w:p>
      <w:pPr>
        <w:pStyle w:val="TextBody"/>
        <w:bidi w:val="0"/>
        <w:spacing w:before="120" w:after="0"/>
        <w:jc w:val="left"/>
        <w:rPr>
          <w:rFonts w:ascii="Times New Roman" w:hAnsi="Times New Roman"/>
          <w:sz w:val="20"/>
        </w:rPr>
      </w:pPr>
      <w:r>
        <w:rPr>
          <w:rFonts w:ascii="Times New Roman" w:hAnsi="Times New Roman"/>
          <w:sz w:val="20"/>
        </w:rPr>
        <w:t>(nn)</w:t>
      </w:r>
      <w:r>
        <w:rPr>
          <w:rFonts w:ascii="Times New Roman" w:hAnsi="Times New Roman"/>
          <w:sz w:val="20"/>
          <w:u w:val="single"/>
        </w:rPr>
        <w:t> IT Systems</w:t>
      </w:r>
      <w:r>
        <w:rPr>
          <w:rFonts w:ascii="Times New Roman" w:hAnsi="Times New Roman"/>
          <w:sz w:val="20"/>
        </w:rPr>
        <w:t>. (i)(x)There has been no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 w:hAnsi="Times New Roman"/>
          <w:b/>
          <w:sz w:val="20"/>
          <w:u w:val="single"/>
        </w:rPr>
        <w:t>IT Systems and Data</w:t>
      </w:r>
      <w:r>
        <w:rPr>
          <w:rFonts w:ascii="Times New Roman" w:hAnsi="Times New Roman"/>
          <w:sz w:val="20"/>
        </w:rPr>
        <w:t xml:space="preserve">), and (y) the Company and its subsidiaries have not been notified of, and have no knowledge of any event or condition that would reasonably be expected to result in any security breach, attack or compromise to their IT Systems and Data, (ii) the Company and each of its subsidiaries have complied, and are presently in compliance with, all applicable laws, statutes or any judgment, order, rule or regulation of any court or arbitrator or governmental or regulatory authority and all industry guidelines, standards,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backup and disaster recovery technology consistent with industry standards and practice. </w:t>
      </w:r>
    </w:p>
    <w:p>
      <w:pPr>
        <w:pStyle w:val="TextBody"/>
        <w:bidi w:val="0"/>
        <w:spacing w:before="120" w:after="0"/>
        <w:jc w:val="left"/>
        <w:rPr>
          <w:rFonts w:ascii="Times New Roman" w:hAnsi="Times New Roman"/>
          <w:sz w:val="20"/>
        </w:rPr>
      </w:pPr>
      <w:r>
        <w:rPr>
          <w:rFonts w:ascii="Times New Roman" w:hAnsi="Times New Roman"/>
          <w:sz w:val="20"/>
        </w:rPr>
        <w:t>(oo)</w:t>
      </w:r>
      <w:r>
        <w:rPr>
          <w:rFonts w:ascii="Times New Roman" w:hAnsi="Times New Roman"/>
          <w:sz w:val="20"/>
          <w:u w:val="single"/>
        </w:rPr>
        <w:t> Export and Import Laws</w:t>
      </w:r>
      <w:r>
        <w:rPr>
          <w:rFonts w:ascii="Times New Roman" w:hAnsi="Times New Roman"/>
          <w:sz w:val="20"/>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120" w:after="0"/>
        <w:jc w:val="left"/>
        <w:rPr>
          <w:rFonts w:ascii="Times New Roman" w:hAnsi="Times New Roman"/>
          <w:sz w:val="20"/>
        </w:rPr>
      </w:pPr>
      <w:r>
        <w:rPr>
          <w:rFonts w:ascii="Times New Roman" w:hAnsi="Times New Roman"/>
          <w:sz w:val="20"/>
        </w:rPr>
        <w:t>(pp)</w:t>
      </w:r>
      <w:r>
        <w:rPr>
          <w:rFonts w:ascii="Times New Roman" w:hAnsi="Times New Roman"/>
          <w:sz w:val="20"/>
          <w:u w:val="single"/>
        </w:rPr>
        <w:t> Other At The Market Sales Agreements</w:t>
      </w:r>
      <w:r>
        <w:rPr>
          <w:rFonts w:ascii="Times New Roman" w:hAnsi="Times New Roman"/>
          <w:sz w:val="20"/>
        </w:rPr>
        <w:t xml:space="preserve">. The Company is not a party to any agreement with an agent or underwriter for any other at the market offering. </w:t>
      </w:r>
    </w:p>
    <w:p>
      <w:pPr>
        <w:pStyle w:val="TextBody"/>
        <w:bidi w:val="0"/>
        <w:spacing w:before="120" w:after="0"/>
        <w:jc w:val="left"/>
        <w:rPr>
          <w:rFonts w:ascii="Times New Roman" w:hAnsi="Times New Roman"/>
          <w:sz w:val="20"/>
        </w:rPr>
      </w:pPr>
      <w:r>
        <w:rPr>
          <w:rFonts w:ascii="Times New Roman" w:hAnsi="Times New Roman"/>
          <w:sz w:val="20"/>
        </w:rPr>
        <w:t>(qq)</w:t>
      </w:r>
      <w:r>
        <w:rPr>
          <w:rFonts w:ascii="Times New Roman" w:hAnsi="Times New Roman"/>
          <w:sz w:val="20"/>
          <w:u w:val="single"/>
        </w:rPr>
        <w:t> Actively-Traded Security</w:t>
      </w:r>
      <w:r>
        <w:rPr>
          <w:rFonts w:ascii="Times New Roman" w:hAnsi="Times New Roman"/>
          <w:sz w:val="20"/>
        </w:rPr>
        <w:t xml:space="preserve">. The Common Stock is an actively-traded security exempted from the requirements of Rule 101 of Regulation M under the Exchange Act by subsection (c)(1) of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(rr)</w:t>
      </w:r>
      <w:r>
        <w:rPr>
          <w:rFonts w:ascii="Times New Roman" w:hAnsi="Times New Roman"/>
          <w:sz w:val="20"/>
          <w:u w:val="single"/>
        </w:rPr>
        <w:t> 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hAnsi="Times New Roman"/>
          <w:b/>
          <w:sz w:val="20"/>
          <w:u w:val="single"/>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120" w:after="0"/>
        <w:jc w:val="left"/>
        <w:rPr>
          <w:rFonts w:ascii="Times New Roman" w:hAnsi="Times New Roman"/>
          <w:sz w:val="20"/>
        </w:rPr>
      </w:pPr>
      <w:r>
        <w:rPr>
          <w:rFonts w:ascii="Times New Roman" w:hAnsi="Times New Roman"/>
          <w:sz w:val="20"/>
        </w:rPr>
        <w:t xml:space="preserve">Any certificate signed by an officer of the Company and delivered to TD Cowen or to counsel for TD Cowen pursuant to or in connection with this Agreement shall be deemed to be a representation and warranty by the Company to TD Cowen as to the matters set forth therein.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that TD Cowen and, for purposes of the opinions to be delivered pursuant to </w:t>
      </w:r>
      <w:r>
        <w:rPr>
          <w:rFonts w:ascii="Times New Roman" w:hAnsi="Times New Roman"/>
          <w:sz w:val="20"/>
          <w:u w:val="single"/>
        </w:rPr>
        <w:t>Section 7</w:t>
      </w:r>
      <w:r>
        <w:rPr>
          <w:rFonts w:ascii="Times New Roman" w:hAnsi="Times New Roman"/>
          <w:sz w:val="20"/>
        </w:rPr>
        <w:t xml:space="preserve"> hereof, counsel to the Company and counsel to TD Cowen, will rely upon the accuracy and truthfulness of the foregoing representations and hereby consents to such reliance. </w:t>
      </w:r>
    </w:p>
    <w:p>
      <w:pPr>
        <w:pStyle w:val="TextBody"/>
        <w:bidi w:val="0"/>
        <w:spacing w:before="120" w:after="0"/>
        <w:jc w:val="left"/>
        <w:rPr>
          <w:rFonts w:ascii="Times New Roman" w:hAnsi="Times New Roman"/>
          <w:sz w:val="20"/>
        </w:rPr>
      </w:pPr>
      <w:r>
        <w:rPr>
          <w:rFonts w:ascii="Times New Roman" w:hAnsi="Times New Roman"/>
          <w:sz w:val="20"/>
        </w:rPr>
        <w:t>7. </w:t>
      </w:r>
      <w:r>
        <w:rPr>
          <w:rFonts w:ascii="Times New Roman" w:hAnsi="Times New Roman"/>
          <w:sz w:val="20"/>
          <w:u w:val="single"/>
        </w:rPr>
        <w:t>Covenants of the Company</w:t>
      </w:r>
      <w:r>
        <w:rPr>
          <w:rFonts w:ascii="Times New Roman" w:hAnsi="Times New Roman"/>
          <w:sz w:val="20"/>
        </w:rPr>
        <w:t xml:space="preserve">. The Company covenants and agrees with TD Cowen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sz w:val="20"/>
        </w:rPr>
        <w:t>provided, however</w:t>
      </w:r>
      <w:r>
        <w:rPr>
          <w:rFonts w:ascii="Times New Roman" w:hAnsi="Times New Roman"/>
          <w:sz w:val="20"/>
        </w:rPr>
        <w:t>, that (x) the failure of TD Cowen to make such request shall not relieve the Company of any obligation or liability hereunder, or affect TD Cowens right to rely on the representations and warranties made by the Company in this Agreement and (y) the only remedy TD Cowen shall have with respect to the failure by the Company to make such filing (other than TD Cowens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hAnsi="Times New Roman"/>
          <w:i/>
          <w:sz w:val="20"/>
        </w:rPr>
        <w:t>provided, however</w:t>
      </w:r>
      <w:r>
        <w:rPr>
          <w:rFonts w:ascii="Times New Roman" w:hAnsi="Times New Roman"/>
          <w:sz w:val="20"/>
        </w:rPr>
        <w:t xml:space="preserve">,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of Commission Stop Orders</w:t>
      </w:r>
      <w:r>
        <w:rPr>
          <w:rFonts w:ascii="Times New Roman" w:hAnsi="Times New Roman"/>
          <w:sz w:val="20"/>
        </w:rPr>
        <w:t xml:space="preserve">.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TD Cowen to resume the offering of Placement Shares.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maintain the listing of the Placement Shares or to cause the Placement Shares to be listed on Nasdaq, as applicable,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sz w:val="20"/>
        </w:rPr>
        <w:t>provided, however,</w:t>
      </w:r>
      <w:r>
        <w:rPr>
          <w:rFonts w:ascii="Times New Roman" w:hAnsi="Times New Roman"/>
          <w:sz w:val="20"/>
        </w:rPr>
        <w:t xml:space="preserve"> that the Company shall not be required in connection therewith to qualify as a foreign corporation or dealer in securities or file a general consent to service of process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TD Cowen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provided that the Company will be deemed to have furnished such statement to its security holders to the extent it is available on EDGAR.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w:t>
      </w:r>
      <w:r>
        <w:rPr>
          <w:rFonts w:ascii="Times New Roman" w:hAnsi="Times New Roman"/>
          <w:sz w:val="20"/>
          <w:u w:val="single"/>
        </w:rPr>
        <w:t>Section 11</w:t>
      </w:r>
      <w:r>
        <w:rPr>
          <w:rFonts w:ascii="Times New Roman" w:hAnsi="Times New Roman"/>
          <w:sz w:val="20"/>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sz w:val="20"/>
          <w:u w:val="single"/>
        </w:rPr>
        <w:t>Section 7(d)</w:t>
      </w:r>
      <w:r>
        <w:rPr>
          <w:rFonts w:ascii="Times New Roman" w:hAnsi="Times New Roman"/>
          <w:sz w:val="20"/>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 such legal expense reimbursement not to exceed $10,000 and, (viii) the reasonable fees and disbursements of TD Cowens counsel in amounts not to exceed (A) $75,000 in connection with execution of this Agreement and (B) $25,000 in connection with each Bring-Down Date with respect to which the Company is obligated to deliver a certificate pursuant to </w:t>
      </w:r>
      <w:r>
        <w:rPr>
          <w:rFonts w:ascii="Times New Roman" w:hAnsi="Times New Roman"/>
          <w:sz w:val="20"/>
          <w:u w:val="single"/>
        </w:rPr>
        <w:t>Section 7(m)</w:t>
      </w:r>
      <w:r>
        <w:rPr>
          <w:rFonts w:ascii="Times New Roman" w:hAnsi="Times New Roman"/>
          <w:sz w:val="20"/>
        </w:rPr>
        <w:t xml:space="preserve">, for which no waiver is applicable. </w:t>
      </w:r>
    </w:p>
    <w:p>
      <w:pPr>
        <w:pStyle w:val="TextBody"/>
        <w:bidi w:val="0"/>
        <w:spacing w:before="120" w:after="0"/>
        <w:jc w:val="left"/>
        <w:rPr>
          <w:rFonts w:ascii="Times New Roman" w:hAnsi="Times New Roman"/>
          <w:sz w:val="20"/>
        </w:rPr>
      </w:pPr>
      <w:r>
        <w:rPr>
          <w:rFonts w:ascii="Times New Roman" w:hAnsi="Times New Roman"/>
          <w:sz w:val="20"/>
        </w:rPr>
        <w:t>(h)</w:t>
      </w:r>
      <w:r>
        <w:rPr>
          <w:rFonts w:ascii="Times New Roman" w:hAnsi="Times New Roman"/>
          <w:sz w:val="20"/>
          <w:u w:val="single"/>
        </w:rPr>
        <w:t> 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w:t>
      </w:r>
      <w:r>
        <w:rPr>
          <w:rFonts w:ascii="Times New Roman" w:hAnsi="Times New Roman"/>
          <w:sz w:val="20"/>
          <w:u w:val="single"/>
        </w:rPr>
        <w:t> Notice of Other Sales</w:t>
      </w:r>
      <w:r>
        <w:rPr>
          <w:rFonts w:ascii="Times New Roman" w:hAnsi="Times New Roman"/>
          <w:sz w:val="20"/>
        </w:rPr>
        <w:t xml:space="preserve">. During the pendency of any Placement Notice given hereunder, and for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hAnsi="Times New Roman"/>
          <w:i/>
          <w:sz w:val="20"/>
        </w:rPr>
        <w:t>provided</w:t>
      </w:r>
      <w:r>
        <w:rPr>
          <w:rFonts w:ascii="Times New Roman" w:hAnsi="Times New Roman"/>
          <w:sz w:val="20"/>
        </w:rPr>
        <w:t xml:space="preserve">,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sale or purchase of assets, licensing agreement, joint venture or other collaboration or strategic transaction (including the filing of a registration statement on Form S-4 or other appropriate form with respect thereto), (iii) the issuance or sale of Common Stock pursuant to any dividend reinvestment plan that the Company may adopt from time to time provided the implementation of such is disclosed to TD Cowen in advance, (iv) any shares of common stock issuable upon the exchange, conversion or redemption of securities or the exercise of warrants, options or other rights in effect or outstanding or (v) adoption of a new equity incentive plan (including employee stock purchase plan), and filing of a registration statement on Form S-8 under the Securities Act to register the offer and sale of securities to be issued pursuant to such new equity incentive plan, and issuance of securities pursuant to such new equity incentive plan (including, without limitation, the issuance of shares of Common Stock upon the exercise of options or other securities issued pursuant to such new equity incentive plan), </w:t>
      </w:r>
      <w:r>
        <w:rPr>
          <w:rFonts w:ascii="Times New Roman" w:hAnsi="Times New Roman"/>
          <w:i/>
          <w:sz w:val="20"/>
        </w:rPr>
        <w:t>provided</w:t>
      </w:r>
      <w:r>
        <w:rPr>
          <w:rFonts w:ascii="Times New Roman" w:hAnsi="Times New Roman"/>
          <w:sz w:val="20"/>
        </w:rPr>
        <w:t xml:space="preserve"> that such new equity incentive plan satisfies the transaction requirements of General Instruction A.1 of Form S-8 under the Securities Act.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Change of Circumstances</w:t>
      </w:r>
      <w:r>
        <w:rPr>
          <w:rFonts w:ascii="Times New Roman" w:hAnsi="Times New Roman"/>
          <w:sz w:val="20"/>
        </w:rPr>
        <w:t xml:space="preserve">.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Due Diligence Cooperation</w:t>
      </w:r>
      <w:r>
        <w:rPr>
          <w:rFonts w:ascii="Times New Roman" w:hAnsi="Times New Roman"/>
          <w:sz w:val="20"/>
        </w:rPr>
        <w:t xml:space="preserve">.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Required Filings Relating to Placement of Placement Shares</w:t>
      </w:r>
      <w:r>
        <w:rPr>
          <w:rFonts w:ascii="Times New Roman" w:hAnsi="Times New Roman"/>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hAnsi="Times New Roman"/>
          <w:b/>
          <w:sz w:val="20"/>
          <w:u w:val="single"/>
        </w:rPr>
        <w:t>Filing Date</w:t>
      </w:r>
      <w:r>
        <w:rPr>
          <w:rFonts w:ascii="Times New Roman" w:hAnsi="Times New Roman"/>
          <w:sz w:val="20"/>
        </w:rPr>
        <w:t xml:space="preserve">),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Bring-Down Dates; Certificate</w:t>
      </w:r>
      <w:r>
        <w:rPr>
          <w:rFonts w:ascii="Times New Roman" w:hAnsi="Times New Roman"/>
          <w:sz w:val="20"/>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hAnsi="Times New Roman"/>
          <w:sz w:val="20"/>
          <w:u w:val="single"/>
        </w:rPr>
        <w:t>Section 7(l)</w:t>
      </w:r>
      <w:r>
        <w:rPr>
          <w:rFonts w:ascii="Times New Roman" w:hAnsi="Times New Roman"/>
          <w:sz w:val="20"/>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Times New Roman" w:hAnsi="Times New Roman"/>
          <w:b/>
          <w:sz w:val="20"/>
        </w:rPr>
        <w:t></w:t>
      </w:r>
      <w:r>
        <w:rPr>
          <w:rFonts w:ascii="Times New Roman" w:hAnsi="Times New Roman"/>
          <w:b/>
          <w:sz w:val="20"/>
          <w:u w:val="single"/>
        </w:rPr>
        <w:t>Bring-Down Date</w:t>
      </w:r>
      <w:r>
        <w:rPr>
          <w:rFonts w:ascii="Times New Roman" w:hAnsi="Times New Roman"/>
          <w:b/>
          <w:sz w:val="20"/>
        </w:rPr>
        <w:t></w:t>
      </w:r>
      <w:r>
        <w:rPr>
          <w:rFonts w:ascii="Times New Roman" w:hAnsi="Times New Roman"/>
          <w:sz w:val="20"/>
        </w:rPr>
        <w:t xml:space="preserve">); the Company shall furnish TD Cowen with a certificate, in the form attached hereto as </w:t>
      </w:r>
      <w:r>
        <w:rPr>
          <w:rFonts w:ascii="Times New Roman" w:hAnsi="Times New Roman"/>
          <w:sz w:val="20"/>
          <w:u w:val="single"/>
        </w:rPr>
        <w:t>Exhibit 7(m)</w:t>
      </w:r>
      <w:r>
        <w:rPr>
          <w:rFonts w:ascii="Times New Roman" w:hAnsi="Times New Roman"/>
          <w:sz w:val="20"/>
        </w:rPr>
        <w:t xml:space="preserve"> within one (1) Trading Day of any Bring-Down Date if requested by TD Cowen. The requirement to provide a certificate under this </w:t>
      </w:r>
      <w:r>
        <w:rPr>
          <w:rFonts w:ascii="Times New Roman" w:hAnsi="Times New Roman"/>
          <w:sz w:val="20"/>
          <w:u w:val="single"/>
        </w:rPr>
        <w:t>Section 7(m)</w:t>
      </w:r>
      <w:r>
        <w:rPr>
          <w:rFonts w:ascii="Times New Roman" w:hAnsi="Times New Roman"/>
          <w:sz w:val="20"/>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sz w:val="20"/>
          <w:u w:val="single"/>
        </w:rPr>
        <w:t>Section 7(m)</w:t>
      </w:r>
      <w:r>
        <w:rPr>
          <w:rFonts w:ascii="Times New Roman" w:hAnsi="Times New Roman"/>
          <w:sz w:val="20"/>
        </w:rPr>
        <w:t xml:space="preserve">, then before the Company delivers the Placement Notice or TD Cowen sells any Placement Shares, the Company shall provide TD Cowen with a certificate, in the form attached hereto as </w:t>
      </w:r>
      <w:r>
        <w:rPr>
          <w:rFonts w:ascii="Times New Roman" w:hAnsi="Times New Roman"/>
          <w:sz w:val="20"/>
          <w:u w:val="single"/>
        </w:rPr>
        <w:t>Exhibit 7(m)</w:t>
      </w:r>
      <w:r>
        <w:rPr>
          <w:rFonts w:ascii="Times New Roman" w:hAnsi="Times New Roman"/>
          <w:sz w:val="20"/>
        </w:rPr>
        <w:t xml:space="preserve">, dated the date of the Placement Notice.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Legal Opinions</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to be furnished to TD Cowen a written opinion and negative assurance letter of Cooley LLP (</w:t>
      </w:r>
      <w:r>
        <w:rPr>
          <w:rFonts w:ascii="Times New Roman" w:hAnsi="Times New Roman"/>
          <w:b/>
          <w:sz w:val="20"/>
          <w:u w:val="single"/>
        </w:rPr>
        <w:t>Company Counsel</w:t>
      </w:r>
      <w:r>
        <w:rPr>
          <w:rFonts w:ascii="Times New Roman" w:hAnsi="Times New Roman"/>
          <w:sz w:val="20"/>
        </w:rPr>
        <w:t>) and written opinion of Dechert LLP, intellectual property counsel to the Company (</w:t>
      </w:r>
      <w:r>
        <w:rPr>
          <w:rFonts w:ascii="Times New Roman" w:hAnsi="Times New Roman"/>
          <w:b/>
          <w:sz w:val="20"/>
          <w:u w:val="single"/>
        </w:rPr>
        <w:t>Company IP Counsel</w:t>
      </w:r>
      <w:r>
        <w:rPr>
          <w:rFonts w:ascii="Times New Roman" w:hAnsi="Times New Roman"/>
          <w:sz w:val="20"/>
        </w:rPr>
        <w:t xml:space="preserve">), or other counsel satisfactory to TD Cowen, in form and substance satisfactory to TD Cowen and its counsel, dated the date that the opinion is required to be delivered, in form and substance reasonably satisfactory to TD Cowen and its counsel;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lieu of such opinions for subsequent Bring-Down Dates, Company Counsel and Company IP Counsel, as applicable, may furnish TD Cowen with a letter (a </w:t>
      </w:r>
      <w:r>
        <w:rPr>
          <w:rFonts w:ascii="Times New Roman" w:hAnsi="Times New Roman"/>
          <w:b/>
          <w:sz w:val="20"/>
          <w:u w:val="single"/>
        </w:rPr>
        <w:t>Reliance Letter</w:t>
      </w:r>
      <w:r>
        <w:rPr>
          <w:rFonts w:ascii="Times New Roman" w:hAnsi="Times New Roman"/>
          <w:sz w:val="20"/>
        </w:rPr>
        <w:t xml:space="preserve">) to the effect that TD Cowen may rely on a prior opinion delivered under this </w:t>
      </w:r>
      <w:r>
        <w:rPr>
          <w:rFonts w:ascii="Times New Roman" w:hAnsi="Times New Roman"/>
          <w:sz w:val="20"/>
          <w:u w:val="single"/>
        </w:rPr>
        <w:t>Section 7(n)</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Comfort Letter</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its independent accountants to furnish TD Cowen letters (the </w:t>
      </w:r>
      <w:r>
        <w:rPr>
          <w:rFonts w:ascii="Times New Roman" w:hAnsi="Times New Roman"/>
          <w:b/>
          <w:sz w:val="20"/>
        </w:rPr>
        <w:t></w:t>
      </w:r>
      <w:r>
        <w:rPr>
          <w:rFonts w:ascii="Times New Roman" w:hAnsi="Times New Roman"/>
          <w:b/>
          <w:sz w:val="20"/>
          <w:u w:val="single"/>
        </w:rPr>
        <w:t>Comfort Letters</w:t>
      </w:r>
      <w:r>
        <w:rPr>
          <w:rFonts w:ascii="Times New Roman" w:hAnsi="Times New Roman"/>
          <w:b/>
          <w:sz w:val="20"/>
        </w:rPr>
        <w:t></w:t>
      </w:r>
      <w:r>
        <w:rPr>
          <w:rFonts w:ascii="Times New Roman" w:hAnsi="Times New Roman"/>
          <w:sz w:val="20"/>
        </w:rPr>
        <w:t xml:space="preserve">), dated the date the Comfort Letter is delivered, in form and substance satisfactory to TD Cowen, (i) confirming that they are an independent registered public accounting firm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hAnsi="Times New Roman"/>
          <w:b/>
          <w:sz w:val="20"/>
        </w:rPr>
        <w:t></w:t>
      </w:r>
      <w:r>
        <w:rPr>
          <w:rFonts w:ascii="Times New Roman" w:hAnsi="Times New Roman"/>
          <w:b/>
          <w:sz w:val="20"/>
          <w:u w:val="single"/>
        </w:rPr>
        <w:t>Initial Comfort Letter</w:t>
      </w:r>
      <w:r>
        <w:rPr>
          <w:rFonts w:ascii="Times New Roman" w:hAnsi="Times New Roman"/>
          <w:b/>
          <w:sz w:val="20"/>
        </w:rPr>
        <w:t></w:t>
      </w:r>
      <w:r>
        <w:rPr>
          <w:rFonts w:ascii="Times New Roman" w:hAnsi="Times New Roman"/>
          <w:sz w:val="20"/>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240" w:after="0"/>
        <w:jc w:val="left"/>
        <w:rPr>
          <w:rFonts w:ascii="Times New Roman" w:hAnsi="Times New Roman"/>
          <w:sz w:val="20"/>
        </w:rPr>
      </w:pPr>
      <w:r>
        <w:rPr>
          <w:rFonts w:ascii="Times New Roman" w:hAnsi="Times New Roman"/>
          <w:sz w:val="20"/>
        </w:rPr>
        <w:t>(p)</w:t>
      </w:r>
      <w:r>
        <w:rPr>
          <w:rFonts w:ascii="Times New Roman" w:hAnsi="Times New Roman"/>
          <w:sz w:val="20"/>
          <w:u w:val="single"/>
        </w:rPr>
        <w:t> Market Activities</w:t>
      </w:r>
      <w:r>
        <w:rPr>
          <w:rFonts w:ascii="Times New Roman" w:hAnsi="Times New Roman"/>
          <w:sz w:val="20"/>
        </w:rPr>
        <w:t xml:space="preserve">.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Placement Shares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Securities Act and Exchange Act</w:t>
      </w:r>
      <w:r>
        <w:rPr>
          <w:rFonts w:ascii="Times New Roman" w:hAnsi="Times New Roman"/>
          <w:sz w:val="20"/>
        </w:rPr>
        <w:t xml:space="preserve">.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 Offer to Sell</w:t>
      </w:r>
      <w:r>
        <w:rPr>
          <w:rFonts w:ascii="Times New Roman" w:hAnsi="Times New Roman"/>
          <w:sz w:val="20"/>
        </w:rPr>
        <w:t xml:space="preserve">.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Sarbanes-Oxley Act</w:t>
      </w:r>
      <w:r>
        <w:rPr>
          <w:rFonts w:ascii="Times New Roman" w:hAnsi="Times New Roman"/>
          <w:sz w:val="20"/>
        </w:rPr>
        <w:t xml:space="preserve">. The Company and its subsidiaries will use their best efforts to comply with all effective applicable provisions of the Sarbanes-Oxley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w:t>
      </w:r>
      <w:r>
        <w:rPr>
          <w:rFonts w:ascii="Times New Roman" w:hAnsi="Times New Roman"/>
          <w:sz w:val="20"/>
          <w:u w:val="single"/>
        </w:rPr>
        <w:t> Affirmation</w:t>
      </w:r>
      <w:r>
        <w:rPr>
          <w:rFonts w:ascii="Times New Roman" w:hAnsi="Times New Roman"/>
          <w:sz w:val="20"/>
        </w:rPr>
        <w:t xml:space="preserve">.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w:t>
      </w:r>
    </w:p>
    <w:p>
      <w:pPr>
        <w:pStyle w:val="TextBody"/>
        <w:bidi w:val="0"/>
        <w:spacing w:before="240" w:after="0"/>
        <w:jc w:val="left"/>
        <w:rPr>
          <w:rFonts w:ascii="Times New Roman" w:hAnsi="Times New Roman"/>
          <w:sz w:val="20"/>
        </w:rPr>
      </w:pPr>
      <w:r>
        <w:rPr>
          <w:rFonts w:ascii="Times New Roman" w:hAnsi="Times New Roman"/>
          <w:sz w:val="20"/>
          <w:u w:val="single"/>
        </w:rPr>
        <w:t>Renewal</w:t>
      </w:r>
      <w:r>
        <w:rPr>
          <w:rFonts w:ascii="Times New Roman" w:hAnsi="Times New Roman"/>
          <w:sz w:val="20"/>
        </w:rPr>
        <w:t>. If immediately prior to the third anniversary (the </w:t>
      </w:r>
      <w:r>
        <w:rPr>
          <w:rFonts w:ascii="Times New Roman" w:hAnsi="Times New Roman"/>
          <w:b/>
          <w:sz w:val="20"/>
          <w:u w:val="single"/>
        </w:rPr>
        <w:t>Renewal Deadline</w:t>
      </w:r>
      <w:r>
        <w:rPr>
          <w:rFonts w:ascii="Times New Roman" w:hAnsi="Times New Roman"/>
          <w:sz w:val="20"/>
        </w:rPr>
        <w:t xml:space="preserve">) of the initial effective date of the Registration Statement, the aggregate gross sales price of Placement Shares sold by the Company is less than the Maximum Amount and this Agreement has not expired or been terminated, the Company will, in its sole discretion,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 </w:t>
      </w:r>
    </w:p>
    <w:p>
      <w:pPr>
        <w:pStyle w:val="TextBody"/>
        <w:bidi w:val="0"/>
        <w:spacing w:before="240" w:after="0"/>
        <w:jc w:val="left"/>
        <w:rPr>
          <w:rFonts w:ascii="Times New Roman" w:hAnsi="Times New Roman"/>
          <w:sz w:val="20"/>
        </w:rPr>
      </w:pPr>
      <w:r>
        <w:rPr>
          <w:rFonts w:ascii="Times New Roman" w:hAnsi="Times New Roman"/>
          <w:sz w:val="20"/>
          <w:u w:val="single"/>
        </w:rPr>
        <w:t>(y) Ineligible Issuer</w:t>
      </w:r>
      <w:r>
        <w:rPr>
          <w:rFonts w:ascii="Times New Roman" w:hAnsi="Times New Roman"/>
          <w:sz w:val="20"/>
        </w:rPr>
        <w:t xml:space="preserve">. The Company agrees to notify TD Cowen promptly upon the Company becoming an ineligible issuer.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Conditions to TD Cowens Obligations</w:t>
      </w:r>
      <w:r>
        <w:rPr>
          <w:rFonts w:ascii="Times New Roman" w:hAnsi="Times New Roman"/>
          <w:sz w:val="20"/>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(i) all sales of Placement Shares issued pursuant to all prior Placement Notices and (ii) the sale of all Placement Shares contemplated to be issued pursuant to any Placement Notice.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Misstatement or Material Omission</w:t>
      </w:r>
      <w:r>
        <w:rPr>
          <w:rFonts w:ascii="Times New Roman" w:hAnsi="Times New Roman"/>
          <w:sz w:val="20"/>
        </w:rPr>
        <w:t xml:space="preserve">. TD Cowen shall not have advised the Company that the Registration Statement or Prospectus, or any amendment or supplement thereto, contains an untrue statement of fact that in TD Cowens reasonable opinion, in consultation with outside counsel, is material, or omits to state a fact that in TD Cowens opinion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Counsel Legal Opinion</w:t>
      </w:r>
      <w:r>
        <w:rPr>
          <w:rFonts w:ascii="Times New Roman" w:hAnsi="Times New Roman"/>
          <w:sz w:val="20"/>
        </w:rPr>
        <w:t xml:space="preserve">. TD Cowen shall have received the opinions of Company Counsel and Company IP Counsel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opinion is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TD Cowen Counsel Legal Opinion</w:t>
      </w:r>
      <w:r>
        <w:rPr>
          <w:rFonts w:ascii="Times New Roman" w:hAnsi="Times New Roman"/>
          <w:sz w:val="20"/>
        </w:rPr>
        <w:t xml:space="preserve">. TD Cowen shall have received from Mintz, Levin, Cohn, Ferris, Glovsky and Popeo, P.C., counsel for TD Cowen, such opinion or opinions, on or before the date on which the delivery of the Company Counsel legal opinion is required pursuant to </w:t>
      </w:r>
      <w:r>
        <w:rPr>
          <w:rFonts w:ascii="Times New Roman" w:hAnsi="Times New Roman"/>
          <w:sz w:val="20"/>
          <w:u w:val="single"/>
        </w:rPr>
        <w:t>Section 7(n)</w:t>
      </w:r>
      <w:r>
        <w:rPr>
          <w:rFonts w:ascii="Times New Roman" w:hAnsi="Times New Roman"/>
          <w:sz w:val="20"/>
        </w:rPr>
        <w:t xml:space="preserve">, with respect to such matters as TD Cowen may reasonably require, and the Company shall have furnished to such counsel such documents as they request for enabling them to pass upon such matters.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Comfort Letter</w:t>
      </w:r>
      <w:r>
        <w:rPr>
          <w:rFonts w:ascii="Times New Roman" w:hAnsi="Times New Roman"/>
          <w:sz w:val="20"/>
        </w:rPr>
        <w:t xml:space="preserve">. TD Cowen shall have received the Comfort Letter required to be delivered pursuant to </w:t>
      </w:r>
      <w:r>
        <w:rPr>
          <w:rFonts w:ascii="Times New Roman" w:hAnsi="Times New Roman"/>
          <w:sz w:val="20"/>
          <w:u w:val="single"/>
        </w:rPr>
        <w:t>Section 7(o)</w:t>
      </w:r>
      <w:r>
        <w:rPr>
          <w:rFonts w:ascii="Times New Roman" w:hAnsi="Times New Roman"/>
          <w:sz w:val="20"/>
        </w:rPr>
        <w:t xml:space="preserve"> on or before the date on which such delivery of such Comfort Letter is required pursuant to </w:t>
      </w:r>
      <w:r>
        <w:rPr>
          <w:rFonts w:ascii="Times New Roman" w:hAnsi="Times New Roman"/>
          <w:sz w:val="20"/>
          <w:u w:val="single"/>
        </w:rPr>
        <w:t>Section 7(o)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Representation Certificate</w:t>
      </w:r>
      <w:r>
        <w:rPr>
          <w:rFonts w:ascii="Times New Roman" w:hAnsi="Times New Roman"/>
          <w:sz w:val="20"/>
        </w:rPr>
        <w:t xml:space="preserve">. TD Cowen shall have received the certificate required to be delivered pursuant to </w:t>
      </w:r>
      <w:r>
        <w:rPr>
          <w:rFonts w:ascii="Times New Roman" w:hAnsi="Times New Roman"/>
          <w:sz w:val="20"/>
          <w:u w:val="single"/>
        </w:rPr>
        <w:t>Section 7(m)</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Secretarys Certificate</w:t>
      </w:r>
      <w:r>
        <w:rPr>
          <w:rFonts w:ascii="Times New Roman" w:hAnsi="Times New Roman"/>
          <w:sz w:val="20"/>
        </w:rPr>
        <w:t xml:space="preserve">. On or prior to the First Delivery Date, TD Cowen shall have received a certificate, signed on behalf of the Company by its corporate secretary, in form and substance satisfactory to TD Cowen and its counsel. </w:t>
      </w:r>
    </w:p>
    <w:p>
      <w:pPr>
        <w:pStyle w:val="TextBody"/>
        <w:bidi w:val="0"/>
        <w:spacing w:before="240" w:after="0"/>
        <w:jc w:val="left"/>
        <w:rPr>
          <w:rFonts w:ascii="Times New Roman" w:hAnsi="Times New Roman"/>
          <w:sz w:val="20"/>
        </w:rPr>
      </w:pPr>
      <w:r>
        <w:rPr>
          <w:rFonts w:ascii="Times New Roman" w:hAnsi="Times New Roman"/>
          <w:sz w:val="20"/>
        </w:rPr>
        <w:t>(j)</w:t>
      </w:r>
      <w:r>
        <w:rPr>
          <w:rFonts w:ascii="Times New Roman" w:hAnsi="Times New Roman"/>
          <w:sz w:val="20"/>
          <w:u w:val="single"/>
        </w:rPr>
        <w:t> No Suspension</w:t>
      </w:r>
      <w:r>
        <w:rPr>
          <w:rFonts w:ascii="Times New Roman" w:hAnsi="Times New Roman"/>
          <w:sz w:val="20"/>
        </w:rPr>
        <w:t xml:space="preserve">. Trading in the Common Stock shall not have been suspended on Nasdaq.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7(m)</w:t>
      </w:r>
      <w:r>
        <w:rPr>
          <w:rFonts w:ascii="Times New Roman" w:hAnsi="Times New Roman"/>
          <w:sz w:val="20"/>
        </w:rPr>
        <w:t xml:space="preserve">,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Nasdaq, subject only to notice of issuance, or (ii) the Company shall have filed an application for listing of the Placement Shares on Nasdaq at, or prior to, the issuance of any Placement Notice.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TD Cowen to terminate this Agreement pursuant to </w:t>
      </w:r>
      <w:r>
        <w:rPr>
          <w:rFonts w:ascii="Times New Roman" w:hAnsi="Times New Roman"/>
          <w:sz w:val="20"/>
          <w:u w:val="single"/>
        </w:rPr>
        <w:t>Section 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Indemnification</w:t>
      </w:r>
      <w:r>
        <w:rPr>
          <w:rFonts w:ascii="Times New Roman" w:hAnsi="Times New Roman"/>
          <w:sz w:val="20"/>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hAnsi="Times New Roman"/>
          <w:sz w:val="20"/>
          <w:u w:val="single"/>
        </w:rPr>
        <w:t>Section 9(c)</w:t>
      </w:r>
      <w:r>
        <w:rPr>
          <w:rFonts w:ascii="Times New Roman" w:hAnsi="Times New Roman"/>
          <w:sz w:val="20"/>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fact required to be stated in it or necessary to make the statements in it not misleading 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of the eighth paragraph and the tenth paragraph under the caption Plan of Distribution in the Prospectus. This indemnity agreement will be in addition to any liability that the Company might otherwise have.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TD Cowen Indemnification</w:t>
      </w:r>
      <w:r>
        <w:rPr>
          <w:rFonts w:ascii="Times New Roman" w:hAnsi="Times New Roman"/>
          <w:sz w:val="20"/>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hAnsi="Times New Roman"/>
          <w:sz w:val="20"/>
          <w:u w:val="single"/>
        </w:rPr>
        <w:t>Section 9(a)</w:t>
      </w:r>
      <w:r>
        <w:rPr>
          <w:rFonts w:ascii="Times New Roman" w:hAnsi="Times New Roman"/>
          <w:sz w:val="20"/>
        </w:rPr>
        <w:t xml:space="preserve">,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 xml:space="preserve">Section 9 </w:t>
      </w:r>
      <w:r>
        <w:rPr>
          <w:rFonts w:ascii="Times New Roman" w:hAnsi="Times New Roman"/>
          <w:sz w:val="20"/>
        </w:rPr>
        <w:t xml:space="preserve">will, promptly after receipt of notice of commencement of any action against such party in respect of which a claim is to be made against an indemnifying party or parties under this </w:t>
      </w:r>
      <w:r>
        <w:rPr>
          <w:rFonts w:ascii="Times New Roman" w:hAnsi="Times New Roman"/>
          <w:sz w:val="20"/>
          <w:u w:val="single"/>
        </w:rPr>
        <w:t>Section 9</w:t>
      </w:r>
      <w:r>
        <w:rPr>
          <w:rFonts w:ascii="Times New Roman" w:hAnsi="Times New Roman"/>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9</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9</w:t>
      </w:r>
      <w:r>
        <w:rPr>
          <w:rFonts w:ascii="Times New Roman" w:hAnsi="Times New Roman"/>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9</w:t>
      </w:r>
      <w:r>
        <w:rPr>
          <w:rFonts w:ascii="Times New Roman" w:hAnsi="Times New Roman"/>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9</w:t>
      </w:r>
      <w:r>
        <w:rPr>
          <w:rFonts w:ascii="Times New Roman" w:hAnsi="Times New Roman"/>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sz w:val="20"/>
          <w:u w:val="single"/>
        </w:rPr>
        <w:t>Section 9(d)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9(d)</w:t>
      </w:r>
      <w:r>
        <w:rPr>
          <w:rFonts w:ascii="Times New Roman" w:hAnsi="Times New Roman"/>
          <w:sz w:val="20"/>
        </w:rPr>
        <w:t xml:space="preserve"> shall be deemed to include, for the purpose of this </w:t>
      </w:r>
      <w:r>
        <w:rPr>
          <w:rFonts w:ascii="Times New Roman" w:hAnsi="Times New Roman"/>
          <w:sz w:val="20"/>
          <w:u w:val="single"/>
        </w:rPr>
        <w:t>Section 9(d)</w:t>
      </w:r>
      <w:r>
        <w:rPr>
          <w:rFonts w:ascii="Times New Roman" w:hAnsi="Times New Roman"/>
          <w:sz w:val="20"/>
        </w:rPr>
        <w:t xml:space="preserve">, any legal or other expenses reasonably incurred by such indemnified party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investigating or defending any such action or claim to the extent consistent with </w:t>
      </w:r>
      <w:r>
        <w:rPr>
          <w:rFonts w:ascii="Times New Roman" w:hAnsi="Times New Roman"/>
          <w:sz w:val="20"/>
          <w:u w:val="single"/>
        </w:rPr>
        <w:t>Section 9(c)</w:t>
      </w:r>
      <w:r>
        <w:rPr>
          <w:rFonts w:ascii="Times New Roman" w:hAnsi="Times New Roman"/>
          <w:sz w:val="20"/>
        </w:rPr>
        <w:t xml:space="preserve"> hereof. Notwithstanding the foregoing provisions of this </w:t>
      </w:r>
      <w:r>
        <w:rPr>
          <w:rFonts w:ascii="Times New Roman" w:hAnsi="Times New Roman"/>
          <w:sz w:val="20"/>
          <w:u w:val="single"/>
        </w:rPr>
        <w:t>Section 9(d)</w:t>
      </w:r>
      <w:r>
        <w:rPr>
          <w:rFonts w:ascii="Times New Roman" w:hAnsi="Times New Roman"/>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sz w:val="20"/>
          <w:u w:val="single"/>
        </w:rPr>
        <w:t>Section 9(d)</w:t>
      </w:r>
      <w:r>
        <w:rPr>
          <w:rFonts w:ascii="Times New Roman" w:hAnsi="Times New Roman"/>
          <w:sz w:val="20"/>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9(d)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9(d)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9(c)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9</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(Expenses), </w:t>
      </w:r>
      <w:r>
        <w:rPr>
          <w:rFonts w:ascii="Times New Roman" w:hAnsi="Times New Roman"/>
          <w:sz w:val="20"/>
          <w:u w:val="single"/>
        </w:rPr>
        <w:t>Section 9</w:t>
      </w:r>
      <w:r>
        <w:rPr>
          <w:rFonts w:ascii="Times New Roman" w:hAnsi="Times New Roman"/>
          <w:sz w:val="20"/>
        </w:rPr>
        <w:t xml:space="preserve"> (Indemnification and Contribution), </w:t>
      </w:r>
      <w:r>
        <w:rPr>
          <w:rFonts w:ascii="Times New Roman" w:hAnsi="Times New Roman"/>
          <w:sz w:val="20"/>
          <w:u w:val="single"/>
        </w:rPr>
        <w:t>Section 10</w:t>
      </w:r>
      <w:r>
        <w:rPr>
          <w:rFonts w:ascii="Times New Roman" w:hAnsi="Times New Roman"/>
          <w:sz w:val="20"/>
        </w:rPr>
        <w:t xml:space="preserve"> (Representations and Agreements to Survive Delivery), </w:t>
      </w:r>
      <w:r>
        <w:rPr>
          <w:rFonts w:ascii="Times New Roman" w:hAnsi="Times New Roman"/>
          <w:sz w:val="20"/>
          <w:u w:val="single"/>
        </w:rPr>
        <w:t>Section 16</w:t>
      </w:r>
      <w:r>
        <w:rPr>
          <w:rFonts w:ascii="Times New Roman" w:hAnsi="Times New Roman"/>
          <w:sz w:val="20"/>
        </w:rPr>
        <w:t xml:space="preserve"> (Applicable Law; Consent to Jurisdiction) and </w:t>
      </w:r>
      <w:r>
        <w:rPr>
          <w:rFonts w:ascii="Times New Roman" w:hAnsi="Times New Roman"/>
          <w:sz w:val="20"/>
          <w:u w:val="single"/>
        </w:rPr>
        <w:t>Section 17</w:t>
      </w:r>
      <w:r>
        <w:rPr>
          <w:rFonts w:ascii="Times New Roman" w:hAnsi="Times New Roman"/>
          <w:sz w:val="20"/>
        </w:rPr>
        <w:t xml:space="preserve"> (Waiver of Jury Trial) hereof shall remain in full force and effect notwithstanding such termination. If TD Cowen elects to terminate this Agreement as provided in this </w:t>
      </w:r>
      <w:r>
        <w:rPr>
          <w:rFonts w:ascii="Times New Roman" w:hAnsi="Times New Roman"/>
          <w:sz w:val="20"/>
          <w:u w:val="single"/>
        </w:rPr>
        <w:t>Section 11(a)</w:t>
      </w:r>
      <w:r>
        <w:rPr>
          <w:rFonts w:ascii="Times New Roman" w:hAnsi="Times New Roman"/>
          <w:sz w:val="20"/>
        </w:rPr>
        <w:t xml:space="preserve">, TD Cowen shall provide the required notice as specified in </w:t>
      </w:r>
      <w:r>
        <w:rPr>
          <w:rFonts w:ascii="Times New Roman" w:hAnsi="Times New Roman"/>
          <w:sz w:val="20"/>
          <w:u w:val="single"/>
        </w:rPr>
        <w:t>Section 12</w:t>
      </w:r>
      <w:r>
        <w:rPr>
          <w:rFonts w:ascii="Times New Roman" w:hAnsi="Times New Roman"/>
          <w:sz w:val="20"/>
        </w:rPr>
        <w:t xml:space="preser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Unless earlier terminated pursuant to this </w:t>
      </w:r>
      <w:r>
        <w:rPr>
          <w:rFonts w:ascii="Times New Roman" w:hAnsi="Times New Roman"/>
          <w:sz w:val="20"/>
          <w:u w:val="single"/>
        </w:rPr>
        <w:t>Section 11</w:t>
      </w:r>
      <w:r>
        <w:rPr>
          <w:rFonts w:ascii="Times New Roman" w:hAnsi="Times New Roman"/>
          <w:sz w:val="20"/>
        </w:rPr>
        <w:t xml:space="preserve">, this Agreement shall automatically terminate upon the issuance and sale of all of the Placement Shares through TD Cowen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 or (d)</w:t>
      </w:r>
      <w:r>
        <w:rPr>
          <w:rFonts w:ascii="Times New Roman" w:hAnsi="Times New Roman"/>
          <w:sz w:val="20"/>
        </w:rPr>
        <w:t xml:space="preserve"> above or otherwise by mutual agreement of the parties; </w:t>
      </w:r>
      <w:r>
        <w:rPr>
          <w:rFonts w:ascii="Times New Roman" w:hAnsi="Times New Roman"/>
          <w:i/>
          <w:sz w:val="20"/>
        </w:rPr>
        <w:t xml:space="preserve">provided, however, </w:t>
      </w:r>
      <w:r>
        <w:rPr>
          <w:rFonts w:ascii="Times New Roman" w:hAnsi="Times New Roman"/>
          <w:sz w:val="20"/>
        </w:rPr>
        <w:t xml:space="preserve">that any such termination by mutual agreement shall in all cases be deemed to provide that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Notices</w:t>
      </w:r>
      <w:r>
        <w:rPr>
          <w:rFonts w:ascii="Times New Roman" w:hAnsi="Times New Roman"/>
          <w:sz w:val="20"/>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Attention: Head of Equity Capital Markets, email: CIBLegal@tdsecurities.com; or if sent to the Company, shall be delivered to Tectonic Therapeutic, Inc., 490 Arsenal Way, Suite 210, Watertown, MA 02472, attention: Dan Lochner, email: [***], with a copy to Cooley, attention: Div Gupta and Brandon Fenn, email: dgupta@cooley.com and bfenn@cooley.com. 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sz w:val="20"/>
          <w:u w:val="single"/>
        </w:rPr>
        <w:t>Section 9</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TD Cowen may assign its rights and obligations hereunder to an affiliate of TD Cowen without obtaining the Companys consent.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Entire Agreement; Amendment; Severability</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Applicable Law; Consent to Jurisdiction</w:t>
      </w:r>
      <w:r>
        <w:rPr>
          <w:rFonts w:ascii="Times New Roman" w:hAnsi="Times New Roman"/>
          <w:sz w:val="20"/>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Waiver of Jury Trial</w:t>
      </w:r>
      <w:r>
        <w:rPr>
          <w:rFonts w:ascii="Times New Roman" w:hAnsi="Times New Roman"/>
          <w:sz w:val="20"/>
        </w:rPr>
        <w:t xml:space="preserve">. The Company and TD Cowen each hereby irrevocably waives any right it may have to a trial by jury in respect of any claim based upon or arising out of this Agreement or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Absence of Fiduciary Relationship</w:t>
      </w:r>
      <w:r>
        <w:rPr>
          <w:rFonts w:ascii="Times New Roman" w:hAnsi="Times New Roman"/>
          <w:i/>
          <w:sz w:val="20"/>
        </w:rPr>
        <w:t xml:space="preserve">. </w:t>
      </w:r>
      <w:r>
        <w:rPr>
          <w:rFonts w:ascii="Times New Roman" w:hAnsi="Times New Roman"/>
          <w:sz w:val="20"/>
        </w:rPr>
        <w:t xml:space="preserve">The Company acknowledges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purposes of this Section 20; (a) </w:t>
      </w:r>
      <w:r>
        <w:rPr>
          <w:rFonts w:ascii="Times New Roman" w:hAnsi="Times New Roman"/>
          <w:b/>
          <w:sz w:val="20"/>
          <w:u w:val="single"/>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u w:val="single"/>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u w:val="single"/>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Michael J. Murphy</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Michael J. Murphy</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ACCEPTED as of the date</w:t>
            </w:r>
          </w:p>
          <w:p>
            <w:pPr>
              <w:pStyle w:val="TableContents"/>
              <w:bidi w:val="0"/>
              <w:spacing w:before="0" w:after="20"/>
              <w:jc w:val="left"/>
              <w:rPr>
                <w:rFonts w:ascii="Times New Roman" w:hAnsi="Times New Roman"/>
                <w:b/>
                <w:sz w:val="20"/>
              </w:rPr>
            </w:pPr>
            <w:r>
              <w:rPr>
                <w:rFonts w:ascii="Times New Roman" w:hAnsi="Times New Roman"/>
                <w:b/>
                <w:sz w:val="20"/>
              </w:rPr>
              <w:t>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TECTONIC THERAPEUTIC,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Alise Reicin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Alise Reicin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From:  [     ] </w:t>
      </w:r>
    </w:p>
    <w:p>
      <w:pPr>
        <w:pStyle w:val="TextBody"/>
        <w:bidi w:val="0"/>
        <w:spacing w:before="0" w:after="0"/>
        <w:jc w:val="left"/>
        <w:rPr>
          <w:rFonts w:ascii="Times New Roman" w:hAnsi="Times New Roman"/>
          <w:sz w:val="20"/>
        </w:rPr>
      </w:pPr>
      <w:r>
        <w:rPr>
          <w:rFonts w:ascii="Times New Roman" w:hAnsi="Times New Roman"/>
          <w:sz w:val="20"/>
        </w:rPr>
        <w:t xml:space="preserve">Cc:   [     ] </w:t>
      </w:r>
    </w:p>
    <w:p>
      <w:pPr>
        <w:pStyle w:val="TextBody"/>
        <w:bidi w:val="0"/>
        <w:spacing w:before="0" w:after="0"/>
        <w:jc w:val="left"/>
        <w:rPr>
          <w:rFonts w:ascii="Times New Roman" w:hAnsi="Times New Roman"/>
          <w:sz w:val="20"/>
        </w:rPr>
      </w:pPr>
      <w:r>
        <w:rPr>
          <w:rFonts w:ascii="Times New Roman" w:hAnsi="Times New Roman"/>
          <w:sz w:val="20"/>
        </w:rPr>
        <w:t xml:space="preserve">To:   [     ] </w:t>
      </w:r>
    </w:p>
    <w:p>
      <w:pPr>
        <w:pStyle w:val="TextBody"/>
        <w:bidi w:val="0"/>
        <w:spacing w:before="0" w:after="0"/>
        <w:jc w:val="left"/>
        <w:rPr>
          <w:rFonts w:ascii="Times New Roman" w:hAnsi="Times New Roman"/>
          <w:sz w:val="20"/>
        </w:rPr>
      </w:pPr>
      <w:r>
        <w:rPr>
          <w:rFonts w:ascii="Times New Roman" w:hAnsi="Times New Roman"/>
          <w:sz w:val="20"/>
        </w:rPr>
        <w:t xml:space="preserve">Subject: TD Cowen At the Market OfferingPlacement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240" w:after="0"/>
        <w:jc w:val="left"/>
        <w:rPr>
          <w:rFonts w:ascii="Times New Roman" w:hAnsi="Times New Roman"/>
          <w:sz w:val="20"/>
        </w:rPr>
      </w:pPr>
      <w:r>
        <w:rPr>
          <w:rFonts w:ascii="Times New Roman" w:hAnsi="Times New Roman"/>
          <w:sz w:val="20"/>
        </w:rPr>
        <w:t>Pursuant to the terms and subject to the conditions contained in the Sales Agreement between Tectonic Therapeutic, Inc. (the </w:t>
      </w:r>
      <w:r>
        <w:rPr>
          <w:rFonts w:ascii="Times New Roman" w:hAnsi="Times New Roman"/>
          <w:sz w:val="20"/>
          <w:u w:val="single"/>
        </w:rPr>
        <w:t>Company</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dated July 7, 2025 (the </w:t>
      </w:r>
      <w:r>
        <w:rPr>
          <w:rFonts w:ascii="Times New Roman" w:hAnsi="Times New Roman"/>
          <w:sz w:val="20"/>
          <w:u w:val="single"/>
        </w:rPr>
        <w:t>Agreement</w:t>
      </w:r>
      <w:r>
        <w:rPr>
          <w:rFonts w:ascii="Times New Roman" w:hAnsi="Times New Roman"/>
          <w:sz w:val="20"/>
        </w:rPr>
        <w:t xml:space="preserve">), I hereby request on behalf of the Company that TD Cowen sell up to [ ] shares of the Companys common stock, par value $0.0001 per share, at a minimum market price of $[_] per share. Sales should begin on the date of this Notice and shall continue until [DATE] [all shares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Notice Parties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0"/>
        <w:gridCol w:w="124"/>
        <w:gridCol w:w="8431"/>
      </w:tblGrid>
      <w:tr>
        <w:trPr/>
        <w:tc>
          <w:tcPr>
            <w:tcW w:w="165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Alise Reicin</w:t>
            </w:r>
          </w:p>
        </w:tc>
        <w:tc>
          <w:tcPr>
            <w:tcW w:w="124"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President and Chief Executive Officer</w:t>
            </w:r>
          </w:p>
        </w:tc>
      </w:tr>
      <w:tr>
        <w:trPr>
          <w:trHeight w:val="120" w:hRule="atLeast"/>
        </w:trPr>
        <w:tc>
          <w:tcPr>
            <w:tcW w:w="1650" w:type="dxa"/>
            <w:tcBorders/>
            <w:vAlign w:val="center"/>
          </w:tcPr>
          <w:p>
            <w:pPr>
              <w:pStyle w:val="TableContents"/>
              <w:bidi w:val="0"/>
              <w:spacing w:before="0" w:after="283"/>
              <w:jc w:val="left"/>
              <w:rPr>
                <w:sz w:val="4"/>
                <w:szCs w:val="4"/>
              </w:rPr>
            </w:pPr>
            <w:r>
              <w:rPr>
                <w:sz w:val="4"/>
                <w:szCs w:val="4"/>
              </w:rPr>
            </w:r>
          </w:p>
        </w:tc>
        <w:tc>
          <w:tcPr>
            <w:tcW w:w="8555" w:type="dxa"/>
            <w:gridSpan w:val="2"/>
            <w:tcBorders/>
            <w:vAlign w:val="center"/>
          </w:tcPr>
          <w:p>
            <w:pPr>
              <w:pStyle w:val="TableContents"/>
              <w:bidi w:val="0"/>
              <w:spacing w:before="0" w:after="283"/>
              <w:jc w:val="left"/>
              <w:rPr>
                <w:sz w:val="4"/>
                <w:szCs w:val="4"/>
              </w:rPr>
            </w:pPr>
            <w:r>
              <w:rPr>
                <w:sz w:val="4"/>
                <w:szCs w:val="4"/>
              </w:rPr>
            </w:r>
          </w:p>
        </w:tc>
      </w:tr>
      <w:tr>
        <w:trPr/>
        <w:tc>
          <w:tcPr>
            <w:tcW w:w="1650" w:type="dxa"/>
            <w:tcBorders/>
          </w:tcPr>
          <w:p>
            <w:pPr>
              <w:pStyle w:val="TableContents"/>
              <w:bidi w:val="0"/>
              <w:spacing w:before="0" w:after="283"/>
              <w:jc w:val="left"/>
              <w:rPr/>
            </w:pPr>
            <w:r>
              <w:rPr/>
              <w:t>Daniel Lochner</w:t>
            </w:r>
          </w:p>
        </w:tc>
        <w:tc>
          <w:tcPr>
            <w:tcW w:w="124"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TD Cowen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7"/>
        <w:gridCol w:w="124"/>
        <w:gridCol w:w="8434"/>
      </w:tblGrid>
      <w:tr>
        <w:trPr/>
        <w:tc>
          <w:tcPr>
            <w:tcW w:w="164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34" w:type="dxa"/>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pPr>
            <w:r>
              <w:rPr/>
              <w:t>Michael J. Murphy</w:t>
            </w:r>
          </w:p>
        </w:tc>
        <w:tc>
          <w:tcPr>
            <w:tcW w:w="124"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r>
              <w:rPr/>
              <w:t>Managing Director</w:t>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8558"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pPr>
            <w:r>
              <w:rPr/>
              <w:t>Bill Follis</w:t>
            </w:r>
          </w:p>
        </w:tc>
        <w:tc>
          <w:tcPr>
            <w:tcW w:w="124"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r>
              <w:rPr/>
              <w:t>Managing Director</w:t>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8558"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pPr>
            <w:r>
              <w:rPr/>
              <w:t>Adriano Pierroz</w:t>
            </w:r>
          </w:p>
        </w:tc>
        <w:tc>
          <w:tcPr>
            <w:tcW w:w="124"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r>
              <w:rPr/>
              <w:t>Director</w:t>
            </w:r>
          </w:p>
        </w:tc>
      </w:tr>
      <w:tr>
        <w:trPr>
          <w:trHeight w:val="120" w:hRule="atLeast"/>
        </w:trPr>
        <w:tc>
          <w:tcPr>
            <w:tcW w:w="1647" w:type="dxa"/>
            <w:tcBorders/>
            <w:vAlign w:val="center"/>
          </w:tcPr>
          <w:p>
            <w:pPr>
              <w:pStyle w:val="TableContents"/>
              <w:bidi w:val="0"/>
              <w:spacing w:before="0" w:after="283"/>
              <w:jc w:val="left"/>
              <w:rPr>
                <w:sz w:val="4"/>
                <w:szCs w:val="4"/>
              </w:rPr>
            </w:pPr>
            <w:r>
              <w:rPr>
                <w:sz w:val="4"/>
                <w:szCs w:val="4"/>
              </w:rPr>
            </w:r>
          </w:p>
        </w:tc>
        <w:tc>
          <w:tcPr>
            <w:tcW w:w="8558" w:type="dxa"/>
            <w:gridSpan w:val="2"/>
            <w:tcBorders/>
            <w:vAlign w:val="center"/>
          </w:tcPr>
          <w:p>
            <w:pPr>
              <w:pStyle w:val="TableContents"/>
              <w:bidi w:val="0"/>
              <w:spacing w:before="0" w:after="283"/>
              <w:jc w:val="left"/>
              <w:rPr>
                <w:sz w:val="4"/>
                <w:szCs w:val="4"/>
              </w:rPr>
            </w:pPr>
            <w:r>
              <w:rPr>
                <w:sz w:val="4"/>
                <w:szCs w:val="4"/>
              </w:rPr>
            </w:r>
          </w:p>
        </w:tc>
      </w:tr>
      <w:tr>
        <w:trPr/>
        <w:tc>
          <w:tcPr>
            <w:tcW w:w="1647" w:type="dxa"/>
            <w:tcBorders/>
          </w:tcPr>
          <w:p>
            <w:pPr>
              <w:pStyle w:val="TableContents"/>
              <w:bidi w:val="0"/>
              <w:spacing w:before="0" w:after="283"/>
              <w:jc w:val="left"/>
              <w:rPr/>
            </w:pPr>
            <w:r>
              <w:rPr/>
              <w:t>Megan Sanford</w:t>
            </w:r>
          </w:p>
        </w:tc>
        <w:tc>
          <w:tcPr>
            <w:tcW w:w="124" w:type="dxa"/>
            <w:tcBorders/>
            <w:vAlign w:val="bottom"/>
          </w:tcPr>
          <w:p>
            <w:pPr>
              <w:pStyle w:val="TableContents"/>
              <w:bidi w:val="0"/>
              <w:spacing w:before="0" w:after="283"/>
              <w:jc w:val="left"/>
              <w:rPr/>
            </w:pPr>
            <w:r>
              <w:rPr/>
              <w:t>  </w:t>
            </w:r>
          </w:p>
        </w:tc>
        <w:tc>
          <w:tcPr>
            <w:tcW w:w="8434" w:type="dxa"/>
            <w:tcBorders/>
          </w:tcPr>
          <w:p>
            <w:pPr>
              <w:pStyle w:val="TableContents"/>
              <w:bidi w:val="0"/>
              <w:spacing w:before="0" w:after="283"/>
              <w:jc w:val="left"/>
              <w:rPr/>
            </w:pPr>
            <w:r>
              <w:rPr/>
              <w:t>Analyst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TD Cowen shall be paid compensation up to 3.0 % of the gross proceeds from the sales of Placement Shares pursuant to the terms of this Agreement. </w:t>
      </w:r>
    </w:p>
    <w:p>
      <w:pPr>
        <w:pStyle w:val="TextBody"/>
        <w:bidi w:val="0"/>
        <w:spacing w:before="0" w:after="0"/>
        <w:jc w:val="right"/>
        <w:rPr>
          <w:rFonts w:ascii="Times New Roman" w:hAnsi="Times New Roman"/>
          <w:b/>
          <w:sz w:val="20"/>
        </w:rPr>
      </w:pPr>
      <w:bookmarkStart w:id="31" w:name="d940804dex45.htm"/>
      <w:bookmarkStart w:id="32" w:name="ksd940804dex45"/>
      <w:bookmarkEnd w:id="31"/>
      <w:bookmarkEnd w:id="32"/>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8"/>
        <w:gridCol w:w="115"/>
        <w:gridCol w:w="7635"/>
        <w:gridCol w:w="151"/>
        <w:gridCol w:w="60"/>
        <w:gridCol w:w="593"/>
        <w:gridCol w:w="63"/>
      </w:tblGrid>
      <w:tr>
        <w:trPr/>
        <w:tc>
          <w:tcPr>
            <w:tcW w:w="158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63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63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 of Terms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ISSUE, DESCRIPTION, TERMS, EXECUTION, REGISTRATION AND EXCHANGE OF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and Terms of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Form of Securities and Trustees Certificate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Denominations: Provisions for Payment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Authentications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of Transfer and Exchange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or Stolen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Indenture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Authenticating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Global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SECURITIES AND SINKING FUND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Payment Upon Redemption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Sinking Fund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of Sinking Fund Payments with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Securities for Sinking Fund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Premium and Interest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to Fill Vacancy in Office of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SECURITYHOLDERS LISTS AND REPORTS BY THE COMPANY AND THE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Company to Furnish Trustee Names and Addresses of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Communications With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Company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8"/>
        <w:gridCol w:w="115"/>
        <w:gridCol w:w="7635"/>
        <w:gridCol w:w="151"/>
        <w:gridCol w:w="60"/>
        <w:gridCol w:w="593"/>
        <w:gridCol w:w="63"/>
      </w:tblGrid>
      <w:tr>
        <w:trPr/>
        <w:tc>
          <w:tcPr>
            <w:tcW w:w="1588"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63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763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6</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REMEDIES OF THE TRUSTEE AND SECURITYHOLDERS ON EVENT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Indebtedness and Suits for Enforcement by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Moneys Collected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 Delay or Omission Not 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Control by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to Pay Costs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7</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CONCERNING THE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Certain Duties and Responsibilities of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Trustee Not Responsible for Recitals or Issuance or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May Hold Securities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Moneys Held in Trust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Reliance on Officers Certificate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Corporate Trustee Required; Eligibility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the Company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8</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CONCERNING THE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Action by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Proof of Execution by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Who May be Deemed Owners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Certain Securities Owned by Company Disregarded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Actions Binding on Future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ARTICLE 9</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7750" w:type="dxa"/>
            <w:gridSpan w:val="2"/>
            <w:tcBorders/>
            <w:vAlign w:val="center"/>
          </w:tcPr>
          <w:p>
            <w:pPr>
              <w:pStyle w:val="TableContents"/>
              <w:bidi w:val="0"/>
              <w:spacing w:before="0" w:after="283"/>
              <w:jc w:val="left"/>
              <w:rPr>
                <w:sz w:val="4"/>
                <w:szCs w:val="4"/>
              </w:rPr>
            </w:pPr>
            <w:r>
              <w:rPr>
                <w:sz w:val="4"/>
                <w:szCs w:val="4"/>
              </w:rPr>
            </w:r>
          </w:p>
        </w:tc>
        <w:tc>
          <w:tcPr>
            <w:tcW w:w="867" w:type="dxa"/>
            <w:gridSpan w:val="4"/>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the Consent of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Securityholders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Affected by Supplemental Indentures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5" w:type="dxa"/>
            <w:tcBorders/>
            <w:vAlign w:val="bottom"/>
          </w:tcPr>
          <w:p>
            <w:pPr>
              <w:pStyle w:val="TableContents"/>
              <w:bidi w:val="0"/>
              <w:spacing w:before="0" w:after="283"/>
              <w:jc w:val="left"/>
              <w:rPr/>
            </w:pPr>
            <w:r>
              <w:rPr/>
              <w:t> </w:t>
            </w:r>
          </w:p>
        </w:tc>
        <w:tc>
          <w:tcPr>
            <w:tcW w:w="7635"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Supplemental Indentures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6"/>
        <w:gridCol w:w="116"/>
        <w:gridCol w:w="7557"/>
        <w:gridCol w:w="152"/>
        <w:gridCol w:w="60"/>
        <w:gridCol w:w="600"/>
        <w:gridCol w:w="64"/>
      </w:tblGrid>
      <w:tr>
        <w:trPr/>
        <w:tc>
          <w:tcPr>
            <w:tcW w:w="1656"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55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7557"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ARTICLE 10</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SUCCESSOR ENTITY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Company May Consolidate, Etc.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Successor Entity Substituted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ARTICLE 11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Discharge of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Moneys to be Held in Trust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Moneys Held by Paying Agents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Repayment to Company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ARTICLE 12</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IMMUNITY OF INCORPORATORS, STOCKHOLDERS, OFFICERS AND DIRECTORS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283"/>
              <w:jc w:val="left"/>
              <w:rPr/>
            </w:pPr>
            <w:r>
              <w:rPr/>
              <w:t>ARTICLE 13</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656" w:type="dxa"/>
            <w:tcBorders/>
            <w:vAlign w:val="center"/>
          </w:tcPr>
          <w:p>
            <w:pPr>
              <w:pStyle w:val="TableContents"/>
              <w:bidi w:val="0"/>
              <w:spacing w:before="0" w:after="283"/>
              <w:jc w:val="left"/>
              <w:rPr>
                <w:sz w:val="4"/>
                <w:szCs w:val="4"/>
              </w:rPr>
            </w:pPr>
            <w:r>
              <w:rPr>
                <w:sz w:val="4"/>
                <w:szCs w:val="4"/>
              </w:rPr>
            </w:r>
          </w:p>
        </w:tc>
        <w:tc>
          <w:tcPr>
            <w:tcW w:w="7673"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Effect on Successors and Assigns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Actions by Successor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Surrender of Company Powers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Jury Trial 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Securities as Debt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Certificates and Opinions as to Conditions Precedent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Business Days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Conflict with Trust Indenture Act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656"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16" w:type="dxa"/>
            <w:tcBorders/>
            <w:vAlign w:val="bottom"/>
          </w:tcPr>
          <w:p>
            <w:pPr>
              <w:pStyle w:val="TableContents"/>
              <w:bidi w:val="0"/>
              <w:spacing w:before="0" w:after="283"/>
              <w:jc w:val="left"/>
              <w:rPr/>
            </w:pPr>
            <w:r>
              <w:rPr/>
              <w:t> </w:t>
            </w:r>
          </w:p>
        </w:tc>
        <w:tc>
          <w:tcPr>
            <w:tcW w:w="7557"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20__, among Tectonic Therapeutic, Inc., a Delaware corporation (the </w:t>
      </w:r>
      <w:r>
        <w:rPr>
          <w:rFonts w:ascii="Times New Roman" w:hAnsi="Times New Roman"/>
          <w:b/>
          <w:i/>
          <w:sz w:val="20"/>
        </w:rPr>
        <w:t>Company</w:t>
      </w:r>
      <w:r>
        <w:rPr>
          <w:rFonts w:ascii="Times New Roman" w:hAnsi="Times New Roman"/>
          <w:sz w:val="20"/>
        </w:rPr>
        <w:t>), and [</w:t>
      </w:r>
      <w:r>
        <w:rPr>
          <w:rFonts w:ascii="Times New Roman" w:hAnsi="Times New Roman"/>
          <w:b/>
          <w:sz w:val="20"/>
        </w:rPr>
        <w:t>TRUSTEE</w:t>
      </w:r>
      <w:r>
        <w:rPr>
          <w:rFonts w:ascii="Times New Roman" w:hAnsi="Times New Roman"/>
          <w:sz w:val="20"/>
        </w:rPr>
        <w:t>], as trustee (the </w:t>
      </w:r>
      <w:r>
        <w:rPr>
          <w:rFonts w:ascii="Times New Roman" w:hAnsi="Times New Roman"/>
          <w:b/>
          <w:i/>
          <w:sz w:val="20"/>
        </w:rPr>
        <w:t>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for its lawful corporate purposes, the Company has duly authorized the execution and delivery of this Indenture to provide for the issuance of debt securities (hereinafter referred to as the </w:t>
      </w:r>
      <w:r>
        <w:rPr>
          <w:rFonts w:ascii="Times New Roman" w:hAnsi="Times New Roman"/>
          <w:b/>
          <w:i/>
          <w:sz w:val="20"/>
        </w:rPr>
        <w:t>Securities</w:t>
      </w:r>
      <w:r>
        <w:rPr>
          <w:rFonts w:ascii="Times New Roman" w:hAnsi="Times New Roman"/>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Company</w:t>
      </w:r>
      <w:r>
        <w:rPr>
          <w:rFonts w:ascii="Times New Roman" w:hAnsi="Times New Roman"/>
          <w:sz w:val="20"/>
        </w:rPr>
        <w:t xml:space="preserve"> means Tectonic Therapeutic, Inc., a corporation duly organized and existing under the laws of the State of Delaware, and, subject to the provisions of Article Ten, shall also include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Trustee</w:t>
      </w:r>
      <w:r>
        <w:rPr>
          <w:rFonts w:ascii="Times New Roman" w:hAnsi="Times New Roman"/>
          <w:sz w:val="20"/>
        </w:rPr>
        <w:t> means _________________________, and, subject to the provisions of Article Seven, shall also include its successors and assigns, and, if at any time there is more than one Person acting in such capacity hereunder, </w:t>
      </w:r>
      <w:r>
        <w:rPr>
          <w:rFonts w:ascii="Times New Roman" w:hAnsi="Times New Roman"/>
          <w:b/>
          <w:i/>
          <w:sz w:val="20"/>
        </w:rPr>
        <w:t>Trustee</w:t>
      </w:r>
      <w:r>
        <w:rPr>
          <w:rFonts w:ascii="Times New Roman" w:hAnsi="Times New Roman"/>
          <w:sz w:val="20"/>
        </w:rPr>
        <w:t> shall mean each such Person. The term </w:t>
      </w:r>
      <w:r>
        <w:rPr>
          <w:rFonts w:ascii="Times New Roman" w:hAnsi="Times New Roman"/>
          <w:b/>
          <w:i/>
          <w:sz w:val="20"/>
        </w:rPr>
        <w:t>Trustee</w:t>
      </w:r>
      <w:r>
        <w:rPr>
          <w:rFonts w:ascii="Times New Roman" w:hAnsi="Times New Roman"/>
          <w:sz w:val="20"/>
        </w:rPr>
        <w:t xml:space="preserve"> as used with respect to a particular series of the Securities shall mean the trustee with respect to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maturity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applicability of any guarantees;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whether or not the Securities will be secured or unsecured, and the terms of any secured debt;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whether the Securities rank as senior debt, senior subordinated debt, subordinated debt or any combination thereof, and the terms of any subordination;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the Companys right, if any, to defer the payment of interest and the maximum length of any such deferral period;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the denominations in which the Securities of the series shall be issuable, if other than denominations of one thousand U.S. dollars ($1,000) or any integral multiple thereof;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additions to or changes in the covenants applicable to the series of Securities being issued, including, among others, the consolidation, merger or sale covenant;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additions to or changes in or deletions of the provisions relating to covenant defeasance and legal defeasance;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additions to or changes in the provisions relating to satisfaction and discharge of this Indenture;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additions to or changes in the provisions relating to the modification of this Indenture both with and without the consent of Securityholders of Securities issued under this Indenture;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the currency of payment of Securities if other than U.S. dollars and the manner of determining the equivalent amount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b/>
          <w:sz w:val="20"/>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Any interest on any Security that is payable, but is not punctually paid or duly provided for, on any Interest Payment Date for Securities of the same series (herein called </w:t>
      </w:r>
      <w:r>
        <w:rPr>
          <w:rFonts w:ascii="Times New Roman" w:hAnsi="Times New Roman"/>
          <w:b/>
          <w:i/>
          <w:sz w:val="20"/>
        </w:rPr>
        <w:t>Defaulted Interest</w:t>
      </w:r>
      <w:r>
        <w:rPr>
          <w:rFonts w:ascii="Times New Roman" w:hAnsi="Times New Roman"/>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b/>
          <w:sz w:val="20"/>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xml:space="preserve"> </w:t>
      </w:r>
      <w:r>
        <w:rPr>
          <w:rFonts w:ascii="Times New Roman" w:hAnsi="Times New Roman"/>
          <w:b/>
          <w:sz w:val="20"/>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keep, or cause to be kept, at its office or agency designated for such purpose a register or registers (herein referred to as the </w:t>
      </w:r>
      <w:r>
        <w:rPr>
          <w:rFonts w:ascii="Times New Roman" w:hAnsi="Times New Roman"/>
          <w:b/>
          <w:i/>
          <w:sz w:val="20"/>
        </w:rPr>
        <w:t>Security Register</w:t>
      </w:r>
      <w:r>
        <w:rPr>
          <w:rFonts w:ascii="Times New Roman" w:hAnsi="Times New Roman"/>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 w:hAnsi="Times New Roman"/>
          <w:b/>
          <w:i/>
          <w:sz w:val="20"/>
        </w:rPr>
        <w:t>Security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w:t>
      </w:r>
      <w:r>
        <w:rPr>
          <w:rFonts w:ascii="Times New Roman" w:hAnsi="Times New Roman"/>
          <w:b/>
          <w:sz w:val="20"/>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w:t>
      </w:r>
      <w:r>
        <w:rPr>
          <w:rFonts w:ascii="Times New Roman" w:hAnsi="Times New Roman"/>
          <w:b/>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b/>
          <w:sz w:val="20"/>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r>
        <w:rPr>
          <w:rFonts w:ascii="Times New Roman" w:hAnsi="Times New Roman"/>
          <w:b/>
          <w:sz w:val="20"/>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w:t>
      </w:r>
      <w:r>
        <w:rPr>
          <w:rFonts w:ascii="Times New Roman" w:hAnsi="Times New Roman"/>
          <w:b/>
          <w:sz w:val="20"/>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rPr>
        <w:t>Preservation Of</w:t>
      </w:r>
      <w:r>
        <w:rPr>
          <w:rFonts w:ascii="Times New Roman" w:hAnsi="Times New Roman"/>
          <w:sz w:val="20"/>
        </w:rPr>
        <w:t xml:space="preserve"> </w:t>
      </w:r>
      <w:r>
        <w:rPr>
          <w:rFonts w:ascii="Times New Roman" w:hAnsi="Times New Roman"/>
          <w:b/>
          <w:sz w:val="20"/>
        </w:rPr>
        <w:t>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w:t>
      </w:r>
      <w:r>
        <w:rPr>
          <w:rFonts w:ascii="Times New Roman" w:hAnsi="Times New Roman"/>
          <w:b/>
          <w:sz w:val="20"/>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Trustee shall not be required to give any bond or surety in respect of the performance of its powers or duties hereunder;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The permissive right of the Trustee to do things enumerated in this Indenture shall not be construed as a duty of the Trustee; and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w:t>
      </w:r>
      <w:r>
        <w:rPr>
          <w:rFonts w:ascii="Times New Roman" w:hAnsi="Times New Roman"/>
          <w:b/>
          <w:sz w:val="20"/>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r>
        <w:rPr>
          <w:rFonts w:ascii="Times New Roman" w:hAnsi="Times New Roman"/>
          <w:b/>
          <w:sz w:val="20"/>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t>
      </w:r>
      <w:r>
        <w:rPr>
          <w:rFonts w:ascii="Times New Roman" w:hAnsi="Times New Roman"/>
          <w:b/>
          <w:sz w:val="20"/>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w:t>
      </w:r>
      <w:r>
        <w:rPr>
          <w:rFonts w:ascii="Times New Roman" w:hAnsi="Times New Roman"/>
          <w:b/>
          <w:sz w:val="20"/>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w:t>
      </w:r>
      <w:r>
        <w:rPr>
          <w:rFonts w:ascii="Times New Roman" w:hAnsi="Times New Roman"/>
          <w:b/>
          <w:sz w:val="20"/>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r>
        <w:rPr>
          <w:rFonts w:ascii="Times New Roman" w:hAnsi="Times New Roman"/>
          <w:b/>
          <w:sz w:val="20"/>
        </w:rPr>
        <w:t>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w:t>
      </w:r>
      <w:r>
        <w:rPr>
          <w:rFonts w:ascii="Times New Roman" w:hAnsi="Times New Roman"/>
          <w:b/>
          <w:sz w:val="20"/>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w:t>
      </w:r>
      <w:r>
        <w:rPr>
          <w:rFonts w:ascii="Times New Roman" w:hAnsi="Times New Roman"/>
          <w:b/>
          <w:sz w:val="20"/>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w:t>
      </w:r>
      <w:r>
        <w:rPr>
          <w:rFonts w:ascii="Times New Roman" w:hAnsi="Times New Roman"/>
          <w:b/>
          <w:sz w:val="20"/>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w:t>
      </w:r>
      <w:r>
        <w:rPr>
          <w:rFonts w:ascii="Times New Roman" w:hAnsi="Times New Roman"/>
          <w:b/>
          <w:sz w:val="20"/>
        </w:rPr>
        <w:t>Acceptance of Appointment By</w:t>
      </w:r>
      <w:r>
        <w:rPr>
          <w:rFonts w:ascii="Times New Roman" w:hAnsi="Times New Roman"/>
          <w:sz w:val="20"/>
        </w:rPr>
        <w:t xml:space="preserve"> </w:t>
      </w:r>
      <w:r>
        <w:rPr>
          <w:rFonts w:ascii="Times New Roman" w:hAnsi="Times New Roman"/>
          <w:b/>
          <w:sz w:val="20"/>
        </w:rPr>
        <w:t>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b/>
          <w:sz w:val="20"/>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b/>
          <w:sz w:val="20"/>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b/>
          <w:sz w:val="20"/>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rPr>
        <w:t>Who May be</w:t>
      </w:r>
      <w:r>
        <w:rPr>
          <w:rFonts w:ascii="Times New Roman" w:hAnsi="Times New Roman"/>
          <w:sz w:val="20"/>
        </w:rPr>
        <w:t xml:space="preserve"> </w:t>
      </w:r>
      <w:r>
        <w:rPr>
          <w:rFonts w:ascii="Times New Roman" w:hAnsi="Times New Roman"/>
          <w:b/>
          <w:sz w:val="20"/>
        </w:rPr>
        <w:t>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xml:space="preserve"> </w:t>
      </w:r>
      <w:r>
        <w:rPr>
          <w:rFonts w:ascii="Times New Roman" w:hAnsi="Times New Roman"/>
          <w:b/>
          <w:sz w:val="20"/>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t>
      </w:r>
      <w:r>
        <w:rPr>
          <w:rFonts w:ascii="Times New Roman" w:hAnsi="Times New Roman"/>
          <w:b/>
          <w:sz w:val="20"/>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comply with Article Ten;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make any change that does not adversely affect the rights of any Securityholder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rPr>
        <w:t>Supplemental Indentures With</w:t>
      </w:r>
      <w:r>
        <w:rPr>
          <w:rFonts w:ascii="Times New Roman" w:hAnsi="Times New Roman"/>
          <w:sz w:val="20"/>
        </w:rPr>
        <w:t xml:space="preserve"> </w:t>
      </w:r>
      <w:r>
        <w:rPr>
          <w:rFonts w:ascii="Times New Roman" w:hAnsi="Times New Roman"/>
          <w:b/>
          <w:sz w:val="20"/>
        </w:rPr>
        <w:t>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r>
        <w:rPr>
          <w:rFonts w:ascii="Times New Roman" w:hAnsi="Times New Roman"/>
          <w:b/>
          <w:sz w:val="20"/>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r>
        <w:rPr>
          <w:rFonts w:ascii="Times New Roman" w:hAnsi="Times New Roman"/>
          <w:b/>
          <w:sz w:val="20"/>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t>
      </w:r>
      <w:r>
        <w:rPr>
          <w:rFonts w:ascii="Times New Roman" w:hAnsi="Times New Roman"/>
          <w:b/>
          <w:sz w:val="20"/>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w:t>
      </w:r>
      <w:r>
        <w:rPr>
          <w:rFonts w:ascii="Times New Roman" w:hAnsi="Times New Roman"/>
          <w:b/>
          <w:sz w:val="20"/>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r>
        <w:rPr>
          <w:rFonts w:ascii="Times New Roman" w:hAnsi="Times New Roman"/>
          <w:b/>
          <w:sz w:val="20"/>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r>
        <w:rPr>
          <w:rFonts w:ascii="Times New Roman" w:hAnsi="Times New Roman"/>
          <w:b/>
          <w:sz w:val="20"/>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w:t>
      </w:r>
      <w:r>
        <w:rPr>
          <w:rFonts w:ascii="Times New Roman" w:hAnsi="Times New Roman"/>
          <w:sz w:val="20"/>
        </w:rPr>
        <w:t xml:space="preserve"> </w:t>
      </w:r>
      <w:r>
        <w:rPr>
          <w:rFonts w:ascii="Times New Roman" w:hAnsi="Times New Roman"/>
          <w:b/>
          <w:sz w:val="20"/>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w:t>
      </w:r>
      <w:r>
        <w:rPr>
          <w:rFonts w:ascii="Times New Roman" w:hAnsi="Times New Roman"/>
          <w:b/>
          <w:sz w:val="20"/>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t>
      </w:r>
      <w:r>
        <w:rPr>
          <w:rFonts w:ascii="Times New Roman" w:hAnsi="Times New Roman"/>
          <w:b/>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r>
        <w:rPr>
          <w:rFonts w:ascii="Times New Roman" w:hAnsi="Times New Roman"/>
          <w:b/>
          <w:sz w:val="20"/>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xml:space="preserve"> </w:t>
      </w:r>
      <w:r>
        <w:rPr>
          <w:rFonts w:ascii="Times New Roman" w:hAnsi="Times New Roman"/>
          <w:b/>
          <w:sz w:val="20"/>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w:t>
      </w:r>
      <w:r>
        <w:rPr>
          <w:rFonts w:ascii="Times New Roman" w:hAnsi="Times New Roman"/>
          <w:sz w:val="20"/>
        </w:rPr>
        <w:t xml:space="preserve"> </w:t>
      </w:r>
      <w:r>
        <w:rPr>
          <w:rFonts w:ascii="Times New Roman" w:hAnsi="Times New Roman"/>
          <w:b/>
          <w:sz w:val="20"/>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________________________________.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w:t>
      </w:r>
      <w:r>
        <w:rPr>
          <w:rFonts w:ascii="Times New Roman" w:hAnsi="Times New Roman"/>
          <w:sz w:val="20"/>
        </w:rPr>
        <w:t xml:space="preserve"> </w:t>
      </w:r>
      <w:r>
        <w:rPr>
          <w:rFonts w:ascii="Times New Roman" w:hAnsi="Times New Roman"/>
          <w:b/>
          <w:sz w:val="20"/>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13.06</w:t>
      </w:r>
      <w:r>
        <w:rPr>
          <w:rFonts w:ascii="Times New Roman" w:hAnsi="Times New Roman"/>
          <w:sz w:val="20"/>
        </w:rPr>
        <w:t xml:space="preserve"> </w:t>
      </w:r>
      <w:r>
        <w:rPr>
          <w:rFonts w:ascii="Times New Roman" w:hAnsi="Times New Roman"/>
          <w:b/>
          <w:sz w:val="20"/>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13.07</w:t>
      </w:r>
      <w:r>
        <w:rPr>
          <w:rFonts w:ascii="Times New Roman" w:hAnsi="Times New Roman"/>
          <w:sz w:val="20"/>
        </w:rPr>
        <w:t xml:space="preserve"> </w:t>
      </w:r>
      <w:r>
        <w:rPr>
          <w:rFonts w:ascii="Times New Roman" w:hAnsi="Times New Roman"/>
          <w:b/>
          <w:sz w:val="20"/>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13.08</w:t>
      </w:r>
      <w:r>
        <w:rPr>
          <w:rFonts w:ascii="Times New Roman" w:hAnsi="Times New Roman"/>
          <w:sz w:val="20"/>
        </w:rPr>
        <w:t xml:space="preserve"> </w:t>
      </w:r>
      <w:r>
        <w:rPr>
          <w:rFonts w:ascii="Times New Roman" w:hAnsi="Times New Roman"/>
          <w:b/>
          <w:sz w:val="20"/>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13.09</w:t>
      </w:r>
      <w:r>
        <w:rPr>
          <w:rFonts w:ascii="Times New Roman" w:hAnsi="Times New Roman"/>
          <w:sz w:val="20"/>
        </w:rPr>
        <w:t xml:space="preserve"> </w:t>
      </w:r>
      <w:r>
        <w:rPr>
          <w:rFonts w:ascii="Times New Roman" w:hAnsi="Times New Roman"/>
          <w:b/>
          <w:sz w:val="20"/>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13.11</w:t>
      </w:r>
      <w:r>
        <w:rPr>
          <w:rFonts w:ascii="Times New Roman" w:hAnsi="Times New Roman"/>
          <w:sz w:val="20"/>
        </w:rPr>
        <w:t xml:space="preserve"> </w:t>
      </w:r>
      <w:r>
        <w:rPr>
          <w:rFonts w:ascii="Times New Roman" w:hAnsi="Times New Roman"/>
          <w:b/>
          <w:sz w:val="20"/>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13.12</w:t>
      </w:r>
      <w:r>
        <w:rPr>
          <w:rFonts w:ascii="Times New Roman" w:hAnsi="Times New Roman"/>
          <w:sz w:val="20"/>
        </w:rPr>
        <w:t xml:space="preserve"> </w:t>
      </w:r>
      <w:r>
        <w:rPr>
          <w:rFonts w:ascii="Times New Roman" w:hAnsi="Times New Roman"/>
          <w:b/>
          <w:sz w:val="20"/>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13.13</w:t>
      </w:r>
      <w:r>
        <w:rPr>
          <w:rFonts w:ascii="Times New Roman" w:hAnsi="Times New Roman"/>
          <w:sz w:val="20"/>
        </w:rPr>
        <w:t xml:space="preserve"> </w:t>
      </w:r>
      <w:r>
        <w:rPr>
          <w:rFonts w:ascii="Times New Roman" w:hAnsi="Times New Roman"/>
          <w:b/>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13.14</w:t>
      </w:r>
      <w:r>
        <w:rPr>
          <w:rFonts w:ascii="Times New Roman" w:hAnsi="Times New Roman"/>
          <w:sz w:val="20"/>
        </w:rPr>
        <w:t xml:space="preserve"> </w:t>
      </w:r>
      <w:r>
        <w:rPr>
          <w:rFonts w:ascii="Times New Roman" w:hAnsi="Times New Roman"/>
          <w:b/>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13.15</w:t>
      </w:r>
      <w:r>
        <w:rPr>
          <w:rFonts w:ascii="Times New Roman" w:hAnsi="Times New Roman"/>
          <w:sz w:val="20"/>
        </w:rPr>
        <w:t xml:space="preserve"> </w:t>
      </w:r>
      <w:r>
        <w:rPr>
          <w:rFonts w:ascii="Times New Roman" w:hAnsi="Times New Roman"/>
          <w:b/>
          <w:sz w:val="20"/>
        </w:rPr>
        <w:t>Table of Contents;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55"/>
        <w:gridCol w:w="131"/>
        <w:gridCol w:w="2596"/>
      </w:tblGrid>
      <w:tr>
        <w:trPr/>
        <w:tc>
          <w:tcPr>
            <w:tcW w:w="13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w:t>
            </w:r>
            <w:r>
              <w:rPr>
                <w:b/>
                <w:sz w:val="20"/>
              </w:rPr>
              <w:t>ECTONIC</w:t>
            </w:r>
            <w:r>
              <w:rPr>
                <w:b/>
              </w:rPr>
              <w:t xml:space="preserve"> T</w:t>
            </w:r>
            <w:r>
              <w:rPr>
                <w:b/>
                <w:sz w:val="20"/>
              </w:rPr>
              <w:t>HERAPEUTIC</w:t>
            </w:r>
            <w:r>
              <w:rPr>
                <w:b/>
              </w:rPr>
              <w:t>, I</w:t>
            </w:r>
            <w:r>
              <w:rPr>
                <w:b/>
                <w:sz w:val="20"/>
              </w:rPr>
              <w:t>NC</w:t>
            </w:r>
            <w:r>
              <w:rPr>
                <w:b/>
              </w:rPr>
              <w:t>.</w:t>
            </w:r>
          </w:p>
        </w:tc>
      </w:tr>
      <w:tr>
        <w:trPr>
          <w:trHeight w:val="240" w:hRule="atLeast"/>
        </w:trPr>
        <w:tc>
          <w:tcPr>
            <w:tcW w:w="1355" w:type="dxa"/>
            <w:tcBorders/>
            <w:vAlign w:val="center"/>
          </w:tcPr>
          <w:p>
            <w:pPr>
              <w:pStyle w:val="TableContents"/>
              <w:bidi w:val="0"/>
              <w:spacing w:before="0" w:after="283"/>
              <w:jc w:val="left"/>
              <w:rPr>
                <w:sz w:val="4"/>
                <w:szCs w:val="4"/>
              </w:rPr>
            </w:pPr>
            <w:r>
              <w:rPr>
                <w:sz w:val="4"/>
                <w:szCs w:val="4"/>
              </w:rPr>
            </w:r>
          </w:p>
        </w:tc>
        <w:tc>
          <w:tcPr>
            <w:tcW w:w="2727"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pPr>
            <w:r>
              <w:rPr/>
              <w:t>Name:</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pPr>
            <w:r>
              <w:rPr/>
              <w:t>Title:</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b/>
              </w:rPr>
              <w:t>T</w:t>
            </w:r>
            <w:r>
              <w:rPr>
                <w:b/>
                <w:sz w:val="20"/>
              </w:rPr>
              <w:t>RUSTEE</w:t>
            </w:r>
            <w:r>
              <w:rPr/>
              <w:t>], as Trustee</w:t>
            </w:r>
          </w:p>
        </w:tc>
      </w:tr>
      <w:tr>
        <w:trPr>
          <w:trHeight w:val="240" w:hRule="atLeast"/>
        </w:trPr>
        <w:tc>
          <w:tcPr>
            <w:tcW w:w="1355" w:type="dxa"/>
            <w:tcBorders/>
            <w:vAlign w:val="center"/>
          </w:tcPr>
          <w:p>
            <w:pPr>
              <w:pStyle w:val="TableContents"/>
              <w:bidi w:val="0"/>
              <w:spacing w:before="0" w:after="283"/>
              <w:jc w:val="left"/>
              <w:rPr>
                <w:sz w:val="4"/>
                <w:szCs w:val="4"/>
              </w:rPr>
            </w:pPr>
            <w:r>
              <w:rPr>
                <w:sz w:val="4"/>
                <w:szCs w:val="4"/>
              </w:rPr>
            </w:r>
          </w:p>
        </w:tc>
        <w:tc>
          <w:tcPr>
            <w:tcW w:w="2727"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pPr>
            <w:r>
              <w:rPr/>
              <w:t>Name:</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pPr>
            <w:r>
              <w:rPr/>
              <w:t>Title:</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2596"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0"/>
        <w:gridCol w:w="120"/>
        <w:gridCol w:w="2615"/>
      </w:tblGrid>
      <w:tr>
        <w:trPr/>
        <w:tc>
          <w:tcPr>
            <w:tcW w:w="7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74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120" w:type="dxa"/>
            <w:tcBorders/>
            <w:vAlign w:val="bottom"/>
          </w:tcPr>
          <w:p>
            <w:pPr>
              <w:pStyle w:val="TableContents"/>
              <w:bidi w:val="0"/>
              <w:spacing w:before="0" w:after="283"/>
              <w:jc w:val="left"/>
              <w:rPr/>
            </w:pPr>
            <w:r>
              <w:rPr/>
              <w:t>  </w:t>
            </w:r>
          </w:p>
        </w:tc>
        <w:tc>
          <w:tcPr>
            <w:tcW w:w="26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7470" w:type="dxa"/>
            <w:tcBorders/>
          </w:tcPr>
          <w:p>
            <w:pPr>
              <w:pStyle w:val="TableContents"/>
              <w:bidi w:val="0"/>
              <w:spacing w:before="0" w:after="283"/>
              <w:jc w:val="left"/>
              <w:rPr/>
            </w:pPr>
            <w:r>
              <w:rPr/>
              <w:t>310(a)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7.09</w:t>
            </w:r>
          </w:p>
        </w:tc>
      </w:tr>
      <w:tr>
        <w:trPr/>
        <w:tc>
          <w:tcPr>
            <w:tcW w:w="7470" w:type="dxa"/>
            <w:tcBorders/>
          </w:tcPr>
          <w:p>
            <w:pPr>
              <w:pStyle w:val="TableContents"/>
              <w:bidi w:val="0"/>
              <w:spacing w:before="0" w:after="283"/>
              <w:jc w:val="left"/>
              <w:rPr/>
            </w:pPr>
            <w:r>
              <w:rPr/>
              <w:t>310(b)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7.08</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7.10</w:t>
            </w:r>
          </w:p>
        </w:tc>
      </w:tr>
      <w:tr>
        <w:trPr/>
        <w:tc>
          <w:tcPr>
            <w:tcW w:w="7470" w:type="dxa"/>
            <w:tcBorders/>
          </w:tcPr>
          <w:p>
            <w:pPr>
              <w:pStyle w:val="TableContents"/>
              <w:bidi w:val="0"/>
              <w:spacing w:before="0" w:after="283"/>
              <w:jc w:val="left"/>
              <w:rPr/>
            </w:pPr>
            <w:r>
              <w:rPr/>
              <w:t>310(c)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311(a)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7.13</w:t>
            </w:r>
          </w:p>
        </w:tc>
      </w:tr>
      <w:tr>
        <w:trPr/>
        <w:tc>
          <w:tcPr>
            <w:tcW w:w="7470" w:type="dxa"/>
            <w:tcBorders/>
          </w:tcPr>
          <w:p>
            <w:pPr>
              <w:pStyle w:val="TableContents"/>
              <w:bidi w:val="0"/>
              <w:spacing w:before="0" w:after="283"/>
              <w:jc w:val="left"/>
              <w:rPr/>
            </w:pPr>
            <w:r>
              <w:rPr/>
              <w:t>311(b)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7.13</w:t>
            </w:r>
          </w:p>
        </w:tc>
      </w:tr>
      <w:tr>
        <w:trPr/>
        <w:tc>
          <w:tcPr>
            <w:tcW w:w="7470" w:type="dxa"/>
            <w:tcBorders/>
          </w:tcPr>
          <w:p>
            <w:pPr>
              <w:pStyle w:val="TableContents"/>
              <w:bidi w:val="0"/>
              <w:spacing w:before="0" w:after="283"/>
              <w:jc w:val="left"/>
              <w:rPr/>
            </w:pPr>
            <w:r>
              <w:rPr/>
              <w:t>311(c)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312(a)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5.01</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5.02(a)</w:t>
            </w:r>
          </w:p>
        </w:tc>
      </w:tr>
      <w:tr>
        <w:trPr/>
        <w:tc>
          <w:tcPr>
            <w:tcW w:w="7470" w:type="dxa"/>
            <w:tcBorders/>
          </w:tcPr>
          <w:p>
            <w:pPr>
              <w:pStyle w:val="TableContents"/>
              <w:bidi w:val="0"/>
              <w:spacing w:before="0" w:after="283"/>
              <w:jc w:val="left"/>
              <w:rPr/>
            </w:pPr>
            <w:r>
              <w:rPr/>
              <w:t>312(b)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5.02(c)</w:t>
            </w:r>
          </w:p>
        </w:tc>
      </w:tr>
      <w:tr>
        <w:trPr/>
        <w:tc>
          <w:tcPr>
            <w:tcW w:w="7470" w:type="dxa"/>
            <w:tcBorders/>
          </w:tcPr>
          <w:p>
            <w:pPr>
              <w:pStyle w:val="TableContents"/>
              <w:bidi w:val="0"/>
              <w:spacing w:before="0" w:after="283"/>
              <w:jc w:val="left"/>
              <w:rPr/>
            </w:pPr>
            <w:r>
              <w:rPr/>
              <w:t>312(c)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5.02(c)</w:t>
            </w:r>
          </w:p>
        </w:tc>
      </w:tr>
      <w:tr>
        <w:trPr/>
        <w:tc>
          <w:tcPr>
            <w:tcW w:w="7470" w:type="dxa"/>
            <w:tcBorders/>
          </w:tcPr>
          <w:p>
            <w:pPr>
              <w:pStyle w:val="TableContents"/>
              <w:bidi w:val="0"/>
              <w:spacing w:before="0" w:after="283"/>
              <w:jc w:val="left"/>
              <w:rPr/>
            </w:pPr>
            <w:r>
              <w:rPr/>
              <w:t>313(a)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5.04(a)</w:t>
            </w:r>
          </w:p>
        </w:tc>
      </w:tr>
      <w:tr>
        <w:trPr/>
        <w:tc>
          <w:tcPr>
            <w:tcW w:w="7470" w:type="dxa"/>
            <w:tcBorders/>
          </w:tcPr>
          <w:p>
            <w:pPr>
              <w:pStyle w:val="TableContents"/>
              <w:bidi w:val="0"/>
              <w:spacing w:before="0" w:after="283"/>
              <w:jc w:val="left"/>
              <w:rPr/>
            </w:pPr>
            <w:r>
              <w:rPr/>
              <w:t>313(b)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5.04(b)</w:t>
            </w:r>
          </w:p>
        </w:tc>
      </w:tr>
      <w:tr>
        <w:trPr/>
        <w:tc>
          <w:tcPr>
            <w:tcW w:w="7470" w:type="dxa"/>
            <w:tcBorders/>
          </w:tcPr>
          <w:p>
            <w:pPr>
              <w:pStyle w:val="TableContents"/>
              <w:bidi w:val="0"/>
              <w:spacing w:before="0" w:after="283"/>
              <w:jc w:val="left"/>
              <w:rPr/>
            </w:pPr>
            <w:r>
              <w:rPr/>
              <w:t>313(c)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5.04(a)</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5.04(b)</w:t>
            </w:r>
          </w:p>
        </w:tc>
      </w:tr>
      <w:tr>
        <w:trPr/>
        <w:tc>
          <w:tcPr>
            <w:tcW w:w="7470" w:type="dxa"/>
            <w:tcBorders/>
          </w:tcPr>
          <w:p>
            <w:pPr>
              <w:pStyle w:val="TableContents"/>
              <w:bidi w:val="0"/>
              <w:spacing w:before="0" w:after="283"/>
              <w:jc w:val="left"/>
              <w:rPr/>
            </w:pPr>
            <w:r>
              <w:rPr/>
              <w:t>313(d)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5.04(c)</w:t>
            </w:r>
          </w:p>
        </w:tc>
      </w:tr>
      <w:tr>
        <w:trPr/>
        <w:tc>
          <w:tcPr>
            <w:tcW w:w="7470" w:type="dxa"/>
            <w:tcBorders/>
          </w:tcPr>
          <w:p>
            <w:pPr>
              <w:pStyle w:val="TableContents"/>
              <w:bidi w:val="0"/>
              <w:spacing w:before="0" w:after="283"/>
              <w:jc w:val="left"/>
              <w:rPr/>
            </w:pPr>
            <w:r>
              <w:rPr/>
              <w:t>314(a)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5.03</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13.12</w:t>
            </w:r>
          </w:p>
        </w:tc>
      </w:tr>
      <w:tr>
        <w:trPr/>
        <w:tc>
          <w:tcPr>
            <w:tcW w:w="7470" w:type="dxa"/>
            <w:tcBorders/>
          </w:tcPr>
          <w:p>
            <w:pPr>
              <w:pStyle w:val="TableContents"/>
              <w:bidi w:val="0"/>
              <w:spacing w:before="0" w:after="283"/>
              <w:jc w:val="left"/>
              <w:rPr/>
            </w:pPr>
            <w:r>
              <w:rPr/>
              <w:t>314(b)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314(c)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13.07(a)</w:t>
            </w:r>
          </w:p>
        </w:tc>
      </w:tr>
      <w:tr>
        <w:trPr/>
        <w:tc>
          <w:tcPr>
            <w:tcW w:w="7470" w:type="dxa"/>
            <w:tcBorders/>
          </w:tcPr>
          <w:p>
            <w:pPr>
              <w:pStyle w:val="TableContents"/>
              <w:bidi w:val="0"/>
              <w:spacing w:before="0" w:after="283"/>
              <w:jc w:val="left"/>
              <w:rPr/>
            </w:pPr>
            <w:r>
              <w:rPr/>
              <w:t>314(d)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314(e)</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13.07(b)</w:t>
            </w:r>
          </w:p>
        </w:tc>
      </w:tr>
      <w:tr>
        <w:trPr/>
        <w:tc>
          <w:tcPr>
            <w:tcW w:w="7470" w:type="dxa"/>
            <w:tcBorders/>
          </w:tcPr>
          <w:p>
            <w:pPr>
              <w:pStyle w:val="TableContents"/>
              <w:bidi w:val="0"/>
              <w:spacing w:before="0" w:after="283"/>
              <w:jc w:val="left"/>
              <w:rPr/>
            </w:pPr>
            <w:r>
              <w:rPr/>
              <w:t>314(f)</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315(a)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7.01(a)</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7.01(b)</w:t>
            </w:r>
          </w:p>
        </w:tc>
      </w:tr>
      <w:tr>
        <w:trPr/>
        <w:tc>
          <w:tcPr>
            <w:tcW w:w="7470" w:type="dxa"/>
            <w:tcBorders/>
          </w:tcPr>
          <w:p>
            <w:pPr>
              <w:pStyle w:val="TableContents"/>
              <w:bidi w:val="0"/>
              <w:spacing w:before="0" w:after="283"/>
              <w:jc w:val="left"/>
              <w:rPr/>
            </w:pPr>
            <w:r>
              <w:rPr/>
              <w:t>315(b)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7.14</w:t>
            </w:r>
          </w:p>
        </w:tc>
      </w:tr>
      <w:tr>
        <w:trPr/>
        <w:tc>
          <w:tcPr>
            <w:tcW w:w="7470" w:type="dxa"/>
            <w:tcBorders/>
          </w:tcPr>
          <w:p>
            <w:pPr>
              <w:pStyle w:val="TableContents"/>
              <w:bidi w:val="0"/>
              <w:spacing w:before="0" w:after="283"/>
              <w:jc w:val="left"/>
              <w:rPr/>
            </w:pPr>
            <w:r>
              <w:rPr/>
              <w:t>315(c)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w:t>
            </w:r>
          </w:p>
        </w:tc>
      </w:tr>
      <w:tr>
        <w:trPr/>
        <w:tc>
          <w:tcPr>
            <w:tcW w:w="7470" w:type="dxa"/>
            <w:tcBorders/>
          </w:tcPr>
          <w:p>
            <w:pPr>
              <w:pStyle w:val="TableContents"/>
              <w:bidi w:val="0"/>
              <w:spacing w:before="0" w:after="283"/>
              <w:jc w:val="left"/>
              <w:rPr/>
            </w:pPr>
            <w:r>
              <w:rPr/>
              <w:t>315(d)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7.01(b)</w:t>
            </w:r>
          </w:p>
        </w:tc>
      </w:tr>
      <w:tr>
        <w:trPr/>
        <w:tc>
          <w:tcPr>
            <w:tcW w:w="7470" w:type="dxa"/>
            <w:tcBorders/>
          </w:tcPr>
          <w:p>
            <w:pPr>
              <w:pStyle w:val="TableContents"/>
              <w:bidi w:val="0"/>
              <w:spacing w:before="0" w:after="283"/>
              <w:jc w:val="left"/>
              <w:rPr/>
            </w:pPr>
            <w:r>
              <w:rPr/>
              <w:t>315(e)</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6.07</w:t>
            </w:r>
          </w:p>
        </w:tc>
      </w:tr>
      <w:tr>
        <w:trPr/>
        <w:tc>
          <w:tcPr>
            <w:tcW w:w="7470" w:type="dxa"/>
            <w:tcBorders/>
          </w:tcPr>
          <w:p>
            <w:pPr>
              <w:pStyle w:val="TableContents"/>
              <w:bidi w:val="0"/>
              <w:spacing w:before="0" w:after="283"/>
              <w:jc w:val="left"/>
              <w:rPr/>
            </w:pPr>
            <w:r>
              <w:rPr/>
              <w:t>316(a)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6.06</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8.04</w:t>
            </w:r>
          </w:p>
        </w:tc>
      </w:tr>
      <w:tr>
        <w:trPr/>
        <w:tc>
          <w:tcPr>
            <w:tcW w:w="7470" w:type="dxa"/>
            <w:tcBorders/>
          </w:tcPr>
          <w:p>
            <w:pPr>
              <w:pStyle w:val="TableContents"/>
              <w:bidi w:val="0"/>
              <w:spacing w:before="0" w:after="283"/>
              <w:jc w:val="left"/>
              <w:rPr/>
            </w:pPr>
            <w:r>
              <w:rPr/>
              <w:t>316(b)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6.04</w:t>
            </w:r>
          </w:p>
        </w:tc>
      </w:tr>
      <w:tr>
        <w:trPr/>
        <w:tc>
          <w:tcPr>
            <w:tcW w:w="7470" w:type="dxa"/>
            <w:tcBorders/>
          </w:tcPr>
          <w:p>
            <w:pPr>
              <w:pStyle w:val="TableContents"/>
              <w:bidi w:val="0"/>
              <w:spacing w:before="0" w:after="283"/>
              <w:jc w:val="left"/>
              <w:rPr/>
            </w:pPr>
            <w:r>
              <w:rPr/>
              <w:t>316(c)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8.01</w:t>
            </w:r>
          </w:p>
        </w:tc>
      </w:tr>
      <w:tr>
        <w:trPr/>
        <w:tc>
          <w:tcPr>
            <w:tcW w:w="7470" w:type="dxa"/>
            <w:tcBorders/>
          </w:tcPr>
          <w:p>
            <w:pPr>
              <w:pStyle w:val="TableContents"/>
              <w:bidi w:val="0"/>
              <w:spacing w:before="0" w:after="283"/>
              <w:jc w:val="left"/>
              <w:rPr/>
            </w:pPr>
            <w:r>
              <w:rPr/>
              <w:t>317(a)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6.02</w:t>
            </w:r>
          </w:p>
        </w:tc>
      </w:tr>
      <w:tr>
        <w:trPr/>
        <w:tc>
          <w:tcPr>
            <w:tcW w:w="7470" w:type="dxa"/>
            <w:tcBorders/>
          </w:tcPr>
          <w:p>
            <w:pPr>
              <w:pStyle w:val="TableContents"/>
              <w:bidi w:val="0"/>
              <w:spacing w:before="0" w:after="283"/>
              <w:jc w:val="left"/>
              <w:rPr/>
            </w:pPr>
            <w:r>
              <w:rPr/>
              <w:t>317(b)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4.03</w:t>
            </w:r>
          </w:p>
        </w:tc>
      </w:tr>
      <w:tr>
        <w:trPr/>
        <w:tc>
          <w:tcPr>
            <w:tcW w:w="7470" w:type="dxa"/>
            <w:tcBorders/>
          </w:tcPr>
          <w:p>
            <w:pPr>
              <w:pStyle w:val="TableContents"/>
              <w:bidi w:val="0"/>
              <w:spacing w:before="0" w:after="283"/>
              <w:jc w:val="left"/>
              <w:rPr/>
            </w:pPr>
            <w:r>
              <w:rPr/>
              <w:t>318(a)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right"/>
        <w:rPr>
          <w:rFonts w:ascii="Times New Roman" w:hAnsi="Times New Roman"/>
          <w:b/>
          <w:sz w:val="20"/>
        </w:rPr>
      </w:pPr>
      <w:bookmarkStart w:id="33" w:name="d940804dex48.htm"/>
      <w:bookmarkStart w:id="34" w:name="ksd940804dex48"/>
      <w:bookmarkEnd w:id="33"/>
      <w:bookmarkEnd w:id="34"/>
      <w:r>
        <w:rPr>
          <w:rFonts w:ascii="Times New Roman" w:hAnsi="Times New Roman"/>
          <w:b/>
          <w:sz w:val="20"/>
        </w:rPr>
        <w:t xml:space="preserve">Exhibit 4.8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pPr>
      <w:r>
        <w:rPr>
          <w:u w:val="single"/>
        </w:rPr>
        <w:t>     </w:t>
      </w:r>
      <w:r>
        <w:rPr>
          <w:rFonts w:ascii="Times New Roman" w:hAnsi="Times New Roman"/>
          <w:b/>
          <w:sz w:val="20"/>
        </w:rPr>
        <w:t xml:space="preserve">,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r>
        <w:rPr>
          <w:rFonts w:ascii="Times New Roman" w:hAnsi="Times New Roman"/>
          <w:b/>
          <w:sz w:val="20"/>
          <w:u w:val="single"/>
        </w:rPr>
        <w:t>     </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COMMON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COMMON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TECTONIC THERAPEUTIC,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[If Warrants are sold with other securities [title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Common Stock of the Company, par value $0.0001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Common Stock (or any shares of stock or other securities at the time receivable upon the exercise of the Warrants) shall have received or become entitled to receive, without payment therefor,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share of Common Stock.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Market Price</w:t>
      </w:r>
      <w:r>
        <w:rPr>
          <w:rFonts w:ascii="Times New Roman" w:hAnsi="Times New Roman"/>
          <w:sz w:val="20"/>
        </w:rPr>
        <w:t xml:space="preserve">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 xml:space="preserve">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Tectonic Therapeutic, Inc., 490 Arsenal Way, Suite 210, Watertown, MA 02472, Attention: Secretary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55"/>
        <w:gridCol w:w="92"/>
        <w:gridCol w:w="2435"/>
      </w:tblGrid>
      <w:tr>
        <w:trPr/>
        <w:tc>
          <w:tcPr>
            <w:tcW w:w="15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TECTONIC THERAPEUTIC, INC.,</w:t>
            </w:r>
            <w:r>
              <w:rPr>
                <w:rFonts w:ascii="Times New Roman" w:hAnsi="Times New Roman"/>
                <w:sz w:val="20"/>
              </w:rPr>
              <w:t xml:space="preserve"> as Company</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Name: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Title: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pPr>
            <w:r>
              <w:rPr>
                <w:b/>
              </w:rPr>
              <w:t>A</w:t>
            </w:r>
            <w:r>
              <w:rPr>
                <w:b/>
                <w:sz w:val="20"/>
              </w:rPr>
              <w:t>TTEST</w:t>
            </w:r>
            <w:r>
              <w:rPr>
                <w:b/>
              </w:rPr>
              <w:t>:</w:t>
            </w:r>
            <w:r>
              <w:rPr/>
              <w:t> </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sz w:val="4"/>
                <w:szCs w:val="4"/>
              </w:rPr>
            </w:pPr>
            <w:r>
              <w:rPr>
                <w:sz w:val="4"/>
                <w:szCs w:val="4"/>
              </w:rPr>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Name: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Title: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b/>
              </w:rPr>
            </w:pPr>
            <w:r>
              <w:rPr>
                <w:b/>
              </w:rPr>
              <w:t>A</w:t>
            </w:r>
            <w:r>
              <w:rPr>
                <w:b/>
                <w:sz w:val="20"/>
              </w:rPr>
              <w:t>TTEST</w:t>
            </w:r>
            <w:r>
              <w:rPr>
                <w:b/>
              </w:rPr>
              <w:t>:</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sz w:val="4"/>
                <w:szCs w:val="4"/>
              </w:rPr>
            </w:pPr>
            <w:r>
              <w:rPr>
                <w:sz w:val="4"/>
                <w:szCs w:val="4"/>
              </w:rPr>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TECTONIC THERAPEUTIC, INC. COMMON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Common Stock, par value $0.0001 per share (the </w:t>
      </w:r>
      <w:r>
        <w:rPr>
          <w:rFonts w:ascii="Times New Roman" w:hAnsi="Times New Roman"/>
          <w:b/>
          <w:i/>
          <w:sz w:val="20"/>
        </w:rPr>
        <w:t>Warrant Securities</w:t>
      </w:r>
      <w:r>
        <w:rPr>
          <w:rFonts w:ascii="Times New Roman" w:hAnsi="Times New Roman"/>
          <w:sz w:val="20"/>
        </w:rPr>
        <w:t>), of Tectonic Therapeutic,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Dated:</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u w:val="single"/>
              </w:rPr>
            </w:pPr>
            <w:r>
              <w:rPr>
                <w:u w:val="single"/>
              </w:rPr>
              <w:t>     </w:t>
            </w:r>
          </w:p>
        </w:tc>
      </w:tr>
    </w:tbl>
    <w:tbl>
      <w:tblPr>
        <w:tblW w:w="2000" w:type="pct"/>
        <w:jc w:val="left"/>
        <w:tblInd w:w="0" w:type="dxa"/>
        <w:tblLayout w:type="fixed"/>
        <w:tblCellMar>
          <w:top w:w="0" w:type="dxa"/>
          <w:left w:w="0" w:type="dxa"/>
          <w:bottom w:w="0" w:type="dxa"/>
          <w:right w:w="0" w:type="dxa"/>
        </w:tblCellMar>
      </w:tblPr>
      <w:tblGrid>
        <w:gridCol w:w="1575"/>
        <w:gridCol w:w="83"/>
        <w:gridCol w:w="2424"/>
      </w:tblGrid>
      <w:tr>
        <w:trPr/>
        <w:tc>
          <w:tcPr>
            <w:tcW w:w="15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TECTONIC THERAPEUTIC, INC.</w:t>
            </w:r>
            <w:r>
              <w:rPr>
                <w:rFonts w:ascii="Times New Roman" w:hAnsi="Times New Roman"/>
                <w:sz w:val="20"/>
              </w:rPr>
              <w:t>, as Company</w:t>
            </w:r>
          </w:p>
        </w:tc>
      </w:tr>
      <w:tr>
        <w:trPr>
          <w:trHeight w:val="240" w:hRule="atLeast"/>
        </w:trPr>
        <w:tc>
          <w:tcPr>
            <w:tcW w:w="1575"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75"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283"/>
              <w:jc w:val="left"/>
              <w:rPr/>
            </w:pPr>
            <w:r>
              <w:rPr>
                <w:b/>
              </w:rPr>
              <w:t>ATTEST:</w:t>
            </w:r>
            <w:r>
              <w:rPr/>
              <w:t> </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575"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75" w:type="dxa"/>
            <w:tcBorders/>
            <w:vAlign w:val="center"/>
          </w:tcPr>
          <w:p>
            <w:pPr>
              <w:pStyle w:val="TableContents"/>
              <w:bidi w:val="0"/>
              <w:spacing w:before="0" w:after="283"/>
              <w:jc w:val="left"/>
              <w:rPr>
                <w:sz w:val="4"/>
                <w:szCs w:val="4"/>
              </w:rPr>
            </w:pPr>
            <w:r>
              <w:rPr>
                <w:sz w:val="4"/>
                <w:szCs w:val="4"/>
              </w:rPr>
            </w:r>
          </w:p>
        </w:tc>
        <w:tc>
          <w:tcPr>
            <w:tcW w:w="2507" w:type="dxa"/>
            <w:gridSpan w:val="2"/>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283"/>
              <w:jc w:val="left"/>
              <w:rPr/>
            </w:pPr>
            <w:r>
              <w:rPr>
                <w:b/>
              </w:rPr>
              <w:t>ATTEST:</w:t>
            </w:r>
            <w:r>
              <w:rPr/>
              <w:t> </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r>
        <w:trPr/>
        <w:tc>
          <w:tcPr>
            <w:tcW w:w="1575" w:type="dxa"/>
            <w:tcBorders/>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424"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irrevocably elects to exercise </w:t>
      </w:r>
      <w:r>
        <w:rPr>
          <w:rFonts w:ascii="Times New Roman" w:hAnsi="Times New Roman"/>
          <w:sz w:val="20"/>
          <w:u w:val="single"/>
        </w:rPr>
        <w:t>   </w:t>
      </w:r>
      <w:r>
        <w:rPr>
          <w:rFonts w:ascii="Times New Roman" w:hAnsi="Times New Roman"/>
          <w:sz w:val="20"/>
        </w:rPr>
        <w:t xml:space="preserve"> Warrants, evidenced by this Warrant Certificate, to purchase </w:t>
      </w:r>
      <w:r>
        <w:rPr>
          <w:rFonts w:ascii="Times New Roman" w:hAnsi="Times New Roman"/>
          <w:sz w:val="20"/>
          <w:u w:val="single"/>
        </w:rPr>
        <w:t>    </w:t>
      </w:r>
      <w:r>
        <w:rPr>
          <w:rFonts w:ascii="Times New Roman" w:hAnsi="Times New Roman"/>
          <w:sz w:val="20"/>
        </w:rPr>
        <w:t xml:space="preserve"> shares of the Common Stock, par value $0.0001 per share (the </w:t>
      </w:r>
      <w:r>
        <w:rPr>
          <w:rFonts w:ascii="Times New Roman" w:hAnsi="Times New Roman"/>
          <w:b/>
          <w:i/>
          <w:sz w:val="20"/>
        </w:rPr>
        <w:t>Warrant Securities</w:t>
      </w:r>
      <w:r>
        <w:rPr>
          <w:rFonts w:ascii="Times New Roman" w:hAnsi="Times New Roman"/>
          <w:sz w:val="20"/>
        </w:rPr>
        <w:t>), of Tectonic Therapeutic,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Tectonic Therapeutic, Inc., c/o [insert name and address of Warrant Agent], in the amount of $</w:t>
      </w:r>
      <w:r>
        <w:rPr>
          <w:rFonts w:ascii="Times New Roman" w:hAnsi="Times New Roman"/>
          <w:sz w:val="20"/>
          <w:u w:val="single"/>
        </w:rPr>
        <w:t>     </w:t>
      </w:r>
      <w:r>
        <w:rPr>
          <w:rFonts w:ascii="Times New Roman" w:hAnsi="Times New Roman"/>
          <w:sz w:val="20"/>
        </w:rPr>
        <w:t xml:space="preserve">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3"/>
        <w:gridCol w:w="692"/>
        <w:gridCol w:w="3618"/>
        <w:gridCol w:w="60"/>
        <w:gridCol w:w="539"/>
        <w:gridCol w:w="130"/>
        <w:gridCol w:w="834"/>
        <w:gridCol w:w="130"/>
        <w:gridCol w:w="3939"/>
      </w:tblGrid>
      <w:tr>
        <w:trPr/>
        <w:tc>
          <w:tcPr>
            <w:tcW w:w="263"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Pr>
          <w:p>
            <w:pPr>
              <w:pStyle w:val="TableContents"/>
              <w:bidi w:val="0"/>
              <w:spacing w:before="0" w:after="283"/>
              <w:jc w:val="left"/>
              <w:rPr/>
            </w:pPr>
            <w:r>
              <w:rPr/>
              <w:t>Dated: </w:t>
            </w:r>
            <w:r>
              <w:rPr>
                <w:u w:val="single"/>
              </w:rPr>
              <w:t>     </w:t>
            </w:r>
          </w:p>
        </w:tc>
        <w:tc>
          <w:tcPr>
            <w:tcW w:w="60"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34" w:type="dxa"/>
            <w:tcBorders/>
          </w:tcPr>
          <w:p>
            <w:pPr>
              <w:pStyle w:val="TableContents"/>
              <w:bidi w:val="0"/>
              <w:spacing w:before="0" w:after="283"/>
              <w:jc w:val="left"/>
              <w:rPr/>
            </w:pPr>
            <w:r>
              <w:rPr/>
              <w:t>Name:</w:t>
            </w:r>
          </w:p>
        </w:tc>
        <w:tc>
          <w:tcPr>
            <w:tcW w:w="130" w:type="dxa"/>
            <w:tcBorders/>
            <w:vAlign w:val="bottom"/>
          </w:tcPr>
          <w:p>
            <w:pPr>
              <w:pStyle w:val="TableContents"/>
              <w:bidi w:val="0"/>
              <w:spacing w:before="0" w:after="283"/>
              <w:jc w:val="left"/>
              <w:rPr/>
            </w:pPr>
            <w:r>
              <w:rPr/>
              <w:t> </w:t>
            </w:r>
          </w:p>
        </w:tc>
        <w:tc>
          <w:tcPr>
            <w:tcW w:w="3939" w:type="dxa"/>
            <w:tcBorders/>
          </w:tcPr>
          <w:p>
            <w:pPr>
              <w:pStyle w:val="TableContents"/>
              <w:pBdr>
                <w:bottom w:val="single" w:sz="2" w:space="1" w:color="000000"/>
              </w:pBdr>
              <w:bidi w:val="0"/>
              <w:spacing w:before="0" w:after="20"/>
              <w:jc w:val="left"/>
              <w:rPr/>
            </w:pPr>
            <w:r>
              <w:rPr/>
              <w:t> </w:t>
            </w:r>
          </w:p>
        </w:tc>
      </w:tr>
      <w:tr>
        <w:trPr/>
        <w:tc>
          <w:tcPr>
            <w:tcW w:w="263" w:type="dxa"/>
            <w:tcBorders/>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83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283"/>
              <w:jc w:val="center"/>
              <w:rPr/>
            </w:pPr>
            <w:r>
              <w:rPr/>
              <w:t>Please Print</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
        <w:gridCol w:w="362"/>
        <w:gridCol w:w="4780"/>
        <w:gridCol w:w="184"/>
        <w:gridCol w:w="4529"/>
      </w:tblGrid>
      <w:tr>
        <w:trPr/>
        <w:tc>
          <w:tcPr>
            <w:tcW w:w="35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r>
      <w:tr>
        <w:trPr/>
        <w:tc>
          <w:tcPr>
            <w:tcW w:w="5492" w:type="dxa"/>
            <w:gridSpan w:val="3"/>
            <w:tcBorders>
              <w:bottom w:val="single" w:sz="2" w:space="0" w:color="000000"/>
            </w:tcBorders>
            <w:tcMar>
              <w:bottom w:w="28" w:type="dxa"/>
            </w:tcMa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sz w:val="4"/>
                <w:szCs w:val="4"/>
              </w:rPr>
            </w:pPr>
            <w:r>
              <w:rPr>
                <w:sz w:val="4"/>
                <w:szCs w:val="4"/>
              </w:rPr>
            </w:r>
          </w:p>
        </w:tc>
      </w:tr>
      <w:tr>
        <w:trPr/>
        <w:tc>
          <w:tcPr>
            <w:tcW w:w="5492" w:type="dxa"/>
            <w:gridSpan w:val="3"/>
            <w:tcBorders/>
          </w:tcPr>
          <w:p>
            <w:pPr>
              <w:pStyle w:val="TableContents"/>
              <w:bidi w:val="0"/>
              <w:spacing w:before="0" w:after="283"/>
              <w:jc w:val="left"/>
              <w:rPr/>
            </w:pPr>
            <w:r>
              <w:rPr/>
              <w:t>(Insert Social Security or Other Identifying Number of Holder)</w:t>
            </w:r>
          </w:p>
        </w:tc>
        <w:tc>
          <w:tcPr>
            <w:tcW w:w="184"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56"/>
        <w:gridCol w:w="60"/>
        <w:gridCol w:w="1866"/>
      </w:tblGrid>
      <w:tr>
        <w:trPr/>
        <w:tc>
          <w:tcPr>
            <w:tcW w:w="21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2156" w:type="dxa"/>
            <w:tcBorders/>
          </w:tcPr>
          <w:p>
            <w:pPr>
              <w:pStyle w:val="TableContents"/>
              <w:bidi w:val="0"/>
              <w:spacing w:before="0" w:after="283"/>
              <w:jc w:val="left"/>
              <w:rPr/>
            </w:pPr>
            <w:r>
              <w:rPr/>
              <w:t>Signature Guaranteed:</w:t>
            </w:r>
          </w:p>
        </w:tc>
        <w:tc>
          <w:tcPr>
            <w:tcW w:w="60" w:type="dxa"/>
            <w:tcBorders/>
            <w:vAlign w:val="bottom"/>
          </w:tcPr>
          <w:p>
            <w:pPr>
              <w:pStyle w:val="TableContents"/>
              <w:bidi w:val="0"/>
              <w:spacing w:before="0" w:after="283"/>
              <w:jc w:val="left"/>
              <w:rPr/>
            </w:pPr>
            <w:r>
              <w:rPr/>
              <w:t> </w:t>
            </w:r>
          </w:p>
        </w:tc>
        <w:tc>
          <w:tcPr>
            <w:tcW w:w="1866" w:type="dxa"/>
            <w:tcBorders/>
          </w:tcPr>
          <w:p>
            <w:pPr>
              <w:pStyle w:val="TableContents"/>
              <w:pBdr>
                <w:bottom w:val="single" w:sz="2" w:space="1" w:color="000000"/>
              </w:pBdr>
              <w:bidi w:val="0"/>
              <w:spacing w:before="0" w:after="20"/>
              <w:jc w:val="left"/>
              <w:rPr/>
            </w:pPr>
            <w:r>
              <w:rPr/>
              <w:t> </w:t>
            </w:r>
          </w:p>
        </w:tc>
      </w:tr>
      <w:tr>
        <w:trPr/>
        <w:tc>
          <w:tcPr>
            <w:tcW w:w="21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center"/>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
        <w:gridCol w:w="112"/>
        <w:gridCol w:w="4696"/>
        <w:gridCol w:w="60"/>
        <w:gridCol w:w="268"/>
        <w:gridCol w:w="112"/>
        <w:gridCol w:w="550"/>
        <w:gridCol w:w="112"/>
        <w:gridCol w:w="4273"/>
      </w:tblGrid>
      <w:tr>
        <w:trPr/>
        <w:tc>
          <w:tcPr>
            <w:tcW w:w="2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273"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96"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4273" w:type="dxa"/>
            <w:tcBorders/>
          </w:tcPr>
          <w:p>
            <w:pPr>
              <w:pStyle w:val="TableContents"/>
              <w:pBdr>
                <w:bottom w:val="single" w:sz="2" w:space="1" w:color="000000"/>
              </w:pBdr>
              <w:bidi w:val="0"/>
              <w:spacing w:before="0" w:after="20"/>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(Please print name and address including zip code)</w:t>
            </w:r>
          </w:p>
        </w:tc>
        <w:tc>
          <w:tcPr>
            <w:tcW w:w="60"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5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273"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_______________ shares of [Title of Warrant Securities] of Tectonic Therapeutic,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3"/>
        <w:gridCol w:w="699"/>
        <w:gridCol w:w="3485"/>
        <w:gridCol w:w="60"/>
        <w:gridCol w:w="383"/>
        <w:gridCol w:w="128"/>
        <w:gridCol w:w="903"/>
        <w:gridCol w:w="128"/>
        <w:gridCol w:w="4156"/>
      </w:tblGrid>
      <w:tr>
        <w:trPr/>
        <w:tc>
          <w:tcPr>
            <w:tcW w:w="263" w:type="dxa"/>
            <w:tcBorders/>
            <w:vAlign w:val="center"/>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Pr>
          <w:p>
            <w:pPr>
              <w:pStyle w:val="TableContents"/>
              <w:bidi w:val="0"/>
              <w:spacing w:before="0" w:after="283"/>
              <w:jc w:val="left"/>
              <w:rPr/>
            </w:pPr>
            <w:r>
              <w:rPr/>
              <w:t>Dated: </w:t>
            </w:r>
            <w:r>
              <w:rPr>
                <w:u w:val="single"/>
              </w:rPr>
              <w:t>     </w:t>
            </w:r>
          </w:p>
        </w:tc>
        <w:tc>
          <w:tcPr>
            <w:tcW w:w="6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03" w:type="dxa"/>
            <w:tcBorders/>
          </w:tcPr>
          <w:p>
            <w:pPr>
              <w:pStyle w:val="TableContents"/>
              <w:bidi w:val="0"/>
              <w:spacing w:before="0" w:after="283"/>
              <w:jc w:val="left"/>
              <w:rPr/>
            </w:pPr>
            <w:r>
              <w:rPr/>
              <w:t>Name:</w:t>
            </w:r>
          </w:p>
        </w:tc>
        <w:tc>
          <w:tcPr>
            <w:tcW w:w="128" w:type="dxa"/>
            <w:tcBorders>
              <w:bottom w:val="single" w:sz="2" w:space="0" w:color="000000"/>
            </w:tcBorders>
            <w:tcMar>
              <w:bottom w:w="28" w:type="dxa"/>
            </w:tcMar>
            <w:vAlign w:val="bottom"/>
          </w:tcPr>
          <w:p>
            <w:pPr>
              <w:pStyle w:val="TableContents"/>
              <w:bidi w:val="0"/>
              <w:spacing w:before="0" w:after="283"/>
              <w:jc w:val="left"/>
              <w:rPr/>
            </w:pPr>
            <w:r>
              <w:rPr/>
              <w:t> </w:t>
            </w:r>
          </w:p>
        </w:tc>
        <w:tc>
          <w:tcPr>
            <w:tcW w:w="4156" w:type="dxa"/>
            <w:tcBorders>
              <w:bottom w:val="single" w:sz="2" w:space="0" w:color="000000"/>
            </w:tcBorders>
            <w:tcMar>
              <w:bottom w:w="28" w:type="dxa"/>
            </w:tcMar>
          </w:tcPr>
          <w:p>
            <w:pPr>
              <w:pStyle w:val="TableContents"/>
              <w:bidi w:val="0"/>
              <w:spacing w:before="0" w:after="283"/>
              <w:jc w:val="left"/>
              <w:rPr/>
            </w:pPr>
            <w:r>
              <w:rPr/>
              <w:t> </w:t>
            </w:r>
          </w:p>
        </w:tc>
      </w:tr>
      <w:tr>
        <w:trPr/>
        <w:tc>
          <w:tcPr>
            <w:tcW w:w="263" w:type="dxa"/>
            <w:tcBorders/>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90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4156"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right"/>
        <w:rPr>
          <w:rFonts w:ascii="Times New Roman" w:hAnsi="Times New Roman"/>
          <w:b/>
          <w:sz w:val="20"/>
        </w:rPr>
      </w:pPr>
      <w:bookmarkStart w:id="35" w:name="d940804dex49.htm"/>
      <w:bookmarkStart w:id="36" w:name="ksd940804dex49"/>
      <w:bookmarkEnd w:id="35"/>
      <w:bookmarkEnd w:id="36"/>
      <w:r>
        <w:rPr>
          <w:rFonts w:ascii="Times New Roman" w:hAnsi="Times New Roman"/>
          <w:b/>
          <w:sz w:val="20"/>
        </w:rPr>
        <w:t xml:space="preserve">Exhibit 4.9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PREFERRED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PREFERRED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TECTONIC THERAPEUTIC,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Preferred Stock purchasable through exercise of Warrants] of the Company, par value $0.0001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in accordance with the terms of [title of Preferred Stock purchasable through exercise of Warrants] or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any securities of the Company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share of [title of Preferred Stock purchasable through exercise of Warrants].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Market Price</w:t>
      </w:r>
      <w:r>
        <w:rPr>
          <w:rFonts w:ascii="Times New Roman" w:hAnsi="Times New Roman"/>
          <w:sz w:val="20"/>
        </w:rPr>
        <w:t xml:space="preserve">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 xml:space="preserve">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Tectonic Therapeutic, Inc., 490 Arsenal Way, Suite 210, Watertown, MA 02472, Attention: Secretary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55"/>
        <w:gridCol w:w="92"/>
        <w:gridCol w:w="2435"/>
      </w:tblGrid>
      <w:tr>
        <w:trPr/>
        <w:tc>
          <w:tcPr>
            <w:tcW w:w="15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TECTONIC THERAPEUTIC, INC.,</w:t>
            </w:r>
            <w:r>
              <w:rPr>
                <w:rFonts w:ascii="Times New Roman" w:hAnsi="Times New Roman"/>
                <w:sz w:val="20"/>
              </w:rPr>
              <w:t xml:space="preserve"> as Company</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Name: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Title: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b/>
              </w:rPr>
            </w:pPr>
            <w:r>
              <w:rPr>
                <w:b/>
              </w:rPr>
              <w:t>A</w:t>
            </w:r>
            <w:r>
              <w:rPr>
                <w:b/>
                <w:sz w:val="20"/>
              </w:rPr>
              <w:t>TTEST</w:t>
            </w:r>
            <w:r>
              <w:rPr>
                <w:b/>
              </w:rPr>
              <w:t>:</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sz w:val="4"/>
                <w:szCs w:val="4"/>
              </w:rPr>
            </w:pPr>
            <w:r>
              <w:rPr>
                <w:sz w:val="4"/>
                <w:szCs w:val="4"/>
              </w:rPr>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pPr>
            <w:r>
              <w:rPr/>
              <w:t>By:</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Name: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Title:</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55" w:type="dxa"/>
            <w:tcBorders/>
            <w:vAlign w:val="center"/>
          </w:tcPr>
          <w:p>
            <w:pPr>
              <w:pStyle w:val="TableContents"/>
              <w:bidi w:val="0"/>
              <w:spacing w:before="0" w:after="283"/>
              <w:jc w:val="left"/>
              <w:rPr>
                <w:sz w:val="4"/>
                <w:szCs w:val="4"/>
              </w:rPr>
            </w:pPr>
            <w:r>
              <w:rPr>
                <w:sz w:val="4"/>
                <w:szCs w:val="4"/>
              </w:rPr>
            </w:r>
          </w:p>
        </w:tc>
        <w:tc>
          <w:tcPr>
            <w:tcW w:w="2527" w:type="dxa"/>
            <w:gridSpan w:val="2"/>
            <w:tcBorders/>
            <w:vAlign w:val="center"/>
          </w:tcPr>
          <w:p>
            <w:pPr>
              <w:pStyle w:val="TableContents"/>
              <w:bidi w:val="0"/>
              <w:spacing w:before="0" w:after="283"/>
              <w:jc w:val="left"/>
              <w:rPr>
                <w:sz w:val="4"/>
                <w:szCs w:val="4"/>
              </w:rPr>
            </w:pPr>
            <w:r>
              <w:rPr>
                <w:sz w:val="4"/>
                <w:szCs w:val="4"/>
              </w:rPr>
            </w:r>
          </w:p>
        </w:tc>
      </w:tr>
      <w:tr>
        <w:trPr/>
        <w:tc>
          <w:tcPr>
            <w:tcW w:w="1555" w:type="dxa"/>
            <w:tcBorders/>
          </w:tcPr>
          <w:p>
            <w:pPr>
              <w:pStyle w:val="TableContents"/>
              <w:bidi w:val="0"/>
              <w:spacing w:before="0" w:after="283"/>
              <w:jc w:val="left"/>
              <w:rPr>
                <w:b/>
              </w:rPr>
            </w:pPr>
            <w:r>
              <w:rPr>
                <w:b/>
              </w:rPr>
              <w:t>A</w:t>
            </w:r>
            <w:r>
              <w:rPr>
                <w:b/>
                <w:sz w:val="20"/>
              </w:rPr>
              <w:t>TTEST</w:t>
            </w:r>
            <w:r>
              <w:rPr>
                <w:b/>
              </w:rPr>
              <w:t>:</w:t>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sz w:val="4"/>
                <w:szCs w:val="4"/>
              </w:rPr>
            </w:pPr>
            <w:r>
              <w:rPr>
                <w:sz w:val="4"/>
                <w:szCs w:val="4"/>
              </w:rPr>
            </w:r>
          </w:p>
        </w:tc>
        <w:tc>
          <w:tcPr>
            <w:tcW w:w="92"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TECTONIC THERAPEUTIC, INC. PREFERRED STOCK WARRANT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hAnsi="Times New Roman"/>
          <w:b/>
          <w:i/>
          <w:sz w:val="20"/>
        </w:rPr>
        <w:t>Warrant Securities</w:t>
      </w:r>
      <w:r>
        <w:rPr>
          <w:rFonts w:ascii="Times New Roman" w:hAnsi="Times New Roman"/>
          <w:sz w:val="20"/>
        </w:rPr>
        <w:t>), of Tectonic Therapeutic,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34"/>
        <w:gridCol w:w="83"/>
        <w:gridCol w:w="2365"/>
      </w:tblGrid>
      <w:tr>
        <w:trPr/>
        <w:tc>
          <w:tcPr>
            <w:tcW w:w="163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w:t>
            </w:r>
            <w:r>
              <w:rPr>
                <w:b/>
                <w:sz w:val="20"/>
              </w:rPr>
              <w:t>ECTONIC</w:t>
            </w:r>
            <w:r>
              <w:rPr>
                <w:b/>
              </w:rPr>
              <w:t xml:space="preserve"> T</w:t>
            </w:r>
            <w:r>
              <w:rPr>
                <w:b/>
                <w:sz w:val="20"/>
              </w:rPr>
              <w:t>HERAPEUTIC</w:t>
            </w:r>
            <w:r>
              <w:rPr>
                <w:b/>
              </w:rPr>
              <w:t>, I</w:t>
            </w:r>
            <w:r>
              <w:rPr>
                <w:b/>
                <w:sz w:val="20"/>
              </w:rPr>
              <w:t>NC</w:t>
            </w:r>
            <w:r>
              <w:rPr>
                <w:b/>
              </w:rPr>
              <w:t xml:space="preserve">., </w:t>
            </w:r>
            <w:r>
              <w:rPr/>
              <w:t>as Company</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b/>
              </w:rPr>
            </w:pPr>
            <w:r>
              <w:rPr>
                <w:b/>
              </w:rPr>
              <w:t>ATTEST:</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COUNTERSIGNED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b/>
              </w:rPr>
            </w:pPr>
            <w:r>
              <w:rPr>
                <w:b/>
              </w:rPr>
              <w:t>ATTEST:</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r>
        <w:trPr/>
        <w:tc>
          <w:tcPr>
            <w:tcW w:w="1634" w:type="dxa"/>
            <w:tcBorders/>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2365"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[TITLE OF WARRANT SECURITIES], par value $0.0001 per share (the </w:t>
      </w:r>
      <w:r>
        <w:rPr>
          <w:rFonts w:ascii="Times New Roman" w:hAnsi="Times New Roman"/>
          <w:b/>
          <w:i/>
          <w:sz w:val="20"/>
        </w:rPr>
        <w:t>Warrant Securities</w:t>
      </w:r>
      <w:r>
        <w:rPr>
          <w:rFonts w:ascii="Times New Roman" w:hAnsi="Times New Roman"/>
          <w:sz w:val="20"/>
        </w:rPr>
        <w:t xml:space="preserve">), of Tectonic Therapeutic,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Tectonic Therapeutic,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7"/>
        <w:gridCol w:w="107"/>
        <w:gridCol w:w="361"/>
        <w:gridCol w:w="107"/>
        <w:gridCol w:w="653"/>
        <w:gridCol w:w="107"/>
        <w:gridCol w:w="4263"/>
      </w:tblGrid>
      <w:tr>
        <w:trPr/>
        <w:tc>
          <w:tcPr>
            <w:tcW w:w="460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263" w:type="dxa"/>
            <w:tcBorders/>
            <w:vAlign w:val="center"/>
          </w:tcPr>
          <w:p>
            <w:pPr>
              <w:pStyle w:val="TableContents"/>
              <w:bidi w:val="0"/>
              <w:spacing w:before="0" w:after="283"/>
              <w:jc w:val="left"/>
              <w:rPr>
                <w:sz w:val="4"/>
                <w:szCs w:val="4"/>
              </w:rPr>
            </w:pPr>
            <w:r>
              <w:rPr>
                <w:sz w:val="4"/>
                <w:szCs w:val="4"/>
              </w:rPr>
            </w:r>
          </w:p>
        </w:tc>
      </w:tr>
      <w:tr>
        <w:trPr/>
        <w:tc>
          <w:tcPr>
            <w:tcW w:w="4607" w:type="dxa"/>
            <w:tcBorders/>
          </w:tcPr>
          <w:p>
            <w:pPr>
              <w:pStyle w:val="TableContents"/>
              <w:bidi w:val="0"/>
              <w:spacing w:before="0" w:after="283"/>
              <w:jc w:val="left"/>
              <w:rPr/>
            </w:pPr>
            <w:r>
              <w:rPr/>
              <w:t>Dated: </w:t>
            </w:r>
            <w:r>
              <w:rPr>
                <w:u w:val="single"/>
              </w:rPr>
              <w:t>      </w:t>
            </w:r>
          </w:p>
        </w:tc>
        <w:tc>
          <w:tcPr>
            <w:tcW w:w="107"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pPr>
            <w:r>
              <w:rPr/>
              <w:t>Name:</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263" w:type="dxa"/>
            <w:tcBorders>
              <w:bottom w:val="single" w:sz="2" w:space="0" w:color="000000"/>
            </w:tcBorders>
            <w:tcMar>
              <w:bottom w:w="28" w:type="dxa"/>
            </w:tcMar>
          </w:tcPr>
          <w:p>
            <w:pPr>
              <w:pStyle w:val="TableContents"/>
              <w:bidi w:val="0"/>
              <w:spacing w:before="0" w:after="283"/>
              <w:jc w:val="left"/>
              <w:rPr/>
            </w:pPr>
            <w:r>
              <w:rPr/>
              <w:t> </w:t>
            </w:r>
          </w:p>
        </w:tc>
      </w:tr>
      <w:tr>
        <w:trPr/>
        <w:tc>
          <w:tcPr>
            <w:tcW w:w="460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5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263" w:type="dxa"/>
            <w:tcBorders/>
          </w:tcPr>
          <w:p>
            <w:pPr>
              <w:pStyle w:val="TableContents"/>
              <w:bidi w:val="0"/>
              <w:spacing w:before="0" w:after="283"/>
              <w:jc w:val="center"/>
              <w:rPr/>
            </w:pPr>
            <w:r>
              <w:rPr/>
              <w:t>Please Print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8"/>
        <w:gridCol w:w="101"/>
        <w:gridCol w:w="5716"/>
      </w:tblGrid>
      <w:tr>
        <w:trPr/>
        <w:tc>
          <w:tcPr>
            <w:tcW w:w="43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4388" w:type="dxa"/>
            <w:tcBorders/>
          </w:tcPr>
          <w:p>
            <w:pPr>
              <w:pStyle w:val="TableContents"/>
              <w:bidi w:val="0"/>
              <w:spacing w:before="0" w:after="283"/>
              <w:jc w:val="left"/>
              <w:rPr/>
            </w:pPr>
            <w:r>
              <w:rPr/>
              <w:t>Address:</w:t>
            </w:r>
          </w:p>
        </w:tc>
        <w:tc>
          <w:tcPr>
            <w:tcW w:w="101" w:type="dxa"/>
            <w:tcBorders/>
            <w:vAlign w:val="bottom"/>
          </w:tcPr>
          <w:p>
            <w:pPr>
              <w:pStyle w:val="TableContents"/>
              <w:bidi w:val="0"/>
              <w:spacing w:before="0" w:after="283"/>
              <w:jc w:val="left"/>
              <w:rPr/>
            </w:pPr>
            <w:r>
              <w:rPr/>
              <w:t> </w:t>
            </w:r>
          </w:p>
        </w:tc>
        <w:tc>
          <w:tcPr>
            <w:tcW w:w="5716" w:type="dxa"/>
            <w:tcBorders/>
          </w:tcPr>
          <w:p>
            <w:pPr>
              <w:pStyle w:val="TableContents"/>
              <w:bidi w:val="0"/>
              <w:spacing w:before="0" w:after="283"/>
              <w:jc w:val="left"/>
              <w:rPr>
                <w:sz w:val="4"/>
                <w:szCs w:val="4"/>
              </w:rPr>
            </w:pPr>
            <w:r>
              <w:rPr>
                <w:sz w:val="4"/>
                <w:szCs w:val="4"/>
              </w:rPr>
            </w:r>
          </w:p>
        </w:tc>
      </w:tr>
      <w:tr>
        <w:trPr>
          <w:trHeight w:val="120" w:hRule="atLeast"/>
        </w:trPr>
        <w:tc>
          <w:tcPr>
            <w:tcW w:w="4388" w:type="dxa"/>
            <w:tcBorders/>
            <w:vAlign w:val="center"/>
          </w:tcPr>
          <w:p>
            <w:pPr>
              <w:pStyle w:val="TableContents"/>
              <w:bidi w:val="0"/>
              <w:spacing w:before="0" w:after="283"/>
              <w:jc w:val="left"/>
              <w:rPr>
                <w:sz w:val="4"/>
                <w:szCs w:val="4"/>
              </w:rPr>
            </w:pPr>
            <w:r>
              <w:rPr>
                <w:sz w:val="4"/>
                <w:szCs w:val="4"/>
              </w:rPr>
            </w:r>
          </w:p>
        </w:tc>
        <w:tc>
          <w:tcPr>
            <w:tcW w:w="5817" w:type="dxa"/>
            <w:gridSpan w:val="2"/>
            <w:tcBorders/>
            <w:vAlign w:val="center"/>
          </w:tcPr>
          <w:p>
            <w:pPr>
              <w:pStyle w:val="TableContents"/>
              <w:bidi w:val="0"/>
              <w:spacing w:before="0" w:after="283"/>
              <w:jc w:val="left"/>
              <w:rPr>
                <w:sz w:val="4"/>
                <w:szCs w:val="4"/>
              </w:rPr>
            </w:pPr>
            <w:r>
              <w:rPr>
                <w:sz w:val="4"/>
                <w:szCs w:val="4"/>
              </w:rPr>
            </w:r>
          </w:p>
        </w:tc>
      </w:tr>
      <w:tr>
        <w:trPr/>
        <w:tc>
          <w:tcPr>
            <w:tcW w:w="4388"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5716" w:type="dxa"/>
            <w:tcBorders/>
          </w:tcPr>
          <w:p>
            <w:pPr>
              <w:pStyle w:val="TableContents"/>
              <w:bidi w:val="0"/>
              <w:spacing w:before="0" w:after="0"/>
              <w:jc w:val="left"/>
              <w:rPr/>
            </w:pPr>
            <w:r>
              <w:rPr/>
              <w:t> </w:t>
            </w:r>
          </w:p>
        </w:tc>
      </w:tr>
      <w:tr>
        <w:trPr/>
        <w:tc>
          <w:tcPr>
            <w:tcW w:w="4388" w:type="dxa"/>
            <w:tcBorders/>
            <w:vAlign w:val="bottom"/>
          </w:tcPr>
          <w:p>
            <w:pPr>
              <w:pStyle w:val="TableContents"/>
              <w:bidi w:val="0"/>
              <w:spacing w:before="0" w:after="283"/>
              <w:jc w:val="left"/>
              <w:rPr/>
            </w:pPr>
            <w:r>
              <w:rPr/>
              <w:t>(Insert Social Security or Other Identifying Number of Holder)</w:t>
            </w:r>
          </w:p>
        </w:tc>
        <w:tc>
          <w:tcPr>
            <w:tcW w:w="101" w:type="dxa"/>
            <w:tcBorders/>
            <w:vAlign w:val="bottom"/>
          </w:tcPr>
          <w:p>
            <w:pPr>
              <w:pStyle w:val="TableContents"/>
              <w:bidi w:val="0"/>
              <w:spacing w:before="0" w:after="283"/>
              <w:jc w:val="left"/>
              <w:rPr/>
            </w:pPr>
            <w:r>
              <w:rPr/>
              <w:t> </w:t>
            </w:r>
          </w:p>
        </w:tc>
        <w:tc>
          <w:tcPr>
            <w:tcW w:w="571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4"/>
        <w:gridCol w:w="886"/>
        <w:gridCol w:w="4545"/>
      </w:tblGrid>
      <w:tr>
        <w:trPr/>
        <w:tc>
          <w:tcPr>
            <w:tcW w:w="4774" w:type="dxa"/>
            <w:tcBorders/>
            <w:vAlign w:val="center"/>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454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Signature Guaranteed: </w:t>
            </w:r>
            <w:r>
              <w:rPr>
                <w:u w:val="single"/>
              </w:rPr>
              <w:t>           </w:t>
            </w:r>
          </w:p>
        </w:tc>
      </w:tr>
      <w:tr>
        <w:trPr/>
        <w:tc>
          <w:tcPr>
            <w:tcW w:w="10205" w:type="dxa"/>
            <w:gridSpan w:val="3"/>
            <w:tcBorders/>
          </w:tcPr>
          <w:p>
            <w:pPr>
              <w:pStyle w:val="TableContents"/>
              <w:bidi w:val="0"/>
              <w:spacing w:before="0" w:after="0"/>
              <w:jc w:val="left"/>
              <w:rPr/>
            </w:pPr>
            <w:r>
              <w:rPr/>
              <w:t>       </w:t>
            </w:r>
            <w:r>
              <w:rPr>
                <w:rFonts w:ascii="Times New Roman" w:hAnsi="Times New Roman"/>
                <w:sz w:val="20"/>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12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tbl>
      <w:tblPr>
        <w:tblW w:w="5000" w:type="pct"/>
        <w:jc w:val="left"/>
        <w:tblInd w:w="0" w:type="dxa"/>
        <w:tblLayout w:type="fixed"/>
        <w:tblCellMar>
          <w:top w:w="0" w:type="dxa"/>
          <w:left w:w="0" w:type="dxa"/>
          <w:bottom w:w="0" w:type="dxa"/>
          <w:right w:w="0" w:type="dxa"/>
        </w:tblCellMar>
      </w:tblPr>
      <w:tblGrid>
        <w:gridCol w:w="23"/>
        <w:gridCol w:w="100"/>
        <w:gridCol w:w="4695"/>
        <w:gridCol w:w="100"/>
        <w:gridCol w:w="407"/>
        <w:gridCol w:w="60"/>
        <w:gridCol w:w="24"/>
        <w:gridCol w:w="100"/>
        <w:gridCol w:w="4696"/>
      </w:tblGrid>
      <w:tr>
        <w:trPr/>
        <w:tc>
          <w:tcPr>
            <w:tcW w:w="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 w:type="dxa"/>
            <w:tcBorders/>
            <w:vAlign w:val="center"/>
          </w:tcPr>
          <w:p>
            <w:pPr>
              <w:pStyle w:val="TableContents"/>
              <w:bidi w:val="0"/>
              <w:spacing w:before="0" w:after="283"/>
              <w:jc w:val="left"/>
              <w:rPr>
                <w:sz w:val="4"/>
                <w:szCs w:val="4"/>
              </w:rPr>
            </w:pPr>
            <w:r>
              <w:rPr>
                <w:sz w:val="4"/>
                <w:szCs w:val="4"/>
              </w:rPr>
            </w:r>
          </w:p>
        </w:tc>
        <w:tc>
          <w:tcPr>
            <w:tcW w:w="4795"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84" w:type="dxa"/>
            <w:gridSpan w:val="2"/>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23"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695" w:type="dxa"/>
            <w:tcBorders>
              <w:bottom w:val="single" w:sz="2" w:space="0" w:color="000000"/>
            </w:tcBorders>
            <w:tcMar>
              <w:bottom w:w="28" w:type="dxa"/>
            </w:tcMa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696" w:type="dxa"/>
            <w:tcBorders>
              <w:bottom w:val="single" w:sz="2" w:space="0" w:color="000000"/>
            </w:tcBorders>
            <w:tcMar>
              <w:bottom w:w="28" w:type="dxa"/>
            </w:tcMar>
          </w:tcPr>
          <w:p>
            <w:pPr>
              <w:pStyle w:val="TableContents"/>
              <w:bidi w:val="0"/>
              <w:spacing w:before="0" w:after="283"/>
              <w:jc w:val="left"/>
              <w:rPr/>
            </w:pPr>
            <w:r>
              <w:rPr/>
              <w:t> </w:t>
            </w:r>
          </w:p>
        </w:tc>
      </w:tr>
      <w:tr>
        <w:trPr/>
        <w:tc>
          <w:tcPr>
            <w:tcW w:w="2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(Please print name and address including zip code)</w:t>
            </w:r>
          </w:p>
        </w:tc>
        <w:tc>
          <w:tcPr>
            <w:tcW w:w="100"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 shares of [Title of Warrant Securities] of Tectonic Therapeutic,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1"/>
        <w:gridCol w:w="108"/>
        <w:gridCol w:w="363"/>
        <w:gridCol w:w="108"/>
        <w:gridCol w:w="658"/>
        <w:gridCol w:w="108"/>
        <w:gridCol w:w="4219"/>
      </w:tblGrid>
      <w:tr>
        <w:trPr/>
        <w:tc>
          <w:tcPr>
            <w:tcW w:w="464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19" w:type="dxa"/>
            <w:tcBorders/>
            <w:vAlign w:val="center"/>
          </w:tcPr>
          <w:p>
            <w:pPr>
              <w:pStyle w:val="TableContents"/>
              <w:bidi w:val="0"/>
              <w:spacing w:before="0" w:after="283"/>
              <w:jc w:val="left"/>
              <w:rPr>
                <w:sz w:val="4"/>
                <w:szCs w:val="4"/>
              </w:rPr>
            </w:pPr>
            <w:r>
              <w:rPr>
                <w:sz w:val="4"/>
                <w:szCs w:val="4"/>
              </w:rPr>
            </w:r>
          </w:p>
        </w:tc>
      </w:tr>
      <w:tr>
        <w:trPr/>
        <w:tc>
          <w:tcPr>
            <w:tcW w:w="4641" w:type="dxa"/>
            <w:tcBorders/>
          </w:tcPr>
          <w:p>
            <w:pPr>
              <w:pStyle w:val="TableContents"/>
              <w:bidi w:val="0"/>
              <w:spacing w:before="0" w:after="283"/>
              <w:jc w:val="left"/>
              <w:rPr/>
            </w:pPr>
            <w:r>
              <w:rPr/>
              <w:t>Dated: </w:t>
            </w:r>
            <w:r>
              <w:rPr>
                <w:u w:val="single"/>
              </w:rPr>
              <w:t>      </w:t>
            </w:r>
          </w:p>
        </w:tc>
        <w:tc>
          <w:tcPr>
            <w:tcW w:w="108"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219" w:type="dxa"/>
            <w:tcBorders>
              <w:bottom w:val="single" w:sz="2" w:space="0" w:color="000000"/>
            </w:tcBorders>
            <w:tcMar>
              <w:bottom w:w="28" w:type="dxa"/>
            </w:tcMar>
          </w:tcPr>
          <w:p>
            <w:pPr>
              <w:pStyle w:val="TableContents"/>
              <w:bidi w:val="0"/>
              <w:spacing w:before="0" w:after="283"/>
              <w:jc w:val="left"/>
              <w:rPr/>
            </w:pPr>
            <w:r>
              <w:rPr/>
              <w:t> </w:t>
            </w:r>
          </w:p>
        </w:tc>
      </w:tr>
      <w:tr>
        <w:trPr/>
        <w:tc>
          <w:tcPr>
            <w:tcW w:w="464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219"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right"/>
        <w:rPr>
          <w:rFonts w:ascii="Times New Roman" w:hAnsi="Times New Roman"/>
          <w:b/>
          <w:sz w:val="20"/>
        </w:rPr>
      </w:pPr>
      <w:bookmarkStart w:id="37" w:name="d940804dex410.htm"/>
      <w:bookmarkStart w:id="38" w:name="ksd940804dex410"/>
      <w:bookmarkEnd w:id="37"/>
      <w:bookmarkEnd w:id="38"/>
      <w:r>
        <w:rPr>
          <w:rFonts w:ascii="Times New Roman" w:hAnsi="Times New Roman"/>
          <w:b/>
          <w:sz w:val="20"/>
        </w:rPr>
        <w:t xml:space="preserve">Exhibit 4.10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DEBT SECURITIES WARRANT AGREEMENT </w:t>
      </w:r>
    </w:p>
    <w:p>
      <w:pPr>
        <w:pStyle w:val="TextBody"/>
        <w:bidi w:val="0"/>
        <w:spacing w:before="240" w:after="0"/>
        <w:jc w:val="left"/>
        <w:rPr>
          <w:rFonts w:ascii="Times New Roman" w:hAnsi="Times New Roman"/>
          <w:sz w:val="20"/>
        </w:rPr>
      </w:pPr>
      <w:r>
        <w:rPr>
          <w:rFonts w:ascii="Times New Roman" w:hAnsi="Times New Roman"/>
          <w:b/>
          <w:sz w:val="20"/>
        </w:rPr>
        <w:t>THIS DEBT SECURITIES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TECTONIC THERAPEUTIC,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entered into an indenture dated as of [] (the </w:t>
      </w:r>
      <w:r>
        <w:rPr>
          <w:rFonts w:ascii="Times New Roman" w:hAnsi="Times New Roman"/>
          <w:b/>
          <w:i/>
          <w:sz w:val="20"/>
        </w:rPr>
        <w:t>Indenture</w:t>
      </w:r>
      <w:r>
        <w:rPr>
          <w:rFonts w:ascii="Times New Roman" w:hAnsi="Times New Roman"/>
          <w:sz w:val="20"/>
        </w:rPr>
        <w:t>), with [], as trustee (such trustee, and any successors to such trustee, herein called the </w:t>
      </w:r>
      <w:r>
        <w:rPr>
          <w:rFonts w:ascii="Times New Roman" w:hAnsi="Times New Roman"/>
          <w:b/>
          <w:i/>
          <w:sz w:val="20"/>
        </w:rPr>
        <w:t>Trustee</w:t>
      </w:r>
      <w:r>
        <w:rPr>
          <w:rFonts w:ascii="Times New Roman" w:hAnsi="Times New Roman"/>
          <w:sz w:val="20"/>
        </w:rPr>
        <w:t>), providing for the issuance from time to time of its debt securities, to be issued in one or more series as provided in the Indenture (the </w:t>
      </w:r>
      <w:r>
        <w:rPr>
          <w:rFonts w:ascii="Times New Roman" w:hAnsi="Times New Roman"/>
          <w:b/>
          <w:i/>
          <w:sz w:val="20"/>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proposes to sell [</w:t>
      </w:r>
      <w:r>
        <w:rPr>
          <w:rFonts w:ascii="Times New Roman" w:hAnsi="Times New Roman"/>
          <w:b/>
          <w:i/>
          <w:sz w:val="20"/>
        </w:rPr>
        <w:t xml:space="preserve">If Warrants are sold with other securities </w:t>
      </w:r>
      <w:r>
        <w:rPr>
          <w:rFonts w:ascii="Times New Roman" w:hAnsi="Times New Roman"/>
          <w:i/>
          <w:sz w:val="20"/>
        </w:rPr>
        <w:t></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Debt Securities purchasable through exercise of Warrants] (the </w:t>
      </w:r>
      <w:r>
        <w:rPr>
          <w:rFonts w:ascii="Times New Roman" w:hAnsi="Times New Roman"/>
          <w:b/>
          <w:i/>
          <w:sz w:val="20"/>
        </w:rPr>
        <w:t>Warrant Debt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 Upon issuance, each Warrant Certificate shall evidence one or more Warrants.] [</w:t>
      </w:r>
      <w:r>
        <w:rPr>
          <w:rFonts w:ascii="Times New Roman" w:hAnsi="Times New Roman"/>
          <w:b/>
          <w:i/>
          <w:sz w:val="20"/>
        </w:rPr>
        <w:t xml:space="preserve">If Other Securities and Warrants </w:t>
      </w:r>
      <w:r>
        <w:rPr>
          <w:rFonts w:ascii="Times New Roman" w:hAnsi="Times New Roman"/>
          <w:sz w:val="20"/>
        </w:rPr>
        <w:t>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 w:hAnsi="Times New Roman"/>
          <w:b/>
          <w:i/>
          <w:sz w:val="20"/>
        </w:rPr>
        <w:t>If Other Securities and Warrants</w:t>
      </w:r>
      <w:r>
        <w:rPr>
          <w:rFonts w:ascii="Times New Roman" w:hAnsi="Times New Roman"/>
          <w:sz w:val="20"/>
        </w:rPr>
        <w:t xml:space="preserve"> 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24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 Warrant Price.</w:t>
      </w:r>
      <w:r>
        <w:rPr>
          <w:rFonts w:ascii="Times New Roman" w:hAnsi="Times New Roman"/>
          <w:sz w:val="20"/>
        </w:rPr>
        <w:t xml:space="preserve"> 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Debt Securities, a number of shares sufficient to provide for the exercise of the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Holder of Warrant Debt Securities Conferred by Warrants or Warrant Certificates. </w:t>
      </w:r>
      <w:r>
        <w:rPr>
          <w:rFonts w:ascii="Times New Roman" w:hAnsi="Times New Roman"/>
          <w:sz w:val="20"/>
        </w:rPr>
        <w:t xml:space="preserve">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Holder of Warrant Certificate May Enforce Rights.</w:t>
      </w:r>
      <w:r>
        <w:rPr>
          <w:rFonts w:ascii="Times New Roman" w:hAnsi="Times New Roman"/>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Merger, Sale, Conveyance or Lease.</w:t>
      </w:r>
      <w:r>
        <w:rPr>
          <w:rFonts w:ascii="Times New Roman" w:hAnsi="Times New Roman"/>
          <w:sz w:val="20"/>
        </w:rPr>
        <w:t xml:space="preserve"> 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 xml:space="preserve">Conditions of Warrant Agents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Tectonic Therapeutic, Inc., 490 Arsenal Way, Suite 210, Watertown, MA 02472, Attention: Secretary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94"/>
        <w:gridCol w:w="95"/>
        <w:gridCol w:w="2393"/>
      </w:tblGrid>
      <w:tr>
        <w:trPr/>
        <w:tc>
          <w:tcPr>
            <w:tcW w:w="159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w:t>
            </w:r>
            <w:r>
              <w:rPr>
                <w:b/>
                <w:sz w:val="20"/>
              </w:rPr>
              <w:t>ECTONIC</w:t>
            </w:r>
            <w:r>
              <w:rPr>
                <w:b/>
              </w:rPr>
              <w:t xml:space="preserve"> T</w:t>
            </w:r>
            <w:r>
              <w:rPr>
                <w:b/>
                <w:sz w:val="20"/>
              </w:rPr>
              <w:t>HERAPEUTIC</w:t>
            </w:r>
            <w:r>
              <w:rPr>
                <w:b/>
              </w:rPr>
              <w:t>, I</w:t>
            </w:r>
            <w:r>
              <w:rPr>
                <w:b/>
                <w:sz w:val="20"/>
              </w:rPr>
              <w:t>NC</w:t>
            </w:r>
            <w:r>
              <w:rPr>
                <w:b/>
              </w:rPr>
              <w:t>.,</w:t>
            </w:r>
            <w:r>
              <w:rPr/>
              <w:t xml:space="preserve"> as Company</w:t>
            </w:r>
          </w:p>
        </w:tc>
      </w:tr>
      <w:tr>
        <w:trPr>
          <w:trHeight w:val="240" w:hRule="atLeast"/>
        </w:trPr>
        <w:tc>
          <w:tcPr>
            <w:tcW w:w="1594" w:type="dxa"/>
            <w:tcBorders/>
            <w:vAlign w:val="center"/>
          </w:tcPr>
          <w:p>
            <w:pPr>
              <w:pStyle w:val="TableContents"/>
              <w:bidi w:val="0"/>
              <w:spacing w:before="0" w:after="283"/>
              <w:jc w:val="left"/>
              <w:rPr>
                <w:sz w:val="4"/>
                <w:szCs w:val="4"/>
              </w:rPr>
            </w:pPr>
            <w:r>
              <w:rPr>
                <w:sz w:val="4"/>
                <w:szCs w:val="4"/>
              </w:rPr>
            </w:r>
          </w:p>
        </w:tc>
        <w:tc>
          <w:tcPr>
            <w:tcW w:w="2488" w:type="dxa"/>
            <w:gridSpan w:val="2"/>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Name: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Title: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94" w:type="dxa"/>
            <w:tcBorders/>
            <w:vAlign w:val="center"/>
          </w:tcPr>
          <w:p>
            <w:pPr>
              <w:pStyle w:val="TableContents"/>
              <w:bidi w:val="0"/>
              <w:spacing w:before="0" w:after="283"/>
              <w:jc w:val="left"/>
              <w:rPr>
                <w:sz w:val="4"/>
                <w:szCs w:val="4"/>
              </w:rPr>
            </w:pPr>
            <w:r>
              <w:rPr>
                <w:sz w:val="4"/>
                <w:szCs w:val="4"/>
              </w:rPr>
            </w:r>
          </w:p>
        </w:tc>
        <w:tc>
          <w:tcPr>
            <w:tcW w:w="2488" w:type="dxa"/>
            <w:gridSpan w:val="2"/>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b/>
              </w:rPr>
            </w:pPr>
            <w:r>
              <w:rPr>
                <w:b/>
              </w:rPr>
              <w:t>A</w:t>
            </w:r>
            <w:r>
              <w:rPr>
                <w:b/>
                <w:sz w:val="20"/>
              </w:rPr>
              <w:t>TTEST</w:t>
            </w:r>
            <w:r>
              <w:rPr>
                <w:b/>
              </w:rPr>
              <w:t>:</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sz w:val="4"/>
                <w:szCs w:val="4"/>
              </w:rPr>
            </w:pPr>
            <w:r>
              <w:rPr>
                <w:sz w:val="4"/>
                <w:szCs w:val="4"/>
              </w:rPr>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w:t>
            </w:r>
            <w:r>
              <w:rPr/>
              <w:t></w:t>
            </w:r>
            <w:r>
              <w:rPr>
                <w:b/>
              </w:rPr>
              <w:t>]</w:t>
            </w:r>
            <w:r>
              <w:rPr/>
              <w:t>, as Warrant Agent</w:t>
            </w:r>
          </w:p>
        </w:tc>
      </w:tr>
      <w:tr>
        <w:trPr>
          <w:trHeight w:val="240" w:hRule="atLeast"/>
        </w:trPr>
        <w:tc>
          <w:tcPr>
            <w:tcW w:w="1594" w:type="dxa"/>
            <w:tcBorders/>
            <w:vAlign w:val="center"/>
          </w:tcPr>
          <w:p>
            <w:pPr>
              <w:pStyle w:val="TableContents"/>
              <w:bidi w:val="0"/>
              <w:spacing w:before="0" w:after="283"/>
              <w:jc w:val="left"/>
              <w:rPr>
                <w:sz w:val="4"/>
                <w:szCs w:val="4"/>
              </w:rPr>
            </w:pPr>
            <w:r>
              <w:rPr>
                <w:sz w:val="4"/>
                <w:szCs w:val="4"/>
              </w:rPr>
            </w:r>
          </w:p>
        </w:tc>
        <w:tc>
          <w:tcPr>
            <w:tcW w:w="2488" w:type="dxa"/>
            <w:gridSpan w:val="2"/>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Name: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Title: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594" w:type="dxa"/>
            <w:tcBorders/>
            <w:vAlign w:val="center"/>
          </w:tcPr>
          <w:p>
            <w:pPr>
              <w:pStyle w:val="TableContents"/>
              <w:bidi w:val="0"/>
              <w:spacing w:before="0" w:after="283"/>
              <w:jc w:val="left"/>
              <w:rPr>
                <w:sz w:val="4"/>
                <w:szCs w:val="4"/>
              </w:rPr>
            </w:pPr>
            <w:r>
              <w:rPr>
                <w:sz w:val="4"/>
                <w:szCs w:val="4"/>
              </w:rPr>
            </w:r>
          </w:p>
        </w:tc>
        <w:tc>
          <w:tcPr>
            <w:tcW w:w="2488" w:type="dxa"/>
            <w:gridSpan w:val="2"/>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b/>
              </w:rPr>
            </w:pPr>
            <w:r>
              <w:rPr>
                <w:b/>
              </w:rPr>
              <w:t>A</w:t>
            </w:r>
            <w:r>
              <w:rPr>
                <w:b/>
                <w:sz w:val="20"/>
              </w:rPr>
              <w:t>TTEST</w:t>
            </w:r>
            <w:r>
              <w:rPr>
                <w:b/>
              </w:rPr>
              <w:t>:</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sz w:val="4"/>
                <w:szCs w:val="4"/>
              </w:rPr>
            </w:pPr>
            <w:r>
              <w:rPr>
                <w:sz w:val="4"/>
                <w:szCs w:val="4"/>
              </w:rPr>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39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TECTONIC THERAPEUTIC, INC. DEBT SECURITIES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TECTONIC THERPEUTIC,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hAnsi="Times New Roman"/>
          <w:b/>
          <w:i/>
          <w:sz w:val="20"/>
        </w:rPr>
        <w:t>Warrant Debt Securities</w:t>
      </w:r>
      <w:r>
        <w:rPr>
          <w:rFonts w:ascii="Times New Roman" w:hAnsi="Times New Roman"/>
          <w:sz w:val="20"/>
        </w:rPr>
        <w:t>), of Tectonic Therapeutic, Inc. (the </w:t>
      </w:r>
      <w:r>
        <w:rPr>
          <w:rFonts w:ascii="Times New Roman" w:hAnsi="Times New Roman"/>
          <w:b/>
          <w:i/>
          <w:sz w:val="20"/>
        </w:rPr>
        <w:t>Company</w:t>
      </w:r>
      <w:r>
        <w:rPr>
          <w:rFonts w:ascii="Times New Roman" w:hAnsi="Times New Roman"/>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hAnsi="Times New Roman"/>
          <w:b/>
          <w:i/>
          <w:sz w:val="20"/>
        </w:rPr>
        <w:t>Warrant Price</w:t>
      </w:r>
      <w:r>
        <w:rPr>
          <w:rFonts w:ascii="Times New Roman" w:hAnsi="Times New Roman"/>
          <w:sz w:val="20"/>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The Warrant Debt Securities to be issued and delivered upon the exercise of Warrants evidenced by this Warrant Certificate will be issued under and in accordance with an Indenture, dated as of [] (the </w:t>
      </w:r>
      <w:r>
        <w:rPr>
          <w:rFonts w:ascii="Times New Roman" w:hAnsi="Times New Roman"/>
          <w:b/>
          <w:i/>
          <w:sz w:val="20"/>
        </w:rPr>
        <w:t>Indenture</w:t>
      </w:r>
      <w:r>
        <w:rPr>
          <w:rFonts w:ascii="Times New Roman" w:hAnsi="Times New Roman"/>
          <w:sz w:val="20"/>
        </w:rPr>
        <w:t>), between the Company and [], as trustee (such trustee, and any successors to such trustee, the </w:t>
      </w:r>
      <w:r>
        <w:rPr>
          <w:rFonts w:ascii="Times New Roman" w:hAnsi="Times New Roman"/>
          <w:b/>
          <w:i/>
          <w:sz w:val="20"/>
        </w:rPr>
        <w:t>Trustee</w:t>
      </w:r>
      <w:r>
        <w:rPr>
          <w:rFonts w:ascii="Times New Roman" w:hAnsi="Times New Roman"/>
          <w:sz w:val="20"/>
        </w:rPr>
        <w:t xml:space="preserve">)] and will be subject to the terms and provisions contained in the Warrant Debt Securities and in the Indenture. Copies of the Indenture, including the form of the Warrant Debt Securities, are on file at the corporate trust office of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34"/>
        <w:gridCol w:w="83"/>
        <w:gridCol w:w="1965"/>
      </w:tblGrid>
      <w:tr>
        <w:trPr/>
        <w:tc>
          <w:tcPr>
            <w:tcW w:w="203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w:t>
            </w:r>
            <w:r>
              <w:rPr>
                <w:b/>
                <w:sz w:val="20"/>
              </w:rPr>
              <w:t>ECTONIC</w:t>
            </w:r>
            <w:r>
              <w:rPr>
                <w:b/>
              </w:rPr>
              <w:t xml:space="preserve"> T</w:t>
            </w:r>
            <w:r>
              <w:rPr>
                <w:b/>
                <w:sz w:val="20"/>
              </w:rPr>
              <w:t>HERAPEUTIC</w:t>
            </w:r>
            <w:r>
              <w:rPr>
                <w:b/>
              </w:rPr>
              <w:t xml:space="preserve"> I</w:t>
            </w:r>
            <w:r>
              <w:rPr>
                <w:b/>
                <w:sz w:val="20"/>
              </w:rPr>
              <w:t>NC</w:t>
            </w:r>
            <w:r>
              <w:rPr>
                <w:b/>
              </w:rPr>
              <w:t>.</w:t>
            </w:r>
            <w:r>
              <w:rPr/>
              <w:t>, as Company</w:t>
            </w:r>
          </w:p>
        </w:tc>
      </w:tr>
      <w:tr>
        <w:trPr>
          <w:trHeight w:val="240" w:hRule="atLeast"/>
        </w:trPr>
        <w:tc>
          <w:tcPr>
            <w:tcW w:w="2034" w:type="dxa"/>
            <w:tcBorders/>
            <w:vAlign w:val="center"/>
          </w:tcPr>
          <w:p>
            <w:pPr>
              <w:pStyle w:val="TableContents"/>
              <w:bidi w:val="0"/>
              <w:spacing w:before="0" w:after="283"/>
              <w:jc w:val="left"/>
              <w:rPr>
                <w:sz w:val="4"/>
                <w:szCs w:val="4"/>
              </w:rPr>
            </w:pPr>
            <w:r>
              <w:rPr>
                <w:sz w:val="4"/>
                <w:szCs w:val="4"/>
              </w:rPr>
            </w:r>
          </w:p>
        </w:tc>
        <w:tc>
          <w:tcPr>
            <w:tcW w:w="2048" w:type="dxa"/>
            <w:gridSpan w:val="2"/>
            <w:tcBorders/>
            <w:vAlign w:val="center"/>
          </w:tcPr>
          <w:p>
            <w:pPr>
              <w:pStyle w:val="TableContents"/>
              <w:bidi w:val="0"/>
              <w:spacing w:before="0" w:after="283"/>
              <w:jc w:val="left"/>
              <w:rPr>
                <w:sz w:val="4"/>
                <w:szCs w:val="4"/>
              </w:rPr>
            </w:pPr>
            <w:r>
              <w:rPr>
                <w:sz w:val="4"/>
                <w:szCs w:val="4"/>
              </w:rPr>
            </w:r>
          </w:p>
        </w:tc>
      </w:tr>
      <w:tr>
        <w:trPr/>
        <w:tc>
          <w:tcPr>
            <w:tcW w:w="2034"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c>
          <w:tcPr>
            <w:tcW w:w="2034"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c>
          <w:tcPr>
            <w:tcW w:w="2034"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34" w:type="dxa"/>
            <w:tcBorders/>
            <w:vAlign w:val="center"/>
          </w:tcPr>
          <w:p>
            <w:pPr>
              <w:pStyle w:val="TableContents"/>
              <w:bidi w:val="0"/>
              <w:spacing w:before="0" w:after="283"/>
              <w:jc w:val="left"/>
              <w:rPr>
                <w:sz w:val="4"/>
                <w:szCs w:val="4"/>
              </w:rPr>
            </w:pPr>
            <w:r>
              <w:rPr>
                <w:sz w:val="4"/>
                <w:szCs w:val="4"/>
              </w:rPr>
            </w:r>
          </w:p>
        </w:tc>
        <w:tc>
          <w:tcPr>
            <w:tcW w:w="2048" w:type="dxa"/>
            <w:gridSpan w:val="2"/>
            <w:tcBorders/>
            <w:vAlign w:val="center"/>
          </w:tcPr>
          <w:p>
            <w:pPr>
              <w:pStyle w:val="TableContents"/>
              <w:bidi w:val="0"/>
              <w:spacing w:before="0" w:after="283"/>
              <w:jc w:val="left"/>
              <w:rPr>
                <w:sz w:val="4"/>
                <w:szCs w:val="4"/>
              </w:rPr>
            </w:pPr>
            <w:r>
              <w:rPr>
                <w:sz w:val="4"/>
                <w:szCs w:val="4"/>
              </w:rPr>
            </w:r>
          </w:p>
        </w:tc>
      </w:tr>
      <w:tr>
        <w:trPr/>
        <w:tc>
          <w:tcPr>
            <w:tcW w:w="2034" w:type="dxa"/>
            <w:tcBorders/>
            <w:vAlign w:val="bottom"/>
          </w:tcPr>
          <w:p>
            <w:pPr>
              <w:pStyle w:val="TableContents"/>
              <w:bidi w:val="0"/>
              <w:spacing w:before="0" w:after="283"/>
              <w:jc w:val="left"/>
              <w:rPr>
                <w:b/>
              </w:rPr>
            </w:pPr>
            <w:r>
              <w:rPr>
                <w:b/>
              </w:rPr>
              <w:t>ATTEST:</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034" w:type="dxa"/>
            <w:tcBorders/>
            <w:vAlign w:val="bottom"/>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w:t>
            </w:r>
            <w:r>
              <w:rPr/>
              <w:t>, as Warrant Agent</w:t>
            </w:r>
          </w:p>
        </w:tc>
      </w:tr>
      <w:tr>
        <w:trPr>
          <w:trHeight w:val="240" w:hRule="atLeast"/>
        </w:trPr>
        <w:tc>
          <w:tcPr>
            <w:tcW w:w="2034" w:type="dxa"/>
            <w:tcBorders/>
            <w:vAlign w:val="center"/>
          </w:tcPr>
          <w:p>
            <w:pPr>
              <w:pStyle w:val="TableContents"/>
              <w:bidi w:val="0"/>
              <w:spacing w:before="0" w:after="283"/>
              <w:jc w:val="left"/>
              <w:rPr>
                <w:sz w:val="4"/>
                <w:szCs w:val="4"/>
              </w:rPr>
            </w:pPr>
            <w:r>
              <w:rPr>
                <w:sz w:val="4"/>
                <w:szCs w:val="4"/>
              </w:rPr>
            </w:r>
          </w:p>
        </w:tc>
        <w:tc>
          <w:tcPr>
            <w:tcW w:w="2048" w:type="dxa"/>
            <w:gridSpan w:val="2"/>
            <w:tcBorders/>
            <w:vAlign w:val="center"/>
          </w:tcPr>
          <w:p>
            <w:pPr>
              <w:pStyle w:val="TableContents"/>
              <w:bidi w:val="0"/>
              <w:spacing w:before="0" w:after="283"/>
              <w:jc w:val="left"/>
              <w:rPr>
                <w:sz w:val="4"/>
                <w:szCs w:val="4"/>
              </w:rPr>
            </w:pPr>
            <w:r>
              <w:rPr>
                <w:sz w:val="4"/>
                <w:szCs w:val="4"/>
              </w:rPr>
            </w:r>
          </w:p>
        </w:tc>
      </w:tr>
      <w:tr>
        <w:trPr/>
        <w:tc>
          <w:tcPr>
            <w:tcW w:w="2034"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c>
          <w:tcPr>
            <w:tcW w:w="2034" w:type="dxa"/>
            <w:tcBorders/>
          </w:tcPr>
          <w:p>
            <w:pPr>
              <w:pStyle w:val="TableContents"/>
              <w:bidi w:val="0"/>
              <w:spacing w:before="0" w:after="283"/>
              <w:jc w:val="left"/>
              <w:rPr/>
            </w:pPr>
            <w:r>
              <w:rPr/>
              <w:t>Name: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c>
          <w:tcPr>
            <w:tcW w:w="2034" w:type="dxa"/>
            <w:tcBorders/>
          </w:tcPr>
          <w:p>
            <w:pPr>
              <w:pStyle w:val="TableContents"/>
              <w:bidi w:val="0"/>
              <w:spacing w:before="0" w:after="283"/>
              <w:jc w:val="left"/>
              <w:rPr/>
            </w:pPr>
            <w:r>
              <w:rPr/>
              <w:t>Title:</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34" w:type="dxa"/>
            <w:tcBorders/>
            <w:vAlign w:val="center"/>
          </w:tcPr>
          <w:p>
            <w:pPr>
              <w:pStyle w:val="TableContents"/>
              <w:bidi w:val="0"/>
              <w:spacing w:before="0" w:after="283"/>
              <w:jc w:val="left"/>
              <w:rPr>
                <w:sz w:val="4"/>
                <w:szCs w:val="4"/>
              </w:rPr>
            </w:pPr>
            <w:r>
              <w:rPr>
                <w:sz w:val="4"/>
                <w:szCs w:val="4"/>
              </w:rPr>
            </w:r>
          </w:p>
        </w:tc>
        <w:tc>
          <w:tcPr>
            <w:tcW w:w="2048" w:type="dxa"/>
            <w:gridSpan w:val="2"/>
            <w:tcBorders/>
            <w:vAlign w:val="center"/>
          </w:tcPr>
          <w:p>
            <w:pPr>
              <w:pStyle w:val="TableContents"/>
              <w:bidi w:val="0"/>
              <w:spacing w:before="0" w:after="283"/>
              <w:jc w:val="left"/>
              <w:rPr>
                <w:sz w:val="4"/>
                <w:szCs w:val="4"/>
              </w:rPr>
            </w:pPr>
            <w:r>
              <w:rPr>
                <w:sz w:val="4"/>
                <w:szCs w:val="4"/>
              </w:rPr>
            </w:r>
          </w:p>
        </w:tc>
      </w:tr>
      <w:tr>
        <w:trPr/>
        <w:tc>
          <w:tcPr>
            <w:tcW w:w="2034" w:type="dxa"/>
            <w:tcBorders/>
            <w:vAlign w:val="bottom"/>
          </w:tcPr>
          <w:p>
            <w:pPr>
              <w:pStyle w:val="TableContents"/>
              <w:bidi w:val="0"/>
              <w:spacing w:before="0" w:after="283"/>
              <w:jc w:val="left"/>
              <w:rPr>
                <w:b/>
              </w:rPr>
            </w:pPr>
            <w:r>
              <w:rPr>
                <w:b/>
              </w:rPr>
              <w:t>ATTEST:</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034" w:type="dxa"/>
            <w:tcBorders/>
            <w:vAlign w:val="bottom"/>
          </w:tcPr>
          <w:p>
            <w:pPr>
              <w:pStyle w:val="TableContents"/>
              <w:bidi w:val="0"/>
              <w:spacing w:before="0" w:after="283"/>
              <w:jc w:val="left"/>
              <w:rPr>
                <w:sz w:val="4"/>
                <w:szCs w:val="4"/>
              </w:rPr>
            </w:pPr>
            <w:r>
              <w:rPr>
                <w:sz w:val="4"/>
                <w:szCs w:val="4"/>
              </w:rPr>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1965"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 principal amount of the [TITLE OF WARRANT DEBT SECURITIES] (the </w:t>
      </w:r>
      <w:r>
        <w:rPr>
          <w:rFonts w:ascii="Times New Roman" w:hAnsi="Times New Roman"/>
          <w:b/>
          <w:i/>
          <w:sz w:val="20"/>
        </w:rPr>
        <w:t>Warrant Debt Securities</w:t>
      </w:r>
      <w:r>
        <w:rPr>
          <w:rFonts w:ascii="Times New Roman" w:hAnsi="Times New Roman"/>
          <w:sz w:val="20"/>
        </w:rPr>
        <w:t xml:space="preserve">), of Tectonic Therapeutic,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Tectonic Therapeutic,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
        <w:gridCol w:w="707"/>
        <w:gridCol w:w="3882"/>
        <w:gridCol w:w="187"/>
        <w:gridCol w:w="925"/>
        <w:gridCol w:w="187"/>
        <w:gridCol w:w="4054"/>
      </w:tblGrid>
      <w:tr>
        <w:trPr/>
        <w:tc>
          <w:tcPr>
            <w:tcW w:w="263" w:type="dxa"/>
            <w:tcBorders/>
            <w:vAlign w:val="center"/>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Pr>
          <w:p>
            <w:pPr>
              <w:pStyle w:val="TableContents"/>
              <w:bidi w:val="0"/>
              <w:spacing w:before="0" w:after="283"/>
              <w:jc w:val="left"/>
              <w:rPr/>
            </w:pPr>
            <w:r>
              <w:rPr/>
              <w:t xml:space="preserve">Dated: </w:t>
            </w:r>
            <w:r>
              <w:rPr>
                <w:u w:val="single"/>
              </w:rPr>
              <w:t>     </w:t>
            </w:r>
          </w:p>
        </w:tc>
        <w:tc>
          <w:tcPr>
            <w:tcW w:w="187"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left"/>
              <w:rPr/>
            </w:pPr>
            <w:r>
              <w:rPr/>
              <w:t>Name:</w:t>
            </w:r>
          </w:p>
        </w:tc>
        <w:tc>
          <w:tcPr>
            <w:tcW w:w="187" w:type="dxa"/>
            <w:tcBorders>
              <w:bottom w:val="single" w:sz="2" w:space="0" w:color="000000"/>
            </w:tcBorders>
            <w:tcMar>
              <w:bottom w:w="28" w:type="dxa"/>
            </w:tcMar>
            <w:vAlign w:val="bottom"/>
          </w:tcPr>
          <w:p>
            <w:pPr>
              <w:pStyle w:val="TableContents"/>
              <w:bidi w:val="0"/>
              <w:spacing w:before="0" w:after="283"/>
              <w:jc w:val="left"/>
              <w:rPr/>
            </w:pPr>
            <w:r>
              <w:rPr/>
              <w:t>  </w:t>
            </w:r>
          </w:p>
        </w:tc>
        <w:tc>
          <w:tcPr>
            <w:tcW w:w="4054" w:type="dxa"/>
            <w:tcBorders>
              <w:bottom w:val="single" w:sz="2" w:space="0" w:color="000000"/>
            </w:tcBorders>
            <w:tcMar>
              <w:bottom w:w="28" w:type="dxa"/>
            </w:tcMar>
          </w:tcPr>
          <w:p>
            <w:pPr>
              <w:pStyle w:val="TableContents"/>
              <w:bidi w:val="0"/>
              <w:spacing w:before="0" w:after="283"/>
              <w:jc w:val="left"/>
              <w:rPr/>
            </w:pPr>
            <w:r>
              <w:rPr/>
              <w:t> </w:t>
            </w:r>
          </w:p>
        </w:tc>
      </w:tr>
      <w:tr>
        <w:trPr/>
        <w:tc>
          <w:tcPr>
            <w:tcW w:w="263" w:type="dxa"/>
            <w:tcBorders/>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925"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4054" w:type="dxa"/>
            <w:tcBorders/>
          </w:tcPr>
          <w:p>
            <w:pPr>
              <w:pStyle w:val="TableContents"/>
              <w:bidi w:val="0"/>
              <w:spacing w:before="0" w:after="283"/>
              <w:jc w:val="center"/>
              <w:rPr/>
            </w:pPr>
            <w:r>
              <w:rPr/>
              <w:t>Please Print  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60"/>
        <w:gridCol w:w="120"/>
        <w:gridCol w:w="4525"/>
      </w:tblGrid>
      <w:tr>
        <w:trPr/>
        <w:tc>
          <w:tcPr>
            <w:tcW w:w="55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r>
      <w:tr>
        <w:trPr/>
        <w:tc>
          <w:tcPr>
            <w:tcW w:w="5560"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525" w:type="dxa"/>
            <w:tcBorders/>
          </w:tcPr>
          <w:p>
            <w:pPr>
              <w:pStyle w:val="TableContents"/>
              <w:bidi w:val="0"/>
              <w:spacing w:before="0" w:after="283"/>
              <w:jc w:val="left"/>
              <w:rPr>
                <w:sz w:val="4"/>
                <w:szCs w:val="4"/>
              </w:rPr>
            </w:pPr>
            <w:r>
              <w:rPr>
                <w:sz w:val="4"/>
                <w:szCs w:val="4"/>
              </w:rPr>
            </w:r>
          </w:p>
        </w:tc>
      </w:tr>
      <w:tr>
        <w:trPr>
          <w:trHeight w:val="120" w:hRule="atLeast"/>
        </w:trPr>
        <w:tc>
          <w:tcPr>
            <w:tcW w:w="5560"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r>
      <w:tr>
        <w:trPr/>
        <w:tc>
          <w:tcPr>
            <w:tcW w:w="5560"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4525" w:type="dxa"/>
            <w:tcBorders/>
          </w:tcPr>
          <w:p>
            <w:pPr>
              <w:pStyle w:val="TableContents"/>
              <w:bidi w:val="0"/>
              <w:spacing w:before="0" w:after="283"/>
              <w:jc w:val="left"/>
              <w:rPr>
                <w:sz w:val="4"/>
                <w:szCs w:val="4"/>
              </w:rPr>
            </w:pPr>
            <w:r>
              <w:rPr>
                <w:sz w:val="4"/>
                <w:szCs w:val="4"/>
              </w:rPr>
            </w:r>
          </w:p>
        </w:tc>
      </w:tr>
      <w:tr>
        <w:trPr/>
        <w:tc>
          <w:tcPr>
            <w:tcW w:w="5560" w:type="dxa"/>
            <w:tcBorders/>
          </w:tcPr>
          <w:p>
            <w:pPr>
              <w:pStyle w:val="TableContents"/>
              <w:bidi w:val="0"/>
              <w:spacing w:before="0" w:after="283"/>
              <w:jc w:val="left"/>
              <w:rPr/>
            </w:pPr>
            <w:r>
              <w:rPr/>
              <w:t>(Insert Social Security or Other Identifying Number of Holder)</w:t>
            </w:r>
          </w:p>
        </w:tc>
        <w:tc>
          <w:tcPr>
            <w:tcW w:w="120" w:type="dxa"/>
            <w:tcBorders/>
            <w:vAlign w:val="bottom"/>
          </w:tcPr>
          <w:p>
            <w:pPr>
              <w:pStyle w:val="TableContents"/>
              <w:bidi w:val="0"/>
              <w:spacing w:before="0" w:after="283"/>
              <w:jc w:val="left"/>
              <w:rPr/>
            </w:pPr>
            <w:r>
              <w:rPr/>
              <w:t>  </w:t>
            </w:r>
          </w:p>
        </w:tc>
        <w:tc>
          <w:tcPr>
            <w:tcW w:w="4525" w:type="dxa"/>
            <w:tcBorders/>
          </w:tcPr>
          <w:p>
            <w:pPr>
              <w:pStyle w:val="TableContents"/>
              <w:bidi w:val="0"/>
              <w:spacing w:before="0" w:after="283"/>
              <w:jc w:val="left"/>
              <w:rPr>
                <w:sz w:val="4"/>
                <w:szCs w:val="4"/>
              </w:rPr>
            </w:pPr>
            <w:r>
              <w:rPr>
                <w:sz w:val="4"/>
                <w:szCs w:val="4"/>
              </w:rPr>
            </w:r>
          </w:p>
        </w:tc>
      </w:tr>
      <w:tr>
        <w:trPr>
          <w:trHeight w:val="240" w:hRule="atLeast"/>
        </w:trPr>
        <w:tc>
          <w:tcPr>
            <w:tcW w:w="5560"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r>
      <w:tr>
        <w:trPr/>
        <w:tc>
          <w:tcPr>
            <w:tcW w:w="5560" w:type="dxa"/>
            <w:tcBorders/>
          </w:tcPr>
          <w:p>
            <w:pPr>
              <w:pStyle w:val="TableContents"/>
              <w:bidi w:val="0"/>
              <w:spacing w:before="0" w:after="283"/>
              <w:jc w:val="left"/>
              <w:rPr/>
            </w:pPr>
            <w:r>
              <w:rPr/>
              <w:t>Signature Guaranteed: </w:t>
            </w:r>
            <w:r>
              <w:rPr>
                <w:u w:val="single"/>
              </w:rPr>
              <w:t>              </w:t>
            </w:r>
          </w:p>
        </w:tc>
        <w:tc>
          <w:tcPr>
            <w:tcW w:w="120" w:type="dxa"/>
            <w:tcBorders/>
            <w:vAlign w:val="bottom"/>
          </w:tcPr>
          <w:p>
            <w:pPr>
              <w:pStyle w:val="TableContents"/>
              <w:bidi w:val="0"/>
              <w:spacing w:before="0" w:after="283"/>
              <w:jc w:val="left"/>
              <w:rPr/>
            </w:pPr>
            <w:r>
              <w:rPr/>
              <w:t>  </w:t>
            </w:r>
          </w:p>
        </w:tc>
        <w:tc>
          <w:tcPr>
            <w:tcW w:w="4525" w:type="dxa"/>
            <w:tcBorders/>
          </w:tcPr>
          <w:p>
            <w:pPr>
              <w:pStyle w:val="TableContents"/>
              <w:bidi w:val="0"/>
              <w:spacing w:before="0" w:after="283"/>
              <w:jc w:val="left"/>
              <w:rPr>
                <w:sz w:val="4"/>
                <w:szCs w:val="4"/>
              </w:rPr>
            </w:pPr>
            <w:r>
              <w:rPr>
                <w:sz w:val="4"/>
                <w:szCs w:val="4"/>
              </w:rPr>
            </w:r>
          </w:p>
        </w:tc>
      </w:tr>
      <w:tr>
        <w:trPr/>
        <w:tc>
          <w:tcPr>
            <w:tcW w:w="5560" w:type="dxa"/>
            <w:tcBorders/>
          </w:tcPr>
          <w:p>
            <w:pPr>
              <w:pStyle w:val="TableContents"/>
              <w:bidi w:val="0"/>
              <w:spacing w:before="0" w:after="283"/>
              <w:jc w:val="center"/>
              <w:rPr/>
            </w:pPr>
            <w:r>
              <w:rPr/>
              <w:t>Signature</w:t>
            </w:r>
          </w:p>
        </w:tc>
        <w:tc>
          <w:tcPr>
            <w:tcW w:w="120" w:type="dxa"/>
            <w:tcBorders/>
            <w:vAlign w:val="bottom"/>
          </w:tcPr>
          <w:p>
            <w:pPr>
              <w:pStyle w:val="TableContents"/>
              <w:bidi w:val="0"/>
              <w:spacing w:before="0" w:after="283"/>
              <w:jc w:val="left"/>
              <w:rPr/>
            </w:pPr>
            <w:r>
              <w:rPr/>
              <w:t>  </w:t>
            </w:r>
          </w:p>
        </w:tc>
        <w:tc>
          <w:tcPr>
            <w:tcW w:w="452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Debt Securities and, if applicable, Warrant Certificates evidencing Warrants for the number of Warrant Debt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12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5"/>
        <w:gridCol w:w="120"/>
        <w:gridCol w:w="4910"/>
      </w:tblGrid>
      <w:tr>
        <w:trPr/>
        <w:tc>
          <w:tcPr>
            <w:tcW w:w="5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5175"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283"/>
              <w:jc w:val="left"/>
              <w:rPr>
                <w:u w:val="single"/>
              </w:rPr>
            </w:pPr>
            <w:r>
              <w:rPr>
                <w:u w:val="single"/>
              </w:rPr>
              <w:t>                       </w:t>
            </w:r>
          </w:p>
        </w:tc>
      </w:tr>
      <w:tr>
        <w:trPr/>
        <w:tc>
          <w:tcPr>
            <w:tcW w:w="5175" w:type="dxa"/>
            <w:tcBorders/>
          </w:tcPr>
          <w:p>
            <w:pPr>
              <w:pStyle w:val="TableContents"/>
              <w:bidi w:val="0"/>
              <w:spacing w:before="0" w:after="283"/>
              <w:jc w:val="left"/>
              <w:rPr/>
            </w:pPr>
            <w:r>
              <w:rPr/>
              <w:t>(Please print name and address including zip code)</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 aggregate principal amount of [Title of Warrant Debt Securities] of Tectonic Therapeutic,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3"/>
        <w:gridCol w:w="136"/>
        <w:gridCol w:w="725"/>
        <w:gridCol w:w="145"/>
        <w:gridCol w:w="3936"/>
      </w:tblGrid>
      <w:tr>
        <w:trPr/>
        <w:tc>
          <w:tcPr>
            <w:tcW w:w="526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3936" w:type="dxa"/>
            <w:tcBorders/>
            <w:vAlign w:val="center"/>
          </w:tcPr>
          <w:p>
            <w:pPr>
              <w:pStyle w:val="TableContents"/>
              <w:bidi w:val="0"/>
              <w:spacing w:before="0" w:after="283"/>
              <w:jc w:val="left"/>
              <w:rPr>
                <w:sz w:val="4"/>
                <w:szCs w:val="4"/>
              </w:rPr>
            </w:pPr>
            <w:r>
              <w:rPr>
                <w:sz w:val="4"/>
                <w:szCs w:val="4"/>
              </w:rPr>
            </w:r>
          </w:p>
        </w:tc>
      </w:tr>
      <w:tr>
        <w:trPr/>
        <w:tc>
          <w:tcPr>
            <w:tcW w:w="5263" w:type="dxa"/>
            <w:tcBorders/>
          </w:tcPr>
          <w:p>
            <w:pPr>
              <w:pStyle w:val="TableContents"/>
              <w:bidi w:val="0"/>
              <w:spacing w:before="0" w:after="283"/>
              <w:jc w:val="left"/>
              <w:rPr/>
            </w:pPr>
            <w:r>
              <w:rPr/>
              <w:t>Dated: </w:t>
            </w:r>
            <w:r>
              <w:rPr>
                <w:u w:val="single"/>
              </w:rPr>
              <w:t>           </w:t>
            </w:r>
          </w:p>
        </w:tc>
        <w:tc>
          <w:tcPr>
            <w:tcW w:w="136" w:type="dxa"/>
            <w:tcBorders/>
            <w:vAlign w:val="bottom"/>
          </w:tcPr>
          <w:p>
            <w:pPr>
              <w:pStyle w:val="TableContents"/>
              <w:bidi w:val="0"/>
              <w:spacing w:before="0" w:after="283"/>
              <w:jc w:val="left"/>
              <w:rPr/>
            </w:pPr>
            <w:r>
              <w:rPr/>
              <w:t>  </w:t>
            </w:r>
          </w:p>
        </w:tc>
        <w:tc>
          <w:tcPr>
            <w:tcW w:w="725"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3936" w:type="dxa"/>
            <w:tcBorders>
              <w:bottom w:val="single" w:sz="2" w:space="0" w:color="000000"/>
            </w:tcBorders>
            <w:tcMar>
              <w:bottom w:w="28" w:type="dxa"/>
            </w:tcMar>
          </w:tcPr>
          <w:p>
            <w:pPr>
              <w:pStyle w:val="TableContents"/>
              <w:bidi w:val="0"/>
              <w:spacing w:before="0" w:after="283"/>
              <w:jc w:val="left"/>
              <w:rPr/>
            </w:pPr>
            <w:r>
              <w:rPr/>
              <w:t> </w:t>
            </w:r>
          </w:p>
        </w:tc>
      </w:tr>
      <w:tr>
        <w:trPr/>
        <w:tc>
          <w:tcPr>
            <w:tcW w:w="5263"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4806" w:type="dxa"/>
            <w:gridSpan w:val="3"/>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39" w:name="d940804dex51.htm"/>
      <w:bookmarkStart w:id="40" w:name="ksd940804dex51"/>
      <w:bookmarkEnd w:id="39"/>
      <w:bookmarkEnd w:id="4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Brandon Fenn </w:t>
      </w:r>
    </w:p>
    <w:p>
      <w:pPr>
        <w:pStyle w:val="TextBody"/>
        <w:bidi w:val="0"/>
        <w:spacing w:before="0" w:after="0"/>
        <w:jc w:val="left"/>
        <w:rPr>
          <w:rFonts w:ascii="Times New Roman" w:hAnsi="Times New Roman"/>
          <w:sz w:val="20"/>
        </w:rPr>
      </w:pPr>
      <w:r>
        <w:rPr>
          <w:rFonts w:ascii="Times New Roman" w:hAnsi="Times New Roman"/>
          <w:sz w:val="20"/>
        </w:rPr>
        <w:t xml:space="preserve">+1 212 479 6626 </w:t>
      </w:r>
    </w:p>
    <w:p>
      <w:pPr>
        <w:pStyle w:val="TextBody"/>
        <w:bidi w:val="0"/>
        <w:spacing w:before="0" w:after="0"/>
        <w:jc w:val="left"/>
        <w:rPr>
          <w:rFonts w:ascii="Times New Roman" w:hAnsi="Times New Roman"/>
          <w:sz w:val="20"/>
        </w:rPr>
      </w:pPr>
      <w:r>
        <w:rPr>
          <w:rFonts w:ascii="Times New Roman" w:hAnsi="Times New Roman"/>
          <w:sz w:val="20"/>
        </w:rPr>
        <w:t xml:space="preserve">bfenn@cooley.com </w:t>
      </w:r>
    </w:p>
    <w:p>
      <w:pPr>
        <w:pStyle w:val="TextBody"/>
        <w:bidi w:val="0"/>
        <w:spacing w:before="240" w:after="0"/>
        <w:jc w:val="left"/>
        <w:rPr>
          <w:rFonts w:ascii="Times New Roman" w:hAnsi="Times New Roman"/>
          <w:sz w:val="20"/>
        </w:rPr>
      </w:pPr>
      <w:r>
        <w:rPr>
          <w:rFonts w:ascii="Times New Roman" w:hAnsi="Times New Roman"/>
          <w:sz w:val="20"/>
        </w:rPr>
        <w:t xml:space="preserve">July 7, 2025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Tectonic Therapeutic, Inc., a Delaware corporation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two prospectuses, (i) a base prospectus (the </w:t>
      </w:r>
      <w:r>
        <w:rPr>
          <w:rFonts w:ascii="Times New Roman" w:hAnsi="Times New Roman"/>
          <w:b/>
          <w:i/>
          <w:sz w:val="20"/>
        </w:rPr>
        <w:t>Base Prospectus</w:t>
      </w:r>
      <w:r>
        <w:rPr>
          <w:rFonts w:ascii="Times New Roman" w:hAnsi="Times New Roman"/>
          <w:sz w:val="20"/>
        </w:rPr>
        <w:t>) and (ii) a sales agreement prospectus (the </w:t>
      </w:r>
      <w:r>
        <w:rPr>
          <w:rFonts w:ascii="Times New Roman" w:hAnsi="Times New Roman"/>
          <w:b/>
          <w:i/>
          <w:sz w:val="20"/>
        </w:rPr>
        <w:t>Sales Agreement Prospectus</w:t>
      </w:r>
      <w:r>
        <w:rPr>
          <w:rFonts w:ascii="Times New Roman" w:hAnsi="Times New Roman"/>
          <w:sz w:val="20"/>
        </w:rPr>
        <w:t>) covering up to $100,000,000 of the Companys common stock, $0.0001 par value per share (</w:t>
      </w:r>
      <w:r>
        <w:rPr>
          <w:rFonts w:ascii="Times New Roman" w:hAnsi="Times New Roman"/>
          <w:b/>
          <w:sz w:val="20"/>
        </w:rPr>
        <w:t>Common Stock</w:t>
      </w:r>
      <w:r>
        <w:rPr>
          <w:rFonts w:ascii="Times New Roman" w:hAnsi="Times New Roman"/>
          <w:sz w:val="20"/>
        </w:rPr>
        <w:t>) that may be sold under the Sales Agreement, dated July 7, 2025, between the Company and TD Securities (USA) LLC (such agreement, the </w:t>
      </w:r>
      <w:r>
        <w:rPr>
          <w:rFonts w:ascii="Times New Roman" w:hAnsi="Times New Roman"/>
          <w:b/>
          <w:i/>
          <w:sz w:val="20"/>
        </w:rPr>
        <w:t>Sales Agreement</w:t>
      </w:r>
      <w:r>
        <w:rPr>
          <w:rFonts w:ascii="Times New Roman" w:hAnsi="Times New Roman"/>
          <w:sz w:val="20"/>
        </w:rPr>
        <w:t>, and such shares, the </w:t>
      </w:r>
      <w:r>
        <w:rPr>
          <w:rFonts w:ascii="Times New Roman" w:hAnsi="Times New Roman"/>
          <w:b/>
          <w:i/>
          <w:sz w:val="20"/>
        </w:rPr>
        <w:t>Placement Shares</w:t>
      </w:r>
      <w:r>
        <w:rPr>
          <w:rFonts w:ascii="Times New Roman" w:hAnsi="Times New Roman"/>
          <w:sz w:val="20"/>
        </w:rPr>
        <w:t>). The Base Prospectus provides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and the Sales Agreement Prospectus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shares of Common Stock (the </w:t>
            </w:r>
            <w:r>
              <w:rPr>
                <w:rFonts w:ascii="Times New Roman" w:hAnsi="Times New Roman"/>
                <w:b/>
                <w:i/>
                <w:sz w:val="20"/>
              </w:rPr>
              <w:t>Base Prospectus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par value $0.0001 per share, of the Company (the </w:t>
            </w:r>
            <w:r>
              <w:rPr>
                <w:rFonts w:ascii="Times New Roman" w:hAnsi="Times New Roman"/>
                <w:b/>
                <w:i/>
                <w:sz w:val="20"/>
              </w:rPr>
              <w:t>Preferred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in the form filed as Exhibit 4.5 to the Registration Statement and one or more indentures supplemental thereto with respect to any particular series of Debt Securities (the </w:t>
            </w:r>
            <w:r>
              <w:rPr>
                <w:rFonts w:ascii="Times New Roman" w:hAnsi="Times New Roman"/>
                <w:b/>
                <w:i/>
                <w:sz w:val="20"/>
              </w:rPr>
              <w:t>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 Preferred Stock or Debt Securities (the </w:t>
            </w:r>
            <w:r>
              <w:rPr>
                <w:rFonts w:ascii="Times New Roman" w:hAnsi="Times New Roman"/>
                <w:b/>
                <w:i/>
                <w:sz w:val="20"/>
              </w:rPr>
              <w:t>Warrants</w:t>
            </w:r>
            <w:r>
              <w:rPr>
                <w:rFonts w:ascii="Times New Roman" w:hAnsi="Times New Roman"/>
                <w:sz w:val="20"/>
              </w:rPr>
              <w:t>), which may be issued under one or more warrant agreements, to be dated on or about the date of the first issuance of the Warrants thereunder, by and between a warrant agent to be selected by the Company (the </w:t>
            </w:r>
            <w:r>
              <w:rPr>
                <w:rFonts w:ascii="Times New Roman" w:hAnsi="Times New Roman"/>
                <w:b/>
                <w:i/>
                <w:sz w:val="20"/>
              </w:rPr>
              <w:t>Warrant Agent</w:t>
            </w:r>
            <w:r>
              <w:rPr>
                <w:rFonts w:ascii="Times New Roman" w:hAnsi="Times New Roman"/>
                <w:sz w:val="20"/>
              </w:rPr>
              <w:t>) and the Company, in the forms filed as Exhibits 4.8, 4.9 and 4.10, respectively, to the Registration Statement (each, a </w:t>
            </w:r>
            <w:r>
              <w:rPr>
                <w:rFonts w:ascii="Times New Roman" w:hAnsi="Times New Roman"/>
                <w:b/>
                <w:i/>
                <w:sz w:val="20"/>
              </w:rPr>
              <w:t>Warrant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Placement Shares. </w:t>
            </w:r>
          </w:p>
        </w:tc>
      </w:tr>
    </w:tbl>
    <w:p>
      <w:pPr>
        <w:pStyle w:val="TextBody"/>
        <w:bidi w:val="0"/>
        <w:spacing w:before="240" w:after="0"/>
        <w:jc w:val="left"/>
        <w:rPr>
          <w:rFonts w:ascii="Times New Roman" w:hAnsi="Times New Roman"/>
          <w:sz w:val="20"/>
        </w:rPr>
      </w:pPr>
      <w:r>
        <w:rPr>
          <w:rFonts w:ascii="Times New Roman" w:hAnsi="Times New Roman"/>
          <w:sz w:val="20"/>
        </w:rPr>
        <w:t>The Base Prospectus Shares, the Preferred Stock, the Debt Securities, the Warrants and the Placement Shares,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hAnsi="Times New Roman"/>
          <w:b/>
          <w:i/>
          <w:sz w:val="20"/>
        </w:rPr>
        <w:t>Securities</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drawing>
                <wp:inline distT="0" distB="0" distL="0" distR="0">
                  <wp:extent cx="12954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1295400" cy="4191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p>
            <w:pPr>
              <w:pStyle w:val="TableContents"/>
              <w:bidi w:val="0"/>
              <w:spacing w:before="0" w:after="0"/>
              <w:jc w:val="left"/>
              <w:rPr>
                <w:rFonts w:ascii="Times New Roman" w:hAnsi="Times New Roman"/>
                <w:sz w:val="20"/>
              </w:rPr>
            </w:pPr>
            <w:r>
              <w:rPr>
                <w:rFonts w:ascii="Times New Roman" w:hAnsi="Times New Roman"/>
                <w:sz w:val="20"/>
              </w:rPr>
              <w:t>July 7, 2025</w:t>
            </w:r>
          </w:p>
          <w:p>
            <w:pPr>
              <w:pStyle w:val="TableContents"/>
              <w:bidi w:val="0"/>
              <w:spacing w:before="0" w:after="20"/>
              <w:jc w:val="left"/>
              <w:rPr>
                <w:rFonts w:ascii="Times New Roman" w:hAnsi="Times New Roman"/>
                <w:sz w:val="20"/>
              </w:rPr>
            </w:pPr>
            <w:r>
              <w:rPr>
                <w:rFonts w:ascii="Times New Roman" w:hAnsi="Times New Roman"/>
                <w:sz w:val="20"/>
              </w:rPr>
              <w:t>Page Two</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opinion, we have examined and relied upon the Companys certificate of incorporation and bylaws, each as currently in effect, and such other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With respect to the Placement Shares, we have assumed that (i) each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hAnsi="Times New Roman"/>
          <w:b/>
          <w:i/>
          <w:sz w:val="20"/>
        </w:rPr>
        <w:t>DGCL</w:t>
      </w:r>
      <w:r>
        <w:rPr>
          <w:rFonts w:ascii="Times New Roman" w:hAnsi="Times New Roman"/>
          <w:sz w:val="20"/>
        </w:rPr>
        <w:t xml:space="preserve">) and (ii) no more than 30,000,000 Placement Shares will be sold for a consideration not less than the par value of the Common Stock. With respect to the Placement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DGCL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drawing>
                <wp:inline distT="0" distB="0" distL="0" distR="0">
                  <wp:extent cx="12954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1295400" cy="4191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p>
            <w:pPr>
              <w:pStyle w:val="TableContents"/>
              <w:bidi w:val="0"/>
              <w:spacing w:before="0" w:after="0"/>
              <w:jc w:val="left"/>
              <w:rPr>
                <w:rFonts w:ascii="Times New Roman" w:hAnsi="Times New Roman"/>
                <w:sz w:val="20"/>
              </w:rPr>
            </w:pPr>
            <w:r>
              <w:rPr>
                <w:rFonts w:ascii="Times New Roman" w:hAnsi="Times New Roman"/>
                <w:sz w:val="20"/>
              </w:rPr>
              <w:t>July 7, 2025</w:t>
            </w:r>
          </w:p>
          <w:p>
            <w:pPr>
              <w:pStyle w:val="TableContents"/>
              <w:bidi w:val="0"/>
              <w:spacing w:before="0" w:after="20"/>
              <w:jc w:val="left"/>
              <w:rPr>
                <w:rFonts w:ascii="Times New Roman" w:hAnsi="Times New Roman"/>
                <w:sz w:val="20"/>
              </w:rPr>
            </w:pPr>
            <w:r>
              <w:rPr>
                <w:rFonts w:ascii="Times New Roman" w:hAnsi="Times New Roman"/>
                <w:sz w:val="20"/>
              </w:rPr>
              <w:t>Page Three</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Times New Roman" w:hAnsi="Times New Roman"/>
          <w:b/>
          <w:i/>
          <w:sz w:val="20"/>
        </w:rPr>
        <w:t>Certificate of Incorporation</w:t>
      </w:r>
      <w:r>
        <w:rPr>
          <w:rFonts w:ascii="Times New Roman" w:hAnsi="Times New Roman"/>
          <w:sz w:val="20"/>
        </w:rPr>
        <w:t>) and bylaws (the </w:t>
      </w:r>
      <w:r>
        <w:rPr>
          <w:rFonts w:ascii="Times New Roman" w:hAnsi="Times New Roman"/>
          <w:b/>
          <w:i/>
          <w:sz w:val="20"/>
        </w:rPr>
        <w:t>Bylaws</w:t>
      </w:r>
      <w:r>
        <w:rPr>
          <w:rFonts w:ascii="Times New Roman" w:hAnsi="Times New Roman"/>
          <w:sz w:val="20"/>
        </w:rPr>
        <w:t xml:space="preserve">),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drawing>
                <wp:inline distT="0" distB="0" distL="0" distR="0">
                  <wp:extent cx="12954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9"/>
                          <a:stretch>
                            <a:fillRect/>
                          </a:stretch>
                        </pic:blipFill>
                        <pic:spPr bwMode="auto">
                          <a:xfrm>
                            <a:off x="0" y="0"/>
                            <a:ext cx="1295400" cy="4191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p>
            <w:pPr>
              <w:pStyle w:val="TableContents"/>
              <w:bidi w:val="0"/>
              <w:spacing w:before="0" w:after="0"/>
              <w:jc w:val="left"/>
              <w:rPr>
                <w:rFonts w:ascii="Times New Roman" w:hAnsi="Times New Roman"/>
                <w:sz w:val="20"/>
              </w:rPr>
            </w:pPr>
            <w:r>
              <w:rPr>
                <w:rFonts w:ascii="Times New Roman" w:hAnsi="Times New Roman"/>
                <w:sz w:val="20"/>
              </w:rPr>
              <w:t>July 7, 2025</w:t>
            </w:r>
          </w:p>
          <w:p>
            <w:pPr>
              <w:pStyle w:val="TableContents"/>
              <w:bidi w:val="0"/>
              <w:spacing w:before="0" w:after="20"/>
              <w:jc w:val="left"/>
              <w:rPr>
                <w:rFonts w:ascii="Times New Roman" w:hAnsi="Times New Roman"/>
                <w:sz w:val="20"/>
              </w:rPr>
            </w:pPr>
            <w:r>
              <w:rPr>
                <w:rFonts w:ascii="Times New Roman" w:hAnsi="Times New Roman"/>
                <w:sz w:val="20"/>
              </w:rPr>
              <w:t>Page Four</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Placement Shares, when sold and issued against payment therefor in accordance with the Sales Agreement, the Registration Statement and the Sales Agreement Prospectus,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drawing>
                <wp:inline distT="0" distB="0" distL="0" distR="0">
                  <wp:extent cx="12954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0"/>
                          <a:stretch>
                            <a:fillRect/>
                          </a:stretch>
                        </pic:blipFill>
                        <pic:spPr bwMode="auto">
                          <a:xfrm>
                            <a:off x="0" y="0"/>
                            <a:ext cx="1295400" cy="4191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p>
            <w:pPr>
              <w:pStyle w:val="TableContents"/>
              <w:bidi w:val="0"/>
              <w:spacing w:before="0" w:after="0"/>
              <w:jc w:val="left"/>
              <w:rPr>
                <w:rFonts w:ascii="Times New Roman" w:hAnsi="Times New Roman"/>
                <w:sz w:val="20"/>
              </w:rPr>
            </w:pPr>
            <w:r>
              <w:rPr>
                <w:rFonts w:ascii="Times New Roman" w:hAnsi="Times New Roman"/>
                <w:sz w:val="20"/>
              </w:rPr>
              <w:t>July 7, 2025</w:t>
            </w:r>
          </w:p>
          <w:p>
            <w:pPr>
              <w:pStyle w:val="TableContents"/>
              <w:bidi w:val="0"/>
              <w:spacing w:before="0" w:after="20"/>
              <w:jc w:val="left"/>
              <w:rPr>
                <w:rFonts w:ascii="Times New Roman" w:hAnsi="Times New Roman"/>
                <w:sz w:val="20"/>
              </w:rPr>
            </w:pPr>
            <w:r>
              <w:rPr>
                <w:rFonts w:ascii="Times New Roman" w:hAnsi="Times New Roman"/>
                <w:sz w:val="20"/>
              </w:rPr>
              <w:t>Page Five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Fenn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Brandon Fenn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55 HUDSON YARDS, NEW YORK, NY 10001 </w:t>
      </w:r>
    </w:p>
    <w:p>
      <w:pPr>
        <w:pStyle w:val="TextBody"/>
        <w:bidi w:val="0"/>
        <w:spacing w:before="0" w:after="0"/>
        <w:jc w:val="center"/>
        <w:rPr>
          <w:rFonts w:ascii="Times New Roman" w:hAnsi="Times New Roman"/>
          <w:sz w:val="20"/>
        </w:rPr>
      </w:pPr>
      <w:r>
        <w:rPr>
          <w:rFonts w:ascii="Times New Roman" w:hAnsi="Times New Roman"/>
          <w:sz w:val="20"/>
        </w:rPr>
        <w:t xml:space="preserve">T: (212) 479-6000 F: (212) 479-6275 COOLEY.COM </w:t>
      </w:r>
    </w:p>
    <w:p>
      <w:pPr>
        <w:pStyle w:val="TextBody"/>
        <w:bidi w:val="0"/>
        <w:spacing w:before="0" w:after="0"/>
        <w:jc w:val="right"/>
        <w:rPr>
          <w:rFonts w:ascii="Times New Roman" w:hAnsi="Times New Roman"/>
          <w:b/>
          <w:sz w:val="20"/>
        </w:rPr>
      </w:pPr>
      <w:bookmarkStart w:id="41" w:name="d940804dex231.htm"/>
      <w:bookmarkStart w:id="42" w:name="ksd940804dex231"/>
      <w:bookmarkEnd w:id="41"/>
      <w:bookmarkEnd w:id="4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20, 2025, relating to the financial statements of Tectonic Therapeutic, Inc., appearing in the Annual Report on Form 10-K of Tectonic Therapeutic, Inc. for the year ended December 31, 2024.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July 7, 2025 </w:t>
      </w:r>
    </w:p>
    <w:p>
      <w:pPr>
        <w:pStyle w:val="TextBody"/>
        <w:bidi w:val="0"/>
        <w:spacing w:before="0" w:after="0"/>
        <w:jc w:val="right"/>
        <w:rPr>
          <w:rFonts w:ascii="Times New Roman" w:hAnsi="Times New Roman"/>
          <w:b/>
          <w:sz w:val="20"/>
        </w:rPr>
      </w:pPr>
      <w:bookmarkStart w:id="43" w:name="d940804dexfilingfees.htm"/>
      <w:bookmarkStart w:id="44" w:name="ksd940804dexfilingfees"/>
      <w:bookmarkEnd w:id="43"/>
      <w:bookmarkEnd w:id="44"/>
      <w:r>
        <w:rPr>
          <w:rFonts w:ascii="Times New Roman" w:hAnsi="Times New Roman"/>
          <w:b/>
          <w:sz w:val="20"/>
        </w:rPr>
        <w:t xml:space="preserve">Exhibit 107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15120" w:type="dxa"/>
        <w:jc w:val="center"/>
        <w:tblInd w:w="0" w:type="dxa"/>
        <w:tblLayout w:type="fixed"/>
        <w:tblCellMar>
          <w:top w:w="0" w:type="dxa"/>
          <w:left w:w="0" w:type="dxa"/>
          <w:bottom w:w="0" w:type="dxa"/>
          <w:right w:w="0" w:type="dxa"/>
        </w:tblCellMar>
      </w:tblPr>
      <w:tblGrid>
        <w:gridCol w:w="380"/>
        <w:gridCol w:w="60"/>
        <w:gridCol w:w="2840"/>
        <w:gridCol w:w="60"/>
        <w:gridCol w:w="4520"/>
        <w:gridCol w:w="60"/>
        <w:gridCol w:w="1100"/>
        <w:gridCol w:w="60"/>
        <w:gridCol w:w="1025"/>
        <w:gridCol w:w="60"/>
        <w:gridCol w:w="995"/>
        <w:gridCol w:w="60"/>
        <w:gridCol w:w="1340"/>
        <w:gridCol w:w="60"/>
        <w:gridCol w:w="1280"/>
        <w:gridCol w:w="60"/>
        <w:gridCol w:w="11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4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b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15120" w:type="dxa"/>
            <w:gridSpan w:val="17"/>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5120" w:type="dxa"/>
            <w:gridSpan w:val="17"/>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Newly Registered Securities</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9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4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4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20" w:type="dxa"/>
            <w:tcBorders/>
            <w:vAlign w:val="bottom"/>
          </w:tcPr>
          <w:p>
            <w:pPr>
              <w:pStyle w:val="TableContents"/>
              <w:bidi w:val="0"/>
              <w:spacing w:before="0" w:after="283"/>
              <w:jc w:val="center"/>
              <w:rPr/>
            </w:pPr>
            <w:r>
              <w:rPr/>
              <w:t>Common Stock, par value $0.0001 per share(1)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(2)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(3)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c>
          <w:tcPr>
            <w:tcW w:w="380" w:type="dxa"/>
            <w:vMerge w:val="continue"/>
            <w:tcBorders>
              <w:left w:val="single" w:sz="2" w:space="0" w:color="000000"/>
            </w:tcBorders>
            <w:tcMar>
              <w:left w:w="160" w:type="dxa"/>
            </w:tcMar>
            <w:vAlign w:val="center"/>
          </w:tcPr>
          <w:p>
            <w:pPr>
              <w:pStyle w:val="Normal"/>
              <w:bidi w:val="0"/>
              <w:jc w:val="left"/>
              <w:rPr/>
            </w:pPr>
            <w:r>
              <w:rPr/>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2840" w:type="dxa"/>
            <w:tcBorders>
              <w:top w:val="single" w:sz="2" w:space="0" w:color="000000"/>
            </w:tcBorders>
            <w:tcMar>
              <w:top w:w="28" w:type="dxa"/>
            </w:tcMar>
            <w:vAlign w:val="bottom"/>
          </w:tcPr>
          <w:p>
            <w:pPr>
              <w:pStyle w:val="TableContents"/>
              <w:bidi w:val="0"/>
              <w:spacing w:before="0" w:after="283"/>
              <w:jc w:val="center"/>
              <w:rPr/>
            </w:pPr>
            <w:r>
              <w:rPr/>
              <w:t>Equity</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520" w:type="dxa"/>
            <w:tcBorders>
              <w:top w:val="single" w:sz="2" w:space="0" w:color="000000"/>
            </w:tcBorders>
            <w:tcMar>
              <w:top w:w="28" w:type="dxa"/>
            </w:tcMar>
            <w:vAlign w:val="bottom"/>
          </w:tcPr>
          <w:p>
            <w:pPr>
              <w:pStyle w:val="TableContents"/>
              <w:bidi w:val="0"/>
              <w:spacing w:before="0" w:after="283"/>
              <w:jc w:val="center"/>
              <w:rPr/>
            </w:pPr>
            <w:r>
              <w:rPr/>
              <w:t>Preferred Stock, par value $0.0001 per share(1)</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0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025" w:type="dxa"/>
            <w:tcBorders>
              <w:top w:val="single" w:sz="2" w:space="0" w:color="000000"/>
            </w:tcBorders>
            <w:tcMar>
              <w:top w:w="28" w:type="dxa"/>
            </w:tcMar>
            <w:vAlign w:val="bottom"/>
          </w:tcPr>
          <w:p>
            <w:pPr>
              <w:pStyle w:val="TableContents"/>
              <w:bidi w:val="0"/>
              <w:spacing w:before="0" w:after="283"/>
              <w:jc w:val="center"/>
              <w:rPr/>
            </w:pPr>
            <w:r>
              <w:rPr/>
              <w:t>(2)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995" w:type="dxa"/>
            <w:tcBorders>
              <w:top w:val="single" w:sz="2" w:space="0" w:color="000000"/>
            </w:tcBorders>
            <w:tcMar>
              <w:top w:w="28" w:type="dxa"/>
            </w:tcMar>
            <w:vAlign w:val="bottom"/>
          </w:tcPr>
          <w:p>
            <w:pPr>
              <w:pStyle w:val="TableContents"/>
              <w:bidi w:val="0"/>
              <w:spacing w:before="0" w:after="283"/>
              <w:jc w:val="center"/>
              <w:rPr/>
            </w:pPr>
            <w:r>
              <w:rPr/>
              <w:t>(3)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34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28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60"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pPr>
            <w:r>
              <w:rPr/>
              <w:t></w:t>
            </w:r>
          </w:p>
        </w:tc>
      </w:tr>
      <w:tr>
        <w:trPr/>
        <w:tc>
          <w:tcPr>
            <w:tcW w:w="380" w:type="dxa"/>
            <w:vMerge w:val="continue"/>
            <w:tcBorders>
              <w:left w:val="single" w:sz="2" w:space="0" w:color="000000"/>
            </w:tcBorders>
            <w:tcMar>
              <w:left w:w="160" w:type="dxa"/>
            </w:tcMar>
            <w:vAlign w:val="center"/>
          </w:tcPr>
          <w:p>
            <w:pPr>
              <w:pStyle w:val="Normal"/>
              <w:bidi w:val="0"/>
              <w:jc w:val="left"/>
              <w:rPr/>
            </w:pPr>
            <w:r>
              <w:rPr/>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2840" w:type="dxa"/>
            <w:tcBorders>
              <w:top w:val="single" w:sz="2" w:space="0" w:color="000000"/>
            </w:tcBorders>
            <w:tcMar>
              <w:top w:w="28" w:type="dxa"/>
            </w:tcMar>
            <w:vAlign w:val="bottom"/>
          </w:tcPr>
          <w:p>
            <w:pPr>
              <w:pStyle w:val="TableContents"/>
              <w:bidi w:val="0"/>
              <w:spacing w:before="0" w:after="283"/>
              <w:jc w:val="center"/>
              <w:rPr/>
            </w:pPr>
            <w:r>
              <w:rPr/>
              <w:t>Debt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520" w:type="dxa"/>
            <w:tcBorders>
              <w:top w:val="single" w:sz="2" w:space="0" w:color="000000"/>
            </w:tcBorders>
            <w:tcMar>
              <w:top w:w="28" w:type="dxa"/>
            </w:tcMar>
            <w:vAlign w:val="bottom"/>
          </w:tcPr>
          <w:p>
            <w:pPr>
              <w:pStyle w:val="TableContents"/>
              <w:bidi w:val="0"/>
              <w:spacing w:before="0" w:after="283"/>
              <w:jc w:val="center"/>
              <w:rPr/>
            </w:pPr>
            <w:r>
              <w:rPr/>
              <w:t>Debt Securities(1)</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0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025" w:type="dxa"/>
            <w:tcBorders>
              <w:top w:val="single" w:sz="2" w:space="0" w:color="000000"/>
            </w:tcBorders>
            <w:tcMar>
              <w:top w:w="28" w:type="dxa"/>
            </w:tcMar>
            <w:vAlign w:val="bottom"/>
          </w:tcPr>
          <w:p>
            <w:pPr>
              <w:pStyle w:val="TableContents"/>
              <w:bidi w:val="0"/>
              <w:spacing w:before="0" w:after="283"/>
              <w:jc w:val="center"/>
              <w:rPr/>
            </w:pPr>
            <w:r>
              <w:rPr/>
              <w:t>(2)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995" w:type="dxa"/>
            <w:tcBorders>
              <w:top w:val="single" w:sz="2" w:space="0" w:color="000000"/>
            </w:tcBorders>
            <w:tcMar>
              <w:top w:w="28" w:type="dxa"/>
            </w:tcMar>
            <w:vAlign w:val="bottom"/>
          </w:tcPr>
          <w:p>
            <w:pPr>
              <w:pStyle w:val="TableContents"/>
              <w:bidi w:val="0"/>
              <w:spacing w:before="0" w:after="283"/>
              <w:jc w:val="center"/>
              <w:rPr/>
            </w:pPr>
            <w:r>
              <w:rPr/>
              <w:t>(3)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34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28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60"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pPr>
            <w:r>
              <w:rPr/>
              <w:t></w:t>
            </w:r>
          </w:p>
        </w:tc>
      </w:tr>
      <w:tr>
        <w:trPr/>
        <w:tc>
          <w:tcPr>
            <w:tcW w:w="380" w:type="dxa"/>
            <w:vMerge w:val="continue"/>
            <w:tcBorders>
              <w:left w:val="single" w:sz="2" w:space="0" w:color="000000"/>
            </w:tcBorders>
            <w:tcMar>
              <w:left w:w="160" w:type="dxa"/>
            </w:tcMar>
            <w:vAlign w:val="center"/>
          </w:tcPr>
          <w:p>
            <w:pPr>
              <w:pStyle w:val="Normal"/>
              <w:bidi w:val="0"/>
              <w:jc w:val="left"/>
              <w:rPr/>
            </w:pPr>
            <w:r>
              <w:rPr/>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2840" w:type="dxa"/>
            <w:tcBorders>
              <w:top w:val="single" w:sz="2" w:space="0" w:color="000000"/>
            </w:tcBorders>
            <w:tcMar>
              <w:top w:w="28" w:type="dxa"/>
            </w:tcMar>
            <w:vAlign w:val="bottom"/>
          </w:tcPr>
          <w:p>
            <w:pPr>
              <w:pStyle w:val="TableContents"/>
              <w:bidi w:val="0"/>
              <w:spacing w:before="0" w:after="283"/>
              <w:jc w:val="center"/>
              <w:rPr/>
            </w:pPr>
            <w:r>
              <w:rPr/>
              <w:t>Other</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520" w:type="dxa"/>
            <w:tcBorders>
              <w:top w:val="single" w:sz="2" w:space="0" w:color="000000"/>
            </w:tcBorders>
            <w:tcMar>
              <w:top w:w="28" w:type="dxa"/>
            </w:tcMar>
            <w:vAlign w:val="bottom"/>
          </w:tcPr>
          <w:p>
            <w:pPr>
              <w:pStyle w:val="TableContents"/>
              <w:bidi w:val="0"/>
              <w:spacing w:before="0" w:after="283"/>
              <w:jc w:val="center"/>
              <w:rPr/>
            </w:pPr>
            <w:r>
              <w:rPr/>
              <w:t>Warrants(1)</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0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025" w:type="dxa"/>
            <w:tcBorders>
              <w:top w:val="single" w:sz="2" w:space="0" w:color="000000"/>
            </w:tcBorders>
            <w:tcMar>
              <w:top w:w="28" w:type="dxa"/>
            </w:tcMar>
            <w:vAlign w:val="bottom"/>
          </w:tcPr>
          <w:p>
            <w:pPr>
              <w:pStyle w:val="TableContents"/>
              <w:bidi w:val="0"/>
              <w:spacing w:before="0" w:after="283"/>
              <w:jc w:val="center"/>
              <w:rPr/>
            </w:pPr>
            <w:r>
              <w:rPr/>
              <w:t>(2)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995" w:type="dxa"/>
            <w:tcBorders>
              <w:top w:val="single" w:sz="2" w:space="0" w:color="000000"/>
            </w:tcBorders>
            <w:tcMar>
              <w:top w:w="28" w:type="dxa"/>
            </w:tcMar>
            <w:vAlign w:val="bottom"/>
          </w:tcPr>
          <w:p>
            <w:pPr>
              <w:pStyle w:val="TableContents"/>
              <w:bidi w:val="0"/>
              <w:spacing w:before="0" w:after="283"/>
              <w:jc w:val="center"/>
              <w:rPr/>
            </w:pPr>
            <w:r>
              <w:rPr/>
              <w:t>(3) </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34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280" w:type="dxa"/>
            <w:tcBorders>
              <w:top w:val="single" w:sz="2" w:space="0" w:color="000000"/>
            </w:tcBorders>
            <w:tcMar>
              <w:top w:w="28" w:type="dxa"/>
            </w:tcMar>
            <w:vAlign w:val="bottom"/>
          </w:tcPr>
          <w:p>
            <w:pPr>
              <w:pStyle w:val="TableContents"/>
              <w:bidi w:val="0"/>
              <w:spacing w:before="0" w:after="283"/>
              <w:jc w:val="center"/>
              <w:rPr/>
            </w:pPr>
            <w:r>
              <w:rPr/>
              <w:t></w:t>
            </w:r>
          </w:p>
        </w:tc>
        <w:tc>
          <w:tcPr>
            <w:tcW w:w="6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160"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9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4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right w:val="single" w:sz="2" w:space="0" w:color="000000"/>
            </w:tcBorders>
            <w:tcMar>
              <w:left w:w="160" w:type="dxa"/>
              <w:right w:w="28"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840" w:type="dxa"/>
            <w:tcBorders/>
            <w:vAlign w:val="bottom"/>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52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(2)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(3)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$400,000,000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$0.00015310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$61,240</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7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665"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$400,000,000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$0.00015310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$61,240</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7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665"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7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665"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72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665"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$61,240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Separate consideration may or may not be received for securities that are issuable upon the conversion or exercise of, or in exchange for, other securities offered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shall have an aggregate initial offering price not to exceed $400,000,000. If any debt securities are issued at an original issue discount, then the principal amount of such debt securities shall be in such greater amount as shall result in an aggregate initial offering price not to exceed $400,000,000, less the aggregate dollar amount of all securities previously issued hereunder. Any securities registered hereunder may be sold separately or in combination with other securities registered hereunder. The $400,000,000 of securities registered hereunder includes $100,000,000 of shares of common stock that may be offered, issued and sold pursuant to that certain sales agreement, dated July 7, 2025, by and between the registrant and TD Securities (USA) LLC. The securities registered also include such indeterminate number of shares of common stock,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under the heading Instructions to the Calculation of Filing Fee Tables and Related Disclosure of Part II, Item 16, of Form S-3 under the Securities Act.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81087/000095017025042648/tecx-20241231.htm" TargetMode="External"/><Relationship Id="rId4" Type="http://schemas.openxmlformats.org/officeDocument/2006/relationships/hyperlink" Target="http://www.sec.gov/Archives/edgar/data/../../../ix?doc=/Archives/edgar/data/0001681087/000119312525096764/d949345ddef14a.htm" TargetMode="External"/><Relationship Id="rId5" Type="http://schemas.openxmlformats.org/officeDocument/2006/relationships/hyperlink" Target="http://www.sec.gov/Archives/edgar/data/../../../ix?doc=/Archives/edgar/data/0001681087/000095017025067037/tecx-20250331.htm" TargetMode="External"/><Relationship Id="rId6" Type="http://schemas.openxmlformats.org/officeDocument/2006/relationships/hyperlink" Target="http://www.sec.gov/Archives/edgar/data/../../../ix?doc=/Archives/edgar/data/0001681087/000119312525016224/d817477d8k.htm" TargetMode="External"/><Relationship Id="rId7" Type="http://schemas.openxmlformats.org/officeDocument/2006/relationships/hyperlink" Target="http://www.sec.gov/Archives/edgar/data/../../../ix?doc=/Archives/edgar/data/0001681087/000119312525018840/d843684d8k.htm" TargetMode="External"/><Relationship Id="rId8" Type="http://schemas.openxmlformats.org/officeDocument/2006/relationships/hyperlink" Target="http://www.sec.gov/Archives/edgar/data/../../../ix?doc=/Archives/edgar/data/0001681087/000119312525122511/d939029d8k.htm" TargetMode="External"/><Relationship Id="rId9" Type="http://schemas.openxmlformats.org/officeDocument/2006/relationships/hyperlink" Target="http://www.sec.gov/Archives/edgar/data/../../../ix?doc=/Archives/edgar/data/0001681087/000119312525137149/d31142d8k.htm" TargetMode="External"/><Relationship Id="rId10" Type="http://schemas.openxmlformats.org/officeDocument/2006/relationships/hyperlink" Target="http://www.sec.gov/Archives/edgar/data/1681087/000095017025042648/tecx-ex4_1.htm" TargetMode="External"/><Relationship Id="rId11" Type="http://schemas.openxmlformats.org/officeDocument/2006/relationships/hyperlink" Target="http://www.sec.gov/Archives/edgar/data/../../../ix?doc=/Archives/edgar/data/0001681087/000095017025042648/tecx-20241231.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0001681087/000095017025042648/tecx-20241231.htm" TargetMode="External"/><Relationship Id="rId14" Type="http://schemas.openxmlformats.org/officeDocument/2006/relationships/hyperlink" Target="http://www.sec.gov/Archives/edgar/data/../../../ix?doc=/Archives/edgar/data/0001681087/000119312525096764/d949345ddef14a.htm" TargetMode="External"/><Relationship Id="rId15" Type="http://schemas.openxmlformats.org/officeDocument/2006/relationships/hyperlink" Target="http://www.sec.gov/Archives/edgar/data/../../../ix?doc=/Archives/edgar/data/0001681087/000095017025067037/tecx-20250331.htm" TargetMode="External"/><Relationship Id="rId16" Type="http://schemas.openxmlformats.org/officeDocument/2006/relationships/hyperlink" Target="http://www.sec.gov/Archives/edgar/data/../../../ix?doc=/Archives/edgar/data/0001681087/000119312525016224/d817477d8k.htm" TargetMode="External"/><Relationship Id="rId17" Type="http://schemas.openxmlformats.org/officeDocument/2006/relationships/hyperlink" Target="http://www.sec.gov/Archives/edgar/data/../../../ix?doc=/Archives/edgar/data/0001681087/000119312525018840/d843684d8k.htm" TargetMode="External"/><Relationship Id="rId18" Type="http://schemas.openxmlformats.org/officeDocument/2006/relationships/hyperlink" Target="http://www.sec.gov/Archives/edgar/data/../../../ix?doc=/Archives/edgar/data/0001681087/000119312525122511/d939029d8k.htm" TargetMode="External"/><Relationship Id="rId19" Type="http://schemas.openxmlformats.org/officeDocument/2006/relationships/hyperlink" Target="http://www.sec.gov/Archives/edgar/data/../../../ix?doc=/Archives/edgar/data/0001681087/000119312525137149/d31142d8k.htm" TargetMode="External"/><Relationship Id="rId20" Type="http://schemas.openxmlformats.org/officeDocument/2006/relationships/hyperlink" Target="http://www.sec.gov/Archives/edgar/data/1681087/000095017025042648/tecx-ex4_1.htm" TargetMode="External"/><Relationship Id="rId21" Type="http://schemas.openxmlformats.org/officeDocument/2006/relationships/hyperlink" Target="http://www.sec.gov/Archives/edgar/data/../../../ix?doc=/Archives/edgar/data/0001681087/000095017025042648/tecx-20241231.htm" TargetMode="External"/><Relationship Id="rId22" Type="http://schemas.openxmlformats.org/officeDocument/2006/relationships/image" Target="media/image2.jpeg"/><Relationship Id="rId23" Type="http://schemas.openxmlformats.org/officeDocument/2006/relationships/hyperlink" Target="http://www.sec.gov/Archives/edgar/data/1681087/000119312524200609/d878693dex31.htm" TargetMode="External"/><Relationship Id="rId24" Type="http://schemas.openxmlformats.org/officeDocument/2006/relationships/hyperlink" Target="http://www.sec.gov/Archives/edgar/data/1681087/000119312518202460/d153924dex32.htm" TargetMode="External"/><Relationship Id="rId25" Type="http://schemas.openxmlformats.org/officeDocument/2006/relationships/hyperlink" Target="http://www.sec.gov/Archives/edgar/data/1681087/000119312518188630/d562006dex41.htm" TargetMode="External"/><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206</Pages>
  <Words>103678</Words>
  <Characters>528432</Characters>
  <CharactersWithSpaces>631566</CharactersWithSpaces>
  <Paragraphs>4573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