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81280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90170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20" w:hanging="440"/>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80" w:right="160" w:hanging="472"/>
        <w:spacing w:after="0" w:line="308" w:lineRule="auto"/>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-2453640</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-2221865</wp:posOffset>
            </wp:positionV>
            <wp:extent cx="655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-1853565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-1621790</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-1390650</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-593090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-361950</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-130175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100330</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430530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1" w:name="page2"/>
    <w:bookmarkEnd w:id="1"/>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389255</wp:posOffset>
            </wp:positionV>
            <wp:extent cx="2177415"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0609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June 10, 2021</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Notice is hereby given that the 2021 Annual Meeting of Stockholders, or Annual Meeting, of AVROBIO, Inc. will be held on Thursday, June 10, 2021 at 9:00 a.m. Eastern Time. To protect the health and safety of our stockholders, employees, directors and community in light of the ongoing COVID-19 pandemic, we will again utilize a virtual format for our Annual Meeting. Stockholders may attend the virtual Annual Meeting by visiting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The purpose of the Annual Meeting is the following:</w:t>
      </w:r>
    </w:p>
    <w:p>
      <w:pPr>
        <w:spacing w:after="0" w:line="79" w:lineRule="exact"/>
        <w:rPr>
          <w:sz w:val="20"/>
          <w:szCs w:val="20"/>
          <w:color w:val="auto"/>
        </w:rPr>
      </w:pPr>
    </w:p>
    <w:p>
      <w:pPr>
        <w:ind w:left="800" w:right="22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III directors to our board of directors, to serve until the 2024 annual meeting of stockholders and until his or her successor has been duly elected and qualified, or until his or her earlier death, resignation or removal;</w:t>
      </w:r>
    </w:p>
    <w:p>
      <w:pPr>
        <w:spacing w:after="0" w:line="62" w:lineRule="exact"/>
        <w:rPr>
          <w:rFonts w:ascii="Arial" w:cs="Arial" w:eastAsia="Arial" w:hAnsi="Arial"/>
          <w:sz w:val="18"/>
          <w:szCs w:val="18"/>
          <w:color w:val="auto"/>
        </w:rPr>
      </w:pPr>
    </w:p>
    <w:p>
      <w:pPr>
        <w:ind w:left="800" w:right="18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any other business properly brought before the Annual Meeting or any adjournment or postponement of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proposal for the election of directors relates solely to the election of class III directors nominated by the board of directors.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Only AVROBIO, Inc. stockholders of record at the close of business on April 12, 2021 will be entitled to vote during the Annual Meeting and any adjournment or postponement thereof. In order to attend, you must register in advance at </w:t>
      </w:r>
      <w:r>
        <w:rPr>
          <w:rFonts w:ascii="Arial" w:cs="Arial" w:eastAsia="Arial" w:hAnsi="Arial"/>
          <w:sz w:val="17"/>
          <w:szCs w:val="17"/>
          <w:u w:val="single" w:color="auto"/>
          <w:color w:val="auto"/>
        </w:rPr>
        <w:t>www.proxydocs.com/AVRO</w:t>
      </w:r>
      <w:r>
        <w:rPr>
          <w:rFonts w:ascii="Arial" w:cs="Arial" w:eastAsia="Arial" w:hAnsi="Arial"/>
          <w:sz w:val="17"/>
          <w:szCs w:val="17"/>
          <w:color w:val="auto"/>
        </w:rPr>
        <w:t xml:space="preserve"> prior to the deadline of June 8, 2021 at 5:00 pm Eastern Time. Upon completing your registration, you will receive further instructions via email, including your unique links that will allow you access to the meeting and will permit you to submit questions. You will not be able to attend the 2021 Annual Meeting in person.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pleased to take advantage of Securities and Exchange Commission rules that allow companies to furnish their proxy materials over the Internet. We are mailing to our stockholders a Notice of Internet Availability of Proxy Materials, or Notice, instead of a paper copy of our proxy materials and our 2020 Annual Report to Stockholders, or 2020 Annual Report. The Notice contains instructions on how to access those documents and to cast your vote via the Internet. The Notice also contains instructions on how to request a paper copy of our proxy materials and our 2020 Annual Report. This process allows us to provide our stockholders with necessary information on a more timely basis, while reducing the environmental impact and lowering the costs of printing and distributing our proxy materials.</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Your vote is important. Whether or not you are able to attend the virtual Annual Meeting, it is important that your shares be represented. To ensure that your vote is recorded promptly, please vote as soon as possible, even if you plan to attend the virtual Annual Meeting. You may vote by submitting your proxy via the Internet, by telephone, or by mail (if you received paper copies of the proxy materials) by following the instructions on the proxy card or voting instruction card. Voting over the Internet or by telephone, written proxy or voting instruction card will ensure your representation at the virtual Annual Meeting regardless of whether you attend.</w:t>
      </w:r>
    </w:p>
    <w:p>
      <w:pPr>
        <w:spacing w:after="0" w:line="18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151765</wp:posOffset>
            </wp:positionV>
            <wp:extent cx="181737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73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gridSpan w:val="4"/>
            <w:vMerge w:val="restart"/>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GENERAL INFORMATION</w:t>
              </w:r>
            </w:hyperlink>
          </w:p>
        </w:tc>
        <w:tc>
          <w:tcPr>
            <w:tcW w:w="8540" w:type="dxa"/>
            <w:vAlign w:val="bottom"/>
            <w:gridSpan w:val="9"/>
            <w:vMerge w:val="restart"/>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0000EE"/>
            </w:tcBorders>
            <w:gridSpan w:val="4"/>
            <w:vMerge w:val="continue"/>
          </w:tcPr>
          <w:p>
            <w:pPr>
              <w:spacing w:after="0"/>
              <w:rPr>
                <w:sz w:val="15"/>
                <w:szCs w:val="15"/>
                <w:color w:val="auto"/>
              </w:rPr>
            </w:pPr>
          </w:p>
        </w:tc>
        <w:tc>
          <w:tcPr>
            <w:tcW w:w="8540" w:type="dxa"/>
            <w:vAlign w:val="bottom"/>
            <w:gridSpan w:val="9"/>
            <w:vMerge w:val="continue"/>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PROPOSAL NO. 1 – ELECTION OF CLASS III DIRECTORS</w:t>
              </w:r>
            </w:hyperlink>
          </w:p>
        </w:tc>
        <w:tc>
          <w:tcPr>
            <w:tcW w:w="6060" w:type="dxa"/>
            <w:vAlign w:val="bottom"/>
            <w:gridSpan w:val="5"/>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PROPOSAL NO. 2 – RATIFICATION OF THE APPOINTMENT OF ERNST &amp; YOUNG LLP AS AVROBIO, INC.’S INDEPENDENT</w:t>
              </w:r>
            </w:hyperlink>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REGISTERED PUBLIC ACCOUNTING FIRM FOR THE FISCAL YEAR ENDING DECEMBER 31, 202</w:t>
              </w:r>
              <w:r>
                <w:rPr>
                  <w:rFonts w:ascii="Arial" w:cs="Arial" w:eastAsia="Arial" w:hAnsi="Arial"/>
                  <w:sz w:val="18"/>
                  <w:szCs w:val="18"/>
                  <w:color w:val="000000"/>
                </w:rPr>
                <w:t>1</w:t>
              </w:r>
            </w:hyperlink>
          </w:p>
        </w:tc>
        <w:tc>
          <w:tcPr>
            <w:tcW w:w="7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10"/>
        </w:trPr>
        <w:tc>
          <w:tcPr>
            <w:tcW w:w="1068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210"/>
        </w:trPr>
        <w:tc>
          <w:tcPr>
            <w:tcW w:w="54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CERTAIN RELATIONSHIPS AND RELATED PARTY TRANSACTIONS</w:t>
              </w:r>
            </w:hyperlink>
          </w:p>
        </w:tc>
        <w:tc>
          <w:tcPr>
            <w:tcW w:w="5200" w:type="dxa"/>
            <w:vAlign w:val="bottom"/>
            <w:gridSpan w:val="4"/>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8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STOCKHOLDERS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0" w:type="dxa"/>
            <w:vAlign w:val="bottom"/>
            <w:gridSpan w:val="6"/>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10"/>
        </w:trPr>
        <w:tc>
          <w:tcPr>
            <w:tcW w:w="30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REPORT OF THE AUDIT COMMITTEE</w:t>
              </w:r>
            </w:hyperlink>
          </w:p>
        </w:tc>
        <w:tc>
          <w:tcPr>
            <w:tcW w:w="7600" w:type="dxa"/>
            <w:vAlign w:val="bottom"/>
            <w:gridSpan w:val="6"/>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HOUSEHOLDING</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300" w:type="dxa"/>
            <w:vAlign w:val="bottom"/>
            <w:gridSpan w:val="7"/>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09"/>
        </w:trPr>
        <w:tc>
          <w:tcPr>
            <w:tcW w:w="1068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STOCKHOLDER PROPOSALS</w:t>
              </w:r>
            </w:hyperlink>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OTHER MATTERS</w:t>
              </w:r>
            </w:hyperlink>
          </w:p>
        </w:tc>
        <w:tc>
          <w:tcPr>
            <w:tcW w:w="900" w:type="dxa"/>
            <w:vAlign w:val="bottom"/>
            <w:tcBorders>
              <w:top w:val="single" w:sz="8" w:color="0000EE"/>
            </w:tcBorders>
            <w:gridSpan w:val="3"/>
          </w:tcPr>
          <w:p>
            <w:pPr>
              <w:spacing w:after="0"/>
              <w:rPr>
                <w:sz w:val="18"/>
                <w:szCs w:val="18"/>
                <w:color w:val="auto"/>
              </w:rPr>
            </w:pPr>
          </w:p>
        </w:tc>
        <w:tc>
          <w:tcPr>
            <w:tcW w:w="8300" w:type="dxa"/>
            <w:vAlign w:val="bottom"/>
            <w:gridSpan w:val="7"/>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389255</wp:posOffset>
            </wp:positionV>
            <wp:extent cx="2177415" cy="50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0609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JUNE 10, 2021</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This proxy statement contains information about the 2021 Annual Meeting of Stockholders, or the Annual Meeting, of AVROBIO, Inc., which will be held on Thursday, June 10, 2021 at 9:00 a.m. Eastern Time. To protect the health and safety of our stockholders, employees, directors and community in light of the ongoing COVID-19 pandemic, the 2021 Annual Meeting will be a virtual stockholders meeting held at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The board of directors of AVROBIO, Inc. is using this proxy statement to solicit proxies for use at the Annual Meeting. In this proxy statement, the terms “AVROBIO,” “Company,” “we,” “us,” and “our” refer to AVROBIO, Inc. The mailing address of our principal executive offices is One Kendall Square, Building 300, Suite 201, Cambridge, Massachusetts 02139.</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proxy tabulator written notice to that effect. Such written notice should be delivered by mail to Proxy Tabulator for AVROBIO, Inc., c/o Mediant Communications, P.O. Box 8016, Cary, NC 27512-9903.</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made this proxy statement and our Annual Report to Stockholders for the fiscal year ended December 31, 2020 available to stockholders on April 22,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an “emerging growth company” under applicable federal securities laws and therefore permitted to conform with certain reduced public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reporting requirements. As an emerging growth company, we provide in this proxy statement the scaled disclosure permitted under the Jumpstart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Startups Act of 2012, or the JOBS Act, including the compensation disclosures required of a “smaller reporting company,” as that term is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Rule 12b-2 promulgated under the Securities Exchange Act of 1934, as amended, or the Exchange Act. In addition, as an emerging growth company,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not required to conduct votes seeking approval, on an advisory basis, of the compensation of our named executive officers or the frequency with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votes must be conducted. We will remain an “emerging growth company” until the earliest of (i) the last day of the fiscal year following the fifth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our June 2018 initial public offering; (ii) the last day of the fiscal year in which our total annual gross revenue is equal to or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billion; (iii) the date on which we have issued more than $1 billion in nonconvertible debt during the previous three years; or (iv) the date on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are deemed to be a large accelerated filer under the rules of the Securities and Exchange Commission, or SEC. Even after we are no longer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 we may remain a “smaller reporting company.”</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Annual Meeting of Stockholders to be Held on June 10, 2021: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statement and our 2020 Annual Report to Stockholders are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available for viewing, printing and downloading at </w:t>
      </w:r>
      <w:r>
        <w:rPr>
          <w:rFonts w:ascii="Arial" w:cs="Arial" w:eastAsia="Arial" w:hAnsi="Arial"/>
          <w:sz w:val="18"/>
          <w:szCs w:val="18"/>
          <w:b w:val="1"/>
          <w:bCs w:val="1"/>
          <w:i w:val="1"/>
          <w:iCs w:val="1"/>
          <w:color w:val="auto"/>
        </w:rPr>
        <w:t>www.proxydocs.com/AVRO</w:t>
      </w:r>
      <w:r>
        <w:rPr>
          <w:rFonts w:ascii="Arial" w:cs="Arial" w:eastAsia="Arial" w:hAnsi="Arial"/>
          <w:sz w:val="18"/>
          <w:szCs w:val="18"/>
          <w:b w:val="1"/>
          <w:bCs w:val="1"/>
          <w:color w:val="auto"/>
        </w:rPr>
        <w:t>.</w:t>
      </w:r>
    </w:p>
    <w:p>
      <w:pPr>
        <w:spacing w:after="0" w:line="20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A copy of our Annual Report on Form 10-K for the fiscal year ended December 31, 2020, as filed with the SEC, except for exhibits, will be furnished without charge to any stockholder upon written request to AVROBIO, Inc., One Kendall Square, Building 300, Suite 201, Cambridge, Massachusetts 02139, Attention: Corporate Secretary. This proxy statement and our Annual Report on Form 10-K for the fiscal year ended December 31, 2020 are also available on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xml:space="preserve"> or on our website at </w:t>
      </w:r>
      <w:r>
        <w:rPr>
          <w:rFonts w:ascii="Arial" w:cs="Arial" w:eastAsia="Arial" w:hAnsi="Arial"/>
          <w:sz w:val="18"/>
          <w:szCs w:val="18"/>
          <w:b w:val="1"/>
          <w:bCs w:val="1"/>
          <w:i w:val="1"/>
          <w:iCs w:val="1"/>
          <w:color w:val="auto"/>
        </w:rPr>
        <w:t>http://investors.avrobio.com/financial-information/sec-filings</w:t>
      </w:r>
      <w:r>
        <w:rPr>
          <w:rFonts w:ascii="Arial" w:cs="Arial" w:eastAsia="Arial" w:hAnsi="Arial"/>
          <w:sz w:val="18"/>
          <w:szCs w:val="18"/>
          <w:b w:val="1"/>
          <w:bCs w:val="1"/>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elected to provide access to our proxy materials to our stockholders via the Internet. Accordingly, on or about April 22, 2021, we will begin mailing a Notice of Internet Availability of Proxy Materials, or Notice. Our proxy materials, including the Notice of 2021 Annual Meeting of Stockholders, this proxy statement and the accompanying proxy card or, for shares held in street name (i.e. held for your account by a broker or other nominee), a voting instruction form, and the 2020 Annual Report to Stockholders, or 2020 Annual Report, will be mailed or made available to stockholders on the Internet on or about the same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22, 2021. The Notice provides instructions as to how stockholders may access and review our proxy materials, including the Notice of 2021 Annual Meeting of Stockholders, this proxy statement, the proxy card and our 2020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2021 Annual Meeting of Stockholders, this proxy statement and our 2020 Annual Report are available on our website, no other information contained on either website is incorporated by reference in or considered to be a part of this proxy statement.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soliciting your vote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determination of stockholders entitled to vote at the Annual Meeting is the close of business on April 12,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can be cast by all stockholders?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41,766,122 shares of our common stock, par value $0.0001 per share, outstanding on April 12, 2021,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12,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will the Annual Meeting be held this year?</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light of the ongoing COVID-19 pandemic and after careful consideration, the board of directors determined to hold a virtual annual meeting again this year in order to protect the health and safety of our stockholders, employees, directors and community. We are committed to ensuring that stockholders will be afforded the same rights and opportunities to participate as they would at an in-person meeting. In order to attend the virtual Annual Meeting and vote your shares, you must register in advance at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xml:space="preserve"> prior to the deadline of June 8, 2021 at 5:00 pm Eastern Time. There will not be a physical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several ways for you to vote your shares.</w:t>
      </w:r>
    </w:p>
    <w:p>
      <w:pPr>
        <w:spacing w:after="0" w:line="117" w:lineRule="exact"/>
        <w:rPr>
          <w:sz w:val="20"/>
          <w:szCs w:val="20"/>
          <w:color w:val="auto"/>
        </w:rPr>
      </w:pPr>
    </w:p>
    <w:p>
      <w:pPr>
        <w:ind w:left="800" w:right="20" w:hanging="401"/>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Online during the Annual Meeting. </w:t>
      </w:r>
      <w:r>
        <w:rPr>
          <w:rFonts w:ascii="Arial" w:cs="Arial" w:eastAsia="Arial" w:hAnsi="Arial"/>
          <w:sz w:val="18"/>
          <w:szCs w:val="18"/>
          <w:color w:val="auto"/>
        </w:rPr>
        <w:t>You may vote during the virtual Annual Meeting by following the instructions available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xml:space="preserve">. If you hold your shares through a bank or broker and wish to vote at the virtual Annual Meeting, you must obtain a valid proxy from the firm that holds your shares. In order to attend the virtual Annual Meeting and vote your shares, you must register in advance at </w:t>
      </w:r>
      <w:r>
        <w:rPr>
          <w:rFonts w:ascii="Arial" w:cs="Arial" w:eastAsia="Arial" w:hAnsi="Arial"/>
          <w:sz w:val="18"/>
          <w:szCs w:val="18"/>
          <w:u w:val="single" w:color="auto"/>
          <w:color w:val="auto"/>
        </w:rPr>
        <w:t>www.proxydocs.com/AVRO</w:t>
      </w:r>
      <w:r>
        <w:rPr>
          <w:rFonts w:ascii="Arial" w:cs="Arial" w:eastAsia="Arial" w:hAnsi="Arial"/>
          <w:sz w:val="18"/>
          <w:szCs w:val="18"/>
          <w:color w:val="auto"/>
        </w:rPr>
        <w:t xml:space="preserve"> prior to the deadline of June 8, 2021 at 5:00 pm Eastern Time.</w:t>
      </w:r>
    </w:p>
    <w:p>
      <w:pPr>
        <w:spacing w:after="0" w:line="78" w:lineRule="exact"/>
        <w:rPr>
          <w:rFonts w:ascii="Arial" w:cs="Arial" w:eastAsia="Arial" w:hAnsi="Arial"/>
          <w:sz w:val="18"/>
          <w:szCs w:val="18"/>
          <w:color w:val="auto"/>
        </w:rPr>
      </w:pPr>
    </w:p>
    <w:p>
      <w:pPr>
        <w:ind w:left="800" w:right="20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By Internet or Telephone prior to the Annual Meeting. </w:t>
      </w:r>
      <w:r>
        <w:rPr>
          <w:rFonts w:ascii="Arial" w:cs="Arial" w:eastAsia="Arial" w:hAnsi="Arial"/>
          <w:sz w:val="18"/>
          <w:szCs w:val="18"/>
          <w:color w:val="auto"/>
        </w:rPr>
        <w:t>You can vote by proxy over the Internet or by telephone by following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Notice. In order to be counted, proxies submitted by Internet or by telephone must be received by the cutoff time of 11:59 p.m. Eastern Time on June 9, 2021.</w:t>
      </w:r>
    </w:p>
    <w:p>
      <w:pPr>
        <w:spacing w:after="0" w:line="75" w:lineRule="exact"/>
        <w:rPr>
          <w:rFonts w:ascii="Arial" w:cs="Arial" w:eastAsia="Arial" w:hAnsi="Arial"/>
          <w:sz w:val="18"/>
          <w:szCs w:val="18"/>
          <w:color w:val="auto"/>
        </w:rPr>
      </w:pPr>
    </w:p>
    <w:p>
      <w:pPr>
        <w:ind w:left="800" w:right="420" w:hanging="401"/>
        <w:spacing w:after="0" w:line="30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By Mail prior to the Annual Meeting. </w:t>
      </w:r>
      <w:r>
        <w:rPr>
          <w:rFonts w:ascii="Arial" w:cs="Arial" w:eastAsia="Arial" w:hAnsi="Arial"/>
          <w:sz w:val="17"/>
          <w:szCs w:val="17"/>
          <w:color w:val="auto"/>
        </w:rPr>
        <w:t>If you requested printed copies of the proxy materials by mail, you can vote by mailing your proxy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proxy materials. Proxies submitted by mail must be received before the start of the Annual Meeting.</w:t>
      </w:r>
    </w:p>
    <w:p>
      <w:pPr>
        <w:spacing w:after="0" w:line="1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may revoke your proxy by (1) following the instructions on the Notice and entering a new vote by mail that we receive before the start of the Annual Meeting or over the Internet by the cutoff time of 11:59 p.m. Eastern Time on June 9, 2021, (2) attending and voting at the virtual Annual Meeting (although attendance at the virtual Annual Meeting will not in and of itself revoke a proxy), or (3) by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Such written notice of revocation or subsequent proxy card should be delivered by mail to Proxy Tabulator for AVROBIO, Inc., c/o Mediant Communications, P.O. Box 8016, Cary, NC 27512-9903.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If a broker, bank, or other nominee holds your shares, you must contact such broker, bank, or nominee in order to find out how to change your vote.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a quorum reached?</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Amended and Restated By-laws, or bylaws, provide that a majority of the shares entitled to vote, present in person or represented by proxy, will constitute a quorum for the transaction of business at the Annual Meeting.</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is the vote counted?</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such proposal, and those votes will be counted as broker “non-votes.” Proposal No. 2 is considered to be a discretionary item, and your brokerage firm will be able to vote on this proposal even if it does not receive instructions from you.</w:t>
      </w:r>
    </w:p>
    <w:p>
      <w:pPr>
        <w:spacing w:after="0" w:line="1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 for soliciting proxies?</w:t>
      </w:r>
    </w:p>
    <w:p>
      <w:pPr>
        <w:spacing w:after="0" w:line="12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Donnelley Financial Solutions to assist us in the distribution of proxy materials. Proxy solicitation expenses that we will pay include those for preparation, mailing, returning, and tabulating the proxies.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stockholders submit matters for consideration at an annual meeting?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addition, any stockholder proposal intended to be included in the proxy statement for the next annual meeting of our stockholders in 2022 must also satisfy the requirements of SEC Rule 14a-8 under the Securities Exchange Act of 1934, as amended, or the Exchange Act, and be received not later than December 23, 2021. If the date of the 2022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know the voting results?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PROPOSAL NO. 1 – ELECTION OF CLASS III DIRECTORS</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76" w:lineRule="exact"/>
        <w:rPr>
          <w:sz w:val="20"/>
          <w:szCs w:val="20"/>
          <w:color w:val="auto"/>
        </w:rPr>
      </w:pPr>
    </w:p>
    <w:p>
      <w:pPr>
        <w:ind w:left="800" w:right="1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 directors are Gail Farfel, Ph.D., Christopher Paige, Ph.D. and Philip Vickers, Ph.D., and their terms will expire at the annual meeting of stockholders to be held in 2022;</w:t>
      </w:r>
    </w:p>
    <w:p>
      <w:pPr>
        <w:spacing w:after="0" w:line="62"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 directors are Ian Clark and Annalisa Jenkins, M.B.B.S., F.R.C.P., and their terms will expire at the annual meeting of stockholders to be held in 2023; and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class III directors are Bruce Booth, D.Phil., Phillip Donenberg and Geoff MacKay, and their terms will expire at the Annual Meeting.</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5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board of directors has nominated Bruce Booth, Phillip Donenberg and Geoff MacKay for election as the class III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we do not have a policy with regard to the consideration of diversity in identifying director candidates, overall board diversity of industry background, race and gender is generally among various factors considered. Our priority in selection of board members is identification of members who will further the interests of our stockholders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III Directors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and narrative information identifies our nominees for class III directors, and sets forth their principal occupation and business experience during the last five years and their ages as of April 12, 2021.</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Positions and Offices Held with AVROBIO</w:t>
            </w: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Director</w:t>
            </w: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4180" w:type="dxa"/>
            <w:vAlign w:val="bottom"/>
            <w:gridSpan w:val="2"/>
            <w:vMerge w:val="continue"/>
          </w:tcPr>
          <w:p>
            <w:pPr>
              <w:spacing w:after="0"/>
              <w:rPr>
                <w:sz w:val="14"/>
                <w:szCs w:val="14"/>
                <w:color w:val="auto"/>
              </w:rPr>
            </w:pP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Since</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Bruce Booth, D.Phil.</w:t>
            </w:r>
          </w:p>
        </w:tc>
        <w:tc>
          <w:tcPr>
            <w:tcW w:w="360" w:type="dxa"/>
            <w:vAlign w:val="bottom"/>
            <w:tcBorders>
              <w:top w:val="single" w:sz="8" w:color="CFF0FC"/>
            </w:tcBorders>
            <w:shd w:val="clear" w:color="auto" w:fill="CFF0FC"/>
          </w:tcPr>
          <w:p>
            <w:pPr>
              <w:spacing w:after="0"/>
              <w:rPr>
                <w:sz w:val="18"/>
                <w:szCs w:val="18"/>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Phillip Donenberg</w:t>
            </w:r>
          </w:p>
        </w:tc>
        <w:tc>
          <w:tcPr>
            <w:tcW w:w="4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tcPr>
          <w:p>
            <w:pPr>
              <w:ind w:left="38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Geoff MacKay</w:t>
            </w:r>
          </w:p>
        </w:tc>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1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Bruce Booth, D.Phil. </w:t>
      </w:r>
      <w:r>
        <w:rPr>
          <w:rFonts w:ascii="Arial" w:cs="Arial" w:eastAsia="Arial" w:hAnsi="Arial"/>
          <w:sz w:val="17"/>
          <w:szCs w:val="17"/>
          <w:color w:val="auto"/>
        </w:rPr>
        <w:t>has served as the chairperson of our board of directors since February 2016. Dr. Booth joined Atlas Venture in 2005, and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is chairman and co-founder of Kymera Therapeutics, Inc. (Nasdaq: KYMR) and serves on the board of Magenta Therapeutics, Inc. (Nasdaq: MGTA), both of which are biotechnology companies. He also serves on the board of several privately held companies. From February 2018 until July 2020, Dr. Booth served as chairperson of the board of directors of Unum Therapeutics Inc. (Nasdaq: UMRX), now called Cogent Biosciences; from February 2017 until December 2018, Dr. Booth served as independent chairperson of the board of directors of miRagen Therapeutics, Inc. (Nasdaq: MGEN); and from August 2006 until June 2018, Dr. Booth served on the board of directors of Zafgen, Inc. (Nasdaq: ZFGN). As a British Marshall Scholar, Dr. Booth holds a D.Phil. in molecular immunology from Oxford University’s Nuffield Department of Medicine and a B.S. in biochemistry, </w:t>
      </w:r>
      <w:r>
        <w:rPr>
          <w:rFonts w:ascii="Arial" w:cs="Arial" w:eastAsia="Arial" w:hAnsi="Arial"/>
          <w:sz w:val="17"/>
          <w:szCs w:val="17"/>
          <w:i w:val="1"/>
          <w:iCs w:val="1"/>
          <w:color w:val="auto"/>
        </w:rPr>
        <w:t>summa cum laude</w:t>
      </w:r>
      <w:r>
        <w:rPr>
          <w:rFonts w:ascii="Arial" w:cs="Arial" w:eastAsia="Arial" w:hAnsi="Arial"/>
          <w:sz w:val="17"/>
          <w:szCs w:val="17"/>
          <w:color w:val="auto"/>
        </w:rPr>
        <w:t>, from Pennsylvania</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jc w:val="both"/>
        <w:ind w:right="420"/>
        <w:spacing w:after="0" w:line="263" w:lineRule="auto"/>
        <w:rPr>
          <w:sz w:val="20"/>
          <w:szCs w:val="20"/>
          <w:color w:val="auto"/>
        </w:rPr>
      </w:pPr>
      <w:r>
        <w:rPr>
          <w:rFonts w:ascii="Arial" w:cs="Arial" w:eastAsia="Arial" w:hAnsi="Arial"/>
          <w:sz w:val="18"/>
          <w:szCs w:val="18"/>
          <w:color w:val="auto"/>
        </w:rPr>
        <w:t>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Phillip B. Donenberg </w:t>
      </w:r>
      <w:r>
        <w:rPr>
          <w:rFonts w:ascii="Arial" w:cs="Arial" w:eastAsia="Arial" w:hAnsi="Arial"/>
          <w:sz w:val="16"/>
          <w:szCs w:val="16"/>
          <w:color w:val="auto"/>
        </w:rPr>
        <w:t>has served as a member of our board of directors and audit committee chair since June 2018. Mr. Donenberg is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financial officer of Jaguar Gene Therapy, LLC, a privately held early-stage gene therapy company, and has served in such role since February 2020.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17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President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and USA. Mr. MacKay has served as chairperson of the board of directors of Satellos Bioscience Inc., a regenerative medicine company, since September 2018, and has served on the board of directors of Talaris Therapeutics, Inc., a cell therapy company, since December 2018. Mr. MacKay previously served on the board of RepliCel Life Sciences Inc., Gemstone Biotherapeutics LLC and Centre for Commercialization of Regenerative Medicine, as chairperson of the board of MassBio, chairperson of the board of the Alliance of Regenerative Medicine, and on the advisory council to the Health Policy Commission for Massachusetts.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Mr. MacKay holds a B.A. in psychology and a graduate certificate in marketing management from McGill University. We believe Mr. MacKay is qualified to serve on our board of directors because of his executive experience in our industry.</w:t>
      </w:r>
    </w:p>
    <w:p>
      <w:pPr>
        <w:spacing w:after="0" w:line="1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8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board of directors recommends voting “FOR” the election of Bruce Booth, Phillip Donenberg and Geoff MacKay as the class III directors, to serve for a three-year term ending at the annual meeting of stockholders to be held in 2024.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and narrative information identifies our directors continuing in office, and sets forth their principal occupation and business experience during the last five years and their ages as of April 12,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Class and Year</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Positions and Offices Held with AVROBIO</w:t>
            </w:r>
          </w:p>
        </w:tc>
        <w:tc>
          <w:tcPr>
            <w:tcW w:w="780" w:type="dxa"/>
            <w:vAlign w:val="bottom"/>
            <w:gridSpan w:val="2"/>
            <w:vMerge w:val="continue"/>
          </w:tcPr>
          <w:p>
            <w:pPr>
              <w:spacing w:after="0"/>
              <w:rPr>
                <w:sz w:val="12"/>
                <w:szCs w:val="12"/>
                <w:color w:val="auto"/>
              </w:rPr>
            </w:pPr>
          </w:p>
        </w:tc>
        <w:tc>
          <w:tcPr>
            <w:tcW w:w="1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 Which Term</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Since</w:t>
            </w:r>
          </w:p>
        </w:tc>
        <w:tc>
          <w:tcPr>
            <w:tcW w:w="1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Will Expire</w:t>
            </w: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Gail M. Farfel, Ph.D.</w:t>
            </w:r>
          </w:p>
        </w:tc>
        <w:tc>
          <w:tcPr>
            <w:tcW w:w="360" w:type="dxa"/>
            <w:vAlign w:val="bottom"/>
            <w:tcBorders>
              <w:top w:val="single" w:sz="8" w:color="CFF0FC"/>
            </w:tcBorders>
            <w:shd w:val="clear" w:color="auto" w:fill="CFF0FC"/>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Director</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Class I—2022</w:t>
            </w:r>
          </w:p>
        </w:tc>
        <w:tc>
          <w:tcPr>
            <w:tcW w:w="1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spacing w:after="0"/>
              <w:rPr>
                <w:sz w:val="20"/>
                <w:szCs w:val="20"/>
                <w:color w:val="auto"/>
              </w:rPr>
            </w:pPr>
            <w:r>
              <w:rPr>
                <w:rFonts w:ascii="Arial" w:cs="Arial" w:eastAsia="Arial" w:hAnsi="Arial"/>
                <w:sz w:val="18"/>
                <w:szCs w:val="18"/>
                <w:color w:val="auto"/>
              </w:rPr>
              <w:t>Christopher Paige, Ph.D.</w:t>
            </w: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Class I—2022</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Philip J. Vickers, Ph.D.</w:t>
            </w: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Class I—2022</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Ian Clark</w:t>
            </w: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Class II—2023</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Annalisa Jenkins, M.B.B.S., F.R.C.P.</w:t>
            </w: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Class II—2023</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Pr>
          <w:p>
            <w:pPr>
              <w:ind w:left="19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Class I Directors (Term Expires at 2022 Annual Meeting)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Christopher Paige, Ph.D. </w:t>
      </w:r>
      <w:r>
        <w:rPr>
          <w:rFonts w:ascii="Arial" w:cs="Arial" w:eastAsia="Arial" w:hAnsi="Arial"/>
          <w:sz w:val="17"/>
          <w:szCs w:val="17"/>
          <w:color w:val="auto"/>
        </w:rPr>
        <w:t>has served as a member of our board of directors since January 2016. Dr. Paige is a senior scientist at University Health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professor in the departments of medical biophysics and immunology at the University of Toronto, and has served in such roles since 1987. From 1997 to October 2016, he served as the vice president, research of the University Health Network.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We believe Dr. Paige is qualified to serve on our board of directors because of his scientific and industry experience in the field in which we operate.</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Philip J. Vickers, Ph.D. </w:t>
      </w:r>
      <w:r>
        <w:rPr>
          <w:rFonts w:ascii="Arial" w:cs="Arial" w:eastAsia="Arial" w:hAnsi="Arial"/>
          <w:sz w:val="16"/>
          <w:szCs w:val="16"/>
          <w:color w:val="auto"/>
        </w:rPr>
        <w:t>has served as a member of our board of directors since January 2019. Dr. Vickers is the chief executive officer of Faze Medicines,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biotechnology company, and has served in such role since January 2021. From November 2017 until December 2020, Dr. Vickers served as the president and chief executive officer and a member of the 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serves on the board of directors of Revance Therapeutics, Inc. (Nasdaq: RVNC), a biotechnology company, and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We believe that Dr. Vickers is qualified to serve on our board of directors because of his scientific, executive, and industry experience in the field in which we operate.</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Gail M. Farfel, Ph.D. </w:t>
      </w:r>
      <w:r>
        <w:rPr>
          <w:rFonts w:ascii="Arial" w:cs="Arial" w:eastAsia="Arial" w:hAnsi="Arial"/>
          <w:sz w:val="17"/>
          <w:szCs w:val="17"/>
          <w:color w:val="auto"/>
        </w:rPr>
        <w:t>has served as a member of our board of directors since October 2020. Dr. Farfel is the executive vice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officer of Zogenix Inc., a biopharmaceutical company, and has served in such role since June 2015. Previously Dr. Farfel was chief clinical and regulatory officer of Marinus Pharmaceuticals, establishing and overseeing clinical, medical and regulatory strategies for adult and pediatric seizure disorders, including a pediatric epileptic orphan disease. Prior to that, she was vice president, therapeutic area head for neuroscience clinical development and medical affairs at Novartis Pharmaceuticals Corporation, where she oversaw a portfolio of products for multiple sclerosis, Alzheimer’s disease and Parkinson’s disease. Dr. Farfel serves on the board of directors of Zogenix International Ltd., a wholly owned subsidiary of Zogenix, Inc. (Nasdaq: ZGNX), and Durect Corporation (Nasdaq: DRRX).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We believe that Dr. Farfel is qualified to serve on our board of directors because of her scientific, executive, and industry experience in the field in which we operate.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 Expires at 2023 Annual Meeting)</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From 2010 to 2016, Mr. Clark served as the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Agios Pharmaceuticals, Inc. (Nasdaq: AGIO), Corvus Pharmaceuticals, Inc. (Nasdaq: CRVS), Takeda Pharmaceutical Company Limited (NYSE: TAK), Olema Pharmaceuticals, Inc. (Nasdaq: OLMA) and Guardant Health, Inc. (Nasdaq: GH), where he also serves as the lead independent director. Mr. Clark also serves on the strategic priorities board of BioFulcrum, an initiative within the Gladstone Institutes. Mr. Clark previously served on the board of directors of Forty Seven, Inc., Shire Plc, Kite Pharma, TerraVia (formerly Solazyme), Dendreon Pharmaceuticals, and Vernalis Therapeutics. He also previously served on the board of directors of the Biotechnology Industry Organization (BIO), as a member of the economic advisory council of the Federal Reserve Bank of San Francisco, and as an operating partner of Blackstone Life Sciences, a private investment firm focusing on the life sciences sector and an operating unit within The Blackstone Group L.P. Mr. Clark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ind w:right="280"/>
        <w:spacing w:after="0" w:line="263" w:lineRule="auto"/>
        <w:rPr>
          <w:sz w:val="20"/>
          <w:szCs w:val="20"/>
          <w:color w:val="auto"/>
        </w:rPr>
      </w:pPr>
      <w:r>
        <w:rPr>
          <w:rFonts w:ascii="Arial" w:cs="Arial" w:eastAsia="Arial" w:hAnsi="Arial"/>
          <w:sz w:val="18"/>
          <w:szCs w:val="18"/>
          <w:color w:val="auto"/>
        </w:rPr>
        <w:t>received a B.S. and honorary doctorate in biological sciences from Southampton University in the United Kingdom. We believe Mr. Clark is qualified to serve on our board of directors because of his industry experience in the field in which we operate and his executive experience with companies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Annalisa Jenkins, M.B.B.S., F.R.C.P. </w:t>
      </w:r>
      <w:r>
        <w:rPr>
          <w:rFonts w:ascii="Arial" w:cs="Arial" w:eastAsia="Arial" w:hAnsi="Arial"/>
          <w:sz w:val="17"/>
          <w:szCs w:val="17"/>
          <w:color w:val="auto"/>
        </w:rPr>
        <w:t>has served as a member of our board of directors since March 2018. From November 2017 until April 2019,</w:t>
      </w:r>
    </w:p>
    <w:p>
      <w:pPr>
        <w:spacing w:after="0" w:line="3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Dr. Jenkins served as the chief executive officer of PlaqueTec Ltd., a biotechnology company focusing on coronary artery disease treatment and prevention. Previously, Dr. Jenkins served as the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is currently a committee member of the science board to the FDA, which advises FDA leadership on complex scientific and technical issues, and serves on the board of Genomics England, a UK government entity dedicated to advancing the 100,000 Genomes Project. Dr. Jenkins serves on the board of directors of AgeX Therapeutics, Inc. (NYSE American: AGE), Oncimmune Holdings plc (LSE: ONC), Affimed N.V. (Nasdaq: AFMD), Compass Pathways (Nasdaq: CMPS) and a number of privately held biotechnology and life science companies. Dr. Jenkins previously served on the board of Silence Therapeutics, Ardelyx, Inc., OncoSec Medical Incorporated, and Sensyne Health plc.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of directors based on her industry experience in the field in which we operate and her executive experience with companies in our industry.</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identifies our current executive officers who are not directors, and sets forth their current positions at AVROBIO and their ages as of April 12, 2021.</w:t>
      </w:r>
    </w:p>
    <w:tbl>
      <w:tblPr>
        <w:tblLayout w:type="fixed"/>
        <w:tblInd w:w="0" w:type="dxa"/>
        <w:tblCellMar>
          <w:top w:w="0" w:type="dxa"/>
          <w:left w:w="0" w:type="dxa"/>
          <w:bottom w:w="0" w:type="dxa"/>
          <w:right w:w="0" w:type="dxa"/>
        </w:tblCellMar>
      </w:tblPr>
      <w:tr>
        <w:trPr>
          <w:trHeight w:val="134"/>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0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Position Held with AVROBIO</w:t>
            </w:r>
          </w:p>
        </w:tc>
        <w:tc>
          <w:tcPr>
            <w:tcW w:w="940" w:type="dxa"/>
            <w:vAlign w:val="bottom"/>
            <w:gridSpan w:val="2"/>
          </w:tcPr>
          <w:p>
            <w:pPr>
              <w:jc w:val="center"/>
              <w:ind w:right="140"/>
              <w:spacing w:after="0" w:line="134" w:lineRule="exact"/>
              <w:rPr>
                <w:sz w:val="20"/>
                <w:szCs w:val="20"/>
                <w:color w:val="auto"/>
              </w:rPr>
            </w:pPr>
            <w:r>
              <w:rPr>
                <w:rFonts w:ascii="Arial" w:cs="Arial" w:eastAsia="Arial" w:hAnsi="Arial"/>
                <w:sz w:val="14"/>
                <w:szCs w:val="14"/>
                <w:b w:val="1"/>
                <w:bCs w:val="1"/>
                <w:color w:val="auto"/>
                <w:w w:val="97"/>
              </w:rPr>
              <w:t>Officer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5000" w:type="dxa"/>
            <w:vAlign w:val="bottom"/>
            <w:gridSpan w:val="3"/>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Since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Steven Avruch</w:t>
            </w:r>
          </w:p>
        </w:tc>
        <w:tc>
          <w:tcPr>
            <w:tcW w:w="340" w:type="dxa"/>
            <w:vAlign w:val="bottom"/>
            <w:tcBorders>
              <w:top w:val="single" w:sz="8" w:color="CFF0FC"/>
            </w:tcBorders>
            <w:shd w:val="clear" w:color="auto" w:fill="CFF0FC"/>
          </w:tcPr>
          <w:p>
            <w:pPr>
              <w:spacing w:after="0"/>
              <w:rPr>
                <w:sz w:val="19"/>
                <w:szCs w:val="19"/>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Legal Officer and Secretary</w:t>
            </w:r>
          </w:p>
        </w:tc>
        <w:tc>
          <w:tcPr>
            <w:tcW w:w="3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Diana M. Escolar M.D., FAAN</w:t>
            </w: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Chief Medical Officer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Christopher Mason, M.D., Ph.D., FRCS, FMedSci</w:t>
            </w:r>
          </w:p>
        </w:tc>
        <w:tc>
          <w:tcPr>
            <w:tcW w:w="500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Chief Scientific Officer</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Erik Ostrowski</w:t>
            </w: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Chief Financial Officer and Treasurer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Deanna Petersen</w:t>
            </w:r>
          </w:p>
        </w:tc>
        <w:tc>
          <w:tcPr>
            <w:tcW w:w="500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Chief Business Officer</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 xml:space="preserve">Steven Avruch </w:t>
      </w:r>
      <w:r>
        <w:rPr>
          <w:rFonts w:ascii="Arial" w:cs="Arial" w:eastAsia="Arial" w:hAnsi="Arial"/>
          <w:sz w:val="17"/>
          <w:szCs w:val="17"/>
          <w:color w:val="auto"/>
        </w:rPr>
        <w:t>has been our Chief Legal Officer and Secretary since March 2020 and previously served as our Vice President, General Counsel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from January 2019 to March 2020. Prior to joining our Company,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Diana Escolar </w:t>
      </w:r>
      <w:r>
        <w:rPr>
          <w:rFonts w:ascii="Arial" w:cs="Arial" w:eastAsia="Arial" w:hAnsi="Arial"/>
          <w:sz w:val="18"/>
          <w:szCs w:val="18"/>
          <w:color w:val="auto"/>
        </w:rPr>
        <w:t>has been our Chief Medical Officer since January 2021. Prior to joining our Company, Dr. Escolar served at miRagen from December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January 2021 as Chief Medical Officer and from January 2018 to December 2019 as Senior Vice President, Clinical Science. Prior to that Dr. Escolar served at Akashi Therapeutics Inc. (formerly Halo Therapeutics) in various roles, including Chief Medical Officer, from July 2011 to November 2017. From 2010 to 2017, Dr. Escolar was also Associate Professor of Neurology, Johns Hopkins and faculty at the Kennedy Krieger Institute at the Center of Genetic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Muscle Disorders. Dr. Escolar received her bachelor’s in education from Escuela Normal Sarmiento and her M.D. from the University of Buenos Aires.</w:t>
      </w: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Christopher Mason </w:t>
      </w:r>
      <w:r>
        <w:rPr>
          <w:rFonts w:ascii="Arial" w:cs="Arial" w:eastAsia="Arial" w:hAnsi="Arial"/>
          <w:sz w:val="16"/>
          <w:szCs w:val="16"/>
          <w:color w:val="auto"/>
        </w:rPr>
        <w:t>is our co-founder and has been our Chief Scientific Officer since July 2015. Dr. Mason has been a member of the faculty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Advanced Centre for Biochemical Engineering, University College London since 1999, including Full Professor of Regenerative Medicine Bioprocessing from 2008 to 2017, and Full Professor of Cell and Gene Therapy since 2017. Dr. Mason also has served as Founder and director of London Regenerative Medicine Network Ltd. since February 2008, and as a director of OriBiotech Ltd. and Krystal Biotech, Inc. (Nasdaq: KRYS) since September 2015 and January 2021, respectively. He previously served as Founder and a director of Stem Cell Translation Ltd. from October 2006 to March 2018 and served as a trustee of the British Neurological Research Trust from May 2012 to May 2016 and the UK Stem Cell Foundation from September 2010 to May 2016. Dr. Mason earned an M.B.B.S (M.D.) from the United Medical and Dental Schools of Guy’s and St. Thomas’s Hospitals (now King’s College London), a BSc (Hons) in Clinical Sciences from the Imperial College London (St. Mary’s Hospital Medical School / Royal Postgraduate Medical School), and a Ph.D. from Advanced Center for Biochemical Engineering, University College London. He is an elected Fellow of the Academy of Medical Sciences, Royal College of Surgeons of England, Royal College of Surgeons in Ireland, and Royal Society of Biology.</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 xml:space="preserve">Erik Ostrowski </w:t>
      </w:r>
      <w:r>
        <w:rPr>
          <w:rFonts w:ascii="Arial" w:cs="Arial" w:eastAsia="Arial" w:hAnsi="Arial"/>
          <w:sz w:val="17"/>
          <w:szCs w:val="17"/>
          <w:color w:val="auto"/>
        </w:rPr>
        <w:t>has been our Chief Financial Officer and Treasurer since January 2019. From June 2014 to December 2018, Mr. Ostrowski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Summit Therapeutics plc.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and received a B.S. in accounting and economics from Babson College and a M.B.A. from the University of Chicago Booth School of Business.</w:t>
      </w:r>
    </w:p>
    <w:p>
      <w:pPr>
        <w:spacing w:after="0" w:line="1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Deanna Petersen </w:t>
      </w:r>
      <w:r>
        <w:rPr>
          <w:rFonts w:ascii="Arial" w:cs="Arial" w:eastAsia="Arial" w:hAnsi="Arial"/>
          <w:sz w:val="17"/>
          <w:szCs w:val="17"/>
          <w:color w:val="auto"/>
        </w:rPr>
        <w:t>has been our Chief Business Officer since January 2016. Prior to joining our Company, from June 2009 to June 2015, Ms. Petersen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business of development rare diseases at Shire plc. Prior to that, Ms. Petersen served as vice president of business development at Agenus Inc. from April 2002 to March 2009 and vice president of business development at Coley Pharmaceutical Group. Ms. Petersen received a B.S. degree in biology from Iowa State University and a M.B.A. from the University of Iowa.</w:t>
      </w:r>
    </w:p>
    <w:p>
      <w:pPr>
        <w:spacing w:after="0" w:line="17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center"/>
        <w:ind w:left="360" w:right="1920"/>
        <w:spacing w:after="0" w:line="266" w:lineRule="auto"/>
        <w:rPr>
          <w:sz w:val="20"/>
          <w:szCs w:val="20"/>
          <w:color w:val="auto"/>
        </w:rPr>
      </w:pPr>
      <w:r>
        <w:rPr>
          <w:rFonts w:ascii="Arial" w:cs="Arial" w:eastAsia="Arial" w:hAnsi="Arial"/>
          <w:sz w:val="18"/>
          <w:szCs w:val="18"/>
          <w:b w:val="1"/>
          <w:bCs w:val="1"/>
          <w:color w:val="auto"/>
        </w:rPr>
        <w:t>PROPOSAL NO. 2 – RATIFICATION OF THE APPOINTMENT OF ERNST &amp; YOUNG LLP AS AVROBIO’S INDEPENDENT REGISTERED PUBLIC ACCOUNTING FIRM FOR THE FISCAL YEAR ENDING DECEMBER 31, 2021</w:t>
      </w:r>
    </w:p>
    <w:p>
      <w:pPr>
        <w:spacing w:after="0" w:line="1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AVROBIO’s stockholders are being asked to ratify the appointment by the Audit Committee of the board of directors of Ernst &amp; Young LLP as AVROBIO’s independent registered public accounting firm for the fiscal year ending December 31, 2021. Ernst &amp; Young LLP has served as AVROBIO’s independent registered public accounting firm since 2018.</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Audit Committee is solely responsible for selecting AVROBIO’s independent registered public accounting firm for the fiscal year ending December 31, 2021. Stockholder approval is not required to appoint Ernst &amp; Young LLP as AVROBIO’s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of Ernst &amp; Young LLP is ratified, the Audit Committee, at its discretion, may direct the appointment of a different independent registered public accounting firm at any time it decides that such a change would be in the best interest of AVROBIO and its stockholders.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representative of Ernst &amp; Young LLP is expected to be present at the virtual Annual Meeting and will have an opportunity to make a statement if he or she desires to do so and to respond to appropriate questions from our stockholders.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all fees paid or accrued by us for professional audit services and other services rendered by Ernst &amp; Young LLP during the years ended December 31, 2019 and December 31, 2020.</w:t>
      </w:r>
    </w:p>
    <w:p>
      <w:pPr>
        <w:spacing w:after="0" w:line="25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5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4"/>
                <w:szCs w:val="14"/>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656,084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648,736</w:t>
            </w:r>
          </w:p>
        </w:tc>
        <w:tc>
          <w:tcPr>
            <w:tcW w:w="6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Audit-related fees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48,825</w:t>
            </w:r>
          </w:p>
        </w:tc>
        <w:tc>
          <w:tcPr>
            <w:tcW w:w="6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(3)</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6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682,349</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40" w:hanging="541"/>
        <w:spacing w:after="0" w:line="255"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by Ernst &amp; Young LLP for the audit of our annual financial statements, the review of interim consolidated financial statements and consultations on accounting matters directly related to the audit, and comfort letters, consents and assistance with and review of documents filed with the SEC.</w:t>
      </w:r>
    </w:p>
    <w:p>
      <w:pPr>
        <w:spacing w:after="0" w:line="2" w:lineRule="exact"/>
        <w:rPr>
          <w:rFonts w:ascii="Arial" w:cs="Arial" w:eastAsia="Arial" w:hAnsi="Arial"/>
          <w:sz w:val="18"/>
          <w:szCs w:val="18"/>
          <w:color w:val="auto"/>
        </w:rPr>
      </w:pPr>
    </w:p>
    <w:p>
      <w:pPr>
        <w:ind w:left="940" w:right="300" w:hanging="541"/>
        <w:spacing w:after="0" w:line="281"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fees consist of fees for professional services in connection with tax compliance, tax planning, and tax advice, including the review and preparation of our federal, state and foreign income tax returns and requests for rulings or technical advice from tax authorities.</w:t>
      </w:r>
    </w:p>
    <w:p>
      <w:pPr>
        <w:spacing w:after="0" w:line="1" w:lineRule="exact"/>
        <w:rPr>
          <w:rFonts w:ascii="Arial" w:cs="Arial" w:eastAsia="Arial" w:hAnsi="Arial"/>
          <w:sz w:val="16"/>
          <w:szCs w:val="16"/>
          <w:color w:val="auto"/>
        </w:rPr>
      </w:pPr>
    </w:p>
    <w:p>
      <w:pPr>
        <w:jc w:val="both"/>
        <w:ind w:left="940" w:right="100" w:hanging="541"/>
        <w:spacing w:after="0" w:line="323"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fees consist of aggregate fees billed for products and services provided by the independent registered public accounting firm other than those fees disclosed above. For the year ended December 31, 2020, the other fees relate to our Ernst &amp; Young research website membership.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our 2020 and 2019 fiscal years, no services were provided to us by Ernst &amp; Young LLP other than in accordance with the pre-approval policies and procedures described above.</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2 to ratify the appointment of Ernst &amp; Young LLP as AVROBIO’s independent registered public accounting firm for the fiscal year ending December 31,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of directors are as follows:</w:t>
      </w:r>
    </w:p>
    <w:p>
      <w:pPr>
        <w:spacing w:after="0" w:line="80" w:lineRule="exact"/>
        <w:rPr>
          <w:sz w:val="20"/>
          <w:szCs w:val="20"/>
          <w:color w:val="auto"/>
        </w:rPr>
      </w:pPr>
    </w:p>
    <w:p>
      <w:pPr>
        <w:ind w:left="940" w:hanging="392"/>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shall have experience at a strategic or policymaking level in a business, government, non-profit or academic organization of high standing.</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shall be highly accomplished in his or her respective field, with superior credentials and recognition.</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nominee shall be well regarded in the community and shall have a long-term reputation for the high ethical and moral standards.</w:t>
      </w:r>
    </w:p>
    <w:p>
      <w:pPr>
        <w:spacing w:after="0" w:line="155" w:lineRule="exact"/>
        <w:rPr>
          <w:rFonts w:ascii="Arial" w:cs="Arial" w:eastAsia="Arial" w:hAnsi="Arial"/>
          <w:sz w:val="17"/>
          <w:szCs w:val="17"/>
          <w:color w:val="auto"/>
        </w:rPr>
      </w:pPr>
    </w:p>
    <w:p>
      <w:pPr>
        <w:ind w:left="940" w:hanging="392"/>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nominee shall have sufficient time and availability to devote to the affairs of the Company, particularly in light of the number of boards of directors on which such nominee may serve.</w:t>
      </w:r>
    </w:p>
    <w:p>
      <w:pPr>
        <w:spacing w:after="0" w:line="62" w:lineRule="exact"/>
        <w:rPr>
          <w:rFonts w:ascii="Arial" w:cs="Arial" w:eastAsia="Arial" w:hAnsi="Arial"/>
          <w:sz w:val="18"/>
          <w:szCs w:val="18"/>
          <w:color w:val="auto"/>
        </w:rPr>
      </w:pPr>
    </w:p>
    <w:p>
      <w:pPr>
        <w:ind w:left="940" w:right="580" w:hanging="392"/>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such nominee serves or has previously served on other boards, the nominee shall have a demonstrated history of actively contributing at board meetings.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AVROBIO, Inc., One Kendall Square, Building 300, Suite 201, Cambridge, Massachusetts 02139,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Applicable Nasdaq Stock Market LLC,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4" w:name="page15"/>
    <w:bookmarkEnd w:id="14"/>
    <w:p>
      <w:pPr>
        <w:ind w:right="180"/>
        <w:spacing w:after="0" w:line="342" w:lineRule="auto"/>
        <w:rPr>
          <w:sz w:val="20"/>
          <w:szCs w:val="20"/>
          <w:color w:val="auto"/>
        </w:rPr>
      </w:pPr>
      <w:r>
        <w:rPr>
          <w:rFonts w:ascii="Arial" w:cs="Arial" w:eastAsia="Arial" w:hAnsi="Arial"/>
          <w:sz w:val="16"/>
          <w:szCs w:val="16"/>
          <w:color w:val="auto"/>
        </w:rPr>
        <w:t>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board of directors has determined that all members of the board of directors, except Mr. MacKay and Dr. Farfel,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MacKay is not an independent director under these rules because he is an executive officer of the Company. Dr. Farfel is not an independent director under these rules because an immediate family member is employed by Ernst &amp; Young LLP, our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 xml:space="preserve">Our board of directors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Corporate Governance section of our website, </w:t>
      </w:r>
      <w:r>
        <w:rPr>
          <w:rFonts w:ascii="Arial" w:cs="Arial" w:eastAsia="Arial" w:hAnsi="Arial"/>
          <w:sz w:val="16"/>
          <w:szCs w:val="16"/>
          <w:b w:val="1"/>
          <w:bCs w:val="1"/>
          <w:i w:val="1"/>
          <w:iCs w:val="1"/>
          <w:color w:val="auto"/>
        </w:rPr>
        <w:t>www.avrobio.com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Phillip Donenberg, Annalisa Jenkins and Christopher Paige serve on the Audit Committee, which is chaired by Mr. Donenberg.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During the fiscal year ended December 31, 2020, the Audit Committee met eight times. The report of the Audit Committee is included in this proxy statement under “Report of the Audit Committee.” The Audit Committee’s responsibilities include:</w:t>
      </w:r>
    </w:p>
    <w:p>
      <w:pPr>
        <w:spacing w:after="0" w:line="84" w:lineRule="exact"/>
        <w:rPr>
          <w:sz w:val="20"/>
          <w:szCs w:val="20"/>
          <w:color w:val="auto"/>
        </w:rPr>
      </w:pPr>
    </w:p>
    <w:p>
      <w:pPr>
        <w:ind w:left="940" w:hanging="392"/>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55" w:lineRule="exact"/>
        <w:rPr>
          <w:rFonts w:ascii="Arial" w:cs="Arial" w:eastAsia="Arial" w:hAnsi="Arial"/>
          <w:sz w:val="17"/>
          <w:szCs w:val="17"/>
          <w:color w:val="auto"/>
        </w:rPr>
      </w:pPr>
    </w:p>
    <w:p>
      <w:pPr>
        <w:ind w:left="940" w:hanging="392"/>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940" w:right="680" w:hanging="392"/>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ind w:left="940" w:right="680" w:hanging="392"/>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44" w:lineRule="exact"/>
        <w:rPr>
          <w:rFonts w:ascii="Arial" w:cs="Arial" w:eastAsia="Arial" w:hAnsi="Arial"/>
          <w:sz w:val="18"/>
          <w:szCs w:val="18"/>
          <w:color w:val="auto"/>
        </w:rPr>
      </w:pPr>
    </w:p>
    <w:p>
      <w:pPr>
        <w:ind w:left="940" w:hanging="392"/>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2" w:lineRule="exact"/>
        <w:rPr>
          <w:rFonts w:ascii="Arial" w:cs="Arial" w:eastAsia="Arial" w:hAnsi="Arial"/>
          <w:sz w:val="18"/>
          <w:szCs w:val="18"/>
          <w:color w:val="auto"/>
        </w:rPr>
      </w:pPr>
    </w:p>
    <w:p>
      <w:pPr>
        <w:ind w:left="940" w:right="140" w:hanging="392"/>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 w:name="page16"/>
    <w:bookmarkEnd w:id="15"/>
    <w:p>
      <w:pPr>
        <w:ind w:left="940" w:hanging="39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quarterly earnings releases.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Ian Clark, Bruce Booth and Philip Vickers serve on the Compensation Committee, which is chaired by Mr. Clark. Our board of directors has determined that each member of the Compensation Committee is “independent” as defined in the applicable Nasdaq rules. During the fiscal year ended December 31, 2020, the Compensation Committee met six times. The Compensation Committee’s responsibilities include:</w:t>
      </w:r>
    </w:p>
    <w:p>
      <w:pPr>
        <w:spacing w:after="0" w:line="57" w:lineRule="exact"/>
        <w:rPr>
          <w:sz w:val="20"/>
          <w:szCs w:val="20"/>
          <w:color w:val="auto"/>
        </w:rPr>
      </w:pPr>
    </w:p>
    <w:p>
      <w:pPr>
        <w:ind w:left="940" w:right="440" w:hanging="392"/>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corporate goals and objectives relevant to the compensation of our chief executive officer;</w:t>
      </w:r>
    </w:p>
    <w:p>
      <w:pPr>
        <w:spacing w:after="0" w:line="62" w:lineRule="exact"/>
        <w:rPr>
          <w:rFonts w:ascii="Arial" w:cs="Arial" w:eastAsia="Arial" w:hAnsi="Arial"/>
          <w:sz w:val="18"/>
          <w:szCs w:val="18"/>
          <w:color w:val="auto"/>
        </w:rPr>
      </w:pPr>
    </w:p>
    <w:p>
      <w:pPr>
        <w:jc w:val="both"/>
        <w:ind w:left="940" w:right="600" w:hanging="392"/>
        <w:spacing w:after="0" w:line="263"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 recommending to the board of directors (i) the cash compensation of our chief executive officer and (ii) grants and awards to our chief executive officer under equity-based plans;</w:t>
      </w:r>
    </w:p>
    <w:p>
      <w:pPr>
        <w:spacing w:after="0" w:line="75"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44" w:lineRule="exact"/>
        <w:rPr>
          <w:rFonts w:ascii="Arial" w:cs="Arial" w:eastAsia="Arial" w:hAnsi="Arial"/>
          <w:sz w:val="18"/>
          <w:szCs w:val="18"/>
          <w:color w:val="auto"/>
        </w:rPr>
      </w:pPr>
    </w:p>
    <w:p>
      <w:pPr>
        <w:ind w:left="940" w:right="660" w:hanging="392"/>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our chief executive officer and our other key officers;</w:t>
      </w:r>
    </w:p>
    <w:p>
      <w:pPr>
        <w:spacing w:after="0" w:line="155" w:lineRule="exact"/>
        <w:rPr>
          <w:rFonts w:ascii="Arial" w:cs="Arial" w:eastAsia="Arial" w:hAnsi="Arial"/>
          <w:sz w:val="17"/>
          <w:szCs w:val="17"/>
          <w:color w:val="auto"/>
        </w:rPr>
      </w:pPr>
    </w:p>
    <w:p>
      <w:pPr>
        <w:ind w:left="940" w:right="220" w:hanging="392"/>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w:t>
      </w:r>
    </w:p>
    <w:p>
      <w:pPr>
        <w:spacing w:after="0" w:line="62" w:lineRule="exact"/>
        <w:rPr>
          <w:rFonts w:ascii="Arial" w:cs="Arial" w:eastAsia="Arial" w:hAnsi="Arial"/>
          <w:sz w:val="18"/>
          <w:szCs w:val="18"/>
          <w:color w:val="auto"/>
        </w:rPr>
      </w:pPr>
    </w:p>
    <w:p>
      <w:pPr>
        <w:ind w:left="940" w:right="360" w:hanging="392"/>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 and</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and approving the compensation of any compensation advisors.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Annalisa Jenkins, Phillip Donenberg and Christopher Paige serve on the Nominating and Corporate Governance Committee, which is chaired by</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 Jenkins. Our board of directors has determined that each member of the Nominating and Corporate Governance Committee is “independent” as defined in the applicable Nasdaq rules. During the fiscal year ended December 31, 2020, the Nominating and Corporate Governance Committee met three times. The Nominating and Corporate Governance Committee’s responsibilities include:</w:t>
      </w:r>
    </w:p>
    <w:p>
      <w:pPr>
        <w:spacing w:after="0" w:line="82" w:lineRule="exact"/>
        <w:rPr>
          <w:sz w:val="20"/>
          <w:szCs w:val="20"/>
          <w:color w:val="auto"/>
        </w:rPr>
      </w:pPr>
    </w:p>
    <w:p>
      <w:pPr>
        <w:ind w:left="940" w:hanging="39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55" w:lineRule="exact"/>
        <w:rPr>
          <w:rFonts w:ascii="Arial" w:cs="Arial" w:eastAsia="Arial" w:hAnsi="Arial"/>
          <w:sz w:val="17"/>
          <w:szCs w:val="17"/>
          <w:color w:val="auto"/>
        </w:rPr>
      </w:pPr>
    </w:p>
    <w:p>
      <w:pPr>
        <w:ind w:left="940" w:right="260" w:hanging="392"/>
        <w:spacing w:after="0" w:line="277"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6" w:name="page17"/>
    <w:bookmarkEnd w:id="16"/>
    <w:p>
      <w:pPr>
        <w:ind w:left="940" w:hanging="392"/>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55" w:lineRule="exact"/>
        <w:rPr>
          <w:rFonts w:ascii="Arial" w:cs="Arial" w:eastAsia="Arial" w:hAnsi="Arial"/>
          <w:sz w:val="17"/>
          <w:szCs w:val="17"/>
          <w:color w:val="auto"/>
        </w:rPr>
      </w:pPr>
    </w:p>
    <w:p>
      <w:pPr>
        <w:ind w:left="940" w:hanging="392"/>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guidelines; and</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w:t>
      </w:r>
    </w:p>
    <w:p>
      <w:pPr>
        <w:spacing w:after="0" w:line="2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7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Identifying and Evaluating Director Nominees. </w:t>
      </w:r>
      <w:r>
        <w:rPr>
          <w:rFonts w:ascii="Arial" w:cs="Arial" w:eastAsia="Arial" w:hAnsi="Arial"/>
          <w:sz w:val="17"/>
          <w:szCs w:val="17"/>
          <w:color w:val="auto"/>
        </w:rPr>
        <w:t>Our board of directors is responsible for filling vacancies on our board of directors and for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&amp; Technology Committee</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Philip Vickers, Bruce Booth, Gail Farfel, Annalisa Jenkins and Christopher Paige serve on the Science &amp; Technology Committee, which is chaired by Dr. Vickers. The board of directors established the Science &amp; Technology Committee on March 4, 2020. During the fiscal year ended December 31, 2020, the Science &amp; Technology Committee met six times. The Science &amp; Technology Committee’s responsibilities include:</w:t>
      </w:r>
    </w:p>
    <w:p>
      <w:pPr>
        <w:spacing w:after="0" w:line="57" w:lineRule="exact"/>
        <w:rPr>
          <w:sz w:val="20"/>
          <w:szCs w:val="20"/>
          <w:color w:val="auto"/>
        </w:rPr>
      </w:pPr>
    </w:p>
    <w:p>
      <w:pPr>
        <w:ind w:left="940" w:right="100" w:hanging="392"/>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advising the board of directors on our research and development, or R&amp;D, programs and progress in achieving R&amp;D goals and objectives;</w:t>
      </w:r>
    </w:p>
    <w:p>
      <w:pPr>
        <w:spacing w:after="0" w:line="62" w:lineRule="exact"/>
        <w:rPr>
          <w:rFonts w:ascii="Arial" w:cs="Arial" w:eastAsia="Arial" w:hAnsi="Arial"/>
          <w:sz w:val="18"/>
          <w:szCs w:val="18"/>
          <w:color w:val="auto"/>
        </w:rPr>
      </w:pPr>
    </w:p>
    <w:p>
      <w:pPr>
        <w:ind w:left="940" w:right="80" w:hanging="392"/>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advising the board of directors on the scientific and R&amp;D aspects of licensing, collaboration and acquisition transactions that require approval by the board of directors;</w:t>
      </w:r>
    </w:p>
    <w:p>
      <w:pPr>
        <w:spacing w:after="0" w:line="62" w:lineRule="exact"/>
        <w:rPr>
          <w:rFonts w:ascii="Arial" w:cs="Arial" w:eastAsia="Arial" w:hAnsi="Arial"/>
          <w:sz w:val="18"/>
          <w:szCs w:val="18"/>
          <w:color w:val="auto"/>
        </w:rPr>
      </w:pPr>
    </w:p>
    <w:p>
      <w:pPr>
        <w:ind w:left="940" w:right="240" w:hanging="392"/>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management’s exercise of its responsibility to assess and manage risks associated with our R&amp;D activities, clinical development and intellectual property; and</w:t>
      </w:r>
    </w:p>
    <w:p>
      <w:pPr>
        <w:spacing w:after="0" w:line="62" w:lineRule="exact"/>
        <w:rPr>
          <w:rFonts w:ascii="Arial" w:cs="Arial" w:eastAsia="Arial" w:hAnsi="Arial"/>
          <w:sz w:val="18"/>
          <w:szCs w:val="18"/>
          <w:color w:val="auto"/>
        </w:rPr>
      </w:pPr>
    </w:p>
    <w:p>
      <w:pPr>
        <w:ind w:left="940" w:right="220" w:hanging="392"/>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any recommendations to the board of directors that the Science &amp; Technology Committee deems appropriate on any areas within its responsibility, including where action or improvement is needed.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Attendance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full board of directors met six times during 2020. During 2020, each member of the board of directors attended in person or participated in 75% or more of the aggregate of (i) the total number of meetings of the board of directors (held during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ind w:right="440"/>
        <w:spacing w:after="0" w:line="277" w:lineRule="auto"/>
        <w:rPr>
          <w:sz w:val="20"/>
          <w:szCs w:val="20"/>
          <w:color w:val="auto"/>
        </w:rPr>
      </w:pPr>
      <w:r>
        <w:rPr>
          <w:rFonts w:ascii="Arial" w:cs="Arial" w:eastAsia="Arial" w:hAnsi="Arial"/>
          <w:sz w:val="18"/>
          <w:szCs w:val="18"/>
          <w:color w:val="auto"/>
        </w:rPr>
        <w:t>period for which such person has been a director) and (ii) the total number of meetings held by all committees of the board of directors on which such person served (during the periods that such person served).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directors (who were serving at such time) attended the 2020 Annual Meeting of Stockholders which was held on June 4,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Trading, Pledging and Hedging of Company Stock</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our executive officers, directors and designated employees and consultants from engaging in certain prohibited transactions, including short sales, purchases or sales of derivative securities or hedging transactions, the use of our securities as collateral in a margin account, and pledging of our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Investors &amp; Media–Corporate Governance section of our website, which is located at </w:t>
      </w:r>
      <w:r>
        <w:rPr>
          <w:rFonts w:ascii="Arial" w:cs="Arial" w:eastAsia="Arial" w:hAnsi="Arial"/>
          <w:sz w:val="18"/>
          <w:szCs w:val="18"/>
          <w:b w:val="1"/>
          <w:bCs w:val="1"/>
          <w:i w:val="1"/>
          <w:iCs w:val="1"/>
          <w:color w:val="auto"/>
        </w:rPr>
        <w:t>www.avrobio.com</w:t>
      </w:r>
      <w:r>
        <w:rPr>
          <w:rFonts w:ascii="Arial" w:cs="Arial" w:eastAsia="Arial" w:hAnsi="Arial"/>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Currently, the role of chairperson of the board is separated from the role of chief executive officer. We believe that separating these positions allows our chief executive officer to focus on our day-to-day business, while allowing the chairperson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our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Communication with the Directors of AVROBIO</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Any interested party with concerns about our Company may report such concerns to the board of directors or the chairperson of our board of directors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Nominating and Corporate Governance Committee, by submitting a written communication to the attention of such director at the following address: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AVROBIO,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for the reporting of such activity, which is 1-866-569-1843.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Evaluations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Nominating and Corporate Governance Committee oversees and establishes the annual board and committee evaluation process. In 2020, the Company engaged an independent third-party consultant to interview board members on board performance. Following these interviews, the third-party consultant provided feedback to the Nominating and Corporate Governance Committee for review and consideration. In prior years, the board and each committee have conducted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2020. Other than as set forth in the table and described more fully below, we did not pay any compensation, make any equity awards or non-equity awards to, or pay any other compensation to any of the non-employee members of our board of directors in 2020. We reimburse non-employee members of our board of directors for reasonable travel expenses. Mr. MacKay, our President and Chief Executive Officer, did not receive any compensation for his service as a member of our board of directors in 2020. Mr. MacKay’s compensation for service as an employee for fiscal year 2020 is presented in “Executive Compensation—Summary Compensation Table.”</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FEES EARNED OR</w:t>
            </w: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 AWARDS</w:t>
            </w:r>
          </w:p>
        </w:tc>
        <w:tc>
          <w:tcPr>
            <w:tcW w:w="14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 IN CASH</w:t>
            </w:r>
          </w:p>
        </w:tc>
        <w:tc>
          <w:tcPr>
            <w:tcW w:w="15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300" w:type="dxa"/>
            <w:vAlign w:val="bottom"/>
          </w:tcPr>
          <w:p>
            <w:pPr>
              <w:ind w:left="5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Bruce Booth, D.Phil.</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73,000</w:t>
            </w: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234"/>
              <w:spacing w:after="0"/>
              <w:rPr>
                <w:sz w:val="20"/>
                <w:szCs w:val="20"/>
                <w:color w:val="auto"/>
              </w:rPr>
            </w:pPr>
            <w:r>
              <w:rPr>
                <w:rFonts w:ascii="Arial" w:cs="Arial" w:eastAsia="Arial" w:hAnsi="Arial"/>
                <w:sz w:val="18"/>
                <w:szCs w:val="18"/>
                <w:color w:val="auto"/>
              </w:rPr>
              <w:t>196,311</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269,311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(3)</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45,000</w:t>
            </w:r>
          </w:p>
        </w:tc>
        <w:tc>
          <w:tcPr>
            <w:tcW w:w="220" w:type="dxa"/>
            <w:vAlign w:val="bottom"/>
          </w:tcPr>
          <w:p>
            <w:pPr>
              <w:spacing w:after="0"/>
              <w:rPr>
                <w:sz w:val="19"/>
                <w:szCs w:val="19"/>
                <w:color w:val="auto"/>
              </w:rPr>
            </w:pP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196,311</w:t>
            </w:r>
          </w:p>
        </w:tc>
        <w:tc>
          <w:tcPr>
            <w:tcW w:w="240" w:type="dxa"/>
            <w:vAlign w:val="bottom"/>
          </w:tcPr>
          <w:p>
            <w:pPr>
              <w:spacing w:after="0"/>
              <w:rPr>
                <w:sz w:val="19"/>
                <w:szCs w:val="19"/>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241,311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(4)</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50,000</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196,311</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246,311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Gail Farfel</w:t>
            </w:r>
            <w:r>
              <w:rPr>
                <w:rFonts w:ascii="Arial" w:cs="Arial" w:eastAsia="Arial" w:hAnsi="Arial"/>
                <w:sz w:val="15"/>
                <w:szCs w:val="15"/>
                <w:color w:val="auto"/>
              </w:rPr>
              <w:t>(5)</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7,863</w:t>
            </w:r>
          </w:p>
        </w:tc>
        <w:tc>
          <w:tcPr>
            <w:tcW w:w="220" w:type="dxa"/>
            <w:vAlign w:val="bottom"/>
          </w:tcPr>
          <w:p>
            <w:pPr>
              <w:spacing w:after="0"/>
              <w:rPr>
                <w:sz w:val="19"/>
                <w:szCs w:val="19"/>
                <w:color w:val="auto"/>
              </w:rPr>
            </w:pP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297,234</w:t>
            </w:r>
          </w:p>
        </w:tc>
        <w:tc>
          <w:tcPr>
            <w:tcW w:w="240" w:type="dxa"/>
            <w:vAlign w:val="bottom"/>
          </w:tcPr>
          <w:p>
            <w:pPr>
              <w:spacing w:after="0"/>
              <w:rPr>
                <w:sz w:val="19"/>
                <w:szCs w:val="19"/>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305,097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(6)</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53,500</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196,311</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249,811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Christopher Paige, Ph.D.</w:t>
            </w:r>
            <w:r>
              <w:rPr>
                <w:rFonts w:ascii="Arial" w:cs="Arial" w:eastAsia="Arial" w:hAnsi="Arial"/>
                <w:sz w:val="15"/>
                <w:szCs w:val="15"/>
                <w:color w:val="auto"/>
              </w:rPr>
              <w:t>(7)</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49,500</w:t>
            </w:r>
          </w:p>
        </w:tc>
        <w:tc>
          <w:tcPr>
            <w:tcW w:w="220" w:type="dxa"/>
            <w:vAlign w:val="bottom"/>
          </w:tcPr>
          <w:p>
            <w:pPr>
              <w:spacing w:after="0"/>
              <w:rPr>
                <w:sz w:val="19"/>
                <w:szCs w:val="19"/>
                <w:color w:val="auto"/>
              </w:rPr>
            </w:pP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196,311</w:t>
            </w:r>
          </w:p>
        </w:tc>
        <w:tc>
          <w:tcPr>
            <w:tcW w:w="240" w:type="dxa"/>
            <w:vAlign w:val="bottom"/>
          </w:tcPr>
          <w:p>
            <w:pPr>
              <w:spacing w:after="0"/>
              <w:rPr>
                <w:sz w:val="19"/>
                <w:szCs w:val="19"/>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245,811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Philip Vickers, Ph.D.</w:t>
            </w:r>
            <w:r>
              <w:rPr>
                <w:rFonts w:ascii="Arial" w:cs="Arial" w:eastAsia="Arial" w:hAnsi="Arial"/>
                <w:sz w:val="15"/>
                <w:szCs w:val="15"/>
                <w:color w:val="auto"/>
              </w:rPr>
              <w:t>(8)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46,000</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196,311</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242,311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5" w:lineRule="exact"/>
        <w:rPr>
          <w:sz w:val="20"/>
          <w:szCs w:val="20"/>
          <w:color w:val="auto"/>
        </w:rPr>
      </w:pPr>
    </w:p>
    <w:p>
      <w:pPr>
        <w:ind w:left="540" w:right="20" w:hanging="532"/>
        <w:spacing w:after="0" w:line="29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2020 in accordance with the Financial Accounting Standards Board’s Accounting Standards Codification Topic 718, or ASC 718. Such grant date fair value does not take into account any estimated forfeitures related to service-vesting conditions. See Note 8 of “Notes to Consolidated Financial Statements” in our Annual Report on Form 10-K filed with the SEC on March 18, 2021 for a discussion of assumptions made by us in determining the aggregate grant date fair value of our option awards. These amounts do not correspond to the actual value that may be recognized by the director upon vesting of applicable awards.</w:t>
      </w:r>
    </w:p>
    <w:p>
      <w:pPr>
        <w:spacing w:after="0" w:line="1" w:lineRule="exact"/>
        <w:rPr>
          <w:rFonts w:ascii="Arial" w:cs="Arial" w:eastAsia="Arial" w:hAnsi="Arial"/>
          <w:sz w:val="16"/>
          <w:szCs w:val="16"/>
          <w:color w:val="auto"/>
        </w:rPr>
      </w:pPr>
    </w:p>
    <w:p>
      <w:pPr>
        <w:ind w:left="540" w:right="200" w:hanging="532"/>
        <w:spacing w:after="0" w:line="27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Dr. Booth held options to purchase a total of 23,675 shares of our common stock, of which 9,675 shares were vested as of such date.</w:t>
      </w:r>
    </w:p>
    <w:p>
      <w:pPr>
        <w:spacing w:after="0" w:line="1" w:lineRule="exact"/>
        <w:rPr>
          <w:rFonts w:ascii="Arial" w:cs="Arial" w:eastAsia="Arial" w:hAnsi="Arial"/>
          <w:sz w:val="18"/>
          <w:szCs w:val="18"/>
          <w:color w:val="auto"/>
        </w:rPr>
      </w:pPr>
    </w:p>
    <w:p>
      <w:pPr>
        <w:ind w:left="540" w:right="260" w:hanging="532"/>
        <w:spacing w:after="0" w:line="25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Mr. Clark held options to purchase an aggregate of 102,697 shares of our common stock, of which 69,080 shares were vested as of such date.</w:t>
      </w:r>
    </w:p>
    <w:p>
      <w:pPr>
        <w:spacing w:after="0" w:line="1" w:lineRule="exact"/>
        <w:rPr>
          <w:rFonts w:ascii="Arial" w:cs="Arial" w:eastAsia="Arial" w:hAnsi="Arial"/>
          <w:sz w:val="18"/>
          <w:szCs w:val="18"/>
          <w:color w:val="auto"/>
        </w:rPr>
      </w:pPr>
    </w:p>
    <w:p>
      <w:pPr>
        <w:ind w:left="540" w:right="340" w:hanging="532"/>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Mr. Donenberg held options to purchase an aggregate of 42,418 shares of our common stock, of which 25,294 shares were vested as of such date.</w:t>
      </w:r>
    </w:p>
    <w:p>
      <w:pPr>
        <w:ind w:left="540" w:right="320" w:hanging="532"/>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Farfel joined our board of directors in October 2020. As of December 31, 2020, Dr. Farfel held an option to purchase an aggregate of 28,000 shares of our common stock, of which 1,556 shares were vested as of such date.</w:t>
      </w:r>
    </w:p>
    <w:p>
      <w:pPr>
        <w:ind w:left="540" w:right="240" w:hanging="532"/>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Dr. Jenkins held options to purchase an aggregate of 63,186 shares of our common stock, of which 36,839 shares were vested as of such date.</w:t>
      </w:r>
    </w:p>
    <w:p>
      <w:pPr>
        <w:ind w:left="540" w:right="360" w:hanging="532"/>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Dr. Paige held options to purchase 23,675 shares of our common stock, of which 9,675 shares were vested as of such date.</w:t>
      </w:r>
    </w:p>
    <w:p>
      <w:pPr>
        <w:ind w:left="540" w:right="240" w:hanging="532"/>
        <w:spacing w:after="0" w:line="26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Dr. Vickers held options to purchase an aggregate of 42,418 shares of our common stock, of which 21,650 shares were vested as of such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Our board of directors has adopted a non-employee director compensation policy that is designed to enable us to attract and retain, on a long-term basis, highly qualified non-employee directors. Pursuant to the policy, each director who is not an employee will be paid cash compensation as set forth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center"/>
              <w:ind w:left="224"/>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CHAIRPERSON</w:t>
            </w:r>
          </w:p>
        </w:tc>
        <w:tc>
          <w:tcPr>
            <w:tcW w:w="3000" w:type="dxa"/>
            <w:vAlign w:val="bottom"/>
            <w:gridSpan w:val="4"/>
            <w:vMerge w:val="restart"/>
          </w:tcPr>
          <w:p>
            <w:pPr>
              <w:jc w:val="center"/>
              <w:ind w:right="1460"/>
              <w:spacing w:after="0"/>
              <w:rPr>
                <w:sz w:val="20"/>
                <w:szCs w:val="20"/>
                <w:color w:val="auto"/>
              </w:rPr>
            </w:pPr>
            <w:r>
              <w:rPr>
                <w:rFonts w:ascii="Arial" w:cs="Arial" w:eastAsia="Arial" w:hAnsi="Arial"/>
                <w:sz w:val="14"/>
                <w:szCs w:val="14"/>
                <w:b w:val="1"/>
                <w:bCs w:val="1"/>
                <w:color w:val="auto"/>
              </w:rPr>
              <w:t>CHAIRPERSON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MEMBER</w:t>
            </w:r>
          </w:p>
        </w:tc>
        <w:tc>
          <w:tcPr>
            <w:tcW w:w="3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ANNUAL FEE</w:t>
            </w:r>
          </w:p>
        </w:tc>
        <w:tc>
          <w:tcPr>
            <w:tcW w:w="240" w:type="dxa"/>
            <w:vAlign w:val="bottom"/>
          </w:tcPr>
          <w:p>
            <w:pPr>
              <w:spacing w:after="0"/>
              <w:rPr>
                <w:sz w:val="12"/>
                <w:szCs w:val="12"/>
                <w:color w:val="auto"/>
              </w:rPr>
            </w:pPr>
          </w:p>
        </w:tc>
        <w:tc>
          <w:tcPr>
            <w:tcW w:w="2760" w:type="dxa"/>
            <w:vAlign w:val="bottom"/>
            <w:gridSpan w:val="3"/>
          </w:tcPr>
          <w:p>
            <w:pPr>
              <w:jc w:val="center"/>
              <w:ind w:right="1720"/>
              <w:spacing w:after="0" w:line="149" w:lineRule="exact"/>
              <w:rPr>
                <w:sz w:val="20"/>
                <w:szCs w:val="20"/>
                <w:color w:val="auto"/>
              </w:rPr>
            </w:pPr>
            <w:r>
              <w:rPr>
                <w:rFonts w:ascii="Arial" w:cs="Arial" w:eastAsia="Arial" w:hAnsi="Arial"/>
                <w:sz w:val="14"/>
                <w:szCs w:val="14"/>
                <w:b w:val="1"/>
                <w:bCs w:val="1"/>
                <w:color w:val="auto"/>
              </w:rPr>
              <w:t>ANNUAL FEE</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40" w:type="dxa"/>
            <w:vAlign w:val="bottom"/>
            <w:gridSpan w:val="2"/>
          </w:tcPr>
          <w:p>
            <w:pPr>
              <w:jc w:val="center"/>
              <w:ind w:left="173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15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32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97"/>
              </w:rPr>
              <w:t>(1)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Audit Committee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Compensation Committee</w:t>
            </w: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2"/>
              </w:rPr>
              <w:t>Nominating and Corporate Governance Committee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tcPr>
          <w:p>
            <w:pPr>
              <w:jc w:val="right"/>
              <w:ind w:right="1174"/>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20" w:name="page21"/>
    <w:bookmarkEnd w:id="20"/>
    <w:tbl>
      <w:tblPr>
        <w:tblLayout w:type="fixed"/>
        <w:tblInd w:w="1700" w:type="dxa"/>
        <w:tblCellMar>
          <w:top w:w="0" w:type="dxa"/>
          <w:left w:w="0" w:type="dxa"/>
          <w:bottom w:w="0" w:type="dxa"/>
          <w:right w:w="0" w:type="dxa"/>
        </w:tblCellMar>
      </w:tblP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Science and Technology Committee</w:t>
            </w:r>
          </w:p>
        </w:tc>
        <w:tc>
          <w:tcPr>
            <w:tcW w:w="25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4,000</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8,000</w:t>
            </w:r>
          </w:p>
        </w:tc>
      </w:tr>
    </w:tbl>
    <w:p>
      <w:pPr>
        <w:spacing w:after="0" w:line="134" w:lineRule="exact"/>
        <w:rPr>
          <w:sz w:val="20"/>
          <w:szCs w:val="20"/>
          <w:color w:val="auto"/>
        </w:rPr>
      </w:pPr>
    </w:p>
    <w:p>
      <w:pPr>
        <w:ind w:left="600" w:right="160" w:hanging="592"/>
        <w:spacing w:after="0" w:line="291"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March 3, 2021, following discussion with the Company’s compensation consultant, the board of directors amended the non-employee director compensation policy to provide that, effective July 1, 2021, the non-chairperson member annual fee will be increased from $35,000 to $40,000.</w:t>
      </w:r>
    </w:p>
    <w:p>
      <w:pPr>
        <w:ind w:left="600" w:right="160" w:hanging="592"/>
        <w:spacing w:after="0" w:line="290" w:lineRule="auto"/>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March 3, 2021, following discussion with the Company’s compensation consultant, the board of directors amended the non-employee director compensation policy to provide that, effective July 1, 2021, the chairperson annual fee will be increased from $65,000 to $72,500.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1525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each non-employee director first elected or appointed to serve on our board of directors is granted an option award for 28,000 shares of our common stock which vests in 36 equal monthly installments over a three-year period, subject to the director’s continued service through such vesting dates. On the date of each annual meeting of stockholders of our Company, each continuing non-employee director is granted an option award for 14,000 shares of our common stock which vests in full upon the earlier to occur of the first anniversary of the date of grant or the date of our following annual meeting of stockholders, subject to continued service as a director through such vesting date.</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 of directors, in consultation with the Company’s compensation consultant, will continue to review non-employee director compensation from time to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2020 and up to two additional individuals for whom disclosure would have been provided but for the fact that the individual was not serving as an executive officer as of December 31, 2020. We refer to these individuals as our 2020 named executive officers. Our 2020 named executive officers are:</w:t>
      </w:r>
    </w:p>
    <w:p>
      <w:pPr>
        <w:spacing w:after="0" w:line="84" w:lineRule="exact"/>
        <w:rPr>
          <w:sz w:val="20"/>
          <w:szCs w:val="20"/>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Geoff MacKay, our Chief Executive Officer and President;</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Birgitte Volck, our former President of Research and Development;</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Erik Ostrowski, our Chief Financial Officer and Treasurer; and</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Steven Avruch, our Chief Legal Officer and Secretary.</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services rendered to us in all capacities during the fiscal year ended December 31, 2020. The following table also presents information regarding the compensation awarded to, and earned by, and paid to each such individual during the fiscal year ended December 31, 2019, to the extent such individual was a named executive officer for such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Salary</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400" w:type="dxa"/>
            <w:vAlign w:val="bottom"/>
          </w:tcPr>
          <w:p>
            <w:pPr>
              <w:spacing w:after="0"/>
              <w:rPr>
                <w:sz w:val="14"/>
                <w:szCs w:val="14"/>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awards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Geoff MacKay</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9"/>
              </w:rPr>
              <w:t>543,400</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258,115</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4,093,165</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w:t>
            </w:r>
          </w:p>
        </w:tc>
        <w:tc>
          <w:tcPr>
            <w:tcW w:w="400" w:type="dxa"/>
            <w:vAlign w:val="bottom"/>
            <w:tcBorders>
              <w:top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(4)</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4,904,395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517,500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219,940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1,069,680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1,816,378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Arial" w:cs="Arial" w:eastAsia="Arial" w:hAnsi="Arial"/>
                <w:sz w:val="18"/>
                <w:szCs w:val="18"/>
                <w:color w:val="auto"/>
              </w:rPr>
              <w:t>Birgitte Volck, M.D., Ph.D.</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409,473</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1,987,925</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2,397,398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Former President of R&amp;D</w:t>
            </w: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Erik Ostrowski</w:t>
            </w: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424,400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162,969</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1,412,933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Chief Financial Officer and Treasurer</w:t>
            </w: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412,000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318,320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1,978,222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2,753,795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Arial" w:cs="Arial" w:eastAsia="Arial" w:hAnsi="Arial"/>
                <w:sz w:val="18"/>
                <w:szCs w:val="18"/>
                <w:color w:val="auto"/>
              </w:rPr>
              <w:t>Steven Avruch</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371,900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124,958</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1,260,297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9,821</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1,766,976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Chief Legal Officer and Secretary</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335,000</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105,530</w:t>
            </w: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942,697</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1,384,377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21" w:name="page22"/>
    <w:bookmarkEnd w:id="21"/>
    <w:p>
      <w:pPr>
        <w:ind w:left="540" w:right="500" w:hanging="532"/>
        <w:spacing w:after="0" w:line="25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2019 amounts reflect the discretionary bonus paid in 2020 for performance during 2019. In addition, for Mr. Ostrowski, the 2019 amount includes a $170,000 signing bonus paid pursuant to the terms of his employment agreement.</w:t>
      </w:r>
    </w:p>
    <w:p>
      <w:pPr>
        <w:spacing w:after="0" w:line="1" w:lineRule="exact"/>
        <w:rPr>
          <w:rFonts w:ascii="Arial" w:cs="Arial" w:eastAsia="Arial" w:hAnsi="Arial"/>
          <w:sz w:val="18"/>
          <w:szCs w:val="18"/>
          <w:color w:val="auto"/>
        </w:rPr>
      </w:pPr>
    </w:p>
    <w:p>
      <w:pPr>
        <w:ind w:left="540" w:right="880" w:hanging="532"/>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2020 amounts reflect the discretionary bonus paid in 2021 for performance during 2020, as discussed under “Narrative to Summary Compensation Table – Annual Bonus.”</w:t>
      </w:r>
    </w:p>
    <w:p>
      <w:pPr>
        <w:ind w:left="540" w:right="100" w:hanging="532"/>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reflect the grant date fair value of equity awards granted or modified in 2020 and 2019 in accordance with ASC 718. Such grant date fair value does not take into account any estimated forfeitures related to service-vesting conditions. See Note 8 of “Notes to Consolidated Financial Statements” in our Annual Report on Form 10-K filed with the SEC on March 18, 2021 for a discussion of assumptions made by us in determining the aggregate grant date fair value of our equity awards. These amounts do not correspond to the actual value that may be recognized by the 2020 named executive officers upon vesting of applicable awards.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MacKay.</w:t>
      </w:r>
    </w:p>
    <w:p>
      <w:pPr>
        <w:spacing w:after="0" w:line="9" w:lineRule="exact"/>
        <w:rPr>
          <w:rFonts w:ascii="Arial" w:cs="Arial" w:eastAsia="Arial" w:hAnsi="Arial"/>
          <w:sz w:val="18"/>
          <w:szCs w:val="18"/>
          <w:color w:val="auto"/>
        </w:rPr>
      </w:pPr>
    </w:p>
    <w:p>
      <w:pPr>
        <w:ind w:left="540" w:right="360" w:hanging="532"/>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Volck ceased serving as an executive officer of the Company in September 2020 and departed the Company in November 2020. Dr. Volck’s annual base salary of $468,700 was prorated based on her termination date.</w:t>
      </w:r>
    </w:p>
    <w:p>
      <w:pPr>
        <w:ind w:left="540" w:right="60" w:hanging="532"/>
        <w:spacing w:after="0" w:line="281"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 reflects (i) $1,351,744 in the incremental fair value, computed in accordance with ASC Topic 718, of Dr. Volck’s stock options that were accelerated in connection with her departure from the Company in November 2020 pursuant to her separation agreement, (ii) $591,524.15 in severance payments (including accrued paid time off) paid in connection with Dr. Volck’s departure from the Company in November 2020 pursuant to her separation agreement, (iii) $35,166.50 in airfare between Denmark and the United States, (iv) $5,673.05 in reimbursement of lodging and transportation expenses in Cambridge, MA and (v) $3,816.94 in reimbursement of Dr. Volck’s monthly cellphone and internet bill.</w:t>
      </w:r>
    </w:p>
    <w:p>
      <w:pPr>
        <w:spacing w:after="0" w:line="2"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Ostrowski.</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Avruch.</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board of directors and Compensation Committee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6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Compensation Committee has historically reviewed and made recommendations to our board of directors regarding the compensation to be paid to our chief executive officer and determined the compensation of our other executive officers. Our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our executive officers other than the chief executive officer without members of management present. Our board of directors discusses the Compensation Committee’s recommendations and ultimately approves the compensation of our chief executive officer without members of management present. Aon Consulting, Inc., or Aon Consulting, advised the board of directors and the Compensation Committee on certain compensation matters and decisions during fiscal year 2020. Aon Consulting served at the discretion of the Compensation Committee and did not provide any other services to the Company during fiscal year 2020 other than those for which they were engaged by the Compensation Committee. Our Compensation Committee requires that its compensation consultants be independent of Company management and performs an annual assessment of the compensation consultants’ independence to determine whether the consultants are independent. Our Compensation Committee has determined that Aon Consulting is independent and that its respective work has not raised any conflicts of interest.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2020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account individual responsibilities, performance and experience. None of our 2020 named executive officers is currently party to an employment agreement or other agreement or arrangement that provides for automatic or scheduled increases in base salary.</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2020, the annual base salaries for each of Mr. MacKay, Dr. Volck, Mr. Ostrowski and Mr. Avruch were $543,400, $468,700, $424,400 and $371,900,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have a Senior Executive Cash Incentive Bonus Plan. In addition, our employment agreements with our 2020 named executive officers provide that the executive may be eligible to earn an annual performance bonus of up to a target percentage of the executive’s base salary, as described further below under the section entitled “—Employment Arrangements with our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performance in fiscal year 2020, the target bonus opportunity as a percentage of base salary for each of Mr. MacKay, Dr. Volck,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Ostrowski and Mr. Avruch were 50%, 50%, 40% and 35%,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typically grant stock option awards to each of our employees, including our executives, in connection with their start of employment. Such stock option awards are typically granted on the first trading day of the month after the employees’ start date. We set the option exercise price and grant date fair value based on the value of our common stock on the date of grant. For grants in connection with initial employment, vesting begins on the initial date of employment.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Internal Revenue Code of 1986, as amended, or the Code. Matching contributions to the plan are made at the discretion of our board of directors.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Named Executive Officers</w:t>
      </w:r>
    </w:p>
    <w:p>
      <w:pPr>
        <w:spacing w:after="0" w:line="117"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We have entered into employment agreements with each of Geoff MacKay, Erik Ostrowski and Steven Avruch which set forth the initial terms and conditions of each executive’s employment with us, including base salary, target annual bonus opportunity and standard employee benefit plan participation. These employment agreements provide for “at will” employment. We have also entered into an employment agreement and transitional services and separation agreement with Birgitte Volck, our former President of Research and Development. The material terms of the employment agreements and transitional services and separation agreement with our 2020 named executive officers, as applicable, are described below. The terms “change of control,” “cause” and “good reason” referred to below are defined in the applicable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Geoff MacKay</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Effective upon the closing of our initial public offering in June 2018, we entered into an amended employment agreement with Geoff MacKay, our President and Chief Executive Officer. Under the terms of the employment agreement, Mr. MacKay is entitled to receive an annual base salary of $500,000 and an annual target bonus of 50% of his annual base salary based upon our board of directors’ assessment of Mr. MacKay’s performance and our attainment of targeted goals as set by the board of directors in its sole discretion. Mr. MacKay also previously entered into a Confidentiality and IP Assignment Agreement with us, the terms of which are incorporated into his employment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120"/>
        <w:spacing w:after="0" w:line="254" w:lineRule="auto"/>
        <w:rPr>
          <w:sz w:val="20"/>
          <w:szCs w:val="20"/>
          <w:color w:val="auto"/>
        </w:rPr>
      </w:pPr>
      <w:r>
        <w:rPr>
          <w:rFonts w:ascii="Arial" w:cs="Arial" w:eastAsia="Arial" w:hAnsi="Arial"/>
          <w:sz w:val="18"/>
          <w:szCs w:val="18"/>
          <w:color w:val="auto"/>
        </w:rPr>
        <w:t>Mr. MacKay’s employment agreement provides that, in the event that his employment is terminated by us without “cause” or Mr. MacKay resigned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Mr. MacKay at least</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12 months prior to the effective date of the employment agreement shall accelerate and become fully exercisable or non-forfeitable immediately prior to the change in control. In addition, in the event that Mr. MacKay is terminated by us without “cause” or Mr. MacKay resigns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 (ii) reimbursement of COBRA premiums for health benefit coverage, up to an amount equal to the monthly employer contribution that we would have made to provide health insurance to Mr. MacKay had he remained employed with us for up to 18 months. Additionally, all then unvested stock options and other stock-based awards granted to Mr. MacKay will vest and become exercisable or non-forfeitable as of the date of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Birgitte Volck</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17, 2018, we entered into an employment agreement with Dr. Volck which became effective on July 9, 2019. Under the terms of the employment agreement, Dr. Volck was entitled to receive an annual base salary of $455,000, subject to annual review by our board of directors, and an annual target bonus of 50% of her annual base salary based upon our board of directors’ assessment of Dr. Volck’s performance and our attainment of targeted goals as set by the board of directors in its sole discretion. For the 2020 fiscal year, Dr. Volck’s annual base salary was equal to $468,700, which amount was prorated based on her termination date. The employment agreement also provided for certain expense reimbursement benefits in connection with housing, travel from Denmark to the United States, tax advice, legal fees in connection with obtaining her visa and certain other living expenses. In addition, as a material inducement to her entry into the employment agreement, Dr. Volck was granted an option to purchase 293,000 shares of our common stock, which would vest over four years, with 25% of the shares vesting on the one-year anniversary of Dr. Volck’s start date and the remaining shares vesting in thirty-six equal monthly installments thereafter, subject to Dr. Volck’s continued service to our company through the applicable vesting date. This equity award was granted outside of our current stockholder-approved stock option and incentive plans and was intended to qualify as an “employment inducement award” within the meaning of Nasdaq Listing Rule 5635(c)(4). Dr. Volck also entered into an Employee Confidentiality, Assignment and Noncompetition Agreement with us, the terms of which are incorporated into her employment agreement.</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Dr. Volck’s employment agreement provided that, in the event that her employment is terminated by us without “cause” or Dr. Volck resigns with “good reason”, subject to the execution and effectiveness of a separation agreement and release, she would be entitled to receive (i) an amount equal to 75% of her base salary less any amount paid to Dr. Volck in the same calendar year under the Employee Confidentiality, Assignment and Noncompetition Agreement, provided that Dr. Volck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 to Dr. Volck had she remained employed with us for up to nine months. Additionally, all time-based stock options and other stock-based awards held by Dr. Volck that would have vested if she had remained employed by us for an additional nine months following the date of termination would vest and become exercisable or non-forfeitable as of the date of termination.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Under the employment agreement, in the event of a “change in control” all stock options and other stock-based awards granted to Dr. Volck at least</w:t>
      </w:r>
    </w:p>
    <w:p>
      <w:pPr>
        <w:spacing w:after="0" w:line="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12 months prior to the effective date of the employment agreement would accelerate and become fully exercisable or non-forfeitable immediately prior to the change in control. In addition, in the event that Dr. Volck was terminated by us without “cause” or Dr. Volck resigns for “good reason” within three months prior to or 18 months after a “change in control”, subject to the execution and effectiveness of a separation agreement and release, she would be entitled to receive (i) an amount equal to 100% of the sum of her base salary plus target bonus for that year, less any amount paid to Dr. Volck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Dr. Volck had she remained employed with us for up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color w:val="auto"/>
        </w:rPr>
        <w:t>12 months. Additionally, all then unvested time-based stock options and other stock-based awards granted to Dr. Volck would vest and become exercisable or non-forfeitable as of the date of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Transitional Services and Separation Agreement with Birgitte Volck</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July 16, 2020, we entered into a transitional services and separation agreement with Dr. Volck, or the Separation Agreement. Under the Separation Agreement, Dr. Volck continued to provide her then-existing services to the Company from July 16, 2020 until September 30, 2020, and from October 1, 2020 until November 15, 2020 Dr. Volck provided services to the Company only as requested by our Chief Executive Officer from time to time. Dr. Volck continued to receive her then-current salary and benefits and her equity continued to vest from the date of the Separation Agreement until November 15, 2020, and pursuant to the Separation Agreement she resigned as an executive officer of the Company effective September 30, 2020. Under the Separation Agreement, in exchange for granting and not revoking a customary release agreement, Dr. Volck became entitled to receive (i) an amount equal to nine months of her base salary, payable in a single lump sum during the first two weeks of January 2021, (ii) a prorated annual bonus, calculated by multiplying her target annual bonus of $212,200 by a company performance multiplier equal to the mean average of the performance multipliers of the other non-CEO members of the Company’s executive team, and prorating the result based on her separation date of November 15, 2020, and (iii) reimbursement of up to $40,000 in the aggregate for expenses directly related to tax advice and incurred by Dr. Volck with respect to calendar years 2019 and 2020. Additionally, all time-based equity awards held by Dr. Volck that would have vested had Dr. Volck remained employed by us for an additional nine months following November 15, 2020 vested and became exercisable or non-forfeitable, and the exercise period for all vested options held by Dr. Volck was extended to 12 months from her separation date of November 15,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Erik Ostrowski</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17, 2018, we entered into an employment agreement with Erik Ostrowski for the position of Chief Financial Officer. Under the terms of the employment agreement, Mr. Ostrowski is entitled to receive an annual base salary of $412,000 and an annual target bonus of 40% of his annual base salary based upon our board of directors’ assessment of Mr. Ostrowski’s performance and our attainment of targeted goals as set by the board of directors in its sole discretion. Mr. Ostrowski also received a signing bonus in the form of (i) a one-time cash bonus of $170,000 and (ii) a restricted stock unit for 2,300 shares of our common stock, or the Signing Bonus Award. In addition, pursuant to the terms of the employment agreement, Mr. Ostrowski was granted an option to purchase 186,000 shares of our common stock, or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our Company through the applicable vesting date. Mr. Ostrowski also entered into an Employee Confidentiality, Assignment and Noncompetition Agreement with us, the terms of which are incorporated into his employment agreement.</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Ostrowski’s employment agreement provides that, in the event that his employment is terminated by us without “cause” or Mr. Ostrowski resigns with “good reason,”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 to Mr. Ostrowski had he remained employed with us for up to nine months. Additionally, all stock options and other stock based awards held by Mr. Ostrowski that would have vested if he had remained employed by us for an additional nine months following the date of termination will vest and become exercisable or non-forfeitable as of the date of termination.</w:t>
      </w:r>
    </w:p>
    <w:p>
      <w:pPr>
        <w:spacing w:after="0" w:line="1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employment agreement, in the event of a “change in control” all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 is terminated by us without “cause” or Mr. Ostrowski resigns for “good reason” within three months prior to or 18 months after a “change in control,” subject to the execution and effectiveness of a separation agreement and release, he will be entitled to receive (i) an amount equal to 100% of the sum of his base salary plus target bonus for that year, less any amount paid to Mr. Ostrowski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Mr. Ostrowski had he remained employed with us for up to 12 months. Additionally, all then unvested stock options and other stock-based awards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granted to Mr. Ostrowski will vest and become exercisable or non-forfeitable as of the date of termination.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Steven Avruch</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17, 2018, we entered into an employment agreement with Steven Avruch for the position of Vice President and General Counsel. Under the terms of the employment agreement, Mr. Avruch is entitled to receive an annual base salary of $335,000 and an annual target bonus of 35% of his annual base salary based upon our board of directors’ assessment of Mr. Avruch’s performance and our attainment of targeted goals as set by the board of directors in its sole discretion. In addition, pursuant to the terms of the employment agreement, Mr. Avruch was granted an option to purchase 88,636 shares of our common stock. The stock option grant will vest over four years, with 25% of the shares vesting on the one-year anniversary of Mr. Avruch’s start date and the remaining shares vesting in thirty-six equal monthly installments thereafter, subject to Mr. Avruch’s continued service to our Company through the applicable vesting date. Mr. Avruch also entered into an Employee Confidentiality, Assignment and Noncompetition Agreement with us, the terms of which are incorporated into his employment agreement.</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Avruch’s employment agreement provides that, in the event that his employment is terminated by us without “cause” or Mr. Avruch resigns with “good reason”, subject to the execution and effectiveness of a separation agreement and release, he will be entitled to receive (i) an amount equal to 75% of his base salary less any amount paid to Mr. Avruch in the same calendar year under the Employee Confidentiality, Assignment and Noncompetition Agreement, provided that Mr. Avruch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 to Mr. Avruch had he remained employed with us for up to nine months. Additionally, all stock options and other stock based awards held by Mr. Avruch that would have vested if he had remained employed by us for an additional nine months following the date of termination will vest and become exercisable or non-forfeitable as of the date of termination.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Under the employment agreement, in the event of a “change in control” all stock options and other stock-based awards granted to Mr. Avruch at least</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12 months prior to the effective date of the employment agreement shall accelerate and become fully exercisable or non-forfeitable immediately prior to the change in control. In addition, in the event that Mr. Avruch is terminated by us without “cause” or Mr. Avruch resigns for “good reason” within three months prior to or 18 months after a “change in control,” subject to the execution and effectiveness of a separation agreement and release, he will be entitled to receive (i) an amount equal to 100% of the sum of his base salary plus target bonus for that year, less any amount paid to Mr. Avruch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Mr. Avruch had he remained employed with us for up to 12 months. Additionally, all then unvested stock options and other stock-based awards granted to Mr. Avruch will vest and become exercisable or non-forfeitable as of the date of termination.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following table sets forth information concerning outstanding equity awards held by our 2020 named executive officers as of December 31, 2020. All equity awards set forth in the table below were granted under either our 2015 Stock Option and Grant Plan, or our 2015 Plan, our 2018 Stock Option and Incentive Plan, or our 2018 Plan, or as an inducement award pursuant to applicable Nasdaq rules as indicated below.</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1"/>
                <w:szCs w:val="11"/>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5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56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that</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5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5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5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1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5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5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Price ($)</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56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23"/>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Geoff MacKay</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142,013</w:t>
            </w:r>
          </w:p>
        </w:tc>
        <w:tc>
          <w:tcPr>
            <w:tcW w:w="5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4/12/2026</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40,249</w:t>
            </w: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6/12/2027</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211,880</w:t>
            </w: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96,309</w:t>
            </w:r>
          </w:p>
        </w:tc>
        <w:tc>
          <w:tcPr>
            <w:tcW w:w="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(3)</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3/15/2028</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43,750</w:t>
            </w: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(4)</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3/5/2029</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292,300</w:t>
            </w:r>
          </w:p>
        </w:tc>
        <w:tc>
          <w:tcPr>
            <w:tcW w:w="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3/3/2030</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Birgitte Volck</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189,229</w:t>
            </w:r>
          </w:p>
        </w:tc>
        <w:tc>
          <w:tcPr>
            <w:tcW w:w="540" w:type="dxa"/>
            <w:vAlign w:val="bottom"/>
          </w:tcPr>
          <w:p>
            <w:pPr>
              <w:jc w:val="right"/>
              <w:ind w:right="164"/>
              <w:spacing w:after="0"/>
              <w:rPr>
                <w:sz w:val="20"/>
                <w:szCs w:val="20"/>
                <w:color w:val="auto"/>
              </w:rPr>
            </w:pPr>
            <w:r>
              <w:rPr>
                <w:rFonts w:ascii="Arial" w:cs="Arial" w:eastAsia="Arial" w:hAnsi="Arial"/>
                <w:sz w:val="15"/>
                <w:szCs w:val="15"/>
                <w:color w:val="auto"/>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120"/>
              <w:spacing w:after="0"/>
              <w:rPr>
                <w:sz w:val="20"/>
                <w:szCs w:val="20"/>
                <w:color w:val="auto"/>
              </w:rPr>
            </w:pPr>
            <w:r>
              <w:rPr>
                <w:rFonts w:ascii="Arial" w:cs="Arial" w:eastAsia="Arial" w:hAnsi="Arial"/>
                <w:sz w:val="15"/>
                <w:szCs w:val="15"/>
                <w:color w:val="auto"/>
              </w:rPr>
              <w:t>(7)</w:t>
            </w:r>
          </w:p>
        </w:tc>
        <w:tc>
          <w:tcPr>
            <w:tcW w:w="880" w:type="dxa"/>
            <w:vAlign w:val="bottom"/>
          </w:tcPr>
          <w:p>
            <w:pPr>
              <w:jc w:val="right"/>
              <w:spacing w:after="0"/>
              <w:rPr>
                <w:sz w:val="20"/>
                <w:szCs w:val="20"/>
                <w:color w:val="auto"/>
              </w:rPr>
            </w:pPr>
            <w:r>
              <w:rPr>
                <w:rFonts w:ascii="Arial" w:cs="Arial" w:eastAsia="Arial" w:hAnsi="Arial"/>
                <w:sz w:val="18"/>
                <w:szCs w:val="18"/>
                <w:color w:val="auto"/>
              </w:rPr>
              <w:t>21.76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11/15/2021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540" w:type="dxa"/>
            <w:vAlign w:val="bottom"/>
          </w:tcPr>
          <w:p>
            <w:pPr>
              <w:jc w:val="right"/>
              <w:ind w:right="164"/>
              <w:spacing w:after="0"/>
              <w:rPr>
                <w:sz w:val="20"/>
                <w:szCs w:val="20"/>
                <w:color w:val="auto"/>
              </w:rPr>
            </w:pPr>
            <w:r>
              <w:rPr>
                <w:rFonts w:ascii="Arial" w:cs="Arial" w:eastAsia="Arial" w:hAnsi="Arial"/>
                <w:sz w:val="15"/>
                <w:szCs w:val="15"/>
                <w:color w:val="auto"/>
              </w:rPr>
              <w:t>(8)</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120"/>
              <w:spacing w:after="0"/>
              <w:rPr>
                <w:sz w:val="20"/>
                <w:szCs w:val="20"/>
                <w:color w:val="auto"/>
              </w:rPr>
            </w:pPr>
            <w:r>
              <w:rPr>
                <w:rFonts w:ascii="Arial" w:cs="Arial" w:eastAsia="Arial" w:hAnsi="Arial"/>
                <w:sz w:val="15"/>
                <w:szCs w:val="15"/>
                <w:color w:val="auto"/>
              </w:rPr>
              <w:t>(9)</w:t>
            </w:r>
          </w:p>
        </w:tc>
        <w:tc>
          <w:tcPr>
            <w:tcW w:w="880" w:type="dxa"/>
            <w:vAlign w:val="bottom"/>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11/15/2021</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Erik Ostrowski</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89,125</w:t>
            </w: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96,875</w:t>
            </w:r>
          </w:p>
        </w:tc>
        <w:tc>
          <w:tcPr>
            <w:tcW w:w="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1/1/2029</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56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rPr>
              <w:t>(11)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100,900</w:t>
            </w:r>
          </w:p>
        </w:tc>
        <w:tc>
          <w:tcPr>
            <w:tcW w:w="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3/3/2030</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Steven Avruch</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42,471</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46,165</w:t>
            </w:r>
          </w:p>
        </w:tc>
        <w:tc>
          <w:tcPr>
            <w:tcW w:w="580" w:type="dxa"/>
            <w:vAlign w:val="bottom"/>
          </w:tcPr>
          <w:p>
            <w:pPr>
              <w:ind w:left="120"/>
              <w:spacing w:after="0"/>
              <w:rPr>
                <w:sz w:val="20"/>
                <w:szCs w:val="20"/>
                <w:color w:val="auto"/>
              </w:rPr>
            </w:pPr>
            <w:r>
              <w:rPr>
                <w:rFonts w:ascii="Arial" w:cs="Arial" w:eastAsia="Arial" w:hAnsi="Arial"/>
                <w:sz w:val="15"/>
                <w:szCs w:val="15"/>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1/1/2029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90,000</w:t>
            </w:r>
          </w:p>
        </w:tc>
        <w:tc>
          <w:tcPr>
            <w:tcW w:w="580" w:type="dxa"/>
            <w:vAlign w:val="bottom"/>
          </w:tcPr>
          <w:p>
            <w:pPr>
              <w:ind w:left="120"/>
              <w:spacing w:after="0"/>
              <w:rPr>
                <w:sz w:val="20"/>
                <w:szCs w:val="20"/>
                <w:color w:val="auto"/>
              </w:rPr>
            </w:pPr>
            <w:r>
              <w:rPr>
                <w:rFonts w:ascii="Arial" w:cs="Arial" w:eastAsia="Arial" w:hAnsi="Arial"/>
                <w:sz w:val="15"/>
                <w:szCs w:val="15"/>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3/3/2030</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40" w:right="240" w:hanging="532"/>
        <w:spacing w:after="0" w:line="25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column is based on the fair market value of our common stock as of December 31, 2020, the last trading day of 2020, which was $13.94 per share.</w:t>
      </w:r>
    </w:p>
    <w:p>
      <w:pPr>
        <w:spacing w:after="0" w:line="1" w:lineRule="exact"/>
        <w:rPr>
          <w:rFonts w:ascii="Arial" w:cs="Arial" w:eastAsia="Arial" w:hAnsi="Arial"/>
          <w:sz w:val="18"/>
          <w:szCs w:val="18"/>
          <w:color w:val="auto"/>
        </w:rPr>
      </w:pPr>
    </w:p>
    <w:p>
      <w:pPr>
        <w:ind w:left="540" w:right="54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June 13, 2018 and the remainder vest in equal monthly installments until the option is fully vested on June 13, 2021,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40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16, 2019 and the remainder vest in equal monthly installments until the option is fully vested on March 16, 2022,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48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5, 2020 and the remainder vest in equal monthly installments until the option is fully vested on March 5, 2023,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42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4, 2021 and the remainder vest in equal monthly installments until the option is fully vested on March 4, 2024, subject to the continued employment of the executive officers through each such vesting date.</w:t>
      </w:r>
    </w:p>
    <w:p>
      <w:pPr>
        <w:spacing w:after="0" w:line="1" w:lineRule="exact"/>
        <w:rPr>
          <w:rFonts w:ascii="Arial" w:cs="Arial" w:eastAsia="Arial" w:hAnsi="Arial"/>
          <w:sz w:val="18"/>
          <w:szCs w:val="18"/>
          <w:color w:val="auto"/>
        </w:rPr>
      </w:pPr>
    </w:p>
    <w:p>
      <w:pPr>
        <w:ind w:left="540" w:right="4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grant of a non-qualified stock option as an inducement award pursuant to Nasdaq listing rule 5635(c)(4). The shares underlying this stock option were subject to vesting over four years, with 25% of the shares vesting on December 17, 2019 and the remainder vesting in equal monthly installments until December 17, 2022, subject to the continued employment of Dr. Volck through such date. Pursuant to Dr. Volck’s Separation Agreement, the vesting of 54,938 shares was accelerated upon her separation date and the vested portion of this stock option will remain exercisable through November 15, 2021.</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Dr. Volck’s transitional services and separation agreement dated July 16, 2020, 103,771 shares were cancelled.</w:t>
      </w:r>
    </w:p>
    <w:p>
      <w:pPr>
        <w:spacing w:after="0" w:line="9" w:lineRule="exact"/>
        <w:rPr>
          <w:rFonts w:ascii="Arial" w:cs="Arial" w:eastAsia="Arial" w:hAnsi="Arial"/>
          <w:sz w:val="18"/>
          <w:szCs w:val="18"/>
          <w:color w:val="auto"/>
        </w:rPr>
      </w:pPr>
    </w:p>
    <w:p>
      <w:pPr>
        <w:ind w:left="540" w:right="14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stock option were subject to vesting over four years, with 25% of the shares vesting on February 3, 2021 and the remainder vesting in equal monthly installments until February 3, 2024, subject to the continued employment of Dr. Volck through such date. Pursuant to Dr. Volck’s Separation Agreement, the vesting of 28,500 shares was accelerated upon her separation date and the vested portion of this stock option will remain exercisable through November 15, 2021.</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Dr. Volck’s transitional services and separation agreement dated July 16, 2020, 47,500 shares were cancelled.</w:t>
      </w:r>
    </w:p>
    <w:p>
      <w:pPr>
        <w:spacing w:after="0" w:line="9" w:lineRule="exact"/>
        <w:rPr>
          <w:rFonts w:ascii="Arial" w:cs="Arial" w:eastAsia="Arial" w:hAnsi="Arial"/>
          <w:sz w:val="18"/>
          <w:szCs w:val="18"/>
          <w:color w:val="auto"/>
        </w:rPr>
      </w:pPr>
    </w:p>
    <w:p>
      <w:pPr>
        <w:ind w:left="540" w:right="400" w:hanging="532"/>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January 2, 2020 and the remainder vest in equal monthly installments until the option is fully vested on January 2, 2023,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40" w:right="140" w:hanging="532"/>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this restricted stock unit vest as follows: 25% of the shares vested on January 2, 2020 and the remainder vest in equal monthly installments until the restricted stock unit is fully vested on January 2, 2023, subject to the continued employment of the executive officer through each such vesting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left="540" w:right="240" w:hanging="532"/>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February 3, 2021 and the remainder vest in equal monthly installments until the option is fully vested on February 3, 2024, subject to the continued employment of the executive officers through each such vesting date.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table sets forth information as of December 31, 2020 regarding shares of common stock that may be issued under our equity compensation plans, consisting of our 2018 Plan, our 2015 Plan, our 2019 Inducement Plan, our 2020 Inducement Plan, and our 2018 Employee Stock Purchase Plan, or our ESPP.</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1980" w:type="dxa"/>
            <w:vAlign w:val="bottom"/>
            <w:gridSpan w:val="2"/>
            <w:vMerge w:val="continue"/>
          </w:tcPr>
          <w:p>
            <w:pPr>
              <w:spacing w:after="0"/>
              <w:rPr>
                <w:sz w:val="12"/>
                <w:szCs w:val="12"/>
                <w:color w:val="auto"/>
              </w:rPr>
            </w:pP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Reflected in The</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Options and RSUs (#)</w:t>
            </w:r>
          </w:p>
        </w:tc>
        <w:tc>
          <w:tcPr>
            <w:tcW w:w="1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Options ($)</w:t>
            </w:r>
            <w:r>
              <w:rPr>
                <w:rFonts w:ascii="Arial" w:cs="Arial" w:eastAsia="Arial" w:hAnsi="Arial"/>
                <w:sz w:val="12"/>
                <w:szCs w:val="12"/>
                <w:b w:val="1"/>
                <w:bCs w:val="1"/>
                <w:color w:val="auto"/>
                <w:w w:val="92"/>
              </w:rPr>
              <w:t>(1)</w:t>
            </w: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First Column) (#)</w:t>
            </w:r>
          </w:p>
        </w:tc>
        <w:tc>
          <w:tcPr>
            <w:tcW w:w="0" w:type="dxa"/>
            <w:vAlign w:val="bottom"/>
          </w:tcPr>
          <w:p>
            <w:pPr>
              <w:spacing w:after="0"/>
              <w:rPr>
                <w:sz w:val="1"/>
                <w:szCs w:val="1"/>
                <w:color w:val="auto"/>
              </w:rPr>
            </w:pPr>
          </w:p>
        </w:tc>
      </w:tr>
      <w:tr>
        <w:trPr>
          <w:trHeight w:val="209"/>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15"/>
                <w:szCs w:val="15"/>
                <w:color w:val="auto"/>
              </w:rPr>
              <w:t>(2)</w:t>
            </w:r>
          </w:p>
        </w:tc>
        <w:tc>
          <w:tcPr>
            <w:tcW w:w="198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w w:val="93"/>
              </w:rPr>
              <w:t>3,644,864</w:t>
            </w:r>
            <w:r>
              <w:rPr>
                <w:rFonts w:ascii="Arial" w:cs="Arial" w:eastAsia="Arial" w:hAnsi="Arial"/>
                <w:sz w:val="15"/>
                <w:szCs w:val="15"/>
                <w:color w:val="auto"/>
                <w:w w:val="93"/>
              </w:rPr>
              <w:t>(3)</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w w:val="93"/>
              </w:rPr>
              <w:t>4,640,378</w:t>
            </w:r>
            <w:r>
              <w:rPr>
                <w:rFonts w:ascii="Arial" w:cs="Arial" w:eastAsia="Arial" w:hAnsi="Arial"/>
                <w:sz w:val="15"/>
                <w:szCs w:val="15"/>
                <w:color w:val="auto"/>
                <w:w w:val="93"/>
              </w:rPr>
              <w:t>(4)</w:t>
            </w:r>
          </w:p>
        </w:tc>
        <w:tc>
          <w:tcPr>
            <w:tcW w:w="0" w:type="dxa"/>
            <w:vAlign w:val="bottom"/>
          </w:tcPr>
          <w:p>
            <w:pPr>
              <w:spacing w:after="0"/>
              <w:rPr>
                <w:sz w:val="1"/>
                <w:szCs w:val="1"/>
                <w:color w:val="auto"/>
              </w:rPr>
            </w:pPr>
          </w:p>
        </w:tc>
      </w:tr>
      <w:tr>
        <w:trPr>
          <w:trHeight w:val="215"/>
        </w:trPr>
        <w:tc>
          <w:tcPr>
            <w:tcW w:w="41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by security holders</w:t>
            </w:r>
          </w:p>
        </w:tc>
        <w:tc>
          <w:tcPr>
            <w:tcW w:w="1980" w:type="dxa"/>
            <w:vAlign w:val="bottom"/>
            <w:gridSpan w:val="2"/>
          </w:tcPr>
          <w:p>
            <w:pPr>
              <w:ind w:left="1040"/>
              <w:spacing w:after="0"/>
              <w:rPr>
                <w:sz w:val="20"/>
                <w:szCs w:val="20"/>
                <w:color w:val="auto"/>
              </w:rPr>
            </w:pPr>
            <w:r>
              <w:rPr>
                <w:rFonts w:ascii="Arial" w:cs="Arial" w:eastAsia="Arial" w:hAnsi="Arial"/>
                <w:sz w:val="18"/>
                <w:szCs w:val="18"/>
                <w:color w:val="auto"/>
                <w:w w:val="93"/>
              </w:rPr>
              <w:t>1,915,879</w:t>
            </w:r>
            <w:r>
              <w:rPr>
                <w:rFonts w:ascii="Arial" w:cs="Arial" w:eastAsia="Arial" w:hAnsi="Arial"/>
                <w:sz w:val="15"/>
                <w:szCs w:val="15"/>
                <w:color w:val="auto"/>
                <w:w w:val="93"/>
              </w:rPr>
              <w:t>(5)</w:t>
            </w:r>
          </w:p>
        </w:tc>
        <w:tc>
          <w:tcPr>
            <w:tcW w:w="180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20"/>
                <w:szCs w:val="20"/>
                <w:color w:val="auto"/>
              </w:rPr>
            </w:pPr>
          </w:p>
        </w:tc>
        <w:tc>
          <w:tcPr>
            <w:tcW w:w="2020" w:type="dxa"/>
            <w:vAlign w:val="bottom"/>
            <w:gridSpan w:val="2"/>
          </w:tcPr>
          <w:p>
            <w:pPr>
              <w:ind w:left="1080"/>
              <w:spacing w:after="0"/>
              <w:rPr>
                <w:sz w:val="20"/>
                <w:szCs w:val="20"/>
                <w:color w:val="auto"/>
              </w:rPr>
            </w:pPr>
            <w:r>
              <w:rPr>
                <w:rFonts w:ascii="Arial" w:cs="Arial" w:eastAsia="Arial" w:hAnsi="Arial"/>
                <w:sz w:val="18"/>
                <w:szCs w:val="18"/>
                <w:color w:val="auto"/>
                <w:w w:val="93"/>
              </w:rPr>
              <w:t>2,065,050</w:t>
            </w:r>
            <w:r>
              <w:rPr>
                <w:rFonts w:ascii="Arial" w:cs="Arial" w:eastAsia="Arial" w:hAnsi="Arial"/>
                <w:sz w:val="15"/>
                <w:szCs w:val="15"/>
                <w:color w:val="auto"/>
                <w:w w:val="93"/>
              </w:rPr>
              <w:t>(6)</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7"/>
              </w:rPr>
              <w:t>5,560,743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2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89"/>
              </w:rPr>
              <w:t>6,705,428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Since restricted stock units do not have any exercise price, such units are not included in the weighted average exercise price calculations above.</w:t>
      </w:r>
    </w:p>
    <w:p>
      <w:pPr>
        <w:spacing w:after="0" w:line="46" w:lineRule="exact"/>
        <w:rPr>
          <w:rFonts w:ascii="Arial" w:cs="Arial" w:eastAsia="Arial" w:hAnsi="Arial"/>
          <w:sz w:val="16"/>
          <w:szCs w:val="16"/>
          <w:color w:val="auto"/>
        </w:rPr>
      </w:pPr>
    </w:p>
    <w:p>
      <w:pPr>
        <w:ind w:left="540" w:right="260" w:hanging="532"/>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March 31, 2021, there were 3,433,617 shares of common stock available for grant under our 2018 Plan, no shares available for grant under our 2015 Plan, and 1,178,590 shares of common stock available for grant under our ESPP.</w:t>
      </w:r>
    </w:p>
    <w:p>
      <w:pPr>
        <w:ind w:left="540" w:right="300" w:hanging="532"/>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 3,643,666 shares of common stock issuable upon the exercise of outstanding options and (ii) 1,198 shares of common stock issuable upon vesting of restricted stock units.</w:t>
      </w:r>
    </w:p>
    <w:p>
      <w:pPr>
        <w:ind w:left="540" w:right="20" w:hanging="532"/>
        <w:spacing w:after="0" w:line="265"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(i) 1,662,762 additional shares of common stock that were added to the number of shares that may be issued under our 2018 Plan pursuant to an automatic annual increase effective January 1, 2021 and (ii) 415,690 additional shares of common stock that were added to the number of shares that may be issued under our ESPP pursuant to an automatic annual increase effective January 1, 2021.</w:t>
      </w:r>
    </w:p>
    <w:p>
      <w:pPr>
        <w:ind w:left="540" w:right="80" w:hanging="532"/>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(i) 480,929 shares of common stock underlying non-qualified stock options that were granted prior to the adoption of our Inducement Plans as one-time awards to various new employees in accordance with Nasdaq Listing Rule 5635(c)(4) and (ii) 1,434,950 shares of common stock issuable upon exercise of outstanding options granted under our 2019 Inducement Plan.</w:t>
      </w:r>
    </w:p>
    <w:p>
      <w:pPr>
        <w:spacing w:after="0" w:line="1" w:lineRule="exact"/>
        <w:rPr>
          <w:rFonts w:ascii="Arial" w:cs="Arial" w:eastAsia="Arial" w:hAnsi="Arial"/>
          <w:sz w:val="18"/>
          <w:szCs w:val="18"/>
          <w:color w:val="auto"/>
        </w:rPr>
      </w:pPr>
    </w:p>
    <w:p>
      <w:pPr>
        <w:ind w:left="540" w:right="220" w:hanging="532"/>
        <w:spacing w:after="0" w:line="26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(i) 365,050 shares of common stock issuable under our 2019 Inducement Plan and (ii) 1,700,000 issuable under our 2020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-1801495</wp:posOffset>
            </wp:positionV>
            <wp:extent cx="1525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than the compensation agreements and other arrangements described under “Executive compensation” and “Director compensation” in this proxy statement and the transactions described below, since January 1, 2019, there has not been and there is not currently proposed, any transaction or series of similar transactions to which we were, or will be, a party in which the amount involved exceeded, or will exceed, $120,000 (or, if less, 1% of the average of our total assets amounts at December 31, 2019 and 2020)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Public Offering</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Certain of our existing stockholders, including stockholders affiliated with certain of our directors, purchased an aggregate of approximately $15 million in shares of our common stock in our follow-on public offering in July 2019 at the public offering price. The underwriting discount for the shares sold to such stockholders in the follow-on public offering was the same as the underwriting discount for the shares sold to the public.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January 27, 2016, we entered into an option agreement with University Health Network, or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In connection with this agreement, we have also entered into three separate letter agreements with UHN, dated November 4, 2016, June 2, 2017 and December 11, 2019, pursuant to which we agreed to provide certain funding and costs and expenses associated with a clinical trial conducted by UHN for the treatment of Fabry disease. For the years ended December 31, 2020 and 2019, we paid $344,000 and $783,000, respectively, to UHN in connection with these agreements, which consists of reimbursable funded study trial costs and license maintenance fees.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Interleukin-12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January 27, 2016, we entered into an exclusive license agreement with UHN pursuant to which UHN granted us an exclusive license to certain intellectual property rights relating to Interleukin-12 proteins, or IL-12. We entered into an amendment to this agreement on September 28, 2017. Under this agreement, we paid an upfront license fee and reimbursement of certain patent expenses, and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2020 and 2019, we paid $37,000 and $38,000 to UHN under this agreement, respectively, which consists of license maintenance fees.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July 2017. The March 2017 agreement was amended and 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At the time we entered into each of the above agreements with UHN, other than the letter agreement dated December 11, 2019,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our prior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except for the registration rights granted under our investors’ rights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or as an officer of the Company to the maximum extent allowed under Delaware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board of directors reviews and approves transactions with directors, officers and holders of five percent or more of our voting securities and their affiliates, each a related party. We adopted a written related person transaction policy that requires related party transactions to be approved by our Audit Committee. Pursuant to this policy, the Audit Committee has the primary responsibility for reviewing and approving or disapproving “related party transactions,” which are transactions between us and related persons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April 12, 2021 by:</w:t>
      </w:r>
    </w:p>
    <w:p>
      <w:pPr>
        <w:spacing w:after="0" w:line="62" w:lineRule="exact"/>
        <w:rPr>
          <w:sz w:val="20"/>
          <w:szCs w:val="20"/>
          <w:color w:val="auto"/>
        </w:rPr>
      </w:pPr>
    </w:p>
    <w:p>
      <w:pPr>
        <w:ind w:left="1100" w:hanging="390"/>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 and</w:t>
      </w:r>
    </w:p>
    <w:p>
      <w:pPr>
        <w:spacing w:after="0" w:line="117" w:lineRule="exact"/>
        <w:rPr>
          <w:rFonts w:ascii="Arial" w:cs="Arial" w:eastAsia="Arial" w:hAnsi="Arial"/>
          <w:sz w:val="18"/>
          <w:szCs w:val="18"/>
          <w:color w:val="auto"/>
        </w:rPr>
      </w:pPr>
    </w:p>
    <w:p>
      <w:pPr>
        <w:ind w:left="1100" w:hanging="390"/>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greater than 5.0%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column entitled “Shares Beneficially Owned” is based on a total of 41,766,122 shares of our common stock outstanding as of April 12, 2021.</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12, 2021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AVROBIO, Inc., One Kendall Square, Building 300, Suite 201, Cambridge, Massachusetts 02139.</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 beneficially owned</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gridSpan w:val="2"/>
            <w:vMerge w:val="continue"/>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Number</w:t>
            </w:r>
          </w:p>
        </w:tc>
        <w:tc>
          <w:tcPr>
            <w:tcW w:w="1160" w:type="dxa"/>
            <w:vAlign w:val="bottom"/>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Affiliates of Atlas Venture Fund</w:t>
            </w:r>
            <w:r>
              <w:rPr>
                <w:rFonts w:ascii="Arial" w:cs="Arial" w:eastAsia="Arial" w:hAnsi="Arial"/>
                <w:sz w:val="15"/>
                <w:szCs w:val="15"/>
                <w:color w:val="auto"/>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4,541,381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JPMorgan Chase &amp; Co.</w:t>
            </w:r>
            <w:r>
              <w:rPr>
                <w:rFonts w:ascii="Arial" w:cs="Arial" w:eastAsia="Arial" w:hAnsi="Arial"/>
                <w:sz w:val="15"/>
                <w:szCs w:val="15"/>
                <w:color w:val="auto"/>
              </w:rPr>
              <w:t>(2)</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4,508,345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1080" w:type="dxa"/>
            <w:vAlign w:val="bottom"/>
          </w:tcPr>
          <w:p>
            <w:pPr>
              <w:jc w:val="right"/>
              <w:spacing w:after="0"/>
              <w:rPr>
                <w:sz w:val="20"/>
                <w:szCs w:val="20"/>
                <w:color w:val="auto"/>
              </w:rPr>
            </w:pPr>
            <w:r>
              <w:rPr>
                <w:rFonts w:ascii="Arial" w:cs="Arial" w:eastAsia="Arial" w:hAnsi="Arial"/>
                <w:sz w:val="18"/>
                <w:szCs w:val="18"/>
                <w:color w:val="auto"/>
              </w:rPr>
              <w:t>3,235,078</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Camber Capital Management LP</w:t>
            </w:r>
            <w:r>
              <w:rPr>
                <w:rFonts w:ascii="Arial" w:cs="Arial" w:eastAsia="Arial" w:hAnsi="Arial"/>
                <w:sz w:val="15"/>
                <w:szCs w:val="15"/>
                <w:color w:val="auto"/>
              </w:rPr>
              <w:t>(4)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3,133,333</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1,168,962</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Birgitte Volck</w:t>
            </w:r>
            <w:r>
              <w:rPr>
                <w:rFonts w:ascii="Arial" w:cs="Arial" w:eastAsia="Arial" w:hAnsi="Arial"/>
                <w:sz w:val="15"/>
                <w:szCs w:val="15"/>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217,729</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Erik Ostrowski</w:t>
            </w:r>
            <w:r>
              <w:rPr>
                <w:rFonts w:ascii="Arial" w:cs="Arial" w:eastAsia="Arial" w:hAnsi="Arial"/>
                <w:sz w:val="15"/>
                <w:szCs w:val="15"/>
                <w:color w:val="auto"/>
              </w:rPr>
              <w:t>(7)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145,295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Steven Avruch</w:t>
            </w:r>
            <w:r>
              <w:rPr>
                <w:rFonts w:ascii="Arial" w:cs="Arial" w:eastAsia="Arial" w:hAnsi="Arial"/>
                <w:sz w:val="15"/>
                <w:szCs w:val="15"/>
                <w:color w:val="auto"/>
              </w:rPr>
              <w:t>(8)</w:t>
            </w:r>
          </w:p>
        </w:tc>
        <w:tc>
          <w:tcPr>
            <w:tcW w:w="1080" w:type="dxa"/>
            <w:vAlign w:val="bottom"/>
          </w:tcPr>
          <w:p>
            <w:pPr>
              <w:jc w:val="right"/>
              <w:spacing w:after="0"/>
              <w:rPr>
                <w:sz w:val="20"/>
                <w:szCs w:val="20"/>
                <w:color w:val="auto"/>
              </w:rPr>
            </w:pPr>
            <w:r>
              <w:rPr>
                <w:rFonts w:ascii="Arial" w:cs="Arial" w:eastAsia="Arial" w:hAnsi="Arial"/>
                <w:sz w:val="18"/>
                <w:szCs w:val="18"/>
                <w:color w:val="auto"/>
              </w:rPr>
              <w:t>83,551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Bruce Booth, D.Phil.</w:t>
            </w:r>
            <w:r>
              <w:rPr>
                <w:rFonts w:ascii="Arial" w:cs="Arial" w:eastAsia="Arial" w:hAnsi="Arial"/>
                <w:sz w:val="15"/>
                <w:szCs w:val="15"/>
                <w:color w:val="auto"/>
              </w:rPr>
              <w:t>(9)</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Ian T. Clark</w:t>
            </w:r>
            <w:r>
              <w:rPr>
                <w:rFonts w:ascii="Arial" w:cs="Arial" w:eastAsia="Arial" w:hAnsi="Arial"/>
                <w:sz w:val="15"/>
                <w:szCs w:val="15"/>
                <w:color w:val="auto"/>
              </w:rPr>
              <w:t>(10)</w:t>
            </w:r>
          </w:p>
        </w:tc>
        <w:tc>
          <w:tcPr>
            <w:tcW w:w="1080" w:type="dxa"/>
            <w:vAlign w:val="bottom"/>
          </w:tcPr>
          <w:p>
            <w:pPr>
              <w:jc w:val="right"/>
              <w:spacing w:after="0"/>
              <w:rPr>
                <w:sz w:val="20"/>
                <w:szCs w:val="20"/>
                <w:color w:val="auto"/>
              </w:rPr>
            </w:pPr>
            <w:r>
              <w:rPr>
                <w:rFonts w:ascii="Arial" w:cs="Arial" w:eastAsia="Arial" w:hAnsi="Arial"/>
                <w:sz w:val="18"/>
                <w:szCs w:val="18"/>
                <w:color w:val="auto"/>
              </w:rPr>
              <w:t>91,331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(11)</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43,897</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Gail M. Farfel, Ph.D.</w:t>
            </w:r>
            <w:r>
              <w:rPr>
                <w:rFonts w:ascii="Arial" w:cs="Arial" w:eastAsia="Arial" w:hAnsi="Arial"/>
                <w:sz w:val="15"/>
                <w:szCs w:val="15"/>
                <w:color w:val="auto"/>
              </w:rPr>
              <w:t>(12)</w:t>
            </w:r>
          </w:p>
        </w:tc>
        <w:tc>
          <w:tcPr>
            <w:tcW w:w="1080" w:type="dxa"/>
            <w:vAlign w:val="bottom"/>
          </w:tcPr>
          <w:p>
            <w:pPr>
              <w:jc w:val="right"/>
              <w:spacing w:after="0"/>
              <w:rPr>
                <w:sz w:val="20"/>
                <w:szCs w:val="20"/>
                <w:color w:val="auto"/>
              </w:rPr>
            </w:pPr>
            <w:r>
              <w:rPr>
                <w:rFonts w:ascii="Arial" w:cs="Arial" w:eastAsia="Arial" w:hAnsi="Arial"/>
                <w:sz w:val="18"/>
                <w:szCs w:val="18"/>
                <w:color w:val="auto"/>
              </w:rPr>
              <w:t>5,444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(13)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Christopher Paige, Ph.D.</w:t>
            </w:r>
            <w:r>
              <w:rPr>
                <w:rFonts w:ascii="Arial" w:cs="Arial" w:eastAsia="Arial" w:hAnsi="Arial"/>
                <w:sz w:val="15"/>
                <w:szCs w:val="15"/>
                <w:color w:val="auto"/>
              </w:rPr>
              <w:t>(14)</w:t>
            </w:r>
          </w:p>
        </w:tc>
        <w:tc>
          <w:tcPr>
            <w:tcW w:w="1080" w:type="dxa"/>
            <w:vAlign w:val="bottom"/>
          </w:tcPr>
          <w:p>
            <w:pPr>
              <w:jc w:val="right"/>
              <w:spacing w:after="0"/>
              <w:rPr>
                <w:sz w:val="20"/>
                <w:szCs w:val="20"/>
                <w:color w:val="auto"/>
              </w:rPr>
            </w:pPr>
            <w:r>
              <w:rPr>
                <w:rFonts w:ascii="Arial" w:cs="Arial" w:eastAsia="Arial" w:hAnsi="Arial"/>
                <w:sz w:val="18"/>
                <w:szCs w:val="18"/>
                <w:color w:val="auto"/>
              </w:rPr>
              <w:t>276,187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Philip J. Vickers, Ph.D.</w:t>
            </w:r>
            <w:r>
              <w:rPr>
                <w:rFonts w:ascii="Arial" w:cs="Arial" w:eastAsia="Arial" w:hAnsi="Arial"/>
                <w:sz w:val="15"/>
                <w:szCs w:val="15"/>
                <w:color w:val="auto"/>
              </w:rPr>
              <w:t>(15)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All current executive officers and directors as a group</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persons)</w:t>
            </w:r>
            <w:r>
              <w:rPr>
                <w:rFonts w:ascii="Arial" w:cs="Arial" w:eastAsia="Arial" w:hAnsi="Arial"/>
                <w:sz w:val="15"/>
                <w:szCs w:val="15"/>
                <w:b w:val="1"/>
                <w:bCs w:val="1"/>
                <w:color w:val="auto"/>
              </w:rPr>
              <w:t>(16)</w:t>
            </w:r>
          </w:p>
        </w:tc>
        <w:tc>
          <w:tcPr>
            <w:tcW w:w="1080" w:type="dxa"/>
            <w:vAlign w:val="bottom"/>
          </w:tcPr>
          <w:p>
            <w:pPr>
              <w:jc w:val="right"/>
              <w:spacing w:after="0"/>
              <w:rPr>
                <w:sz w:val="20"/>
                <w:szCs w:val="20"/>
                <w:color w:val="auto"/>
              </w:rPr>
            </w:pPr>
            <w:r>
              <w:rPr>
                <w:rFonts w:ascii="Arial" w:cs="Arial" w:eastAsia="Arial" w:hAnsi="Arial"/>
                <w:sz w:val="18"/>
                <w:szCs w:val="18"/>
                <w:color w:val="auto"/>
              </w:rPr>
              <w:t>2,762,020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540" w:right="40" w:hanging="532"/>
        <w:spacing w:after="0" w:line="287"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Opportunity LLC and a member of our board of directors. Dr. Booth disclaims beneficial ownership of such shares, except to the extent of his proportionate pecuniary interest therein, if any. The address for Atlas Venture X is 300 Technology Square, 8</w:t>
      </w:r>
      <w:r>
        <w:rPr>
          <w:rFonts w:ascii="Arial" w:cs="Arial" w:eastAsia="Arial" w:hAnsi="Arial"/>
          <w:sz w:val="13"/>
          <w:szCs w:val="13"/>
          <w:color w:val="auto"/>
        </w:rPr>
        <w:t>th</w:t>
      </w:r>
      <w:r>
        <w:rPr>
          <w:rFonts w:ascii="Arial" w:cs="Arial" w:eastAsia="Arial" w:hAnsi="Arial"/>
          <w:sz w:val="16"/>
          <w:szCs w:val="16"/>
          <w:color w:val="auto"/>
        </w:rPr>
        <w:t xml:space="preserve"> Floor, Cambridge, MA 02139.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 w:name="page32"/>
    <w:bookmarkEnd w:id="31"/>
    <w:p>
      <w:pPr>
        <w:ind w:left="532" w:right="160" w:hanging="532"/>
        <w:spacing w:after="0" w:line="271"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solely on a Schedule 13G/A filed with the SEC on January 20, 2021. The report was filed by JPMorgan Chase &amp; Co. on behalf of itself and its wholly owned subsidiaries, J.P. Morgan Investment Management Inc.; JPMorgan Chase Bank, National Association; and JPMorgan Asset Management (UK) Limited. The address for these entities is 383 Madison Avenue, New York, NY 10179.</w:t>
      </w:r>
    </w:p>
    <w:p>
      <w:pPr>
        <w:ind w:left="532" w:hanging="532"/>
        <w:spacing w:after="0" w:line="250" w:lineRule="auto"/>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a Schedule 13G/A filed with the SEC on January 29, 2021. The report was filed by Blackrock, Inc. on behalf of itself and its wholly owned subsidiaries, BlackRock Life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Fund Advisors; and BlackRock Fund Managers Ltd. The address for these entities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10055.</w:t>
      </w:r>
    </w:p>
    <w:p>
      <w:pPr>
        <w:spacing w:after="0" w:line="2" w:lineRule="exact"/>
        <w:rPr>
          <w:rFonts w:ascii="Arial" w:cs="Arial" w:eastAsia="Arial" w:hAnsi="Arial"/>
          <w:sz w:val="18"/>
          <w:szCs w:val="18"/>
          <w:color w:val="auto"/>
        </w:rPr>
      </w:pPr>
    </w:p>
    <w:p>
      <w:pPr>
        <w:ind w:left="532" w:right="20" w:hanging="532"/>
        <w:spacing w:after="0" w:line="281" w:lineRule="auto"/>
        <w:tabs>
          <w:tab w:leader="none" w:pos="5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solely on a Schedule 13G filed with the SEC on November 20, 2020. The report was filed by Camber Capital Management LP and Stephen DuBois. The business address for Camber Capital Management LP and Stephen DuBois is 101 Huntington Avenue, Suite 2101, Boston, MA 02199.</w:t>
      </w:r>
    </w:p>
    <w:p>
      <w:pPr>
        <w:spacing w:after="0" w:line="1" w:lineRule="exact"/>
        <w:rPr>
          <w:rFonts w:ascii="Arial" w:cs="Arial" w:eastAsia="Arial" w:hAnsi="Arial"/>
          <w:sz w:val="16"/>
          <w:szCs w:val="16"/>
          <w:color w:val="auto"/>
        </w:rPr>
      </w:pPr>
    </w:p>
    <w:p>
      <w:pPr>
        <w:ind w:left="532" w:right="120" w:hanging="532"/>
        <w:spacing w:after="0" w:line="250" w:lineRule="auto"/>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245,123 shares of common stock, (ii) 72,604 shares of common stock held by Mac MacKay, (iii) 72,604 shares of common stock held by Kali MacKay, (iv) 200,000 shares held by the Geoff R. MacKay Irrevocable Trust, and (v) 578,631 shares of common stock issuable upon exercise of options within 60 days of April 12, 2021.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532" w:hanging="532"/>
        <w:spacing w:after="0"/>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217,729 shares of common stock issuable upon exercise of options within 60 days of April 12, 2021.</w:t>
      </w:r>
    </w:p>
    <w:p>
      <w:pPr>
        <w:spacing w:after="0" w:line="9" w:lineRule="exact"/>
        <w:rPr>
          <w:rFonts w:ascii="Arial" w:cs="Arial" w:eastAsia="Arial" w:hAnsi="Arial"/>
          <w:sz w:val="18"/>
          <w:szCs w:val="18"/>
          <w:color w:val="auto"/>
        </w:rPr>
      </w:pPr>
    </w:p>
    <w:p>
      <w:pPr>
        <w:ind w:left="532" w:right="160" w:hanging="532"/>
        <w:spacing w:after="0" w:line="265"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(i) 1,293 shares of common stock, (ii) 96 shares of common stock issuable upon the vesting of a restricted stock unit within 60 days of April 12, 2021 and (iii) 143,906 shares of common stock issuable upon exercise of options within 60 days of April 12, 2021.</w:t>
      </w:r>
    </w:p>
    <w:p>
      <w:pPr>
        <w:ind w:left="532" w:hanging="532"/>
        <w:spacing w:after="0"/>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83,551 shares of common stock issuable upon exercise of options within 60 days of April 12, 2021.</w:t>
      </w:r>
    </w:p>
    <w:p>
      <w:pPr>
        <w:spacing w:after="0" w:line="9" w:lineRule="exact"/>
        <w:rPr>
          <w:rFonts w:ascii="Arial" w:cs="Arial" w:eastAsia="Arial" w:hAnsi="Arial"/>
          <w:sz w:val="18"/>
          <w:szCs w:val="18"/>
          <w:color w:val="auto"/>
        </w:rPr>
      </w:pPr>
    </w:p>
    <w:p>
      <w:pPr>
        <w:ind w:left="532" w:hanging="532"/>
        <w:spacing w:after="0"/>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23,675 shares of common stock issuable upon exercise of options within 60 days of April 12, 2021.</w:t>
      </w:r>
    </w:p>
    <w:p>
      <w:pPr>
        <w:spacing w:after="0" w:line="9" w:lineRule="exact"/>
        <w:rPr>
          <w:rFonts w:ascii="Arial" w:cs="Arial" w:eastAsia="Arial" w:hAnsi="Arial"/>
          <w:sz w:val="18"/>
          <w:szCs w:val="18"/>
          <w:color w:val="auto"/>
        </w:rPr>
      </w:pPr>
    </w:p>
    <w:p>
      <w:pPr>
        <w:ind w:left="532" w:hanging="532"/>
        <w:spacing w:after="0"/>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91,311 shares of common stock issuable upon exercise of options within 60 days of April 12, 2021.</w:t>
      </w:r>
    </w:p>
    <w:p>
      <w:pPr>
        <w:spacing w:after="0" w:line="9" w:lineRule="exact"/>
        <w:rPr>
          <w:rFonts w:ascii="Arial" w:cs="Arial" w:eastAsia="Arial" w:hAnsi="Arial"/>
          <w:sz w:val="18"/>
          <w:szCs w:val="18"/>
          <w:color w:val="auto"/>
        </w:rPr>
      </w:pPr>
    </w:p>
    <w:p>
      <w:pPr>
        <w:ind w:left="532" w:right="100" w:hanging="532"/>
        <w:spacing w:after="0" w:line="250" w:lineRule="auto"/>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2,000 shares of common stock and (ii) 41,897 shares of common stock issuable upon exercise of options within 60 days of April 12, 2021.</w:t>
      </w:r>
    </w:p>
    <w:p>
      <w:pPr>
        <w:ind w:left="532" w:hanging="532"/>
        <w:spacing w:after="0"/>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5,444 shares of common stock issuable upon exercise of options within 60 days of April 12, 2021.</w:t>
      </w:r>
    </w:p>
    <w:p>
      <w:pPr>
        <w:spacing w:after="0" w:line="9" w:lineRule="exact"/>
        <w:rPr>
          <w:rFonts w:ascii="Arial" w:cs="Arial" w:eastAsia="Arial" w:hAnsi="Arial"/>
          <w:sz w:val="18"/>
          <w:szCs w:val="18"/>
          <w:color w:val="auto"/>
        </w:rPr>
      </w:pPr>
    </w:p>
    <w:p>
      <w:pPr>
        <w:ind w:left="452" w:hanging="426"/>
        <w:spacing w:after="0"/>
        <w:tabs>
          <w:tab w:leader="none" w:pos="4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Consists of 54,954 shares of common stock issuable upon exercise of options within 60 days of April 12, 2021.</w:t>
      </w:r>
    </w:p>
    <w:p>
      <w:pPr>
        <w:spacing w:after="0" w:line="9" w:lineRule="exact"/>
        <w:rPr>
          <w:rFonts w:ascii="Arial" w:cs="Arial" w:eastAsia="Arial" w:hAnsi="Arial"/>
          <w:sz w:val="18"/>
          <w:szCs w:val="18"/>
          <w:color w:val="auto"/>
        </w:rPr>
      </w:pPr>
    </w:p>
    <w:p>
      <w:pPr>
        <w:ind w:left="452" w:hanging="426"/>
        <w:spacing w:after="0"/>
        <w:tabs>
          <w:tab w:leader="none" w:pos="4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Consists of (i) 252,512 shares of common stock and (ii) 23,675 shares of common stock issuable upon exercise of options within 60 days of April 12,</w:t>
      </w:r>
    </w:p>
    <w:p>
      <w:pPr>
        <w:spacing w:after="0" w:line="32" w:lineRule="exact"/>
        <w:rPr>
          <w:sz w:val="20"/>
          <w:szCs w:val="20"/>
          <w:color w:val="auto"/>
        </w:rPr>
      </w:pPr>
    </w:p>
    <w:p>
      <w:pPr>
        <w:ind w:left="552"/>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ind w:left="532" w:hanging="532"/>
        <w:spacing w:after="0"/>
        <w:tabs>
          <w:tab w:leader="none" w:pos="5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38,774 shares of common stock issuable upon exercise of options within 60 days of April 12, 2021.</w:t>
      </w:r>
    </w:p>
    <w:p>
      <w:pPr>
        <w:spacing w:after="0" w:line="9" w:lineRule="exact"/>
        <w:rPr>
          <w:rFonts w:ascii="Arial" w:cs="Arial" w:eastAsia="Arial" w:hAnsi="Arial"/>
          <w:sz w:val="18"/>
          <w:szCs w:val="18"/>
          <w:color w:val="auto"/>
        </w:rPr>
      </w:pPr>
    </w:p>
    <w:p>
      <w:pPr>
        <w:ind w:left="532" w:right="160" w:hanging="532"/>
        <w:spacing w:after="0" w:line="260" w:lineRule="auto"/>
        <w:tabs>
          <w:tab w:leader="none" w:pos="5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an aggregate of 1,480,081 shares issuable upon exercise of stock options and a restricted stock unit within 60 days of April 12, 2021 held by our current executive officers and directors as a group.</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Audit Committee is appointed by the board of directors to assist the board of directors in fulfilling its oversight responsibilities with respect to (1) the integrity of AVROBIO’s consolidated financial statements and financial reporting process and systems of internal controls regarding finance, accounting, and compliance with legal and regulatory requirements, (2) the qualifications, independence, and performance of AVROBIO’s independent registered public accounting firm, (3) the performance of AVROBIO’s internal audit function, if any, and (4) other matters as set forth in the charter of the Audit Committee approved by the board of directors.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is responsible for the preparation of AVROBIO’s consolidated financial statements and the financial reporting process, including its system of internal control over financial reporting and its disclosure controls and procedures. The independent registered public accounting firm is responsible for performing an audit of AVROBIO’s consolidated financial statements in accordance with the standards of the Public Company Accounting Oversight Board (PCAOB) and issuing a report thereon. The Audit Committee’s responsibility is to monitor and oversee these processes.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these responsibilities, the Audit Committee reviewed and discussed with management and the independent registered public accounting firm the audited consolidated financial statements of AVROBIO for the fiscal year ended December 31, 2020. The Audit Committee also discussed with the independent registered public accounting firm the matters required to be discussed by the applicable requirements of the PCAOB and the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AVROBIO be included in AVROBIO’s Annual Report on Form 10-K for the fiscal year ended December 31, 2020,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9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AUDIT COMMITTEE OF THE BOARD OF</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DIRECTORS OF AVROBIO, INC.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Donenberg, Chairperson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Annalisa Jenkins, M.B.B.S., F.R.C.P.</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Christopher Paige, Ph.D.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ind w:right="-1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AVROBIO, Inc., One Kendall Square, Building 300, Suite 201, Cambridge, Massachusetts 02139, Attention: Corporate Secretary, telephone: 617-752-7011.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stockholder who would like to have a proposal considered for inclusion in our 2022 proxy statement must submit the proposal in accordance with the procedures outlined in Rule 14a-8 of the Exchange Act so that it is received by us no later than December 23, 2021. However, if the date of the 2022 Annual Meeting of Stockholders is changed by more than 30 days from the date of the previous year’s meeting, then the deadline is a reasonable time before we begin to print and send our proxy statement for the 2022 Annual Meeting of Stockholders. SEC rules set standards for eligibility and specify the types of stockholder proposals that may be excluded from a proxy statement. Stockholder proposals should be addressed to AVROBIO, Inc., One Kendall Square, Building 300, Suite 201, Cambridge, Massachusetts 02139, Attention: Corporate Secretary.</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2022 Annual Meeting of Stockholders, the required notice must be received by our Corporate Secretary at our principal executive offices no earlier than February 10, 2022 and no later than March 12, 2022. Stockholder proposals and the required notice should be addressed to AVROBIO, Inc., One Kendall Square, Building 300, Suite 201, Cambridge, Massachusetts 02139, Attention: Corporate Secretary.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388620</wp:posOffset>
            </wp:positionV>
            <wp:extent cx="7174865" cy="7941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794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371475</wp:posOffset>
            </wp:positionV>
            <wp:extent cx="5726430" cy="7543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726430"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2"/>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2"/>
    </w:lvl>
    <w:lvl w:ilvl="1">
      <w:lvlJc w:val="left"/>
      <w:lvlText w:val="(%2)"/>
      <w:numFmt w:val="decimal"/>
      <w:start w:val="13"/>
    </w:lvl>
  </w:abstractNum>
  <w:abstractNum w:abstractNumId="25">
    <w:nsid w:val="B03E0C6"/>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2021-04-22T15:26:08Z</dcterms:created>
  <dcterms:modified xsi:type="dcterms:W3CDTF">2021-04-22T15:26:08Z</dcterms:modified>
</cp:coreProperties>
</file>