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52070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8"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10-K</w:t>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-95885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3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8" w:lineRule="exact"/>
        <w:rPr>
          <w:sz w:val="24"/>
          <w:szCs w:val="24"/>
          <w:color w:val="auto"/>
        </w:rPr>
      </w:pPr>
    </w:p>
    <w:tbl>
      <w:tblPr>
        <w:tblLayout w:type="fixed"/>
        <w:tblInd w:w="40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to</w:t>
            </w:r>
          </w:p>
        </w:tc>
      </w:tr>
      <w:tr>
        <w:trPr>
          <w:trHeight w:val="198"/>
        </w:trPr>
        <w:tc>
          <w:tcPr>
            <w:tcW w:w="2720" w:type="dxa"/>
            <w:vAlign w:val="bottom"/>
            <w:gridSpan w:val="3"/>
          </w:tcPr>
          <w:p>
            <w:pPr>
              <w:ind w:left="480"/>
              <w:spacing w:after="0"/>
              <w:rPr>
                <w:sz w:val="20"/>
                <w:szCs w:val="20"/>
                <w:color w:val="auto"/>
              </w:rPr>
            </w:pPr>
            <w:r>
              <w:rPr>
                <w:rFonts w:ascii="Arial" w:cs="Arial" w:eastAsia="Arial" w:hAnsi="Arial"/>
                <w:sz w:val="14"/>
                <w:szCs w:val="14"/>
                <w:b w:val="1"/>
                <w:bCs w:val="1"/>
                <w:color w:val="auto"/>
                <w:w w:val="92"/>
              </w:rPr>
              <w:t>Commission File Number 001-38537</w:t>
            </w:r>
          </w:p>
        </w:tc>
      </w:tr>
    </w:tbl>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471"/>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4"/>
          </w:tcPr>
          <w:p>
            <w:pPr>
              <w:ind w:left="240"/>
              <w:spacing w:after="0"/>
              <w:rPr>
                <w:sz w:val="20"/>
                <w:szCs w:val="20"/>
                <w:color w:val="auto"/>
              </w:rPr>
            </w:pPr>
            <w:r>
              <w:rPr>
                <w:rFonts w:ascii="Arial" w:cs="Arial" w:eastAsia="Arial" w:hAnsi="Arial"/>
                <w:sz w:val="40"/>
                <w:szCs w:val="40"/>
                <w:b w:val="1"/>
                <w:bCs w:val="1"/>
                <w:color w:val="auto"/>
              </w:rPr>
              <w:t>AVROBIO, INC.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60" w:type="dxa"/>
            <w:vAlign w:val="bottom"/>
            <w:vMerge w:val="restart"/>
          </w:tcPr>
          <w:p>
            <w:pPr>
              <w:jc w:val="center"/>
              <w:ind w:left="1788"/>
              <w:spacing w:after="0"/>
              <w:rPr>
                <w:sz w:val="20"/>
                <w:szCs w:val="20"/>
                <w:color w:val="auto"/>
              </w:rPr>
            </w:pPr>
            <w:r>
              <w:rPr>
                <w:rFonts w:ascii="Arial" w:cs="Arial" w:eastAsia="Arial" w:hAnsi="Arial"/>
                <w:sz w:val="14"/>
                <w:szCs w:val="14"/>
                <w:b w:val="1"/>
                <w:bCs w:val="1"/>
                <w:color w:val="auto"/>
                <w:w w:val="94"/>
              </w:rPr>
              <w:t>Delaware</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780" w:type="dxa"/>
            <w:vAlign w:val="bottom"/>
            <w:gridSpan w:val="3"/>
            <w:vMerge w:val="restart"/>
          </w:tcPr>
          <w:p>
            <w:pPr>
              <w:jc w:val="right"/>
              <w:ind w:right="2388"/>
              <w:spacing w:after="0"/>
              <w:rPr>
                <w:sz w:val="20"/>
                <w:szCs w:val="20"/>
                <w:color w:val="auto"/>
              </w:rPr>
            </w:pPr>
            <w:r>
              <w:rPr>
                <w:rFonts w:ascii="Arial" w:cs="Arial" w:eastAsia="Arial" w:hAnsi="Arial"/>
                <w:sz w:val="14"/>
                <w:szCs w:val="14"/>
                <w:b w:val="1"/>
                <w:bCs w:val="1"/>
                <w:color w:val="auto"/>
              </w:rPr>
              <w:t>81-0710585</w:t>
            </w:r>
          </w:p>
        </w:tc>
        <w:tc>
          <w:tcPr>
            <w:tcW w:w="0" w:type="dxa"/>
            <w:vAlign w:val="bottom"/>
          </w:tcPr>
          <w:p>
            <w:pPr>
              <w:spacing w:after="0"/>
              <w:rPr>
                <w:sz w:val="1"/>
                <w:szCs w:val="1"/>
                <w:color w:val="auto"/>
              </w:rPr>
            </w:pPr>
          </w:p>
        </w:tc>
      </w:tr>
      <w:tr>
        <w:trPr>
          <w:trHeight w:val="200"/>
        </w:trPr>
        <w:tc>
          <w:tcPr>
            <w:tcW w:w="3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760" w:type="dxa"/>
            <w:vAlign w:val="bottom"/>
          </w:tcPr>
          <w:p>
            <w:pPr>
              <w:jc w:val="center"/>
              <w:ind w:left="18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jc w:val="center"/>
              <w:ind w:right="19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6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incorporation or organization)</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92"/>
        </w:trPr>
        <w:tc>
          <w:tcPr>
            <w:tcW w:w="3760" w:type="dxa"/>
            <w:vAlign w:val="bottom"/>
          </w:tcPr>
          <w:p>
            <w:pPr>
              <w:jc w:val="center"/>
              <w:ind w:left="1788"/>
              <w:spacing w:after="0"/>
              <w:rPr>
                <w:sz w:val="20"/>
                <w:szCs w:val="20"/>
                <w:color w:val="auto"/>
              </w:rPr>
            </w:pPr>
            <w:r>
              <w:rPr>
                <w:rFonts w:ascii="Arial" w:cs="Arial" w:eastAsia="Arial" w:hAnsi="Arial"/>
                <w:sz w:val="14"/>
                <w:szCs w:val="14"/>
                <w:b w:val="1"/>
                <w:bCs w:val="1"/>
                <w:color w:val="auto"/>
                <w:w w:val="90"/>
              </w:rPr>
              <w:t>100 Technology Square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60" w:type="dxa"/>
            <w:vAlign w:val="bottom"/>
          </w:tcPr>
          <w:p>
            <w:pPr>
              <w:jc w:val="center"/>
              <w:ind w:left="1808"/>
              <w:spacing w:after="0"/>
              <w:rPr>
                <w:sz w:val="20"/>
                <w:szCs w:val="20"/>
                <w:color w:val="auto"/>
              </w:rPr>
            </w:pPr>
            <w:r>
              <w:rPr>
                <w:rFonts w:ascii="Arial" w:cs="Arial" w:eastAsia="Arial" w:hAnsi="Arial"/>
                <w:sz w:val="14"/>
                <w:szCs w:val="14"/>
                <w:b w:val="1"/>
                <w:bCs w:val="1"/>
                <w:color w:val="auto"/>
                <w:w w:val="92"/>
              </w:rPr>
              <w:t>Sixth Floor</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tcPr>
          <w:p>
            <w:pPr>
              <w:jc w:val="center"/>
              <w:ind w:left="1788"/>
              <w:spacing w:after="0"/>
              <w:rPr>
                <w:sz w:val="20"/>
                <w:szCs w:val="20"/>
                <w:color w:val="auto"/>
              </w:rPr>
            </w:pPr>
            <w:r>
              <w:rPr>
                <w:rFonts w:ascii="Arial" w:cs="Arial" w:eastAsia="Arial" w:hAnsi="Arial"/>
                <w:sz w:val="14"/>
                <w:szCs w:val="14"/>
                <w:b w:val="1"/>
                <w:bCs w:val="1"/>
                <w:color w:val="auto"/>
                <w:w w:val="91"/>
              </w:rPr>
              <w:t>Cambridge, Massachusetts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jc w:val="right"/>
              <w:ind w:right="254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86"/>
        </w:trPr>
        <w:tc>
          <w:tcPr>
            <w:tcW w:w="690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14"/>
                <w:szCs w:val="14"/>
                <w:color w:val="auto"/>
              </w:rPr>
            </w:pPr>
          </w:p>
        </w:tc>
        <w:tc>
          <w:tcPr>
            <w:tcW w:w="2840" w:type="dxa"/>
            <w:vAlign w:val="bottom"/>
            <w:gridSpan w:val="3"/>
          </w:tcPr>
          <w:p>
            <w:pPr>
              <w:jc w:val="center"/>
              <w:ind w:left="788"/>
              <w:spacing w:after="0"/>
              <w:rPr>
                <w:sz w:val="20"/>
                <w:szCs w:val="20"/>
                <w:color w:val="auto"/>
              </w:rPr>
            </w:pPr>
            <w:r>
              <w:rPr>
                <w:rFonts w:ascii="Arial" w:cs="Arial" w:eastAsia="Arial" w:hAnsi="Arial"/>
                <w:sz w:val="14"/>
                <w:szCs w:val="14"/>
                <w:b w:val="1"/>
                <w:bCs w:val="1"/>
                <w:color w:val="auto"/>
                <w:w w:val="93"/>
              </w:rPr>
              <w:t>(617) 914-8420</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3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Trading Symbol</w:t>
            </w: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AVRO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ind w:left="900"/>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370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660" w:type="dxa"/>
            <w:vAlign w:val="bottom"/>
            <w:gridSpan w:val="3"/>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vMerge w:val="restart"/>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780" w:type="dxa"/>
            <w:vAlign w:val="bottom"/>
            <w:gridSpan w:val="3"/>
            <w:vMerge w:val="restart"/>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04"/>
        </w:trPr>
        <w:tc>
          <w:tcPr>
            <w:tcW w:w="69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40" w:type="dxa"/>
            <w:vAlign w:val="bottom"/>
          </w:tcPr>
          <w:p>
            <w:pPr>
              <w:spacing w:after="0"/>
              <w:rPr>
                <w:sz w:val="19"/>
                <w:szCs w:val="19"/>
                <w:color w:val="auto"/>
              </w:rPr>
            </w:pPr>
          </w:p>
        </w:tc>
        <w:tc>
          <w:tcPr>
            <w:tcW w:w="3740" w:type="dxa"/>
            <w:vAlign w:val="bottom"/>
            <w:gridSpan w:val="2"/>
          </w:tcPr>
          <w:p>
            <w:pPr>
              <w:ind w:left="10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-2385060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ind w:right="220"/>
        <w:spacing w:after="0" w:line="16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right="440"/>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260" w:type="dxa"/>
            <w:vAlign w:val="bottom"/>
          </w:tcPr>
          <w:p>
            <w:pPr>
              <w:ind w:left="338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70"/>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260" w:type="dxa"/>
            <w:vAlign w:val="bottom"/>
          </w:tcPr>
          <w:p>
            <w:pPr>
              <w:ind w:left="338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70"/>
        </w:trPr>
        <w:tc>
          <w:tcPr>
            <w:tcW w:w="15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5260" w:type="dxa"/>
            <w:vAlign w:val="bottom"/>
          </w:tcPr>
          <w:p>
            <w:pPr>
              <w:ind w:left="338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18" w:lineRule="exact"/>
        <w:rPr>
          <w:sz w:val="24"/>
          <w:szCs w:val="24"/>
          <w:color w:val="auto"/>
        </w:rPr>
      </w:pPr>
    </w:p>
    <w:p>
      <w:pPr>
        <w:ind w:right="5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ind w:right="120"/>
        <w:spacing w:after="0" w:line="17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right="280"/>
        <w:spacing w:after="0" w:line="181"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was approximately $34,838,485 as of June 30, 2022 (based on a closing price of $0.92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rPr>
          <w:sz w:val="20"/>
          <w:szCs w:val="20"/>
          <w:color w:val="auto"/>
        </w:rPr>
      </w:pPr>
      <w:r>
        <w:rPr>
          <w:rFonts w:ascii="Arial" w:cs="Arial" w:eastAsia="Arial" w:hAnsi="Arial"/>
          <w:sz w:val="14"/>
          <w:szCs w:val="14"/>
          <w:color w:val="auto"/>
        </w:rPr>
        <w:t>The registrant had 44,088,283 shares of Common Stock, $0.0001 par value per share, outstanding as of March 16, 2023.</w:t>
      </w:r>
    </w:p>
    <w:p>
      <w:pPr>
        <w:spacing w:after="0" w:line="24"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jc w:val="both"/>
        <w:ind w:right="20"/>
        <w:spacing w:after="0" w:line="259" w:lineRule="auto"/>
        <w:rPr>
          <w:sz w:val="20"/>
          <w:szCs w:val="20"/>
          <w:color w:val="auto"/>
        </w:rPr>
      </w:pPr>
      <w:r>
        <w:rPr>
          <w:rFonts w:ascii="Arial" w:cs="Arial" w:eastAsia="Arial" w:hAnsi="Arial"/>
          <w:sz w:val="13"/>
          <w:szCs w:val="13"/>
          <w:color w:val="auto"/>
        </w:rPr>
        <w:t>Part III of this Annual Report on Form 10-K incorporates by reference certain information from the registrant’s definitive Proxy Statement for its 2023 annual meeting of shareholders, which the registrant intends to file pursuant to Regulation 14A with the Securities and Exchange Commission not later than 120 days after the registrant’s fiscal year end of December 31, 2022.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270510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 for the Fiscal Year Ended December 31, 2022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600" w:type="dxa"/>
            <w:vAlign w:val="bottom"/>
            <w:vMerge w:val="restart"/>
          </w:tcPr>
          <w:p>
            <w:pPr>
              <w:spacing w:after="0"/>
              <w:rPr>
                <w:sz w:val="20"/>
                <w:szCs w:val="20"/>
                <w:color w:val="auto"/>
              </w:rPr>
            </w:pPr>
            <w:r>
              <w:rPr>
                <w:rFonts w:ascii="Arial" w:cs="Arial" w:eastAsia="Arial" w:hAnsi="Arial"/>
                <w:sz w:val="18"/>
                <w:szCs w:val="18"/>
                <w:b w:val="1"/>
                <w:bCs w:val="1"/>
                <w:color w:val="0000FF"/>
                <w:w w:val="98"/>
              </w:rPr>
              <w:t>PART I</w:t>
            </w:r>
          </w:p>
        </w:tc>
        <w:tc>
          <w:tcPr>
            <w:tcW w:w="9060" w:type="dxa"/>
            <w:vAlign w:val="bottom"/>
            <w:gridSpan w:val="24"/>
            <w:vMerge w:val="restart"/>
          </w:tcPr>
          <w:p>
            <w:pPr>
              <w:spacing w:after="0"/>
              <w:rPr>
                <w:sz w:val="16"/>
                <w:szCs w:val="16"/>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9060" w:type="dxa"/>
            <w:vAlign w:val="bottom"/>
            <w:gridSpan w:val="24"/>
            <w:vMerge w:val="continue"/>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25"/>
          </w:tcPr>
          <w:p>
            <w:pPr>
              <w:spacing w:after="0"/>
              <w:rPr>
                <w:sz w:val="20"/>
                <w:szCs w:val="20"/>
                <w:color w:val="auto"/>
              </w:rPr>
            </w:pPr>
            <w:r>
              <w:rPr>
                <w:rFonts w:ascii="Arial" w:cs="Arial" w:eastAsia="Arial" w:hAnsi="Arial"/>
                <w:sz w:val="18"/>
                <w:szCs w:val="18"/>
                <w:color w:val="0000FF"/>
              </w:rPr>
              <w:t>Business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20"/>
                <w:szCs w:val="20"/>
                <w:color w:val="auto"/>
              </w:rPr>
            </w:pPr>
          </w:p>
        </w:tc>
        <w:tc>
          <w:tcPr>
            <w:tcW w:w="8720" w:type="dxa"/>
            <w:vAlign w:val="bottom"/>
            <w:gridSpan w:val="19"/>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Unresolved Staff Comments</w:t>
            </w:r>
          </w:p>
        </w:tc>
        <w:tc>
          <w:tcPr>
            <w:tcW w:w="7600" w:type="dxa"/>
            <w:vAlign w:val="bottom"/>
            <w:gridSpan w:val="13"/>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Properties</w:t>
            </w:r>
          </w:p>
        </w:tc>
        <w:tc>
          <w:tcPr>
            <w:tcW w:w="8920" w:type="dxa"/>
            <w:vAlign w:val="bottom"/>
            <w:gridSpan w:val="21"/>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Mine Safety Disclosures</w:t>
            </w:r>
          </w:p>
        </w:tc>
        <w:tc>
          <w:tcPr>
            <w:tcW w:w="7880" w:type="dxa"/>
            <w:vAlign w:val="bottom"/>
            <w:gridSpan w:val="16"/>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79"/>
        </w:trPr>
        <w:tc>
          <w:tcPr>
            <w:tcW w:w="980" w:type="dxa"/>
            <w:vAlign w:val="bottom"/>
          </w:tcPr>
          <w:p>
            <w:pPr>
              <w:spacing w:after="0"/>
              <w:rPr>
                <w:sz w:val="24"/>
                <w:szCs w:val="24"/>
                <w:color w:val="auto"/>
              </w:rPr>
            </w:pPr>
          </w:p>
        </w:tc>
        <w:tc>
          <w:tcPr>
            <w:tcW w:w="9660" w:type="dxa"/>
            <w:vAlign w:val="bottom"/>
            <w:gridSpan w:val="25"/>
          </w:tcPr>
          <w:p>
            <w:pPr>
              <w:spacing w:after="0"/>
              <w:rPr>
                <w:sz w:val="20"/>
                <w:szCs w:val="20"/>
                <w:color w:val="auto"/>
              </w:rPr>
            </w:pPr>
            <w:r>
              <w:rPr>
                <w:rFonts w:ascii="Arial" w:cs="Arial" w:eastAsia="Arial" w:hAnsi="Arial"/>
                <w:sz w:val="18"/>
                <w:szCs w:val="18"/>
                <w:b w:val="1"/>
                <w:bCs w:val="1"/>
                <w:color w:val="0000FF"/>
              </w:rPr>
              <w:t>PART II</w:t>
            </w: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gridSpan w:val="25"/>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 Equity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0"/>
              </w:rPr>
              <w:t>Reserved</w:t>
            </w:r>
          </w:p>
        </w:tc>
        <w:tc>
          <w:tcPr>
            <w:tcW w:w="40" w:type="dxa"/>
            <w:vAlign w:val="bottom"/>
            <w:tcBorders>
              <w:top w:val="single" w:sz="8" w:color="0000FF"/>
              <w:bottom w:val="single" w:sz="8" w:color="0000EE"/>
            </w:tcBorders>
          </w:tcPr>
          <w:p>
            <w:pPr>
              <w:spacing w:after="0"/>
              <w:rPr>
                <w:sz w:val="20"/>
                <w:szCs w:val="20"/>
                <w:color w:val="auto"/>
              </w:rPr>
            </w:pPr>
          </w:p>
        </w:tc>
        <w:tc>
          <w:tcPr>
            <w:tcW w:w="7640" w:type="dxa"/>
            <w:vAlign w:val="bottom"/>
            <w:tcBorders>
              <w:top w:val="single" w:sz="8" w:color="0000FF"/>
            </w:tcBorders>
            <w:gridSpan w:val="21"/>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7.</w:t>
            </w:r>
          </w:p>
        </w:tc>
        <w:tc>
          <w:tcPr>
            <w:tcW w:w="966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tcBorders>
              <w:top w:val="single" w:sz="8" w:color="0000FF"/>
            </w:tcBorders>
            <w:gridSpan w:val="3"/>
          </w:tcPr>
          <w:p>
            <w:pPr>
              <w:spacing w:after="0"/>
              <w:rPr>
                <w:sz w:val="20"/>
                <w:szCs w:val="20"/>
                <w:color w:val="auto"/>
              </w:rPr>
            </w:pPr>
          </w:p>
        </w:tc>
        <w:tc>
          <w:tcPr>
            <w:tcW w:w="3200" w:type="dxa"/>
            <w:vAlign w:val="bottom"/>
            <w:gridSpan w:val="4"/>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bottom w:val="single" w:sz="8" w:color="0000EE"/>
            </w:tcBorders>
          </w:tcPr>
          <w:p>
            <w:pPr>
              <w:spacing w:after="0"/>
              <w:rPr>
                <w:sz w:val="20"/>
                <w:szCs w:val="20"/>
                <w:color w:val="auto"/>
              </w:rPr>
            </w:pPr>
          </w:p>
        </w:tc>
        <w:tc>
          <w:tcPr>
            <w:tcW w:w="6300" w:type="dxa"/>
            <w:vAlign w:val="bottom"/>
            <w:gridSpan w:val="9"/>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25"/>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8"/>
              </w:rPr>
              <w:t>Controls and Procedures</w:t>
            </w:r>
          </w:p>
        </w:tc>
        <w:tc>
          <w:tcPr>
            <w:tcW w:w="4700" w:type="dxa"/>
            <w:vAlign w:val="bottom"/>
            <w:tcBorders>
              <w:top w:val="single" w:sz="8" w:color="0000FF"/>
            </w:tcBorders>
            <w:gridSpan w:val="13"/>
          </w:tcPr>
          <w:p>
            <w:pPr>
              <w:spacing w:after="0"/>
              <w:rPr>
                <w:sz w:val="20"/>
                <w:szCs w:val="20"/>
                <w:color w:val="auto"/>
              </w:rPr>
            </w:pPr>
          </w:p>
        </w:tc>
        <w:tc>
          <w:tcPr>
            <w:tcW w:w="3180" w:type="dxa"/>
            <w:vAlign w:val="bottom"/>
            <w:gridSpan w:val="3"/>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9B.</w:t>
            </w:r>
          </w:p>
        </w:tc>
        <w:tc>
          <w:tcPr>
            <w:tcW w:w="9660" w:type="dxa"/>
            <w:vAlign w:val="bottom"/>
            <w:gridSpan w:val="25"/>
          </w:tcPr>
          <w:p>
            <w:pPr>
              <w:spacing w:after="0"/>
              <w:rPr>
                <w:sz w:val="20"/>
                <w:szCs w:val="20"/>
                <w:color w:val="auto"/>
              </w:rPr>
            </w:pPr>
            <w:r>
              <w:rPr>
                <w:rFonts w:ascii="Arial" w:cs="Arial" w:eastAsia="Arial" w:hAnsi="Arial"/>
                <w:sz w:val="18"/>
                <w:szCs w:val="18"/>
                <w:color w:val="0000FF"/>
              </w:rPr>
              <w:t>Other Information</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9C.</w:t>
            </w:r>
          </w:p>
        </w:tc>
        <w:tc>
          <w:tcPr>
            <w:tcW w:w="966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66"/>
        </w:trPr>
        <w:tc>
          <w:tcPr>
            <w:tcW w:w="980" w:type="dxa"/>
            <w:vAlign w:val="bottom"/>
          </w:tcPr>
          <w:p>
            <w:pPr>
              <w:spacing w:after="0"/>
              <w:rPr>
                <w:sz w:val="24"/>
                <w:szCs w:val="24"/>
                <w:color w:val="auto"/>
              </w:rPr>
            </w:pPr>
          </w:p>
        </w:tc>
        <w:tc>
          <w:tcPr>
            <w:tcW w:w="7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4200" w:type="dxa"/>
            <w:vAlign w:val="bottom"/>
            <w:tcBorders>
              <w:top w:val="single" w:sz="8" w:color="0000FF"/>
            </w:tcBorders>
            <w:gridSpan w:val="15"/>
          </w:tcPr>
          <w:p>
            <w:pPr>
              <w:spacing w:after="0"/>
              <w:rPr>
                <w:sz w:val="24"/>
                <w:szCs w:val="24"/>
                <w:color w:val="auto"/>
              </w:rPr>
            </w:pPr>
          </w:p>
        </w:tc>
        <w:tc>
          <w:tcPr>
            <w:tcW w:w="47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Item 10.</w:t>
            </w:r>
          </w:p>
        </w:tc>
        <w:tc>
          <w:tcPr>
            <w:tcW w:w="9660" w:type="dxa"/>
            <w:vAlign w:val="bottom"/>
            <w:gridSpan w:val="25"/>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Executive Compensation</w:t>
            </w:r>
          </w:p>
        </w:tc>
        <w:tc>
          <w:tcPr>
            <w:tcW w:w="20" w:type="dxa"/>
            <w:vAlign w:val="bottom"/>
            <w:tcBorders>
              <w:top w:val="single" w:sz="8" w:color="0000FF"/>
              <w:bottom w:val="single" w:sz="8" w:color="0000EE"/>
            </w:tcBorders>
          </w:tcPr>
          <w:p>
            <w:pPr>
              <w:spacing w:after="0"/>
              <w:rPr>
                <w:sz w:val="20"/>
                <w:szCs w:val="20"/>
                <w:color w:val="auto"/>
              </w:rPr>
            </w:pPr>
          </w:p>
        </w:tc>
        <w:tc>
          <w:tcPr>
            <w:tcW w:w="2260" w:type="dxa"/>
            <w:vAlign w:val="bottom"/>
            <w:tcBorders>
              <w:top w:val="single" w:sz="8" w:color="0000FF"/>
            </w:tcBorders>
            <w:gridSpan w:val="6"/>
          </w:tcPr>
          <w:p>
            <w:pPr>
              <w:spacing w:after="0"/>
              <w:rPr>
                <w:sz w:val="20"/>
                <w:szCs w:val="20"/>
                <w:color w:val="auto"/>
              </w:rPr>
            </w:pPr>
          </w:p>
        </w:tc>
        <w:tc>
          <w:tcPr>
            <w:tcW w:w="5560" w:type="dxa"/>
            <w:vAlign w:val="bottom"/>
            <w:gridSpan w:val="8"/>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360" w:type="dxa"/>
            <w:vAlign w:val="bottom"/>
            <w:gridSpan w:val="2"/>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4200" w:type="dxa"/>
            <w:vAlign w:val="bottom"/>
            <w:gridSpan w:val="5"/>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Principal Accounting Fees and Services</w:t>
            </w:r>
          </w:p>
        </w:tc>
        <w:tc>
          <w:tcPr>
            <w:tcW w:w="6780" w:type="dxa"/>
            <w:vAlign w:val="bottom"/>
            <w:gridSpan w:val="12"/>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80"/>
        </w:trPr>
        <w:tc>
          <w:tcPr>
            <w:tcW w:w="980" w:type="dxa"/>
            <w:vAlign w:val="bottom"/>
          </w:tcPr>
          <w:p>
            <w:pPr>
              <w:spacing w:after="0"/>
              <w:rPr>
                <w:sz w:val="24"/>
                <w:szCs w:val="24"/>
                <w:color w:val="auto"/>
              </w:rPr>
            </w:pPr>
          </w:p>
        </w:tc>
        <w:tc>
          <w:tcPr>
            <w:tcW w:w="9660" w:type="dxa"/>
            <w:vAlign w:val="bottom"/>
            <w:gridSpan w:val="25"/>
          </w:tcPr>
          <w:p>
            <w:pPr>
              <w:spacing w:after="0"/>
              <w:rPr>
                <w:sz w:val="20"/>
                <w:szCs w:val="20"/>
                <w:color w:val="auto"/>
              </w:rPr>
            </w:pPr>
            <w:r>
              <w:rPr>
                <w:rFonts w:ascii="Arial" w:cs="Arial" w:eastAsia="Arial" w:hAnsi="Arial"/>
                <w:sz w:val="18"/>
                <w:szCs w:val="18"/>
                <w:b w:val="1"/>
                <w:bCs w:val="1"/>
                <w:color w:val="0000FF"/>
              </w:rPr>
              <w:t>PART IV</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50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Item 15.</w:t>
            </w:r>
          </w:p>
        </w:tc>
        <w:tc>
          <w:tcPr>
            <w:tcW w:w="9660" w:type="dxa"/>
            <w:vAlign w:val="bottom"/>
            <w:gridSpan w:val="25"/>
          </w:tcPr>
          <w:p>
            <w:pPr>
              <w:spacing w:after="0"/>
              <w:rPr>
                <w:sz w:val="20"/>
                <w:szCs w:val="20"/>
                <w:color w:val="auto"/>
              </w:rPr>
            </w:pPr>
            <w:r>
              <w:rPr>
                <w:rFonts w:ascii="Arial" w:cs="Arial" w:eastAsia="Arial" w:hAnsi="Arial"/>
                <w:sz w:val="18"/>
                <w:szCs w:val="18"/>
                <w:color w:val="0000FF"/>
              </w:rPr>
              <w:t>Exhibits and Financial Statement Schedules</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Form 10-K Summary</w:t>
            </w:r>
          </w:p>
        </w:tc>
        <w:tc>
          <w:tcPr>
            <w:tcW w:w="1600" w:type="dxa"/>
            <w:vAlign w:val="bottom"/>
            <w:tcBorders>
              <w:top w:val="single" w:sz="8" w:color="0000FF"/>
            </w:tcBorders>
            <w:gridSpan w:val="6"/>
          </w:tcPr>
          <w:p>
            <w:pPr>
              <w:spacing w:after="0"/>
              <w:rPr>
                <w:sz w:val="20"/>
                <w:szCs w:val="20"/>
                <w:color w:val="auto"/>
              </w:rPr>
            </w:pPr>
          </w:p>
        </w:tc>
        <w:tc>
          <w:tcPr>
            <w:tcW w:w="6500" w:type="dxa"/>
            <w:vAlign w:val="bottom"/>
            <w:gridSpan w:val="11"/>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60" w:type="dxa"/>
            <w:vAlign w:val="bottom"/>
            <w:gridSpan w:val="25"/>
          </w:tcPr>
          <w:p>
            <w:pPr>
              <w:spacing w:after="0"/>
              <w:rPr>
                <w:sz w:val="20"/>
                <w:szCs w:val="20"/>
                <w:color w:val="auto"/>
              </w:rPr>
            </w:pPr>
            <w:r>
              <w:rPr>
                <w:rFonts w:ascii="Arial" w:cs="Arial" w:eastAsia="Arial" w:hAnsi="Arial"/>
                <w:sz w:val="18"/>
                <w:szCs w:val="18"/>
                <w:color w:val="0000FF"/>
              </w:rPr>
              <w:t>Signatures</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7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900" w:right="160" w:hanging="368"/>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 and substantial doubt about our ability to continue as a going concern may create negative reactions to the price of our common stock.</w:t>
      </w:r>
    </w:p>
    <w:p>
      <w:pPr>
        <w:spacing w:after="0" w:line="89" w:lineRule="exact"/>
        <w:rPr>
          <w:rFonts w:ascii="Arial" w:cs="Arial" w:eastAsia="Arial" w:hAnsi="Arial"/>
          <w:sz w:val="18"/>
          <w:szCs w:val="18"/>
          <w:color w:val="auto"/>
        </w:rPr>
      </w:pPr>
    </w:p>
    <w:p>
      <w:pPr>
        <w:ind w:left="900" w:right="52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75" w:lineRule="exact"/>
        <w:rPr>
          <w:rFonts w:ascii="Arial" w:cs="Arial" w:eastAsia="Arial" w:hAnsi="Arial"/>
          <w:sz w:val="18"/>
          <w:szCs w:val="18"/>
          <w:color w:val="auto"/>
        </w:rPr>
      </w:pPr>
    </w:p>
    <w:p>
      <w:pPr>
        <w:ind w:left="900" w:hanging="368"/>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in January of 2022, we can no longer draw $20.0 million of term loans that were contingent upon the achievement of certain milestones related to our development of AVR-RD-01 for Fabry disease.</w:t>
      </w:r>
    </w:p>
    <w:p>
      <w:pPr>
        <w:spacing w:after="0" w:line="92" w:lineRule="exact"/>
        <w:rPr>
          <w:rFonts w:ascii="Arial" w:cs="Arial" w:eastAsia="Arial" w:hAnsi="Arial"/>
          <w:sz w:val="18"/>
          <w:szCs w:val="18"/>
          <w:color w:val="auto"/>
        </w:rPr>
      </w:pPr>
    </w:p>
    <w:p>
      <w:pPr>
        <w:ind w:left="900" w:right="26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the coronavirus disease, or COVID-19, pandemic or similar public health crises have caused and may cause a disruption of the development of our product candidates and adversely impact our business.</w:t>
      </w:r>
    </w:p>
    <w:p>
      <w:pPr>
        <w:spacing w:after="0" w:line="75" w:lineRule="exact"/>
        <w:rPr>
          <w:rFonts w:ascii="Arial" w:cs="Arial" w:eastAsia="Arial" w:hAnsi="Arial"/>
          <w:sz w:val="18"/>
          <w:szCs w:val="18"/>
          <w:color w:val="auto"/>
        </w:rPr>
      </w:pPr>
    </w:p>
    <w:p>
      <w:pPr>
        <w:ind w:left="900" w:right="16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hematopoietic stem cell or HSC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900" w:right="100" w:hanging="368"/>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900" w:hanging="3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30" w:lineRule="exact"/>
        <w:rPr>
          <w:rFonts w:ascii="Arial" w:cs="Arial" w:eastAsia="Arial" w:hAnsi="Arial"/>
          <w:sz w:val="18"/>
          <w:szCs w:val="18"/>
          <w:color w:val="auto"/>
        </w:rPr>
      </w:pPr>
    </w:p>
    <w:p>
      <w:pPr>
        <w:ind w:left="900" w:right="44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900" w:right="28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900" w:right="70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anticipated.</w:t>
      </w:r>
    </w:p>
    <w:p>
      <w:pPr>
        <w:spacing w:after="0" w:line="80" w:lineRule="exact"/>
        <w:rPr>
          <w:rFonts w:ascii="Arial" w:cs="Arial" w:eastAsia="Arial" w:hAnsi="Arial"/>
          <w:sz w:val="18"/>
          <w:szCs w:val="18"/>
          <w:color w:val="auto"/>
        </w:rPr>
      </w:pPr>
    </w:p>
    <w:p>
      <w:pPr>
        <w:ind w:left="900" w:hanging="3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one of our clinical trials utilizes our plato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w:t>
      </w:r>
    </w:p>
    <w:p>
      <w:pPr>
        <w:spacing w:after="0" w:line="83" w:lineRule="exact"/>
        <w:rPr>
          <w:rFonts w:ascii="Arial" w:cs="Arial" w:eastAsia="Arial" w:hAnsi="Arial"/>
          <w:sz w:val="18"/>
          <w:szCs w:val="18"/>
          <w:color w:val="auto"/>
        </w:rPr>
      </w:pPr>
    </w:p>
    <w:p>
      <w:pPr>
        <w:ind w:left="900" w:hanging="368"/>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70" w:lineRule="exact"/>
        <w:rPr>
          <w:rFonts w:ascii="Arial" w:cs="Arial" w:eastAsia="Arial" w:hAnsi="Arial"/>
          <w:sz w:val="17"/>
          <w:szCs w:val="17"/>
          <w:color w:val="auto"/>
        </w:rPr>
      </w:pPr>
    </w:p>
    <w:p>
      <w:pPr>
        <w:ind w:left="900" w:right="70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900" w:right="440" w:hanging="368"/>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197" w:lineRule="exact"/>
        <w:rPr>
          <w:rFonts w:ascii="Arial" w:cs="Arial" w:eastAsia="Arial" w:hAnsi="Arial"/>
          <w:sz w:val="18"/>
          <w:szCs w:val="18"/>
          <w:color w:val="auto"/>
        </w:rPr>
      </w:pPr>
    </w:p>
    <w:p>
      <w:pPr>
        <w:ind w:left="900" w:hanging="368"/>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89" w:lineRule="exact"/>
        <w:rPr>
          <w:rFonts w:ascii="Arial" w:cs="Arial" w:eastAsia="Arial" w:hAnsi="Arial"/>
          <w:sz w:val="18"/>
          <w:szCs w:val="18"/>
          <w:color w:val="auto"/>
        </w:rPr>
      </w:pPr>
    </w:p>
    <w:p>
      <w:pPr>
        <w:ind w:left="900" w:hanging="36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 w:name="page4"/>
    <w:bookmarkEnd w:id="3"/>
    <w:p>
      <w:pPr>
        <w:ind w:left="900" w:right="280" w:hanging="368"/>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w:t>
      </w:r>
    </w:p>
    <w:p>
      <w:pPr>
        <w:spacing w:after="0" w:line="75" w:lineRule="exact"/>
        <w:rPr>
          <w:rFonts w:ascii="Arial" w:cs="Arial" w:eastAsia="Arial" w:hAnsi="Arial"/>
          <w:sz w:val="18"/>
          <w:szCs w:val="18"/>
          <w:color w:val="auto"/>
        </w:rPr>
      </w:pPr>
    </w:p>
    <w:p>
      <w:pPr>
        <w:ind w:left="900" w:right="240" w:hanging="368"/>
        <w:spacing w:after="0" w:line="2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9" w:lineRule="exact"/>
        <w:rPr>
          <w:rFonts w:ascii="Arial" w:cs="Arial" w:eastAsia="Arial" w:hAnsi="Arial"/>
          <w:sz w:val="18"/>
          <w:szCs w:val="18"/>
          <w:color w:val="auto"/>
        </w:rPr>
      </w:pPr>
    </w:p>
    <w:p>
      <w:pPr>
        <w:ind w:left="900" w:hanging="368"/>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failure to meet Nasdaq Global Select Market’s or Nasdaq’s, continued listing requirements could result in a delisting of our common stock.</w:t>
      </w:r>
    </w:p>
    <w:p>
      <w:pPr>
        <w:spacing w:after="0" w:line="248"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Securities and Exchange Commission, or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This Annual Report on Form 10-K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“forecasts,” “goal,” “intends,” “may,” “plans,” “possible,” “potential,” “predicts,” “projects,” “seeks,” “strives,” “should,” “will,” and similar expressions or the negative of these terms.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58" w:lineRule="exact"/>
        <w:rPr>
          <w:sz w:val="20"/>
          <w:szCs w:val="20"/>
          <w:color w:val="auto"/>
        </w:rPr>
      </w:pPr>
    </w:p>
    <w:p>
      <w:pPr>
        <w:ind w:left="900" w:hanging="36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the COVID-19 pandemic or any other public health crisis on our clinical trial programs, clinical supply and business generally;</w:t>
      </w:r>
    </w:p>
    <w:p>
      <w:pPr>
        <w:spacing w:after="0" w:line="140" w:lineRule="exact"/>
        <w:rPr>
          <w:rFonts w:ascii="Arial" w:cs="Arial" w:eastAsia="Arial" w:hAnsi="Arial"/>
          <w:sz w:val="16"/>
          <w:szCs w:val="16"/>
          <w:color w:val="auto"/>
        </w:rPr>
      </w:pPr>
    </w:p>
    <w:p>
      <w:pPr>
        <w:ind w:left="900" w:right="300" w:hanging="368"/>
        <w:spacing w:after="0" w:line="26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900" w:right="400" w:hanging="368"/>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900" w:hanging="3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regulatory pathway for our product candidates and planned interactions with regulatory agencies;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28" w:lineRule="exact"/>
        <w:rPr>
          <w:rFonts w:ascii="Arial" w:cs="Arial" w:eastAsia="Arial" w:hAnsi="Arial"/>
          <w:sz w:val="17"/>
          <w:szCs w:val="17"/>
          <w:color w:val="auto"/>
        </w:rPr>
      </w:pPr>
    </w:p>
    <w:p>
      <w:pPr>
        <w:ind w:left="900" w:hanging="3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 w:name="page5"/>
    <w:bookmarkEnd w:id="4"/>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900" w:right="20" w:hanging="368"/>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and expectations regarding our efforts to evaluate strategic opportunities with respect to one or more of our programs, our technology or our plato platform;</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00" w:right="20" w:hanging="368"/>
        <w:spacing w:after="0" w:line="26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 or HSC gene therapy companies;</w:t>
      </w:r>
    </w:p>
    <w:p>
      <w:pPr>
        <w:spacing w:after="0" w:line="128" w:lineRule="exact"/>
        <w:rPr>
          <w:rFonts w:ascii="Arial" w:cs="Arial" w:eastAsia="Arial" w:hAnsi="Arial"/>
          <w:sz w:val="17"/>
          <w:szCs w:val="17"/>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the terms of our term loan agreement;</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117" w:lineRule="exact"/>
        <w:rPr>
          <w:rFonts w:ascii="Arial" w:cs="Arial" w:eastAsia="Arial" w:hAnsi="Arial"/>
          <w:sz w:val="18"/>
          <w:szCs w:val="18"/>
          <w:color w:val="auto"/>
        </w:rPr>
      </w:pPr>
    </w:p>
    <w:p>
      <w:pPr>
        <w:ind w:left="900" w:right="440" w:hanging="368"/>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continued listing requirements of the Nasdaq, including a minimum bid price, and to maintain our common stock listing on Nasdaq or any stock exchange;</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17" w:lineRule="exact"/>
        <w:rPr>
          <w:rFonts w:ascii="Arial" w:cs="Arial" w:eastAsia="Arial" w:hAnsi="Arial"/>
          <w:sz w:val="18"/>
          <w:szCs w:val="18"/>
          <w:color w:val="auto"/>
        </w:rPr>
      </w:pPr>
    </w:p>
    <w:p>
      <w:pPr>
        <w:ind w:left="900" w:right="20" w:hanging="368"/>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32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All of our forward-looking statements are as of the date of this Annual Report on Form 10-K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on Form 10-K or included in our other public disclosures or our other periodic reports or other documents or filings filed with or furnished to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us following this Annual Report on Form 10-K that modify or impact any of the forward-looking statements contained in this Annual Report on Form 10-K will be deemed to modify or supersede such statements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brand names or trademarks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Annual Report on Form 10-K to the “Company,” “AVROBIO,” “we,” “us,” and “our” refer to AVROBIO, Inc. Our “board of directors” refers to the board of directors of AVROBIO,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a clinical-stage gene therapy company with a purpose to free people from a lifetime of genetic disease. Our company is focused on developing potentially curative hematopoietic stem cell, or HSC, gene therapies to treat patients with rare diseases following a single dose treatment regimen. Our gene therapies employ HSCs that are harvested from the patient and then modified with a lentiviral vector to insert the equivalent of a functional copy of the gene that is mutated in the target disease. We believe that our approach, which is designed to transform hematopoietic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$3.5 billion in worldwide net sales in 2022.</w:t>
      </w:r>
    </w:p>
    <w:p>
      <w:pPr>
        <w:spacing w:after="0" w:line="178"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Our pipeline is currently comprised of four HSC gene therapy programs: AVR-RD-02 for the treatment of Gaucher disease type 1 and type 3; AVR-RD-04 for the treatment of cystinosis; AVR-RD-05 for the treatment of neuronopathic mucopolysaccharidosis type II, or MPS-II or Hunter syndrome; and AVR-RD-03 for the treatment of Pompe disease.</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AVR-RD-02 is currently being studied for the treatment of Gaucher disease type 1 in a Company-sponsored Phase 1/2 clinical trial, which we refer to as the Guard1 clinical trial. Four patients have been dosed to date in the Guard1 clinical trial, and we have enrolled six patients to date. We are actively recruiting additional potential patients for our currently active sites. We provided updated interim clinical trial data on December 7, 2022, at which time we also provided an update on discussions with regulatory authorities regarding Gaucher disease type 3, including our plans for further clinical development. Following positive feedback from the U.S. Food and Drug Administration, or FDA, and the U.K. Medicines and Healthcare products Regulatory Agency, or MHRA, we are now planning for the initiation of a registrational, global Phase 2/3 clinical trial for Gaucher disease type 3 (GD3) in the second half of 2023, subject to regulatory alignment.</w:t>
      </w:r>
    </w:p>
    <w:p>
      <w:pPr>
        <w:spacing w:after="0" w:line="82"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In October 2022, the FDA granted rare pediatric disease designation, or RPDD, for AVR-RD-02 for the treatment of Gaucher disease. Under this program, if AVR-RD-02 is approved by FDA, then the Company may qualify for a voucher that can be redeemed to receive a priority review of a subsequent marketing application for a different product candidate. That same month, AVR-RD-02 also was granted an Innovation Passport under the Innovative Licensing and Access Pathway, or ILAP, from the MHRA. ILAP designation is intended to accelerate the regulatory review process and facilitate patient access in the U.K. for seriously debilitating and life-threatening diseases. AVR-RD-02 previously received Fast Track Designation from the FDA in December 2021 and orphan drug designation, or ODD, in the U.S. in September 2019 and in the European Union, or EU, in September 2020.</w:t>
      </w:r>
    </w:p>
    <w:p>
      <w:pPr>
        <w:spacing w:after="0" w:line="28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AVR-RD-04 is currently being studied for the treatment of cystinosis by our collaborators at the University of California, San Diego, or UCSD, in a Phase 1/2 collaborator-sponsored clinical trial. Enrollment of this clinical trial is complete with a total of six patients dosed. In May 2022, our collaborators at UCSD reported updated interim data from the Phase 1/2 collaborator-sponsored clinical trial of AVR-RD-04 at the 25th Annual Meeting of American Society for Gene and Cell Therapy, or ASGCT, in Washington, D.C. and at the 19th annual WORLD</w:t>
      </w:r>
      <w:r>
        <w:rPr>
          <w:rFonts w:ascii="Arial" w:cs="Arial" w:eastAsia="Arial" w:hAnsi="Arial"/>
          <w:sz w:val="17"/>
          <w:szCs w:val="17"/>
          <w:i w:val="1"/>
          <w:iCs w:val="1"/>
          <w:color w:val="auto"/>
        </w:rPr>
        <w:t>Symposium</w:t>
      </w:r>
      <w:r>
        <w:rPr>
          <w:rFonts w:ascii="Arial" w:cs="Arial" w:eastAsia="Arial" w:hAnsi="Arial"/>
          <w:sz w:val="17"/>
          <w:szCs w:val="17"/>
          <w:color w:val="auto"/>
        </w:rPr>
        <w:t xml:space="preserve"> in Orlando, Florida on February 25, 2023. In the first quarter of 2023, we completed a scientific advice meeting with MHRA and received feedback from the FDA regarding a planned Company-sponsored clinical trial for AVR-RD-04. Based on these regulatory interactions and feedback, we are planning to initiate activities for a Company-sponsored Phase 1/2 clinical trial in the second half of 2023, which is designed to be registration-enabling. Clinical sites are anticipated in the United Kingdom, Europe and the United States. Our current plan involves a two-part clinical development strategy, including both a pre-renal transplant population clinical trial and a post-renal transplant population. We expect to provide clinical and regulatory updates on the Phase 1/2 clinical trial of AVR-RD-04 at ASGCT in May 2023.</w:t>
      </w:r>
    </w:p>
    <w:p>
      <w:pPr>
        <w:spacing w:after="0" w:line="185"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In September 2022, the FDA granted RPDD for AVR-RD-04 for the treatment of cystinosis. AVR-RD-04 has previously received Fast Track Designation from the FDA and ODD from the FDA and EMA.</w:t>
      </w:r>
    </w:p>
    <w:p>
      <w:pPr>
        <w:spacing w:after="0" w:line="170"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AVR-RD-05 is our preclinical program for the treatment of Hunter syndrome. In September 2022, we announced that the MHRA, Research Ethics Committee, or REC, and Health Research Authority, or HRA, have accepted the clinical trial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 w:name="page7"/>
    <w:bookmarkEnd w:id="6"/>
    <w:p>
      <w:pPr>
        <w:ind w:right="300"/>
        <w:spacing w:after="0" w:line="259" w:lineRule="auto"/>
        <w:rPr>
          <w:sz w:val="20"/>
          <w:szCs w:val="20"/>
          <w:color w:val="auto"/>
        </w:rPr>
      </w:pPr>
      <w:r>
        <w:rPr>
          <w:rFonts w:ascii="Arial" w:cs="Arial" w:eastAsia="Arial" w:hAnsi="Arial"/>
          <w:sz w:val="18"/>
          <w:szCs w:val="18"/>
          <w:color w:val="auto"/>
        </w:rPr>
        <w:t>application, or CTA, submitted by our collaborators at The University of Manchester for initiation of a Phase 1/2 collaborator-sponsored clinical trial of investigational autologous HSC gene therapy in infants diagnosed with MPS-II, or Hunter Syndrome, in the United Kingdom. We currently expect the Phase 1/2 collaborator-sponsored clinical trial will be initiated in 2023. In October 2021, the FDA granted RPDD for AVR-RD-05 for the treatment of Hunter syndrome. The FDA previously granted ODD for AVR-RD-05.</w:t>
      </w:r>
    </w:p>
    <w:p>
      <w:pPr>
        <w:spacing w:after="0" w:line="187" w:lineRule="exact"/>
        <w:rPr>
          <w:sz w:val="20"/>
          <w:szCs w:val="20"/>
          <w:color w:val="auto"/>
        </w:rPr>
      </w:pPr>
    </w:p>
    <w:p>
      <w:pPr>
        <w:ind w:right="380" w:firstLine="509"/>
        <w:spacing w:after="0" w:line="308" w:lineRule="auto"/>
        <w:rPr>
          <w:sz w:val="20"/>
          <w:szCs w:val="20"/>
          <w:color w:val="auto"/>
        </w:rPr>
      </w:pPr>
      <w:r>
        <w:rPr>
          <w:rFonts w:ascii="Arial" w:cs="Arial" w:eastAsia="Arial" w:hAnsi="Arial"/>
          <w:sz w:val="17"/>
          <w:szCs w:val="17"/>
          <w:color w:val="auto"/>
        </w:rPr>
        <w:t>AVR-RD-03 is our preclinical program for the treatment of Pompe disease. While we continue to advance AVR-RD-03, we are prioritizing our Gaucher disease and cystinosis clinical programs. As a result, we no longer expect to initiate a clinical trial for AVR-RD-03 in 2023.</w:t>
      </w:r>
    </w:p>
    <w:p>
      <w:pPr>
        <w:spacing w:after="0" w:line="14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January 2022, we announced the deprioritization of AVR-RD-01, our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we refer to as the FAB-GT clinical trial. The emergence of such new data would have significantly extended the program’s development timeline. That development, coupled with an increasingly challenging market and regulatory environment for Fabry disease, were among the primary factors leading to the Company’s deprioritization of its Fabry program. As a result of the deprioritization, the Company stopped enrollment of its Phase 2 FAB-GT clinical trial and since early 2022, we have been focusing on our other pipeline programs.</w:t>
      </w:r>
    </w:p>
    <w:p>
      <w:pPr>
        <w:spacing w:after="0" w:line="19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Since its first clinical use in 2003, HSC gene therapy has been studied in several third parties’ clinical trials for rare diseases such as transfusion-dependent beta thalassemia, cerebral adrenoleukodystrophy, metachromatic leukodystrophy, and adenosine deaminase severe combined immunodeficiency. Initially, the use of HSC gene therapies was restricted primarily to the most severe diseases where the risks of the typical requirement for ablating the patients’ bone marrow had a clinically justifiable risk/benefit profile. To date, hundreds of patients have been treated with HSC gene therapies in third parties’ and our rare disease clinical trials, and we believe the technology can be developed for other serious conditions based on a rigorous risk/benefit assessment.</w:t>
      </w:r>
    </w:p>
    <w:p>
      <w:pPr>
        <w:spacing w:after="0" w:line="192"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 xml:space="preserve">The myeloablation procedure, also known as the conditioning regimen, is typically an essential step in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treatment procedure and is administered prior to the gene therapy. We have worked to optimize the conditioning regimen through utilization of a precision busulfan dosing program, which we refer to as Target Concentration Intervention, or TCI. TCI is designed to enable careful titrating of exposure to the conditioning drug to a specific area under the curve, or AuC. The conditioning regimen utilized as part of our plato platform includes TCI to assess how rapidly the individual patient metabolizes the conditioning agent so physicians can adjust the dose as needed, with a goal of minimizing side effects from conditioning while maximizing the potential of durable engraftment. In addition, we are evaluating the potential future use of alternative conditioning agents in lieu of the current busulfan TCI conditioning regimen. For example, we have entered into a collaboration agreement with Jasper Therapeutics, Inc. and are currently evaluating the potential use of its monoclonal antibody conditioning agent. We are also evaluating the potential use of additional agents to tailor the conditioning regimen for certain disease indications.</w:t>
      </w:r>
    </w:p>
    <w:p>
      <w:pPr>
        <w:spacing w:after="0" w:line="183"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plato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our gene therapy platform designed to provide the foundation for the potential worldwide commercialization of our gene therapies, if approved. It is a HSC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Six patients in our FAB-GT clinical trial of AVR-RD-01, for which enrollment was halted, and four patients in our Guard1 clinical trial of AVR-RD-02 have been dosed with drug product manufactured utilizing the plato platform, and we intend to utilize the plato platform with these process changes for all future patients enrolling in our Company-sponsored clinical trials. We believe our innovations in viral vector design, cellular manufacturing, cryopreservation, conditioning and other related processes are important steps towards advancing the field of HSC gene therapy and realizing its full potential to treat a number of diseases. We plan to continue leveraging advancements in stem cell transplantation with the goal of improving patient tolerability of our HSC gene therapies.</w:t>
      </w:r>
    </w:p>
    <w:p>
      <w:pPr>
        <w:spacing w:after="0" w:line="18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gene therapies currently target rare lysosomal disorders in which the current standard of care provides the mechanistic proof that the enzymes or proteins produced endogenously following treatment with our gene therapies can offer benefit to patients. Typically, in lysosomal disorders, a gene mutation results in the deficiency or malfunctioning of an enzyme or other protein. This results in the inability of lysosomes to properly process cellular materials such as damaged organelles. As a result, substrates and their metabolites accumulate to toxic levels in the body’s cells and, in turn, disrupt the function of multiple tissues and organs. Gaucher disease (types 1 and 3), Hunter syndrome and Pompe disease are currently primarily managed by bi-weekly (or weekly in the case of Hunter syndrome), multi-hour infusions with ERTs that seek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color w:val="auto"/>
        </w:rPr>
        <w:t>exogenously replace the missing functional enzyme. However, given their pharmacokinetics, most ERTs typically remain in the plasma only for a short period of time and thus are not ideal because they are only dosed weekly or every two weeks. Cystinosis is currently treated with two oral formulations of cysteamine that must be taken orally every 12 or 6 hours, leading to significant pill burden and compliance challenges. Further, oral cysteamine treatment has no effect on ocular cystine crystals deposits, thus requiring patients to be treated with topical cysteamine eye drops which must be applied each hour the patient is awake. These existing therapies manage, rather than cure, the underlying diseases and, as a result, patients continue to have disease progression. Further, the frequent, periodic and life-long dosing schedule required for ERTs and cysteamine results in significant costs for the healthcare system and is burdensome for the patient.</w:t>
      </w:r>
    </w:p>
    <w:p>
      <w:pPr>
        <w:spacing w:after="0" w:line="19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stem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potentially providing significant health economic advantages.</w:t>
      </w:r>
    </w:p>
    <w:p>
      <w:pPr>
        <w:spacing w:after="0" w:line="18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and ongoing clinical efforts. The status of our HSC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117475</wp:posOffset>
            </wp:positionV>
            <wp:extent cx="5760720" cy="2245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40" w:right="340"/>
        <w:spacing w:after="0" w:line="249" w:lineRule="auto"/>
        <w:rPr>
          <w:sz w:val="20"/>
          <w:szCs w:val="20"/>
          <w:color w:val="auto"/>
        </w:rPr>
      </w:pPr>
      <w:r>
        <w:rPr>
          <w:rFonts w:ascii="Arial" w:cs="Arial" w:eastAsia="Arial" w:hAnsi="Arial"/>
          <w:sz w:val="11"/>
          <w:szCs w:val="11"/>
          <w:i w:val="1"/>
          <w:iCs w:val="1"/>
          <w:color w:val="auto"/>
        </w:rPr>
        <w:t>Planned regulatory milestones subject to regulatory agency clearance; *Collaborator-sponsored Phase 1/2 clinical trial of AVR-RD-04 is funded in part by grants to UCSD from the California Institute for Regenerative Medicine (CIRM), Cystinosis Research Foundation (CRF), and National Institutes of Health (NIH).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are led by biopharmaceutical experts with extensive experience in gene and cellular therapy, and rare diseases. Our team has broad expertise in the clinical and regulatory aspects of rare diseases as well as process development and manufacturing for cellular therapies. Members of our management team have held senior positions at Affinia Therapeutics, Amicus Therapeutics, Biogen, GlaxoSmithKline, Lentigen Technology, Novartis, Takeda, Spark Therapeutics, and other companies pursuing development, manufacturing and commercialization of gene, cellular and other therapies to treat rare diseases.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purpose is to develop and commercialize HSC gene therapies that free patients from a lifetime of genetic disease. Key elements of our strategy include:</w:t>
      </w:r>
    </w:p>
    <w:p>
      <w:pPr>
        <w:spacing w:after="0" w:line="62" w:lineRule="exact"/>
        <w:rPr>
          <w:sz w:val="20"/>
          <w:szCs w:val="20"/>
          <w:color w:val="auto"/>
        </w:rPr>
      </w:pPr>
    </w:p>
    <w:p>
      <w:pPr>
        <w:ind w:left="900" w:right="180" w:hanging="368"/>
        <w:spacing w:after="0" w:line="263"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Advance our pipeline targeting lysosomal disorders. </w:t>
      </w:r>
      <w:r>
        <w:rPr>
          <w:rFonts w:ascii="Arial" w:cs="Arial" w:eastAsia="Arial" w:hAnsi="Arial"/>
          <w:sz w:val="18"/>
          <w:szCs w:val="18"/>
          <w:color w:val="auto"/>
        </w:rPr>
        <w:t>We are developing a pipeline of four gene therapies to treat Gaucher disease (type 1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3), cystinosis, Hunter syndrome and Pompe disease. We intend to continue to advance these programs in parallel and to obtain clinical data that could potentially support regulatory filings around the world.</w:t>
      </w:r>
    </w:p>
    <w:p>
      <w:pPr>
        <w:spacing w:after="0" w:line="80" w:lineRule="exact"/>
        <w:rPr>
          <w:rFonts w:ascii="Arial" w:cs="Arial" w:eastAsia="Arial" w:hAnsi="Arial"/>
          <w:sz w:val="18"/>
          <w:szCs w:val="18"/>
          <w:color w:val="auto"/>
        </w:rPr>
      </w:pPr>
    </w:p>
    <w:p>
      <w:pPr>
        <w:ind w:left="900" w:right="80" w:hanging="368"/>
        <w:spacing w:after="0" w:line="23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Leverage our proprietary plato</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gene therapy platform to accelerate development of our pipeline. </w:t>
      </w:r>
      <w:r>
        <w:rPr>
          <w:rFonts w:ascii="Arial" w:cs="Arial" w:eastAsia="Arial" w:hAnsi="Arial"/>
          <w:sz w:val="18"/>
          <w:szCs w:val="18"/>
          <w:color w:val="auto"/>
        </w:rPr>
        <w:t>Continue implementing and enhancing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plato platform covering vector design and production, drug product manufacturing, as well as analytics. We believe our end-to-end plato platform is scalable for planned global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ind w:left="900" w:right="120"/>
        <w:spacing w:after="0" w:line="289" w:lineRule="auto"/>
        <w:rPr>
          <w:sz w:val="20"/>
          <w:szCs w:val="20"/>
          <w:color w:val="auto"/>
        </w:rPr>
      </w:pPr>
      <w:r>
        <w:rPr>
          <w:rFonts w:ascii="Arial" w:cs="Arial" w:eastAsia="Arial" w:hAnsi="Arial"/>
          <w:sz w:val="16"/>
          <w:szCs w:val="16"/>
          <w:color w:val="auto"/>
        </w:rPr>
        <w:t>commercialization, if approved. We believe our innovations in viral vector design, cellular manufacturing, cryopreservation, and other related processes are important steps towards advancing the field of HSC gene therapy and realizing its full potential to treat a number of diseases. plato incorporates a four-plasmid lentiviral vector designed to optimize vector copy number, transduction efficiency and resulting enzyme activity. In combination with this vector, in some indications we use a number of proprietary peptide tag technologies to enhance uptake of therapeutic protein in key tissues. We have also developed a manufacturing process that we believe is both reproducible and scalable, and we believe this technology could enable us to deliver our gene therapies to patients, if approved, in quantities sufficient for global commercial supply. In addition, we believe our personalized approach to conditioning using busulfan through TCI could enable us to deliver durable, “head-to-toe” treatment of symptoms and early intervention in the treatment of lysosomal disorders. We intend to continue to leverage advancements in stem cell transplantation, including evaluating the potential use of monoclonal antibody conditioning.</w:t>
      </w:r>
    </w:p>
    <w:p>
      <w:pPr>
        <w:spacing w:after="0" w:line="58" w:lineRule="exact"/>
        <w:rPr>
          <w:sz w:val="20"/>
          <w:szCs w:val="20"/>
          <w:color w:val="auto"/>
        </w:rPr>
      </w:pPr>
    </w:p>
    <w:p>
      <w:pPr>
        <w:ind w:left="900" w:hanging="368"/>
        <w:spacing w:after="0" w:line="31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approach beyond our initial indications. </w:t>
      </w:r>
      <w:r>
        <w:rPr>
          <w:rFonts w:ascii="Arial" w:cs="Arial" w:eastAsia="Arial" w:hAnsi="Arial"/>
          <w:sz w:val="16"/>
          <w:szCs w:val="16"/>
          <w:color w:val="auto"/>
        </w:rPr>
        <w:t>We are developing gene therapies for the treatment of four different lysosomal disorders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believe that we will gain significant learnings and technical insights from these programs. In the future, we may leverage our technology and insights to treat a number of rare and non-rare diseases where we believe our HSC approach has transformative potential.</w:t>
      </w:r>
    </w:p>
    <w:p>
      <w:pPr>
        <w:spacing w:after="0" w:line="40" w:lineRule="exact"/>
        <w:rPr>
          <w:rFonts w:ascii="Arial" w:cs="Arial" w:eastAsia="Arial" w:hAnsi="Arial"/>
          <w:sz w:val="16"/>
          <w:szCs w:val="16"/>
          <w:color w:val="auto"/>
        </w:rPr>
      </w:pPr>
    </w:p>
    <w:p>
      <w:pPr>
        <w:ind w:left="900" w:right="20" w:hanging="368"/>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Selectively and opportunistically evaluate opportunities and initiatives to maximize business value. </w:t>
      </w:r>
      <w:r>
        <w:rPr>
          <w:rFonts w:ascii="Arial" w:cs="Arial" w:eastAsia="Arial" w:hAnsi="Arial"/>
          <w:sz w:val="18"/>
          <w:szCs w:val="18"/>
          <w:color w:val="auto"/>
        </w:rPr>
        <w:t>As part of our business strategy, from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time, we evaluate and intend to continue to evaluate opportunities to collaborate, partner, enter into joint ventures or undertake other strategic initiatives with third parties with respect to one or more of our programs, our technology or our plato platform, all with the goal of maximizing the value of our business. Despite devoting significant efforts to identify and evaluate potential opportunities, there can be no assurance that efforts will result in us pursuing any transaction or that any transaction, if pursued, will be completed on attractive terms or at all.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We develop gene therapies utilizing our HSC-based approach to transform a patient’s own stem cells into a drug product. Our investigational gene therapies employ lentiviral vectors that are designed to result in stable integration of the desired genes in the chromosomes of HSCs such that they are permanently maintained in the cell and can be reproduced as the cell divides. HSCs are primitive stem cells that develop into all types of blood cells, including white blood cells, red blood cells and platelets. To accomplish this, we harvest a patient’s HSCs and modify them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add the equivalent of a functional copy of the gene that is mutated in the target disease. We then infuse the genetically modified cells back into the patient. Our gene therapies are designed to be administered to the patient as a one-time therapy following a conditioning regimen.</w:t>
      </w:r>
    </w:p>
    <w:p>
      <w:pPr>
        <w:spacing w:after="0" w:line="178"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are focused on employing our approach to treat and potentially cure lysosomal disorders. These disorders have well-understood biologies, identified patient populations, established standards of care that leave many patients with significant unmet medical needs, and represent large markets with approximately $3.5 billion in worldwide net sales in 2022. We believe our HSC gene therapy approach can be industrialized into a robust, scalable and, if approved, commercially viable process that will allow us to deliver our potentially curative therapies to patients across the world.</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Advantages of HSC Gene Therapy Approach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HSC gene therapy has the potential to provide numerous advantages, including:</w:t>
      </w:r>
    </w:p>
    <w:p>
      <w:pPr>
        <w:spacing w:after="0" w:line="117" w:lineRule="exact"/>
        <w:rPr>
          <w:sz w:val="20"/>
          <w:szCs w:val="20"/>
          <w:color w:val="auto"/>
        </w:rPr>
      </w:pPr>
    </w:p>
    <w:p>
      <w:pPr>
        <w:ind w:left="900" w:right="220" w:hanging="368"/>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Durable benefit. </w:t>
      </w:r>
      <w:r>
        <w:rPr>
          <w:rFonts w:ascii="Arial" w:cs="Arial" w:eastAsia="Arial" w:hAnsi="Arial"/>
          <w:sz w:val="17"/>
          <w:szCs w:val="17"/>
          <w:color w:val="auto"/>
        </w:rPr>
        <w:t>We believe HSC gene therapy has the potential to provide life-long benefits with a single dose. Lentiviral vectors can</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 stably into the genome of HSCs and, when these cells replicate, they pass the integrated genes on to their progeny cells. Across the industry, efficacy in patients treated with HSC gene therapies have been demonstrated for longer than 13 years.</w:t>
      </w:r>
    </w:p>
    <w:p>
      <w:pPr>
        <w:spacing w:after="0" w:line="57" w:lineRule="exact"/>
        <w:rPr>
          <w:rFonts w:ascii="Arial" w:cs="Arial" w:eastAsia="Arial" w:hAnsi="Arial"/>
          <w:sz w:val="17"/>
          <w:szCs w:val="17"/>
          <w:color w:val="auto"/>
        </w:rPr>
      </w:pPr>
    </w:p>
    <w:p>
      <w:pPr>
        <w:ind w:left="900" w:right="140" w:hanging="368"/>
        <w:spacing w:after="0" w:line="30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Systemic therapeutic effect. </w:t>
      </w:r>
      <w:r>
        <w:rPr>
          <w:rFonts w:ascii="Arial" w:cs="Arial" w:eastAsia="Arial" w:hAnsi="Arial"/>
          <w:sz w:val="16"/>
          <w:szCs w:val="16"/>
          <w:color w:val="auto"/>
        </w:rPr>
        <w:t>Progeny cells circulate systemically and may migrate into tissues and therefore have the ability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benefit to affected tissues and organs throughout the body. In addition, we believe that our personalized busulfan conditioning regimen has the potential to allow the therapeutic benefits of our gene therapies to cross the blood-brain barrier and treat symptoms arising in the central nervous system. These often severe symptoms are typically unaddressed by the current standards-of-care for lysosomal disorders.</w:t>
      </w:r>
    </w:p>
    <w:p>
      <w:pPr>
        <w:spacing w:after="0" w:line="49" w:lineRule="exact"/>
        <w:rPr>
          <w:rFonts w:ascii="Arial" w:cs="Arial" w:eastAsia="Arial" w:hAnsi="Arial"/>
          <w:sz w:val="16"/>
          <w:szCs w:val="16"/>
          <w:color w:val="auto"/>
        </w:rPr>
      </w:pPr>
    </w:p>
    <w:p>
      <w:pPr>
        <w:ind w:left="900" w:right="80" w:hanging="368"/>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HSC gene therapies have been used to deliver treatments to patients of all ages, including children, and to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who may be ineligible for other types of gene therapy due to the presence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preexisting antibodies that detect viral vectors and trigger the immune system to destroy the vector and cells infected by the vector.</w:t>
      </w:r>
    </w:p>
    <w:p>
      <w:pPr>
        <w:spacing w:after="0" w:line="117" w:lineRule="exact"/>
        <w:rPr>
          <w:sz w:val="20"/>
          <w:szCs w:val="20"/>
          <w:color w:val="auto"/>
        </w:rPr>
      </w:pPr>
    </w:p>
    <w:p>
      <w:pPr>
        <w:ind w:left="900" w:right="160" w:hanging="368"/>
        <w:spacing w:after="0" w:line="263"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protein function. </w:t>
      </w:r>
      <w:r>
        <w:rPr>
          <w:rFonts w:ascii="Arial" w:cs="Arial" w:eastAsia="Arial" w:hAnsi="Arial"/>
          <w:sz w:val="18"/>
          <w:szCs w:val="18"/>
          <w:color w:val="auto"/>
        </w:rPr>
        <w:t>By contrast to the standard-of-care enzyme replacement therapy, which seeks to clear toxic substrate as a key</w:t>
      </w:r>
      <w:r>
        <w:rPr>
          <w:rFonts w:ascii="Arial" w:cs="Arial" w:eastAsia="Arial" w:hAnsi="Arial"/>
          <w:sz w:val="18"/>
          <w:szCs w:val="18"/>
          <w:i w:val="1"/>
          <w:iCs w:val="1"/>
          <w:color w:val="auto"/>
        </w:rPr>
        <w:t xml:space="preserve"> </w:t>
      </w:r>
      <w:r>
        <w:rPr>
          <w:rFonts w:ascii="Arial" w:cs="Arial" w:eastAsia="Arial" w:hAnsi="Arial"/>
          <w:sz w:val="18"/>
          <w:szCs w:val="18"/>
          <w:color w:val="auto"/>
        </w:rPr>
        <w:t>symptom of a non-functioning gene, restoration of gene function may deliver a wide array of additional biochemical benefits throughout the body.</w:t>
      </w:r>
    </w:p>
    <w:p>
      <w:pPr>
        <w:spacing w:after="0" w:line="75" w:lineRule="exact"/>
        <w:rPr>
          <w:rFonts w:ascii="Arial" w:cs="Arial" w:eastAsia="Arial" w:hAnsi="Arial"/>
          <w:sz w:val="18"/>
          <w:szCs w:val="18"/>
          <w:color w:val="auto"/>
        </w:rPr>
      </w:pPr>
    </w:p>
    <w:p>
      <w:pPr>
        <w:ind w:left="900" w:right="140" w:hanging="368"/>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in clinical trials. </w:t>
      </w:r>
      <w:r>
        <w:rPr>
          <w:rFonts w:ascii="Arial" w:cs="Arial" w:eastAsia="Arial" w:hAnsi="Arial"/>
          <w:sz w:val="18"/>
          <w:szCs w:val="18"/>
          <w:color w:val="auto"/>
        </w:rPr>
        <w:t>To date, we have not seen any unexpected safety events in 24 patients across four clinical trials, with the longest</w:t>
      </w:r>
      <w:r>
        <w:rPr>
          <w:rFonts w:ascii="Arial" w:cs="Arial" w:eastAsia="Arial" w:hAnsi="Arial"/>
          <w:sz w:val="18"/>
          <w:szCs w:val="18"/>
          <w:i w:val="1"/>
          <w:iCs w:val="1"/>
          <w:color w:val="auto"/>
        </w:rPr>
        <w:t xml:space="preserve"> </w:t>
      </w:r>
      <w:r>
        <w:rPr>
          <w:rFonts w:ascii="Arial" w:cs="Arial" w:eastAsia="Arial" w:hAnsi="Arial"/>
          <w:sz w:val="18"/>
          <w:szCs w:val="18"/>
          <w:color w:val="auto"/>
        </w:rPr>
        <w:t>follow-up more than 5 years to date.</w:t>
      </w:r>
    </w:p>
    <w:p>
      <w:pPr>
        <w:spacing w:after="0" w:line="62" w:lineRule="exact"/>
        <w:rPr>
          <w:rFonts w:ascii="Arial" w:cs="Arial" w:eastAsia="Arial" w:hAnsi="Arial"/>
          <w:sz w:val="18"/>
          <w:szCs w:val="18"/>
          <w:color w:val="auto"/>
        </w:rPr>
      </w:pPr>
    </w:p>
    <w:p>
      <w:pPr>
        <w:ind w:left="900" w:right="140" w:hanging="368"/>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lentiviral vectors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There are approximately 70 identified lysosomal disorders, which are characterized by an abnormal toxic build-up of substrates and their metabolites in the body’s cells. We are currently targeting Gaucher disease (type 1 and type 3), cystinosis, Hunter syndrome and Pompe disease. Each of these disorders affects a meaningful number of patients, has a suboptimal standard of care with unmet medical need and, we believe, is appropriate for HSC gene therapy. We believe our approach has the potential to address the shortcomings of existing therapies that, despite chronic dosing, cannot halt or reverse disease progression, restore normal lifespan or adequately address symptoms arising in both the peripheral tissues and the central nervous system.</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Expanding the Utility of HSC Gene Therapy with Optimized Conditioning Regimens</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A core part of our approach is to expand the use of HSC gene therapy to treat numerous lysosomal disorders. We believe conditioning is an essential step to optimize these treatments as it is designed to clear space in the patient’s bone marrow and central nervous system for cells carrying the therapeutic gene. This maximizes the potential for their long-term engraftment which may enhance durability of therapeutic effect. We believe enabling patient and physician choice of conditioning agents has the potential to be a substantial advance in the gene therapy field, and are evaluating the implementation of a tailored conditioning approach for certain disease indications.</w:t>
      </w:r>
    </w:p>
    <w:p>
      <w:pPr>
        <w:spacing w:after="0" w:line="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plan to continue using busulfan conditioning and intend to strive to optimize its tolerability profile. We have pioneered precision dosing of busulfan in gene therapy in a single treatment cycle, with the goal of enhancing the patient experience. A body of research has identified an optimal exposure range for busulfan (Bu-90). Our approach is to personalize conditioning to each patient using TCI, a precision dosing program. TCI is designed to allow for continually controlled exposure by assessing via simple blood draws how rapidly the individual patient metabolizes busulfan, to inform further administration. Use of busulfan in a conditioning regimen causes side effects and can transiently compromise the patient’s immune system, known as neutropenia, and reduce blood clotting, known as thrombocytopenia. The higher the level of conditioning, the greater the potential risk of more serious complications, such as veno-occlusive disease. However, we believe our approach to conditioning has the potential for reduced, predictable and manageable short- and long-term toxicities and maximized long-term engraftment.</w:t>
      </w:r>
    </w:p>
    <w:p>
      <w:pPr>
        <w:spacing w:after="0" w:line="178"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In addition to our utilization of busulfan, we are exploring the implementation of monoclonal antibody conditioning as a potential alternative conditioning approach for certain indications and have entered into a collaboration agreement with Jasper Therapeutics.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plato</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Our Commercial-Scale Platform</w:t>
      </w:r>
    </w:p>
    <w:p>
      <w:pPr>
        <w:spacing w:after="0" w:line="5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addition to developing first-line gene therapies, an important key to our strategy is to continuously improve our technology and production processes and to leverage these improvements across our gene therapies, if approved. plato is designed to provide the foundation for the potential worldwide commercialization of our gene therapies. It is a HSC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plato has been used to dose a total of 10 patients in our clinical trials, which includes six patients from our FAB-GT trial for which enrollment was halted, and four patients from our Guard1 trial for Gaucher disease type 1. We intend to utilize the plato platform for all future patients enrolling in our Company-sponsored clinical trials. We believe our plato platform may lead to better patient outcomes and will represent a significant advance in our industry towards achieving the quality and scale required for global commercialization of gene therapies.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Our plato platform is designed to feature:</w:t>
      </w:r>
    </w:p>
    <w:p>
      <w:pPr>
        <w:spacing w:after="0" w:line="117" w:lineRule="exact"/>
        <w:rPr>
          <w:sz w:val="20"/>
          <w:szCs w:val="20"/>
          <w:color w:val="auto"/>
        </w:rPr>
      </w:pPr>
    </w:p>
    <w:p>
      <w:pPr>
        <w:ind w:left="900" w:hanging="368"/>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Large scale vector production: </w:t>
      </w:r>
      <w:r>
        <w:rPr>
          <w:rFonts w:ascii="Arial" w:cs="Arial" w:eastAsia="Arial" w:hAnsi="Arial"/>
          <w:sz w:val="18"/>
          <w:szCs w:val="18"/>
          <w:color w:val="auto"/>
        </w:rPr>
        <w:t>We currently have manufacturing capabilities, through contract manufacturing organizations, or CMOs, at 200-liter bioreactor scale, with vector production capable of treating a substantial number of patients per year.</w:t>
      </w:r>
    </w:p>
    <w:p>
      <w:pPr>
        <w:spacing w:after="0" w:line="62" w:lineRule="exact"/>
        <w:rPr>
          <w:rFonts w:ascii="Arial" w:cs="Arial" w:eastAsia="Arial" w:hAnsi="Arial"/>
          <w:sz w:val="18"/>
          <w:szCs w:val="18"/>
          <w:color w:val="auto"/>
        </w:rPr>
      </w:pPr>
    </w:p>
    <w:p>
      <w:pPr>
        <w:ind w:left="900" w:right="20" w:hanging="368"/>
        <w:spacing w:after="0" w:line="25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Global reach</w:t>
      </w:r>
      <w:r>
        <w:rPr>
          <w:rFonts w:ascii="Arial" w:cs="Arial" w:eastAsia="Arial" w:hAnsi="Arial"/>
          <w:sz w:val="18"/>
          <w:szCs w:val="18"/>
          <w:color w:val="auto"/>
        </w:rPr>
        <w:t>: Our automated, closed system for manufacturing is designed to allow for the flexible production of our gene therapies.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closed manufacturing system is portable with proprietary AVROBIO algorithms which allow for efficient establishment of manufacturing capabilities in multiple geographies that can be expanded or adjusted as our global supply requirements evolve. We believe this planned approach will facilitate global manufacturing and shipping of our gene therapies, and will promote access to our products by patients and caregivers.</w:t>
      </w:r>
    </w:p>
    <w:p>
      <w:pPr>
        <w:spacing w:after="0" w:line="79" w:lineRule="exact"/>
        <w:rPr>
          <w:rFonts w:ascii="Arial" w:cs="Arial" w:eastAsia="Arial" w:hAnsi="Arial"/>
          <w:sz w:val="18"/>
          <w:szCs w:val="18"/>
          <w:color w:val="auto"/>
        </w:rPr>
      </w:pPr>
    </w:p>
    <w:p>
      <w:pPr>
        <w:ind w:left="900" w:right="20" w:hanging="368"/>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Quality of manufacturing</w:t>
      </w:r>
      <w:r>
        <w:rPr>
          <w:rFonts w:ascii="Arial" w:cs="Arial" w:eastAsia="Arial" w:hAnsi="Arial"/>
          <w:sz w:val="17"/>
          <w:szCs w:val="17"/>
          <w:color w:val="auto"/>
        </w:rPr>
        <w:t>: Our platform is designed to utilize current good manufacturing practices, or cGMP, and we believe our automated,</w:t>
      </w:r>
      <w:r>
        <w:rPr>
          <w:rFonts w:ascii="Arial" w:cs="Arial" w:eastAsia="Arial" w:hAnsi="Arial"/>
          <w:sz w:val="17"/>
          <w:szCs w:val="17"/>
          <w:i w:val="1"/>
          <w:iCs w:val="1"/>
          <w:color w:val="auto"/>
        </w:rPr>
        <w:t xml:space="preserve"> </w:t>
      </w:r>
      <w:r>
        <w:rPr>
          <w:rFonts w:ascii="Arial" w:cs="Arial" w:eastAsia="Arial" w:hAnsi="Arial"/>
          <w:sz w:val="17"/>
          <w:szCs w:val="17"/>
          <w:color w:val="auto"/>
        </w:rPr>
        <w:t>closed manufacturing system may result in less production variability and reduce the risk of operator error, while enhancing the potency of the drug product. We believe these features will improve the quality of our gene therapies that are produced.</w:t>
      </w:r>
    </w:p>
    <w:p>
      <w:pPr>
        <w:spacing w:after="0" w:line="57" w:lineRule="exact"/>
        <w:rPr>
          <w:rFonts w:ascii="Arial" w:cs="Arial" w:eastAsia="Arial" w:hAnsi="Arial"/>
          <w:sz w:val="17"/>
          <w:szCs w:val="17"/>
          <w:color w:val="auto"/>
        </w:rPr>
      </w:pPr>
    </w:p>
    <w:p>
      <w:pPr>
        <w:ind w:left="900" w:hanging="368"/>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Patient convenience</w:t>
      </w:r>
      <w:r>
        <w:rPr>
          <w:rFonts w:ascii="Arial" w:cs="Arial" w:eastAsia="Arial" w:hAnsi="Arial"/>
          <w:sz w:val="18"/>
          <w:szCs w:val="18"/>
          <w:color w:val="auto"/>
        </w:rPr>
        <w:t>: Our gene therapies are cryopreserved, which is a feature designed to promote a longer shelf-life. We believe that a longer</w:t>
      </w:r>
      <w:r>
        <w:rPr>
          <w:rFonts w:ascii="Arial" w:cs="Arial" w:eastAsia="Arial" w:hAnsi="Arial"/>
          <w:sz w:val="18"/>
          <w:szCs w:val="18"/>
          <w:i w:val="1"/>
          <w:iCs w:val="1"/>
          <w:color w:val="auto"/>
        </w:rPr>
        <w:t xml:space="preserve"> </w:t>
      </w:r>
      <w:r>
        <w:rPr>
          <w:rFonts w:ascii="Arial" w:cs="Arial" w:eastAsia="Arial" w:hAnsi="Arial"/>
          <w:sz w:val="18"/>
          <w:szCs w:val="18"/>
          <w:color w:val="auto"/>
        </w:rPr>
        <w:t>shelf-life will allow patients and clinics to schedule treatment sessions with greater convenience.</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Cost containment</w:t>
      </w:r>
      <w:r>
        <w:rPr>
          <w:rFonts w:ascii="Arial" w:cs="Arial" w:eastAsia="Arial" w:hAnsi="Arial"/>
          <w:sz w:val="17"/>
          <w:szCs w:val="17"/>
          <w:color w:val="auto"/>
        </w:rPr>
        <w:t>: Our platform is designed to control fixed and variable expenses associated with manufacturing our gene therapies.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believe the plato platform will form the backbone of our future commercialization efforts and our goal to take gene therapy mainstream.</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have utilized our core expertise in the development and optimization of lentiviral vectors to improve the vectors used in our gene therapies. We have made and expect to continue to make enhancements to our lentiviral vectors to improve safety, efficacy and efficiency. For example, clinical trials of AVR-RD-01 first utilized our original academic three-plasmid-produced lentiviral vector, which we refer to as LV1. However, we dosed six patients in our now halted FAB-GT clinical trial of AVR-RD-01 and the first four patients in our ongoing Guard1 clinical trial of AVR-RD-02 using our proprietary four-plasmid lentiviral vector, which we refer to as LV2, and expect to dose all future patients in our Company-sponsored trials with LV2. Our goal is to employ vectors that are state-of-the-art and that can be produced in a cost-effective and scalable manner.</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Our team has significant experience in cell processing and commercial-scale cellular therapy manufacturing. We have developed and are implementing a detailed plan for more cost efficient and scalable manufacturing of our gene therapies. In contrast to a number of other gene therapy companies that have not developed their commercial scale plans from the outset, we have executed on our plans to move to a closed suspension bioreactor system for vector production, as well as a closed, automated system for manufacturing our gene therapy product. Our move to a closed, automated manufacturing system was completed in 2019 as part of implementing upgrades from our plato platform, and six patients in our now halted FAB-GT clinical trial of AVR-RD-01 and the first four patients in our ongoing Guard1 clinical trial of AVR-RD-02 were each dosed using this system.</w:t>
      </w:r>
    </w:p>
    <w:p>
      <w:pPr>
        <w:spacing w:after="0" w:line="164"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Our manufacturing approach is intended to allow for the production of drug product using relatively small, self-contained devices, which may reduce our reliance on large traditional clean rooms that are expensive to establish and maintain. We believe our manufacturing approach may result in greater flexibility in the location of manufacture and help to control costs associated with traditional manufacturing. In addition, we believe our automated manufacturing process may reduce operator error and yield greater consistency and less variability in the manufactured drug product.</w:t>
      </w:r>
    </w:p>
    <w:p>
      <w:pPr>
        <w:spacing w:after="0" w:line="15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We currently plan to rely on one CMO site, located in the United States, as a sole source provider of drug product for our Company-sponsored clinical trials worldwide.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i w:val="1"/>
          <w:iCs w:val="1"/>
          <w:color w:val="auto"/>
        </w:rPr>
        <w:t>Optimization of Conditioning Regimen</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 xml:space="preserve">The conditioning regimen that we first employed utilized melphalan, a common chemotherapy drug, to ablate the patient’s bone marrow. As part of the upgrades to our plato platform, we transitioned to utilizing busulfan, another chemotherapy drug, that has been in use since the 1950’s. Busulfan is indicated for use in combination with cyclophosphamide as a conditioning regimen prior to allogeneic stem cell transplantation for chronic myeloid leukemia. Busulfan is routinely used in conditioning regimens before allogeneic stem cell transplantations for both malignant and non-malignant conditions. It has also been used as a single-agent, or in combination with an immunosuppressive agent, such as cyclophosphamide, in conditioning regimens prior to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transplants.</w:t>
      </w:r>
    </w:p>
    <w:p>
      <w:pPr>
        <w:spacing w:after="0" w:line="192"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Busulfan permits utilization of TCI in our conditioning regimen, thereby enabling physicians to personalize the dosing to each patient by titrating over four days to potentially enhance patient tolerability to the conditioning procedure and promote cell engraftment. By contrast, melphalan is administered once with no TCI, and may cause concerns regarding conditioning-related toxicity across patients due to individual differences in metabolism of the drug. In addition, we believe that the utilization of busulfan in our conditioning regimen has the potential to allow our gene therapies to cross the blood-brain barrier, a feature which may yield therapeutic benefit in diseases that have a central nervous system component, such as Gaucher disease type 3, Hunter syndrome, Pompe disease and other rare and non-rare diseases.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gene therapy candidates offer several potential advantages over existing therapies for lysosomal disorders, including:</w:t>
      </w:r>
    </w:p>
    <w:p>
      <w:pPr>
        <w:spacing w:after="0" w:line="117" w:lineRule="exact"/>
        <w:rPr>
          <w:sz w:val="20"/>
          <w:szCs w:val="20"/>
          <w:color w:val="auto"/>
        </w:rPr>
      </w:pPr>
    </w:p>
    <w:p>
      <w:pPr>
        <w:ind w:left="900" w:hanging="368"/>
        <w:spacing w:after="0" w:line="29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has the potential to halt or reverse disease progression. </w:t>
      </w:r>
      <w:r>
        <w:rPr>
          <w:rFonts w:ascii="Arial" w:cs="Arial" w:eastAsia="Arial" w:hAnsi="Arial"/>
          <w:sz w:val="16"/>
          <w:szCs w:val="16"/>
          <w:color w:val="auto"/>
        </w:rPr>
        <w:t>Existing ERTs for Gaucher disease, Hunter syndrome and Pompe</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and oral therapies for cystinosis, provide some therapeutic benefit to patients. However, because of their suboptimal pharmacokinetics, these ERTs only transiently increase plasma enzyme levels and the therapies for cystinosis require multiple doses throughout the day. In contrast, our lentiviral-based gene therapies are designed to enable the body to constantly produce the functional enzyme or other protein. This can potentially halt pathological damage and, depending on the targeted indication and organ system, may even reverse disease progression. Our investigational HSC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760720" cy="3240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2" w:name="page13"/>
    <w:bookmarkEnd w:id="12"/>
    <w:p>
      <w:pPr>
        <w:ind w:left="900" w:hanging="368"/>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 oral</w:t>
      </w:r>
      <w:r>
        <w:rPr>
          <w:rFonts w:ascii="Arial" w:cs="Arial" w:eastAsia="Arial" w:hAnsi="Arial"/>
          <w:sz w:val="18"/>
          <w:szCs w:val="18"/>
          <w:i w:val="1"/>
          <w:iCs w:val="1"/>
          <w:color w:val="auto"/>
        </w:rPr>
        <w:t xml:space="preserve"> </w:t>
      </w:r>
      <w:r>
        <w:rPr>
          <w:rFonts w:ascii="Arial" w:cs="Arial" w:eastAsia="Arial" w:hAnsi="Arial"/>
          <w:sz w:val="18"/>
          <w:szCs w:val="18"/>
          <w:color w:val="auto"/>
        </w:rPr>
        <w:t>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78" w:lineRule="exact"/>
        <w:rPr>
          <w:rFonts w:ascii="Arial" w:cs="Arial" w:eastAsia="Arial" w:hAnsi="Arial"/>
          <w:sz w:val="18"/>
          <w:szCs w:val="18"/>
          <w:color w:val="auto"/>
        </w:rPr>
      </w:pPr>
    </w:p>
    <w:p>
      <w:pPr>
        <w:ind w:left="900" w:right="20" w:hanging="368"/>
        <w:spacing w:after="0" w:line="31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these therapies require frequent doses of expensive treatments to manage symptoms. Our single-dose gene therapies are designed to replace the costly chronic intravenous and oral therapies that are the current standard of care for patients with lysosomal disorders.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AVR-RD-02, Our Gene Therapy for Gaucher Disease (Type 1 and Type 3)</w:t>
      </w:r>
    </w:p>
    <w:p>
      <w:pPr>
        <w:spacing w:after="0" w:line="1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We are developing AVR-RD-02 for the treatment of Gaucher disease type 1 and type 3). We plan to manufacture AVR-RD-02 from hematopoietic stem cells that are first harvested from the patient, modified to add the gene that encodes for glucocerebrosidase, or GCase, and then infused into the patient.</w:t>
      </w:r>
    </w:p>
    <w:p>
      <w:pPr>
        <w:spacing w:after="0" w:line="76" w:lineRule="exact"/>
        <w:rPr>
          <w:sz w:val="20"/>
          <w:szCs w:val="20"/>
          <w:color w:val="auto"/>
        </w:rPr>
      </w:pPr>
    </w:p>
    <w:p>
      <w:pPr>
        <w:ind w:right="280" w:firstLine="509"/>
        <w:spacing w:after="0" w:line="342" w:lineRule="auto"/>
        <w:rPr>
          <w:sz w:val="20"/>
          <w:szCs w:val="20"/>
          <w:color w:val="auto"/>
        </w:rPr>
      </w:pPr>
      <w:r>
        <w:rPr>
          <w:rFonts w:ascii="Arial" w:cs="Arial" w:eastAsia="Arial" w:hAnsi="Arial"/>
          <w:sz w:val="16"/>
          <w:szCs w:val="16"/>
          <w:color w:val="auto"/>
        </w:rPr>
        <w:t>Patient enrollment has commenced and is ongoing for the Phase 1/2 Guard1 clinical trial of AVR-RD-02 in patients with Gaucher disease type 1, and as of March 1, 2023 we have dosed four patients. The Guard1 trial is actively recruiting additional potential patients for our currently active sites.</w:t>
      </w:r>
    </w:p>
    <w:p>
      <w:pPr>
        <w:spacing w:after="0" w:line="1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are planning for a Phase 2/3 clinical trial of AVR-RD-02 in pediatric and young adult patients with Gaucher disease type 3, which we refer to as the Guard3 clinical trial. We expect to open our first clinical trial site in the United Kingdom or the United States in the second half of 2023, subject to regulatory clearance by the MHRA or the FDA, as applicable. Initiation of additional clinical trial sites in Europe is expected at later dates and will be subject to regulatory clearance by the EMA and the relevant national regulatory authorities, as applicable.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Gaucher Disease Type 1</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Gaucher disease type 1 is the non-neuronopathic form of Gaucher disease, a rare, autosomal recessive, lysosomal disorder caused by a hereditary deficiency of functional GCase, an enzyme responsible for degrading glucocerebroside, a cell membrane building block, into glucose and lipids within lysosomes of cells. In patients with Gaucher disease type 1,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8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Gaucher disease type 1 is one of the most common lysosomal disorders. It is diagnosed in approximately one in 44,000 births worldwide and is more prevalent in certain ethnic groups, such as people of Ashkenazi Jewish heritage. Approximately 90% of patients suffering from Gaucher disease in western countries have Gaucher disease type 1,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Compared with the general population, patients with Gaucher disease type 1 have an approximately 20-fold increased risk of developing Parkinson’s disease. Gaucher disease type 1 does not have manifestations of central nervous system symptoms.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Gaucher Disease Type 3</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Gaucher disease type 3 is the subacute, chronic neurological form of Gaucher disease, a rare, autosomal recessive, lysosomal disorder caused by a hereditary deficiency of functional GCase, an enzyme responsible for degrading glucocerebroside, a cell membrane building block, into glucose and lipids within lysosomes of cells. In patients with Gaucher type 3 disease, the recycling of glucocerebroside from the breakdown of old red and white blood cells is inhibited, leading to its accumulation in macrophages. These abnormal macrophages, known as Gaucher cells, accumulate in multiple organs, particularly the liver, spleen and bone marrow. In addition, glucosylceramide accumulates in perivascular macrophages and brain glial cells and neurons leading to neuronal death. Clinically, central nervous system manifestations of Gaucher disease type 3 appear in childhood or adolescence, typically within the latter part of the first decade for the majority of patients, although the course of disease is markedly heterogenous.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ind w:right="80" w:firstLine="509"/>
        <w:spacing w:after="0" w:line="254" w:lineRule="auto"/>
        <w:rPr>
          <w:sz w:val="20"/>
          <w:szCs w:val="20"/>
          <w:color w:val="auto"/>
        </w:rPr>
      </w:pPr>
      <w:r>
        <w:rPr>
          <w:rFonts w:ascii="Arial" w:cs="Arial" w:eastAsia="Arial" w:hAnsi="Arial"/>
          <w:sz w:val="18"/>
          <w:szCs w:val="18"/>
          <w:color w:val="auto"/>
        </w:rPr>
        <w:t>Gaucher disease type 3 is estimated to occur in one in 100,000-300,00 births and is more prevalent in certain ethnic groups, such as people of Swedish Norrbottnian descent. Systemic manifestations of Gaucher disease type 3 may include enlargement of the spleen and liver, low red blood cells, or anemia, low platelet count, or thrombocytopenia, and bone abnormalities including bone pain, fractures and arthritis. Bruising, risk of bleeding and fatigue are common due to the thrombocytopenia and anemia. Variable other features of Gaucher disease type 3 include pulmonary infiltrates and esophageal varices associated with liver cirrhosis. Presentation of diverse neurologic features may begin at any time during infancy and early childhood with the most prevalent finding of horizontal supranuclear gaze palsy. Other manifestations of neurological disease include generalized seizures, myoclonus, ataxia, and/or dementia.</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Gaucher disease type 1 is currently treated with bi-weekly infusions of ERT consisting of recombinant GCase over a patient’s lifetime. The most commonly prescribed ERTs for Gaucher disease are Cerezyme, marketed by Sanofi, and VPRIV, marketed by Takeda. Pfizer markets ELELYSO, an ERT indicated for Gaucher disease type 1.</w:t>
      </w:r>
    </w:p>
    <w:p>
      <w:pPr>
        <w:spacing w:after="0" w:line="1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Although long-term ERT for Gaucher disease type 1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type 1,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one or more of these six target goals.</w:t>
      </w:r>
    </w:p>
    <w:p>
      <w:pPr>
        <w:spacing w:after="0" w:line="192"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Both ERTs and oral therapies for Gaucher type 1 impose significant costs on the healthcare system. We estimate that the average five-year cost to the healthcare system per Gaucher patient (all types) prescribed standard of care treatment in the United States is approximately $2.3 million. In 2022, Sanofi’s Cerezyme and Cerdelga together generated worldwide net sales of approximately €995 million euros and Takeda’s VPRIV generated worldwide net sales of approximately 47 billion Japanese yen.</w:t>
      </w:r>
    </w:p>
    <w:p>
      <w:pPr>
        <w:spacing w:after="0" w:line="18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Current therapies used to treat Gaucher disease type 1, namely, ERT and SRT, do not penetrate the brain and therefore have no effect on the neurological aspects of Gaucher disease type 3. The most commonly prescribed ERTs for Gaucher disease are Cerezyme, marketed by Sanofi, and VPRIV, marketed by Takeda.</w:t>
      </w:r>
    </w:p>
    <w:p>
      <w:pPr>
        <w:spacing w:after="0" w:line="184"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Patients with Gaucher disease type 3 may exhibit wide variation of disease progression with the severity of systemic disease and neurological deficits differing considerably between patients. In a published study of SRT therapy for Gaucher disease type 3, no significant benefits were demonstrated on the neurological manifestations of Gaucher disease type 3. Although long-term ERT for Gaucher disease type 3 results in some therapeutic benefit on visceral, hematological and bone manifestations, ERTs leave patients with significant unmet needs owing to persisting accumulation of substrate within the central nervous system. Following 10 years of ERT, two patients’ epilepsy had worsened while a third patient developed epilepsy around eight years after treatment initiation. Another published study on ERT showed that enzyme infusions had no effect on patients with myoclonus and approximately 40% of patients deteriorated neurologically during a median 3.5 year follow-up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right="80" w:firstLine="509"/>
        <w:spacing w:after="0" w:line="286" w:lineRule="auto"/>
        <w:rPr>
          <w:sz w:val="20"/>
          <w:szCs w:val="20"/>
          <w:color w:val="auto"/>
        </w:rPr>
      </w:pPr>
      <w:r>
        <w:rPr>
          <w:rFonts w:ascii="Arial" w:cs="Arial" w:eastAsia="Arial" w:hAnsi="Arial"/>
          <w:sz w:val="17"/>
          <w:szCs w:val="17"/>
          <w:color w:val="auto"/>
        </w:rPr>
        <w:t xml:space="preserve">We are developing AVR-RD-02 to potentially provide a functional cure to patients with Gaucher disease type 1 and type 3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HSC gene therapy that contains a codon-optimized human gene and is designed to maximize the likelihood of sustained GCase production in hematopoietic stem cells and their progeny.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Ongoing Phase 1/2 Clinical Trial (Guard1)</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have initiated our Guard1 Phase 1/2 clinical trial of AVR-RD-02 in patients with Gaucher disease type 1. Patient enrollment has commenced, and as of March 1, 2023, four patients have been dosed. This clinical trial is actively recruiting additional potential patients for our currently active sites. Our initial clinical trial is open to treatment-naïve patients; patients who have been stable on ERT for at least 24 months; and patients who have not received ERT or substrate reduction therapy, or SRT, in the past 12 months. We intend to enroll 8 to 16 patients, between the ages of 18 and 50, with Gaucher disease type 1. Patients currently prescribed ERT will cease treatment for the duration of the clinical trial. All enrolled patients will receive a single treatment with AVR-RD-02 and will be followed for 52 weeks to measure safety and efficacy. We intend to utilize our plato platform for all patients enrolling in our Phase 1/2 clinical trial of AVR-RD-02. Our efficacy endpoints for this clinical trial will include visceral domain and hematologic measures such as liver and spleen volumes, hemoglobin, platelet counts, bone pain and bone density measures, and quality of life measures along with critical biological blood markers used to track the disease progression in Gaucher disease type 1.</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December 2022, we presented data on the first four patients in the Guard1 clinical trial, which is described below.</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Vector Copy Number (VCN)</w:t>
      </w:r>
    </w:p>
    <w:p>
      <w:pPr>
        <w:spacing w:after="0" w:line="117"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All four adult GD1 patients in the Guard1 clinical trial who have been infused with investigational AVR-RD-02, based on data as of November 2022, achieved a VCN between 0.54 to 0.86 per diploid genome, 14 weeks to two years post gene therapy. We believe this indicates sustained engraftment and the presence of the transgene in the peripheral blood leukocytes, the essential cell impacted in Gaucher disease patients.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Plasma Lyso-Gb1 Reductions</w:t>
      </w:r>
    </w:p>
    <w:p>
      <w:pPr>
        <w:spacing w:after="0" w:line="225"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Glucosylsphingosine, or lyso-Gb1, is considered a surrogate marker for disease activity and treatment response for Gaucher disease type 1. In the case of ERT-naïve patients and patients who have discontinued ERT, we believe that reductions in lyso-Gb1 levels following treatment with gene therapy are likely driven by the therapeutic effect of gene therapy. In all four adult Gaucher disease type 1 patients dosed to date in the Guard1 clinical trial, based on data as of November 2022, we observed that lyso-Gb1 decreased 21% to 70% (21%, 21%, 30% and 70%, respectively) below ERT baseline levels for all four patients, 12 weeks to two years post gene therapy. In this study baseline ERT is the measurement of single plasma lyso-Gbl value observed prior to initiating mobilization. Lyso-Gbl is a downstream metabolic product of glucocerebroside and is considered a sensitive and specific biomarker used for disease monitoring in patients with Gaucher disease.</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Plasma Chitotriosidase Reductions</w:t>
      </w:r>
    </w:p>
    <w:p>
      <w:pPr>
        <w:spacing w:after="0" w:line="13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Chitotriosidase is a biomarker of macrophage activation that is found in high levels in Gaucher disease patients where the macrophages have accumulated an excess lipid burden. In the Guard1 clinical study, the metabolite chitotriosidase was reduced in the two patients with evaluable samples, reflecting a reduction in macrophage activation and inflammation. Patient 1's chitotriosidase level has declined from a high of 145.8 µmol/L/h prior to gene therapy treatment to 42.4 µmol/L/h (≤38.1 µmol/L/h is considered normal range) two years post gene therapy. Patient 2, who was in the normal range before gene therapy treatment, still decreased from 24.3 µmol/L/h at baseline to 19.2 µmol/L/h at week 52. Samples from the other two adult patients dosed to date are not evaluable.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study, baseline ERT is the measurement of a single chitotriosidase value observed prior to initiating mobilization.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color w:val="auto"/>
        </w:rPr>
        <w:t>Liver and Spleen Volume Reductions</w:t>
      </w:r>
    </w:p>
    <w:p>
      <w:pPr>
        <w:spacing w:after="0" w:line="23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three of the four adult patients dosed with AVR-RD-02, as of November 2022, a demonstrated reduction in liver and spleen volumes below the ERT baseline was observed. Patient 4 was not yet scanned as of the data cutoff date for liver or spleen volume. In the patients who were scanned, we observed the following results.</w:t>
      </w:r>
    </w:p>
    <w:p>
      <w:pPr>
        <w:spacing w:after="0" w:line="76" w:lineRule="exact"/>
        <w:rPr>
          <w:sz w:val="20"/>
          <w:szCs w:val="20"/>
          <w:color w:val="auto"/>
        </w:rPr>
      </w:pPr>
    </w:p>
    <w:p>
      <w:pPr>
        <w:ind w:left="1020" w:right="9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1 data showed a clinically significant 24% reduction in liver volume at 104 weeks post gene therapy (patient underwent a splenectomy during childhood).</w:t>
      </w:r>
    </w:p>
    <w:p>
      <w:pPr>
        <w:spacing w:after="0" w:line="62"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2 data showed a clinically significant 11% reduction in liver volume and 23% reduction in spleen volume at 52 weeks post gene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3 data showed a 4% reduction in liver volume and a 19% reduction in spleen volume, at 26 weeks post gene therapy.</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Hemoglobin Concentration and Platelet Counts</w:t>
      </w:r>
    </w:p>
    <w:p>
      <w:pPr>
        <w:spacing w:after="0" w:line="131"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Gaucher disease type 1 typically causes patients to have low levels of hemoglobin and platelets. In this study, the baseline measurement was taken one month prior to discontinuation of ERT. Twelve weeks to two years post gene therapy, hemoglobin and platelet levels, as of November 2022, were in normal range following gene therapy for all four adult patients in the Guard1 clinical trial.</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Safety Data</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the most recent cut-off date of September 27, 2022, safety data from the four adult patients dosed indicated no AEs related to drug product. All AEs observed were related to myeloablative conditioning, stem cell mobilization, underlying disease or pre-existing conditions. The majority of AEs were mild or moderate and resolved without clinical sequelae. As of the safety cut-off date of September 27, 2022, all AEs had resolved except for one AE of amenorrhea, which remains unresolved and ongoing.</w:t>
      </w:r>
    </w:p>
    <w:p>
      <w:pPr>
        <w:spacing w:after="0" w:line="18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From First Pediatric Gaucher Disease Type 3 Patient Dosed with AVR-RD-02</w:t>
      </w:r>
    </w:p>
    <w:p>
      <w:pPr>
        <w:spacing w:after="0" w:line="117" w:lineRule="exact"/>
        <w:rPr>
          <w:sz w:val="20"/>
          <w:szCs w:val="20"/>
          <w:color w:val="auto"/>
        </w:rPr>
      </w:pPr>
    </w:p>
    <w:p>
      <w:pPr>
        <w:ind w:right="600" w:firstLine="509"/>
        <w:spacing w:after="0" w:line="263" w:lineRule="auto"/>
        <w:rPr>
          <w:sz w:val="20"/>
          <w:szCs w:val="20"/>
          <w:color w:val="auto"/>
        </w:rPr>
      </w:pPr>
      <w:r>
        <w:rPr>
          <w:rFonts w:ascii="Arial" w:cs="Arial" w:eastAsia="Arial" w:hAnsi="Arial"/>
          <w:sz w:val="18"/>
          <w:szCs w:val="18"/>
          <w:color w:val="auto"/>
        </w:rPr>
        <w:t>In December 2022, we announced that an 11-year-old patient with Gaucher disease type 3 was dosed with AVR-RD-02 at the University of Manchester, U.K., on a named patient basis, and we presented the named patient data at our virtual Gaucher disease Program Update. The patient’s physicians then presented additional data at the WORLD</w:t>
      </w:r>
      <w:r>
        <w:rPr>
          <w:rFonts w:ascii="Arial" w:cs="Arial" w:eastAsia="Arial" w:hAnsi="Arial"/>
          <w:sz w:val="18"/>
          <w:szCs w:val="18"/>
          <w:i w:val="1"/>
          <w:iCs w:val="1"/>
          <w:color w:val="auto"/>
        </w:rPr>
        <w:t>Symposium</w:t>
      </w:r>
      <w:r>
        <w:rPr>
          <w:rFonts w:ascii="Arial" w:cs="Arial" w:eastAsia="Arial" w:hAnsi="Arial"/>
          <w:sz w:val="18"/>
          <w:szCs w:val="18"/>
          <w:color w:val="auto"/>
        </w:rPr>
        <w:t xml:space="preserve"> in February 2023.</w:t>
      </w:r>
    </w:p>
    <w:p>
      <w:pPr>
        <w:spacing w:after="0" w:line="76" w:lineRule="exact"/>
        <w:rPr>
          <w:sz w:val="20"/>
          <w:szCs w:val="20"/>
          <w:color w:val="auto"/>
        </w:rPr>
      </w:pPr>
    </w:p>
    <w:p>
      <w:pPr>
        <w:jc w:val="both"/>
        <w:ind w:right="240" w:firstLine="509"/>
        <w:spacing w:after="0" w:line="296" w:lineRule="auto"/>
        <w:rPr>
          <w:sz w:val="20"/>
          <w:szCs w:val="20"/>
          <w:color w:val="auto"/>
        </w:rPr>
      </w:pPr>
      <w:r>
        <w:rPr>
          <w:rFonts w:ascii="Arial" w:cs="Arial" w:eastAsia="Arial" w:hAnsi="Arial"/>
          <w:sz w:val="16"/>
          <w:szCs w:val="16"/>
          <w:color w:val="auto"/>
        </w:rPr>
        <w:t>At 581 days post gene therapy, the patient has normalized peripheral blood leukocyte glucocerebrosidase, or GCase, enzyme activity and plasma chitotriosidase, a marker of activated macrophages, and remains off ERT and SRT. The patient’s albumin levels increased 15 to 21 g/L at 1.2 years post gene therapy, reflecting improvements in lymphadenopathy and enteropathy​. This patient was previously refractory to maximal and multimodal medical therapy, including ERT, SRT, enteral steroids and dietary restrictions. ​Additionally, the patient did not develop any new lesions on MRI assessments post gene therapy and had no clinically detectable change in neurological status or new neurological manifestations 15 months post gene therapy.</w:t>
      </w:r>
    </w:p>
    <w:p>
      <w:pPr>
        <w:spacing w:after="0" w:line="16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To date, safety data from this patient indicate no adverse events, or AEs, related to drug product. All AEs observed were related to myeloablative conditioning, stem cell mobilization, underlying disease or pre-existing conditions.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Clinical Trial of AVR-RD-02 for Gaucher Disease Type 3 (Guard3)</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 Phase 2/3 Guard3 clinical trial of AVR-RD-02 in patients with Gaucher disease type 3 is currently planned, with initiation anticipated in the second half of 2023, subject to regulatory alignment. The Guard3 trial is anticipated to be a global, open label, parallel-arm and randomized controlled clinical trial to evaluate the efficacy and safety of AVR-RD-02 in pediatric and young adult patients. The Guard3 trial is expected to include approximately 40 Gaucher disease type 3 participants (male or female), randomized on a 1:1 basis to receive either AVR-RD-02 HSC gene therapy or continue to receive standard of care ERT. Currently, the Guard3 trial design anticipates that following the observation period, eligible participants who received ERT will be eligible to cross over into the active arm to receive AVR-RD-02 HSC gene therapy.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ind w:right="440" w:firstLine="509"/>
        <w:spacing w:after="0" w:line="311" w:lineRule="auto"/>
        <w:rPr>
          <w:sz w:val="20"/>
          <w:szCs w:val="20"/>
          <w:color w:val="auto"/>
        </w:rPr>
      </w:pPr>
      <w:r>
        <w:rPr>
          <w:rFonts w:ascii="Arial" w:cs="Arial" w:eastAsia="Arial" w:hAnsi="Arial"/>
          <w:sz w:val="16"/>
          <w:szCs w:val="16"/>
          <w:color w:val="auto"/>
        </w:rPr>
        <w:t>The planned primary efficacy endpoint is a novel, multi-domain endpoint to reflect the systemic and heterogeneous nature of Gaucher disease, including ataxia (impaired coordination), breathing ability and liver and spleen volume. A key secondary efficacy measure plans to examine substrate levels in cerebrospinal fluid, or CSF, which reflects the impact of the HSC gene therapy in the central nervous system, or CNS.</w:t>
      </w:r>
    </w:p>
    <w:p>
      <w:pPr>
        <w:spacing w:after="0" w:line="4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design of the planned Phase 2/3 clinical trial of AVR-RD-02 in patients with Gaucher disease type 3 is still subject to regulatory agency review and clearance, and final trial design may differ from current plans, including changes based on regulatory agency feedback.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intend to utilize our plato platform for all patients who enroll in our planned Phase 2/3 Guard3 clinical trial and receive HSC gene therapy.</w:t>
      </w:r>
    </w:p>
    <w:p>
      <w:pPr>
        <w:spacing w:after="0" w:line="12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Overall, data from both the Guard1 and planned Guard3 clinical trials are expected to leverage the similar underlying pathophysiology for both types of Gaucher disease.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Together with UCSD, we are developing CTNS-RD-04, which we refer to as AVR-RD-04, for the treatment of patients with cystinosis. AVR-RD-04 is manufactured from hematopoietic stem cells that are first harvested from the patient, modified to add the gene that encodes for cystinosin, and then infused into the patient. AVR-RD-04 is currently being studied by our collaborators at UCSD in a Phase 1/2 collaborator-sponsored clinical trial. As of March 1, 2023 six patients have been dosed with AVR-RD-04 and the trial is fully enrolled. In February 2023, our collaborators at UCSD reported updated interim data from the Phase 1/2 collaborator-sponsored clinical trial of AVR-RD-04 at the 2023 WORLD</w:t>
      </w:r>
      <w:r>
        <w:rPr>
          <w:rFonts w:ascii="Arial" w:cs="Arial" w:eastAsia="Arial" w:hAnsi="Arial"/>
          <w:sz w:val="17"/>
          <w:szCs w:val="17"/>
          <w:i w:val="1"/>
          <w:iCs w:val="1"/>
          <w:color w:val="auto"/>
        </w:rPr>
        <w:t>Symposium</w:t>
      </w:r>
      <w:r>
        <w:rPr>
          <w:rFonts w:ascii="Arial" w:cs="Arial" w:eastAsia="Arial" w:hAnsi="Arial"/>
          <w:sz w:val="17"/>
          <w:szCs w:val="17"/>
          <w:color w:val="auto"/>
        </w:rPr>
        <w:t xml:space="preserve"> in Orlando, Florida. We expect to provide clinical and regulatory updates on the Phase 1/2 clinical trial of AVR-RD-04 at ASGCT in May 2023.</w:t>
      </w:r>
    </w:p>
    <w:p>
      <w:pPr>
        <w:spacing w:after="0" w:line="70"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In September 2022, the FDA granted RPDD for AVR-RD-04 for the treatment of cystinosis. AVR-RD-04 has previously received Fast Track Designation from the FDA and ODD from the FDA and EMA.</w:t>
      </w:r>
    </w:p>
    <w:p>
      <w:pPr>
        <w:spacing w:after="0" w:line="62" w:lineRule="exact"/>
        <w:rPr>
          <w:sz w:val="20"/>
          <w:szCs w:val="20"/>
          <w:color w:val="auto"/>
        </w:rPr>
      </w:pPr>
    </w:p>
    <w:p>
      <w:pPr>
        <w:ind w:right="360" w:firstLine="509"/>
        <w:spacing w:after="0" w:line="296" w:lineRule="auto"/>
        <w:rPr>
          <w:sz w:val="20"/>
          <w:szCs w:val="20"/>
          <w:color w:val="auto"/>
        </w:rPr>
      </w:pPr>
      <w:r>
        <w:rPr>
          <w:rFonts w:ascii="Arial" w:cs="Arial" w:eastAsia="Arial" w:hAnsi="Arial"/>
          <w:sz w:val="16"/>
          <w:szCs w:val="16"/>
          <w:color w:val="auto"/>
        </w:rPr>
        <w:t>In the first quarter of 2023, we completed a scientific advice meeting with MHRA and received feedback from the FDA regarding a planned Company-sponsored clinical trial for AVR-RD-04. Based on these regulatory interactions and feedback and subject to regulatory clearance, we are planning to initiate activities for a Company-sponsored Phase 1/2 clinical trial for cystinosis in the second half of 2023, which is designed to be registration-enabling. Clinical sites are anticipated in the United Kingdom, Europe and the United States. Our current plan involves a two-part clinical development strategy, including both a pre-renal transplant population clinical trial and a post-renal transplant population clinical trial.</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Cystinosis is a rare, genetic, autosomal recessive, lysosomal disorder caused by the accumulation of cystine, the oxidized dimer of the amino acid cysteine. Cystine is normally transported through the lysosomal membrane to the cytosol where it is reutilized after its transformation to cysteine. In cystinosis, cystine accumulates inside the lysosomes because of a defect in the gene that encodes cystinosin, the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6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type 1 diabetes mellitus, hypothyroidism, and central nervous system problems. More than 90% of untreated patients require a kidney transplant before the age of 20. It is estimated that cystinosis disease is diagnosed in approximately one in 170,000 people.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Cystinosis is currently treated with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most commonly prescribed oral therapies for cystinosis are Procysbi (delayed release cysteamine bitartrate), marketed by Horizon Orphan, and Cystagon (cysteamine bitartrate), marketed by Mylan and Recordati S.p.A. In 2021, Procysbi generated worldwide net sales of approximately $190 million. We estimate that the average five-year cost to the healthcare system per cystinosis patient prescribed standard of care treatment in the United States is approximately $4.3 million.</w:t>
      </w:r>
    </w:p>
    <w:p>
      <w:pPr>
        <w:spacing w:after="0" w:line="195"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Procysbi and Cystagon must be taken orally every 12 or 6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640" w:firstLine="509"/>
        <w:spacing w:after="0" w:line="286" w:lineRule="auto"/>
        <w:rPr>
          <w:sz w:val="20"/>
          <w:szCs w:val="20"/>
          <w:color w:val="auto"/>
        </w:rPr>
      </w:pPr>
      <w:r>
        <w:rPr>
          <w:rFonts w:ascii="Arial" w:cs="Arial" w:eastAsia="Arial" w:hAnsi="Arial"/>
          <w:sz w:val="17"/>
          <w:szCs w:val="17"/>
          <w:color w:val="auto"/>
        </w:rPr>
        <w:t xml:space="preserve">We are developing AVR-RD-04 to potentially provide a functional cure to patients with cystinosis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AVR-RD-04 is a HSC gene therapy containing a human gene for cystinosin designed to maximize the likelihood of sustained cystinosin production in hematopoietic stem cells and their progeny.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Ongoing Phase 1/2 Collaborator-Sponsored Clinical Trial</w:t>
      </w:r>
    </w:p>
    <w:p>
      <w:pPr>
        <w:spacing w:after="0" w:line="117"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In the ongoing collaborator-sponsored Phase 1/2 clinical trial of AVR-RD-04, six patients with cystinosis who have previously been treated with cysteamine have been dosed. This clinical trial is being conducted by UCSD and has been funded in part by grants to UCSD from the California Institute for Regenerative Medicine, Cystinosis Research Foundation and National Institutes of Health. The clinical trial’s primary endpoints are safety and tolerability, assessed for up to two years after treatment. Secondary endpoints to assess preliminary efficacy include change from baseline in cystine levels in rectal mucosa and granulocytes, as well as cystine crystal counts in the cornea and skin. These secondary efficacy endpoints will also be evaluated through clinical tests of kidney function, ophthalmologic measures, muscle strength, pulmonary function and neurological and psychometric function, as well as through patient-reported outcomes and assessments of health-related quality of life. Mixed leukocyte and granulocyte cystine concentration measures have been part of cystinosis standard of care treatment for the past two decades, and changes in the average level of cystine in granulocytes from baseline was originally a primary endpoint of the clinical trial of AVR-RD-04. However, we and our collaborators at UCSD determined that cystine concentration in leukocytes and granulocytes, which is used to monitor small molecule therapies, is not appropriate to represent the mechanism of action of a gene therapy. As a result, the protocol for this clinical trial was amended in 2020 to retain safety and tolerability as the primary endpoint, as is appropriate for this stage of development, and shift measurement of cystine in granulocytes to a secondary endpoint.</w:t>
      </w:r>
    </w:p>
    <w:p>
      <w:pPr>
        <w:spacing w:after="0" w:line="168"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Because this is a collaborator-sponsored clinical, the study drug is not manufactured using our plato platform, and neither the automated, closed manufacturing system nor LV2 is used in connection with this clinical trial.</w:t>
      </w:r>
    </w:p>
    <w:p>
      <w:pPr>
        <w:spacing w:after="0" w:line="1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February 2023, the first five patients in the trial had discontinued and remained off oral cysteamine, with the first patient out to 36 months post-treatment. Additionally, four of the five dosed patients had discontinued and remained off cysteamine eye drops as of May 6, 2022. The second patient in the trial, who had stopped cysteamine eye drops one-month post-treatment with AVR-RD-04 per the trial protocol, resumed cysteamine eye drops in July 2021.</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Vector Copy Number</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 February 2023, our collaborator presented interim VCN data for the first five patients dosed in the Phase 1/2 clinical trial ranging from 0.7 and 2.0 per diploid genome between three- to 27-months post gene therapy.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i w:val="1"/>
          <w:iCs w:val="1"/>
          <w:color w:val="auto"/>
        </w:rPr>
        <w:t>Cystine Crystals in Skin and Gastrointestinal Mucosa Biopsy Tissues</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Skin and gastrointestinal mucosa biopsies have been performed on patients at baseline and post-treatment with AVR-RD-04. The data from the biopsies are intended to show the average skin intracytoplasmic crystals per cell, which is a measurement of the number of toxic crystals in each cell. In February 2023, our collaborator at UCSD reported biopsy data in skin and gastrointestinal mucosa. In the skin, reductions in average intracytoplasmic crystals per cell ranged from 8% in patient 1, 64% in patient 2 and 81% in patient 3 below the patients’ own standard-of-care baseline measures at 12-27 months post gene therapy. In gastrointestinal mucosa, a measurable reduction below patients’ own standard-of-care baseline measures was observed post gene therapy, including a 73% reduction after 27 months for patient 1, a 28% reduction after 12 months for patient 2, an 86% reduction after 12 months for patient 3, and a 21% reduction after 6 months for patient 4. These data suggest the systemic distribution of functional cystinosis protein is impacting a variety of measures throughout the body. As of February 2023, our collaborator at UCSD had not yet reported skin biopsy data for patients 4, 5 and 6 or gastrointestinal mucosa biopsy data for patients 5 and 6.</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Levels of Cystine in Cornea</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Levels of corneal cystine crystals are being assessed in this clinical trial using IVCM. In May 2022, we presented a set of images of the first patient’s cornea measured at baseline and 18-months post-administration. The baseline IVCM images were taken using a Nidek ConfoScan microscope and the subsequent images were taken using a Heidelberg (HRT3) with Rostock Cornea Module microscope. Each of the post-treatment images showed a noticeable decline in the presence of corneal crystals. The images were preliminarily scored by a physician, on a scale of zero to four, to quantify crystal deposition in each corneal layer of the central cornea. In a patient-reported outcome scale of photophobia severity, the first three patients for which data are available, reported improved or stable photophobia scores. Patient 1, who entered the trial with a higher level of cystine crystal accumulation in the eye, reported a two-point photophobia score improvement 24 months post gene therapy. Patients 2 and 3, who both entered the trial with relatively lower cystine crystal accumulation in the eye, reported stable photophobia scores, both at 12 months post gene therapy. Patients 1, 3, 4 and 5 remain off cysteamine eye drops.</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Kidney Function</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Assessment of kidney function includes measurements of serum creatinine, or sCR, and eGFR, which is determined using the CKD-EPI formula. The first patient in the Phase 1/2 clinical trial exhibited an eGFR value of 18.1 mL/min/1.73m2 at 27 months post-treatment as compared to a baseline value of 55 mL/min/1.73m2. This patient’s eGFR values had been trending downward in the three years prior to administration of AVR-RD-04. We expect this patient’s eGFR levels to continue declining at a level consistent with the irreversible nature of nephropathic cystinosis. At six months post-treatment the second patient in the clinical trial, who received two kidney transplants prior to treatment in the clinical trial, exhibited an eGFR value of 81 mL/min/1.73m2 as compared to a baseline value of 71 mL/min/1.73m2.</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Safety Data</w:t>
      </w:r>
    </w:p>
    <w:p>
      <w:pPr>
        <w:spacing w:after="0" w:line="11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As of the safety data cut-off date of January 9, 2023, preliminary interim clinical data for the first six patients dosed in the Phase 1/2 clinical trial appear to indicate that the AVR-RD-04 investigational gene therapy has been generally well tolerated with no unexpected safety events identified. There have been no reports of safety events attributed to the AVR-RD-04 drug product. As of the safety data cut-off date, a total of 173 adverse events, or AEs, were reported, a majority of which were reported by the investigator to be moderate or mild and resolved without clinical sequelae. All reported AEs were consistent with expectations for the underlying disease, stem cell mobilization and conditioning regimen prescribed by the study protocol.</w:t>
      </w:r>
    </w:p>
    <w:p>
      <w:pPr>
        <w:spacing w:after="0" w:line="16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foregoing data on the Phase 1/2 clinical trial of AVR-RD-04 have been provided by our collaborators at UCSD and are subject to change. Additionally, because this clinical trial is ongoing, safety and efficacy data are preliminary and subject to change. As is typical in open-label studies in which interim reports are provided, the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AVR-RD-05, Our Gene Therapy for Hunter Syndrome</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 xml:space="preserve">We are developing AVR-RD-05 for the treatment of mucopolysaccharidosis type II (MPSII), or Hunter syndrome. AVR-RD-05 involves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transduction of the patient’s own hematopoietic stem cells with a therapeutic transgene, in-licensed from the University of Manchester, or UoM, designed to express functional iduronate 2-sulfatase, or IDS, which is the enzyme the patient needs to maintain cellular health, coupled to a proprietary ApoE2 protein tag that is designed to improve stability of the enzyme in the bloodstream and facilitate uptake by tissues.</w:t>
      </w:r>
    </w:p>
    <w:p>
      <w:pPr>
        <w:spacing w:after="0" w:line="17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AVR-RD-05 will be studied by our collaborators at UoM, and a Phase 1/2 collaborator-sponsored clinical trial of AVR-RD-05 is expected to be initiated in 2023.</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right="180" w:firstLine="509"/>
        <w:spacing w:after="0" w:line="219" w:lineRule="exact"/>
        <w:rPr>
          <w:sz w:val="20"/>
          <w:szCs w:val="20"/>
          <w:color w:val="auto"/>
        </w:rPr>
      </w:pPr>
      <w:r>
        <w:rPr>
          <w:rFonts w:ascii="Arial" w:cs="Arial" w:eastAsia="Arial" w:hAnsi="Arial"/>
          <w:sz w:val="16"/>
          <w:szCs w:val="16"/>
          <w:color w:val="auto"/>
        </w:rPr>
        <w:t>Hunter syndrome disease is a rare, recessive lysosomal disorder caused by a mutation in the gene that encodes for IDS that results in accumulation of the glycosaminoglycans heparan and dermatan sulfate. Hunter syndrome affects a multitude of organs and is a chronic and progressive multi</w:t>
      </w:r>
      <w:r>
        <w:rPr>
          <w:rFonts w:ascii="MS PGothic" w:cs="MS PGothic" w:eastAsia="MS PGothic" w:hAnsi="MS PGothic"/>
          <w:sz w:val="16"/>
          <w:szCs w:val="16"/>
          <w:color w:val="auto"/>
        </w:rPr>
        <w:t>‐</w:t>
      </w:r>
      <w:r>
        <w:rPr>
          <w:rFonts w:ascii="Arial" w:cs="Arial" w:eastAsia="Arial" w:hAnsi="Arial"/>
          <w:sz w:val="16"/>
          <w:szCs w:val="16"/>
          <w:color w:val="auto"/>
        </w:rPr>
        <w:t>system disorder. Clinical manifestations in Hunter syndrome include skeletal abnormalities, known as dysostosis multiplex, short stature, joint stiffness, and hepatosplenomegaly, accompanied by cardiorespiratory symptoms. Severe cases of Hunter syndrome, which are most common, also feature progressive neurodegeneration, typically followed by death in teenage years due to obstructive airway disease and cardiac failure.</w:t>
      </w:r>
    </w:p>
    <w:p>
      <w:pPr>
        <w:spacing w:after="0" w:line="204"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Hunter syndrome is an X-linked disorder, meaning the gene that is responsible is located on the X chromosome. Because males have only one X chromosome, an abnormal copy of the gene that causes Hunter syndrome is sufficient to cause the disease. The overall diagnosed incidence of Hunter syndrome is estimated to be approximately one in 100,000 to one in 170,000 males worldwide.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Hunter syndrome is currently treated with ERT delivered by weekly intravenous infusion. The onpreclinical dataly approved therapy for Hunter syndrome is Elaprase, marketed by Takeda, which generated worldwide net sales of approximately 80 billion Japanese yen in 2022. We estimate that the average five-year cost to the healthcare system per Hunter patient prescribed standard of care treatment in the United States is approximately $2.4 million.</w:t>
      </w:r>
    </w:p>
    <w:p>
      <w:pPr>
        <w:spacing w:after="0" w:line="14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Two-thirds of patients experience developmental and neurological decline, which is often noted by approximately age two. Due to lack of newborn screening, diagnosis usually occurs much later in patient’s lives, around five years of age and can be as late as eight years. Although patients typically begin ERT treatment almost immediately after diagnosis, often the disease symptoms are far advanced and ERT is insufficient to halt the disease progression. ERT does not treat the neurological symptoms of the disease, and therefore a significant unmet need remains in a majority of patients with Hunter syndrome. Furthermore, anti-ERT antibodies are a limitation for a significant part of the patient population.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together with our collaborators at UoM, are developing AVR-RD-05 to potentially provide a functional cure to patients with Hunter syndrome. AVR-RD-05 is intended to be a gene therapy product containing a codon-optimized human gene for IDS attached to a ApoE2 protein tag designed to increase the cells’ secretion of IDS to potentially restore healthy cellular function, stabilize the secreted IDS so it has a longer half-life, and facilitate uptake of IDS into the brain. In addition, we believe that the utilization of busulfan in our conditioning regimen may have the potential to allow AVR-RD-05 to cross the blood-brain barrier, a feature which may yield therapeutic benefit.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In November 2020, we presented previously published preclinical data on AVR-RD-05. The study presented data from normal study mice, mice affected with the equivalent of Hunter syndrome, mice treated with AVR-RD-05 modified to not incorporate the ApoE2 protein tag, and mice treated with AVR-RD-05 incorporating the proprietary ApoE2 tag. These data demonstrated the effect of AVR-RD-05 on levels and composition of heparan sulfate in the brain, neuro-inflammatory pathologies, facial and skeletal abnormalities, as well as cognitive performance and sensorimotor coordination and balance. We believe these data support the potential of AVR-RD-05 to treat this progressive disease, and potentially prevent the onset of severe symptoms if treated early.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Planned Phase 1/2 Collaborator-Sponsored Clinical Trial</w:t>
      </w:r>
    </w:p>
    <w:p>
      <w:pPr>
        <w:spacing w:after="0" w:line="117" w:lineRule="exact"/>
        <w:rPr>
          <w:sz w:val="20"/>
          <w:szCs w:val="20"/>
          <w:color w:val="auto"/>
        </w:rPr>
      </w:pPr>
    </w:p>
    <w:p>
      <w:pPr>
        <w:ind w:right="240" w:firstLine="509"/>
        <w:spacing w:after="0" w:line="273" w:lineRule="auto"/>
        <w:rPr>
          <w:sz w:val="20"/>
          <w:szCs w:val="20"/>
          <w:color w:val="auto"/>
        </w:rPr>
      </w:pPr>
      <w:r>
        <w:rPr>
          <w:rFonts w:ascii="Arial" w:cs="Arial" w:eastAsia="Arial" w:hAnsi="Arial"/>
          <w:sz w:val="17"/>
          <w:szCs w:val="17"/>
          <w:color w:val="auto"/>
        </w:rPr>
        <w:t>Our collaborators at UoM plan to initiate a Phase 1/2 clinical trial in 2023. The Phase 1/2 clinical trial is expected to enroll five male patients, age three months to 12 months, with an early progressive form of the disease. The clinical trial is expected to be open to treatment-naïve patients as well as patients currently on ERT. The clinical trial’s primary endpoints are expected to be safety and tolerability. Secondary endpoints to assess preliminary efficacy are expected to include measurements of peripheral expression of IDS activity in plasma, CSF, and leukocytes; heparin sulfate concentration in CSF, plasma and urine; VCN per diploid genome, proportion of cells containing the inserted gene in total bone marrow colony forming units; cognitive function; and various behavioral and quality of life measurements.</w:t>
      </w:r>
    </w:p>
    <w:p>
      <w:pPr>
        <w:spacing w:after="0" w:line="178"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Because this is a collaborator-sponsored clinical, the study drug will not be manufactured using our plato platform, and neither the automated, closed manufacturing system nor LV2 will be used in connection with this clinical trial.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harvested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 and a target tissue that is considered difficult to access for ERT. AVR-RD-03 is designed to incorporate a potent promoter to increase volume of system enzyme in circulation.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Pompe disease is a rare, autosomal recessive lysosomal disorder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4"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and is associated with cardiomyopathy.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but are not at increased risk of developing cardiomyopathy. Late-onset patients experience progressive difficulty walking and respiratory decline. While life expectancy can vary, Pompe disease is a life-limiting disease that can result in death due to complications from respiratory failure.</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Pompe disease is currently treated with ERT delivered by bi-weekly intravenous infusion. Approved therapies for Pompe disease include Lumizyme (known as Myozyme outside of the United States), indicated for both infantile onset Pompe disease, or IOPD, and late onset Pompe disease, or LOPD. In addition, Nexviazyme (known as Nexviadyme outside of the United States) has been approved as an ERT for LOPD only. The products are marketed by Sanofi, which generated collective worldwide net sales of approximately €1.2 billion euros in 2022. We estimate that the average five-year cost to the healthcare system per Pompe patient prescribed standard of care treatment in the United States is approximately $3.2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ind w:right="20" w:firstLine="509"/>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respiratory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and Nexviazyme carry black box warnings related to the risk of severe allergic and immune mediated reactions, including life-threatening anaphylaxis.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are developing AVR-RD-03 to be a gene therapy product containing a codon-optimized human gene for GAA attached to a GILT tag designed to increase uptake of GAA in muscle cells. AVR-RD-03 will target patients with late onset Pompe disease, which represent the majority of patients with this disease. In addition, we believe that the utilization of busulfan in our conditioning regimen may have the potential to allow AVR-RD-03 to cross the blood-brain barrier, a feature which may yield therapeutic benefit. While we are continuing to advance AVR-RD-03, we are prioritizing our Gaucher disease and cystinosis clinical programs. As a result, we no longer expect to initiate a clinical trial for AVR-RD-03 in 2023.</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In November 2020, we presented data from a study in which mice with the equivalent of classic infantile-onset Pompe disease were treated with AVR-RD-03. We believe these data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7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believe we can use a GILT tag to address the known challenges of skeletal muscle uptake in patients with Pompe disease. Attachment of a GILT tag to a particular protein can increase the effective uptake of that protein into target tissues. We are designing AVR-RD-03 to use a GILT tag to facilitate GAA uptake into cells and thereby reduce the therapeutically required amount of GAA produced by a patient’s cells following gene therapy treatment.</w:t>
      </w:r>
    </w:p>
    <w:p>
      <w:pPr>
        <w:spacing w:after="0" w:line="149" w:lineRule="exact"/>
        <w:rPr>
          <w:sz w:val="20"/>
          <w:szCs w:val="20"/>
          <w:color w:val="auto"/>
        </w:rPr>
      </w:pPr>
    </w:p>
    <w:p>
      <w:pPr>
        <w:jc w:val="both"/>
        <w:ind w:right="200" w:firstLine="509"/>
        <w:spacing w:after="0" w:line="259" w:lineRule="auto"/>
        <w:rPr>
          <w:sz w:val="20"/>
          <w:szCs w:val="20"/>
          <w:color w:val="auto"/>
        </w:rPr>
      </w:pPr>
      <w:r>
        <w:rPr>
          <w:rFonts w:ascii="Arial" w:cs="Arial" w:eastAsia="Arial" w:hAnsi="Arial"/>
          <w:sz w:val="18"/>
          <w:szCs w:val="18"/>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Pharmaceutical Inc., or BioMarin, and are incorporating a GILT tag into our lentiviral vector with the goal of the patient producing GILT-tagged GAA following treatment with AVR-RD-03.</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GAA Enzyme Production</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preclinical study measured the levels of GAA observed in normal mice, mice with the equivalent of infantile-onset Pompe disease, mice treated with AVR-RD-03 modified to not incorporate our proprietary GILT tag, and mice treated with AVR-RD-03 including our GILT tag, in each case measured 16 weeks post-treatment. These data showed significant overexpression of GAA in bone marrow, white blood cells and plasma in mice treated with AVR-RD-03 without our GILT tag as well as AVR-RD-03 incorporating our GILT tag.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i w:val="1"/>
          <w:iCs w:val="1"/>
          <w:color w:val="auto"/>
        </w:rPr>
        <w:t>Glycogen Reduction</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Our preclinical study also measured glycogen levels in the heart and brain at four months post-treatment with our GILT-tagged version of AVR-RD-03, which showed a 99% and 100% reduction, respectively, in glycogen levels. In addition, our study measured glycogen levels in various organs of the study mice at eight months post-treatment. The data showed an average of greater than 99% reduction in glycogen levels in the heart, greater than 97% reduction in the diaphragm, greater than 85% reduction in skeletal muscle, greater than 95% reduction in the brain, and greater than 99% reduction in the spinal cord.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have established manufacturing relationships that we believe will provide us with drug product manufacturing capabilities to support all aspects of the development and eventual commercialization of our gene therapies. Our team has leveraged their broad expertise in the manufacturing of gene and cellular therapies to build a network of CMO partners for the development and manufacture of drug products and outsourced suppliers for the supply of vectors and plasmids. We currently rely, and expect to continue to rely, on sole source suppliers for vector supply, plasmid supply and cell culture media. In addition, although we have historically relied on multiple CMO partners for drug product manufacturing, we currently plan to use a sole source CMO as the provider of drug product for our ongoing and future Company-sponsored clinical trials. However, we believe that our third-party CMO partner and suppliers have capacity to accommodate current and future clinical trials and we are continuing to build a network that we expect will have capacity to generate sufficient quantities to meet our expected commercial needs.</w:t>
      </w:r>
    </w:p>
    <w:p>
      <w:pPr>
        <w:spacing w:after="0" w:line="178"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To optimize production of our gene therapies, we have moved our cell processing to an automated, closed system using disposable supplies. We believe this industrialized manufacturing process will enable a repeatable approach through which we can design and manufacture commercially viable HSC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 xml:space="preserve">We start the process to produce a patient’s gene therapy with the mobilization of a patient’s stem cells from the bone marrow to the blood stream and collect them via apheresis, a standard procedure used in stem cell transplants. The apheresis material is then transported to the manufacturing facility where we isolate the stem cells and treat these cells with a lentiviral vector to insert the equivalent of a functional copy of the gene that is mutated in the target disease. The manufacturing process typically takes approximately three days to complete. We preserve patients’ modified cells at a very low temperature, using cryopreservation to maintain the cellular material in optimal condition until it is thawed prior to being infused into the patient. Cryopreservation of the product allows for long-term storage and the ability to conduct a number of quality control tests to validate the modified cells prior to introducing them into the patient. We believe cryopreservation will also enable us to supply our products globally, as well as significantly increase the convenience of infusion scheduling for clinicians and patients, compared to fresh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products that may have shelf-lives of only 24 hours.</w:t>
      </w:r>
    </w:p>
    <w:p>
      <w:pPr>
        <w:spacing w:after="0" w:line="165"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w:t>
      </w:r>
    </w:p>
    <w:p>
      <w:pPr>
        <w:spacing w:after="0" w:line="124"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After the conditioning regimen is complete, the HSC-modified stem cells are infused into the patient by intravenous administration. After infusion, these cells are expected to engraft into the bone marrow, replicate and differentiate into all the various types of blood cells that will distribute throughout the body. These widely distributed cells potentially lead to sustained expression of the desired therapeutic enzyme or protein. The sustained expression of the functional enzyme or protein is a direct substitute for the protein currently delivered by ERTs, which require periodic infusions.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3" w:name="page24"/>
    <w:bookmarkEnd w:id="23"/>
    <w:p>
      <w:pPr>
        <w:ind w:left="900" w:hanging="368"/>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17" w:lineRule="exact"/>
        <w:rPr>
          <w:rFonts w:ascii="Arial" w:cs="Arial" w:eastAsia="Arial" w:hAnsi="Arial"/>
          <w:sz w:val="18"/>
          <w:szCs w:val="18"/>
          <w:color w:val="auto"/>
        </w:rPr>
      </w:pPr>
    </w:p>
    <w:p>
      <w:pPr>
        <w:ind w:left="900" w:right="100" w:hanging="368"/>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62" w:lineRule="exact"/>
        <w:rPr>
          <w:rFonts w:ascii="Arial" w:cs="Arial" w:eastAsia="Arial" w:hAnsi="Arial"/>
          <w:sz w:val="18"/>
          <w:szCs w:val="18"/>
          <w:color w:val="auto"/>
        </w:rPr>
      </w:pPr>
    </w:p>
    <w:p>
      <w:pPr>
        <w:ind w:left="900" w:right="100" w:hanging="368"/>
        <w:spacing w:after="0" w:line="263"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with a closed, automated manufacturing system, all utilizing cGMP.</w:t>
      </w:r>
    </w:p>
    <w:p>
      <w:pPr>
        <w:spacing w:after="0" w:line="75" w:lineRule="exact"/>
        <w:rPr>
          <w:rFonts w:ascii="Arial" w:cs="Arial" w:eastAsia="Arial" w:hAnsi="Arial"/>
          <w:sz w:val="18"/>
          <w:szCs w:val="18"/>
          <w:color w:val="auto"/>
        </w:rPr>
      </w:pPr>
    </w:p>
    <w:p>
      <w:pPr>
        <w:ind w:left="900" w:right="200" w:hanging="368"/>
        <w:spacing w:after="0" w:line="31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40" w:lineRule="exact"/>
        <w:rPr>
          <w:rFonts w:ascii="Arial" w:cs="Arial" w:eastAsia="Arial" w:hAnsi="Arial"/>
          <w:sz w:val="16"/>
          <w:szCs w:val="16"/>
          <w:color w:val="auto"/>
        </w:rPr>
      </w:pPr>
    </w:p>
    <w:p>
      <w:pPr>
        <w:ind w:left="900" w:right="60" w:hanging="368"/>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developing therapies to treat rare diseases and expect to pursue orphan-drug designation in the United States and similar protection outside of the United States. To date, the FDA and the European Commission, or the EC, have each granted orphan drug designation, or ODD, to AVR-RD-02 for the treatment of Gaucher disease, AVR-RD-04 for the treatment of cystinosis, and the FDA has granted ODD to AVR-RD-05 for the treatment of Hunter disease.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84" w:lineRule="exact"/>
        <w:rPr>
          <w:rFonts w:ascii="Arial" w:cs="Arial" w:eastAsia="Arial" w:hAnsi="Arial"/>
          <w:sz w:val="18"/>
          <w:szCs w:val="18"/>
          <w:color w:val="auto"/>
        </w:rPr>
      </w:pPr>
    </w:p>
    <w:p>
      <w:pPr>
        <w:ind w:left="900" w:right="620" w:hanging="368"/>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currently in-license patents and patent applications relating to certain of our product candidates. We have also filed our own patent applications, which are positioned to further protect certain of our product candidates.</w:t>
      </w:r>
    </w:p>
    <w:p>
      <w:pPr>
        <w:spacing w:after="0" w:line="170"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We have in-licensed patents and patent applications from BioMarin Pharmaceutical Inc., Papillon Therapeutics, Inc. (previously GenStem Therapeutics, Inc.) and The University of Manchester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from University Health Network related to AVR-RD-01, our Fabry disease program which was deprioritized in January 2022. Also for example, we have in-licensed know-how and data related to AVR-RD-02, including certain information about the vector and its use, from certain academic scientists affiliated with Lund University. Each of our licenses are limited to particular fields, such as Gaucher disease, cystinosis, Hunter syndrome, Pompe disease, or Fabry disease,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w:t>
      </w:r>
      <w:r>
        <w:rPr>
          <w:rFonts w:ascii="Arial" w:cs="Arial" w:eastAsia="Arial" w:hAnsi="Arial"/>
          <w:sz w:val="16"/>
          <w:szCs w:val="16"/>
          <w:i w:val="1"/>
          <w:iCs w:val="1"/>
          <w:color w:val="auto"/>
        </w:rPr>
        <w:t>Risk Factors—Risks Related to Intellectual Property.</w:t>
      </w:r>
      <w:r>
        <w:rPr>
          <w:rFonts w:ascii="Arial" w:cs="Arial" w:eastAsia="Arial" w:hAnsi="Arial"/>
          <w:sz w:val="16"/>
          <w:szCs w:val="16"/>
          <w:color w:val="auto"/>
        </w:rPr>
        <w: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1, 2023, our in-licensed patent portfolio relating to certain of our gene therapies included the following:</w:t>
      </w:r>
    </w:p>
    <w:p>
      <w:pPr>
        <w:spacing w:after="0" w:line="117" w:lineRule="exact"/>
        <w:rPr>
          <w:sz w:val="20"/>
          <w:szCs w:val="20"/>
          <w:color w:val="auto"/>
        </w:rPr>
      </w:pPr>
    </w:p>
    <w:p>
      <w:pPr>
        <w:ind w:left="900" w:right="220" w:hanging="368"/>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AVR-RD-03 (Pompe program)</w:t>
      </w:r>
      <w:r>
        <w:rPr>
          <w:rFonts w:ascii="Arial" w:cs="Arial" w:eastAsia="Arial" w:hAnsi="Arial"/>
          <w:sz w:val="18"/>
          <w:szCs w:val="18"/>
          <w:color w:val="auto"/>
        </w:rPr>
        <w:t>: one U.S. patent, projected to expire in 2023, and one U.S. patent application, which if granted,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w:t>
      </w:r>
    </w:p>
    <w:p>
      <w:pPr>
        <w:spacing w:after="0" w:line="78" w:lineRule="exact"/>
        <w:rPr>
          <w:rFonts w:ascii="Arial" w:cs="Arial" w:eastAsia="Arial" w:hAnsi="Arial"/>
          <w:sz w:val="18"/>
          <w:szCs w:val="18"/>
          <w:color w:val="auto"/>
        </w:rPr>
      </w:pPr>
    </w:p>
    <w:p>
      <w:pPr>
        <w:ind w:left="900" w:right="20" w:hanging="368"/>
        <w:spacing w:after="0" w:line="27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AVR-RD-04 (Cystinosis program)</w:t>
      </w:r>
      <w:r>
        <w:rPr>
          <w:rFonts w:ascii="Arial" w:cs="Arial" w:eastAsia="Arial" w:hAnsi="Arial"/>
          <w:sz w:val="17"/>
          <w:szCs w:val="17"/>
          <w:color w:val="auto"/>
        </w:rPr>
        <w:t>: one U.S. patent application, which, if granted, would be projected to expire in 2038,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patents and patent applications in certain foreign jurisdictions, containing claims directed to hematopoietic stem cells expressing cystinosin and methods of using the same for the treatment of cystinosis. These patent applications are licensed to us by Papillon Therapeutics (formerly GenStem Therapeutics), and Papillon obtained its rights from the University of California, San Diego.</w:t>
      </w:r>
    </w:p>
    <w:p>
      <w:pPr>
        <w:spacing w:after="0" w:line="63" w:lineRule="exact"/>
        <w:rPr>
          <w:rFonts w:ascii="Arial" w:cs="Arial" w:eastAsia="Arial" w:hAnsi="Arial"/>
          <w:sz w:val="17"/>
          <w:szCs w:val="17"/>
          <w:color w:val="auto"/>
        </w:rPr>
      </w:pPr>
    </w:p>
    <w:p>
      <w:pPr>
        <w:ind w:left="900" w:hanging="368"/>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AVR-RD-05 (Hunter program)</w:t>
      </w:r>
      <w:r>
        <w:rPr>
          <w:rFonts w:ascii="Arial" w:cs="Arial" w:eastAsia="Arial" w:hAnsi="Arial"/>
          <w:sz w:val="18"/>
          <w:szCs w:val="18"/>
          <w:color w:val="auto"/>
        </w:rPr>
        <w:t>: two U.S. patent applications, which, if granted, would be projected to expire in 2038, as well as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and patent applications in certain foreign jurisdictions, containing claims directed to gene therapy vectors encoding iduronate-2-sulfatase and methods of using the same for the treatment of Hunter syndrome. These patent applications are licensed to us by the University of Manchester.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1, 2023, our Company-owned patent portfolio also included the following:</w:t>
      </w:r>
    </w:p>
    <w:p>
      <w:pPr>
        <w:spacing w:after="0" w:line="23" w:lineRule="exact"/>
        <w:rPr>
          <w:sz w:val="20"/>
          <w:szCs w:val="20"/>
          <w:color w:val="auto"/>
        </w:rPr>
      </w:pPr>
    </w:p>
    <w:p>
      <w:pPr>
        <w:ind w:left="900" w:right="160" w:hanging="368"/>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AVR-RD-03 (Pompe program)</w:t>
      </w:r>
      <w:r>
        <w:rPr>
          <w:rFonts w:ascii="Arial" w:cs="Arial" w:eastAsia="Arial" w:hAnsi="Arial"/>
          <w:sz w:val="18"/>
          <w:szCs w:val="18"/>
          <w:color w:val="auto"/>
        </w:rPr>
        <w:t>: one international (PCT) application, which, if granted in the U.S., would be projected to expire in 2041,</w:t>
      </w:r>
      <w:r>
        <w:rPr>
          <w:rFonts w:ascii="Arial" w:cs="Arial" w:eastAsia="Arial" w:hAnsi="Arial"/>
          <w:sz w:val="18"/>
          <w:szCs w:val="18"/>
          <w:i w:val="1"/>
          <w:iCs w:val="1"/>
          <w:color w:val="auto"/>
        </w:rPr>
        <w:t xml:space="preserve"> </w:t>
      </w:r>
      <w:r>
        <w:rPr>
          <w:rFonts w:ascii="Arial" w:cs="Arial" w:eastAsia="Arial" w:hAnsi="Arial"/>
          <w:sz w:val="18"/>
          <w:szCs w:val="18"/>
          <w:color w:val="auto"/>
        </w:rPr>
        <w:t>containing claims directed to CD34+ stem cells expressing acid alpha-glucosidase and methods of using the same for the treatment of Pompe disease.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firstLine="509"/>
        <w:spacing w:after="0" w:line="286" w:lineRule="auto"/>
        <w:rPr>
          <w:sz w:val="20"/>
          <w:szCs w:val="20"/>
          <w:color w:val="auto"/>
        </w:rPr>
      </w:pPr>
      <w:r>
        <w:rPr>
          <w:rFonts w:ascii="Arial" w:cs="Arial" w:eastAsia="Arial" w:hAnsi="Arial"/>
          <w:sz w:val="16"/>
          <w:szCs w:val="16"/>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(which we deprioritized in January 2022), AVR-RD-02, or AVR-RD-06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 with The University of Manchester</w:t>
      </w:r>
    </w:p>
    <w:p>
      <w:pPr>
        <w:spacing w:after="0" w:line="11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 xml:space="preserve">In September 2020, we entered into an agreement, or the MPSII License Agreement, with The University of Manchester, whereby UoM granted us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As consideration for the MPSII License Agreement, we agreed to pay UoM an upfront, one-time fee of $8.0 million.</w:t>
      </w:r>
    </w:p>
    <w:p>
      <w:pPr>
        <w:spacing w:after="0" w:line="17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As part of the agreement, we are obligated to make milestone payments of up to an aggregate of $80.0 million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us. In the third quarter of 2022, we paid a $2.0 million milestone under the MPSII License Agreement following regulatory approval of the CTA for the collaborator-sponsored Phase 1/2 clinical trial sponsored by UoM, and the next anticipated payment milestone is $4.0 million, upon the dosing of the first patient in the collaborator-sponsored Phase 1/2 clinical trial sponsored by UoM, which payment is anticipated in the second half of 2023.</w:t>
      </w:r>
    </w:p>
    <w:p>
      <w:pPr>
        <w:spacing w:after="0" w:line="16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We and UoM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us or its affiliates or sublicensees.</w:t>
      </w:r>
    </w:p>
    <w:p>
      <w:pPr>
        <w:spacing w:after="0" w:line="188"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Concurrently with the MPSII License Agreement, we entered into a collaborative research funding agreement with UoM, or the CRFA. Under the CRFA, we have agreed to fund the budgeted costs of an investigator-sponsored Phase 1/2 clinical trial to be sponsored by UoM in connection with the development activities under the MPSII License Agreement, which are currently estimated to equal approximately £9.9 million in the aggregate.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which we deprioritized in January 2022.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As consideration for the licenses, we paid to UHN a one-time upfront fee in the amount of CAD$75,000 and are obligated to pay an additional annual fee until the first sale of a licensed product in certain markets. We are also required to make payments to UHN in connection with the achievement of certain development and regulatory milestones, in an aggregate amount of CAD$2.45 million, as well as royalties on a country-by-country basis of a low to mid-single digit percentages on annual sales of licensed products and a lower single digit royalty in certain circumstances. Additionally, we agree to pay a low double-digit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7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double-digit percentage of our royalty payments and regulatory milestone payments, up to a maximum amount of CAD$0.5 million in any calendar year.</w:t>
      </w:r>
    </w:p>
    <w:p>
      <w:pPr>
        <w:spacing w:after="0" w:line="18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January 2017, we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$0.55 million.</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In August 2017, we entered into a license agreement with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us with certain materials related to the GILT tags technology.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64"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consideration for the license, we paid an initial license fee in the amount of $0.5 million and issued 233,765 shares of our Series B preferred stock to BioMarin at the time of our Series B financing. We are also obligated to make payments to BioMarin upon achievement of certain milestones up to an aggregate of $13.0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9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 with Papillon Therapeutics, Inc. (previously GenStem Therapeutics, Inc.)</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 In October 2021, we received noticed that the license agreement with GenStem had been assigned to Papillon Therapeutics, Inc., or Papillon.</w:t>
      </w:r>
    </w:p>
    <w:p>
      <w:pPr>
        <w:spacing w:after="0" w:line="166"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As consideration for the license, we paid an initial license fee in the amount of $1.0 million and are required to make payments upon completion of certain development milestones up to an aggregate of $16.0 million. For example, in November 2019 we made a $2.0 million payment in connection with the dosing of the first patient in the investigator-sponsored Phase 1/2 clinical trial of AVR-RD-04 in cystinosis in the United States. Additionally, we will pay to Papillon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66"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color w:val="auto"/>
        </w:rPr>
        <w:t>Unless terminated earlier, our license agreement with Papillon will terminate upon the expiration of our royalty obligation for all licensed products throughout the world. Either we or Papillon may terminate the license agreement if the other party commits a material breach and fails to cure such breach within a certain period of time. In addition, we may terminate the agreement for any reason upon notice to Papillon.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market for treatment of lysosomal disorders is especially large and competitive. The gene therapies we are currently developing, if approved, will face competition.</w:t>
      </w:r>
    </w:p>
    <w:p>
      <w:pPr>
        <w:spacing w:after="0" w:line="170"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 and elsewhere in this Annual Report on Form 10-K for more information regarding competitors and competitive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66"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FDA and the NIH have published guidance documents with respect to the development and submission of gene therapy protocols. The FDA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17" w:lineRule="exact"/>
        <w:rPr>
          <w:sz w:val="20"/>
          <w:szCs w:val="20"/>
          <w:color w:val="auto"/>
        </w:rPr>
      </w:pPr>
    </w:p>
    <w:p>
      <w:pPr>
        <w:ind w:left="900" w:right="60" w:hanging="368"/>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8" w:name="page29"/>
    <w:bookmarkEnd w:id="28"/>
    <w:p>
      <w:pPr>
        <w:ind w:left="900" w:hanging="368"/>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17" w:lineRule="exact"/>
        <w:rPr>
          <w:rFonts w:ascii="Arial" w:cs="Arial" w:eastAsia="Arial" w:hAnsi="Arial"/>
          <w:sz w:val="18"/>
          <w:szCs w:val="18"/>
          <w:color w:val="auto"/>
        </w:rPr>
      </w:pPr>
    </w:p>
    <w:p>
      <w:pPr>
        <w:ind w:left="900" w:right="600" w:hanging="368"/>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62" w:lineRule="exact"/>
        <w:rPr>
          <w:rFonts w:ascii="Arial" w:cs="Arial" w:eastAsia="Arial" w:hAnsi="Arial"/>
          <w:sz w:val="18"/>
          <w:szCs w:val="18"/>
          <w:color w:val="auto"/>
        </w:rPr>
      </w:pPr>
    </w:p>
    <w:p>
      <w:pPr>
        <w:jc w:val="both"/>
        <w:ind w:left="900" w:right="40" w:hanging="368"/>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75" w:lineRule="exact"/>
        <w:rPr>
          <w:rFonts w:ascii="Arial" w:cs="Arial" w:eastAsia="Arial" w:hAnsi="Arial"/>
          <w:sz w:val="18"/>
          <w:szCs w:val="18"/>
          <w:color w:val="auto"/>
        </w:rPr>
      </w:pPr>
    </w:p>
    <w:p>
      <w:pPr>
        <w:ind w:left="900" w:hanging="368"/>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62" w:lineRule="exact"/>
        <w:rPr>
          <w:rFonts w:ascii="Arial" w:cs="Arial" w:eastAsia="Arial" w:hAnsi="Arial"/>
          <w:sz w:val="18"/>
          <w:szCs w:val="18"/>
          <w:color w:val="auto"/>
        </w:rPr>
      </w:pPr>
    </w:p>
    <w:p>
      <w:pPr>
        <w:ind w:left="900" w:right="100" w:hanging="368"/>
        <w:spacing w:after="0" w:line="31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40" w:lineRule="exact"/>
        <w:rPr>
          <w:rFonts w:ascii="Arial" w:cs="Arial" w:eastAsia="Arial" w:hAnsi="Arial"/>
          <w:sz w:val="16"/>
          <w:szCs w:val="16"/>
          <w:color w:val="auto"/>
        </w:rPr>
      </w:pPr>
    </w:p>
    <w:p>
      <w:pPr>
        <w:ind w:left="900" w:hanging="368"/>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or Synthetic Nucleic Acid Molecules, or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7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9" w:name="page30"/>
    <w:bookmarkEnd w:id="29"/>
    <w:p>
      <w:pPr>
        <w:ind w:firstLine="509"/>
        <w:spacing w:after="0" w:line="268" w:lineRule="auto"/>
        <w:rPr>
          <w:sz w:val="20"/>
          <w:szCs w:val="20"/>
          <w:color w:val="auto"/>
        </w:rPr>
      </w:pPr>
      <w:r>
        <w:rPr>
          <w:rFonts w:ascii="Arial" w:cs="Arial" w:eastAsia="Arial" w:hAnsi="Arial"/>
          <w:sz w:val="17"/>
          <w:szCs w:val="17"/>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17" w:lineRule="exact"/>
        <w:rPr>
          <w:sz w:val="20"/>
          <w:szCs w:val="20"/>
          <w:color w:val="auto"/>
        </w:rPr>
      </w:pPr>
    </w:p>
    <w:p>
      <w:pPr>
        <w:ind w:left="900" w:right="240" w:hanging="368"/>
        <w:spacing w:after="0" w:line="26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75" w:lineRule="exact"/>
        <w:rPr>
          <w:rFonts w:ascii="Arial" w:cs="Arial" w:eastAsia="Arial" w:hAnsi="Arial"/>
          <w:sz w:val="18"/>
          <w:szCs w:val="18"/>
          <w:color w:val="auto"/>
        </w:rPr>
      </w:pPr>
    </w:p>
    <w:p>
      <w:pPr>
        <w:ind w:left="900" w:right="180" w:hanging="368"/>
        <w:spacing w:after="0" w:line="26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900" w:right="180" w:hanging="368"/>
        <w:spacing w:after="0" w:line="26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studies are intended to establish the overall risk/benefit ratio of the product and provide an adequate basis for approval and product labeling.</w:t>
      </w:r>
    </w:p>
    <w:p>
      <w:pPr>
        <w:spacing w:after="0" w:line="184"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5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72"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60" w:firstLine="509"/>
        <w:spacing w:after="0" w:line="272" w:lineRule="auto"/>
        <w:rPr>
          <w:sz w:val="20"/>
          <w:szCs w:val="20"/>
          <w:color w:val="auto"/>
        </w:rPr>
      </w:pPr>
      <w:r>
        <w:rPr>
          <w:rFonts w:ascii="Arial" w:cs="Arial" w:eastAsia="Arial" w:hAnsi="Arial"/>
          <w:sz w:val="17"/>
          <w:szCs w:val="17"/>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5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8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18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right="60" w:firstLine="509"/>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4"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18"/>
          <w:szCs w:val="18"/>
          <w:color w:val="auto"/>
        </w:rPr>
        <w:t>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4"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7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firstLine="509"/>
        <w:spacing w:after="0" w:line="268" w:lineRule="auto"/>
        <w:rPr>
          <w:sz w:val="20"/>
          <w:szCs w:val="20"/>
          <w:color w:val="auto"/>
        </w:rPr>
      </w:pPr>
      <w:r>
        <w:rPr>
          <w:rFonts w:ascii="Arial" w:cs="Arial" w:eastAsia="Arial" w:hAnsi="Arial"/>
          <w:sz w:val="17"/>
          <w:szCs w:val="17"/>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Under the Food and Drug Omnibus Reform Act of 2022, or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of publication within 120 days of marketing approval be submitted to the agency for review during the pre-approval review period.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color w:val="auto"/>
        </w:rPr>
        <w:t>manufacturer. In addition, the FDA conducts laboratory research related to the regulatory standards on the safety, purity, potency, and effectiveness of biological products.</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cGMPs and other laws. Manufacturers and other parties involved in the drug supply chain for prescription drug products must also comply with product tracking and tracing requirements and for notifying the FDA of counterfeit, diverted, stolen and intentionally adulterate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2"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5" w:name="page36"/>
    <w:bookmarkEnd w:id="35"/>
    <w:p>
      <w:pPr>
        <w:ind w:right="80"/>
        <w:spacing w:after="0" w:line="263" w:lineRule="auto"/>
        <w:rPr>
          <w:sz w:val="20"/>
          <w:szCs w:val="20"/>
          <w:color w:val="auto"/>
        </w:rPr>
      </w:pPr>
      <w:r>
        <w:rPr>
          <w:rFonts w:ascii="Arial" w:cs="Arial" w:eastAsia="Arial" w:hAnsi="Arial"/>
          <w:sz w:val="18"/>
          <w:szCs w:val="18"/>
          <w:color w:val="auto"/>
        </w:rPr>
        <w:t>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 reference biological product is granted four- and 12-year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CTA must be submitted for each clinical trial to each participating country’s national health authority and an independent ethics committee, much like the FDA and an IRB, respectively. Under the new Clinical Trials Regulation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 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6" w:name="page37"/>
    <w:bookmarkEnd w:id="36"/>
    <w:p>
      <w:pPr>
        <w:ind w:right="460"/>
        <w:spacing w:after="0" w:line="311" w:lineRule="auto"/>
        <w:rPr>
          <w:sz w:val="20"/>
          <w:szCs w:val="20"/>
          <w:color w:val="auto"/>
        </w:rPr>
      </w:pPr>
      <w:r>
        <w:rPr>
          <w:rFonts w:ascii="Arial" w:cs="Arial" w:eastAsia="Arial" w:hAnsi="Arial"/>
          <w:sz w:val="16"/>
          <w:szCs w:val="16"/>
          <w:color w:val="auto"/>
        </w:rPr>
        <w:t>Reference Member State. Part II is assessed separately by each Member State concerned. The role of the relevant ethics committees in the assessment procedure will continue to be governed by the national law of the concerned EU Member State, however overall related timelines are defined by the Clinical Trials Regulation. The new Clinical Trials Regulation also provides for simplified reporting procedures for clinical trial sponsors.</w:t>
      </w:r>
    </w:p>
    <w:p>
      <w:pPr>
        <w:spacing w:after="0" w:line="149"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To obtain regulatory approval of a product in the European Union, we must submit a marketing authorization application. The centralized procedure for marketing authorization in the European Union is mandatory for certain types of products, such as products produced by biotechnological processes,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A centralized marketing authorization is issued by the EC through the centralized procedure, based on the opinion of the Committee for Medicinal Products for Human Use (CHMP), of the EMA, and is valid throughout the entire territory of EU and the additional Member States of the European Economic Area (Iceland, Liechtenstein and Norway), or EEA.</w:t>
      </w:r>
    </w:p>
    <w:p>
      <w:pPr>
        <w:spacing w:after="0" w:line="16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innovative medicinal products approved on the basis of a complete and independent data package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Even if an innovative medicinal product gains the prescribed period of data exclusivity, another company could nevertheless also market another version of the product if such company obtained an marketing authorization based on an application with a complete and independent data package of pharmaceutical tests, preclinical tests and clinical trials.</w:t>
      </w:r>
    </w:p>
    <w:p>
      <w:pPr>
        <w:spacing w:after="0" w:line="18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is unlikely to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during which a marketing authorization may not be granted in the European Union for a “similar medicinal product” to the authorized orphan product.</w:t>
      </w:r>
    </w:p>
    <w:p>
      <w:pPr>
        <w:spacing w:after="0" w:line="166" w:lineRule="exact"/>
        <w:rPr>
          <w:sz w:val="20"/>
          <w:szCs w:val="20"/>
          <w:color w:val="auto"/>
        </w:rPr>
      </w:pPr>
    </w:p>
    <w:p>
      <w:pPr>
        <w:ind w:right="480" w:firstLine="509"/>
        <w:spacing w:after="0" w:line="311" w:lineRule="auto"/>
        <w:rPr>
          <w:sz w:val="20"/>
          <w:szCs w:val="20"/>
          <w:color w:val="auto"/>
        </w:rPr>
      </w:pPr>
      <w:r>
        <w:rPr>
          <w:rFonts w:ascii="Arial" w:cs="Arial" w:eastAsia="Arial" w:hAnsi="Arial"/>
          <w:sz w:val="16"/>
          <w:szCs w:val="16"/>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indication as an authorized orphan product at any time if:</w:t>
      </w:r>
    </w:p>
    <w:p>
      <w:pPr>
        <w:spacing w:after="0" w:line="41" w:lineRule="exact"/>
        <w:rPr>
          <w:sz w:val="20"/>
          <w:szCs w:val="20"/>
          <w:color w:val="auto"/>
        </w:rPr>
      </w:pPr>
    </w:p>
    <w:p>
      <w:pPr>
        <w:ind w:left="900" w:right="380" w:hanging="368"/>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to the authorized orphan product, is safer, more effective or otherwise clinically superior;</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marketing authorization holder for the authorized orphan product consents to a second orphan medicinal product application; or</w:t>
      </w:r>
    </w:p>
    <w:p>
      <w:pPr>
        <w:spacing w:after="0" w:line="128" w:lineRule="exact"/>
        <w:rPr>
          <w:rFonts w:ascii="Arial" w:cs="Arial" w:eastAsia="Arial" w:hAnsi="Arial"/>
          <w:sz w:val="17"/>
          <w:szCs w:val="17"/>
          <w:color w:val="auto"/>
        </w:rPr>
      </w:pPr>
    </w:p>
    <w:p>
      <w:pPr>
        <w:ind w:left="900" w:hanging="36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marketing authorization holder for the authorized orphan product cannot supply enough orphan medicinal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60" w:firstLine="509"/>
        <w:spacing w:after="0" w:line="259" w:lineRule="auto"/>
        <w:rPr>
          <w:sz w:val="20"/>
          <w:szCs w:val="20"/>
          <w:color w:val="auto"/>
        </w:rPr>
      </w:pPr>
      <w:r>
        <w:rPr>
          <w:rFonts w:ascii="Arial" w:cs="Arial" w:eastAsia="Arial" w:hAnsi="Arial"/>
          <w:sz w:val="18"/>
          <w:szCs w:val="18"/>
          <w:color w:val="auto"/>
        </w:rPr>
        <w:t>The application for orphan drug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8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UK officially withdrew from the European Union on January 31, 2020 and the EU and the UK signed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continues to apply in Northern Ireland). The regulatory regime in Great Britain therefore aligns in many ways with current European Union regulations, however it is possible that these regimes will diverge more significantly in the future now that Great Britain’s regulatory system is independent from the European Union. For example, the UK has implemented the now repealed Clinical Trials Directive 2001/20/EC into national law through the Medicines for Human Use (Clinical Trials) Regulations 2004 (as amended). The extent to which the regulation of clinical trials in the UK in the future will mirror the new Clinical Trials Regulation now that has come into effect is not yet known, however the Medicines and Healthcare products Regulatory Agency, or MHRA, the UK’s medicines regulator, has conducted a consultation on a set of proposals designed to improve and strengthen the UK clinical trials legislation. Such consultation ran from January 17, 2022 to March 14, 2022, and the MHRA is currently analyzing feedback.</w:t>
      </w:r>
    </w:p>
    <w:p>
      <w:pPr>
        <w:spacing w:after="0" w:line="186"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Great Britain is no longer covered by the European Union’s procedures for the grant of marketing authorizations (Northern Ireland is covered by the centralized authorization procedure for the time being). A separate marketing authorization is therefore required to market drugs in Great Britain. For three years from January 1, 2021, the MHRA may adopt decisions taken by the European Commission on the approval of new marketing authorizations through the centralized procedure, and the MHRA will have regard to marketing authorizations approved in a country in the EEA (although in both cases a marketing authorization will only be granted if any Great Britain-specific requirements are met). This is known as the EC Decision Reliance Procedure. On January 24, 2023, the MHRA announced that a new international recognition framework will be put in place from January 1, 2024, which will have regard to decisions on the approval of marketing authorizations made by the EMA and certain other regulators.</w:t>
      </w:r>
    </w:p>
    <w:p>
      <w:pPr>
        <w:spacing w:after="0" w:line="17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marketing authorization application for a UK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persons in Great Britain).</w:t>
      </w:r>
    </w:p>
    <w:p>
      <w:pPr>
        <w:spacing w:after="0" w:line="192"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Once the Windsor Framework is approved by the EU-UK Joint Committee, the UK Government and the European Union will enact legislative measures to enact it into law.</w:t>
      </w:r>
    </w:p>
    <w:p>
      <w:pPr>
        <w:spacing w:after="0" w:line="178"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w:t>
      </w:r>
    </w:p>
    <w:p>
      <w:pPr>
        <w:spacing w:after="0" w:line="18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ind w:left="900" w:right="40" w:hanging="368"/>
        <w:spacing w:after="0" w:line="270"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2" w:lineRule="exact"/>
        <w:rPr>
          <w:rFonts w:ascii="Arial" w:cs="Arial" w:eastAsia="Arial" w:hAnsi="Arial"/>
          <w:sz w:val="17"/>
          <w:szCs w:val="17"/>
          <w:color w:val="auto"/>
        </w:rPr>
      </w:pPr>
    </w:p>
    <w:p>
      <w:pPr>
        <w:ind w:left="900" w:right="20" w:hanging="368"/>
        <w:spacing w:after="0" w:line="271"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900" w:right="40" w:hanging="368"/>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900" w:right="100" w:hanging="368"/>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9" w:name="page40"/>
    <w:bookmarkEnd w:id="39"/>
    <w:p>
      <w:pPr>
        <w:ind w:left="900" w:hanging="368"/>
        <w:spacing w:after="0" w:line="29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Similar to the federal Anti-Kickback Statute, a person or entity does not need to have actual knowledge of the statute or specific intent to violate it in order to have committed a violation;</w:t>
      </w:r>
    </w:p>
    <w:p>
      <w:pPr>
        <w:spacing w:after="0" w:line="53" w:lineRule="exact"/>
        <w:rPr>
          <w:rFonts w:ascii="Arial" w:cs="Arial" w:eastAsia="Arial" w:hAnsi="Arial"/>
          <w:sz w:val="16"/>
          <w:szCs w:val="16"/>
          <w:color w:val="auto"/>
        </w:rPr>
      </w:pPr>
    </w:p>
    <w:p>
      <w:pPr>
        <w:ind w:left="900" w:right="100" w:hanging="368"/>
        <w:spacing w:after="0" w:line="273"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or HHS, information related to payments or other transfers of value made to physicians (currently defined to include doctors, dentists, optometrists, podiatrists and chiropractors), certain other licensed health practitioners and teaching hospitals, as well as ownership and investment interests held by the physicians described above and their immediate family members;</w:t>
      </w:r>
    </w:p>
    <w:p>
      <w:pPr>
        <w:spacing w:after="0" w:line="69" w:lineRule="exact"/>
        <w:rPr>
          <w:rFonts w:ascii="Arial" w:cs="Arial" w:eastAsia="Arial" w:hAnsi="Arial"/>
          <w:sz w:val="17"/>
          <w:szCs w:val="17"/>
          <w:color w:val="auto"/>
        </w:rPr>
      </w:pPr>
    </w:p>
    <w:p>
      <w:pPr>
        <w:ind w:left="900" w:right="100" w:hanging="368"/>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900" w:right="340" w:hanging="368"/>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8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right="380" w:firstLine="509"/>
        <w:spacing w:after="0" w:line="263"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84"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Regulators globally are also imposing greater monetary fines for privacy violations. For example, non-compliance with the European Union General Data Protection Regulation, or GDPR, may result in monetary penalties of up to €20 million or 4% of worldwide revenue, whichever is higher.</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and UK Personal Data Collection</w:t>
      </w:r>
    </w:p>
    <w:p>
      <w:pPr>
        <w:spacing w:after="0" w:line="117"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 collection and use of personal health data in the European Union is governed by the provisions of the GDPR.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5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addition, further to the UK’s exit from the EU on January 31, 2020, the GDPR (as it existed on December 31, 2020 but subject to certain UK specific amendment) was incorporated into UK law pursuant to the UK’s European Union (Withdrawal) Act, or the UK GDPR. The UK GDPR and the UK Data Protection Act 2018 set out the UK’s data protection regime, which is independent from but currently still aligned to the EU’s data protection regime. It is possible that over time the GDPR and the UK GDPR will diverge further. The UK government has announced plans to reform the data protection legal framework in the UK in its Data Reform Bill but this is not yet in final form. This lack of clarity on future UK laws and regulations and their interaction with EU laws and regulations could add legal risk, uncertainty, complexity and cost to our handling of personal information and our privacy and data security compliance programs and could require us to implement different compliance measures for the UK and the EU. Non-compliance with the UK GDPR may result in monetary penalties of up to £17.5 million or 4% of worldwide revenue, whichever is higher.</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160" w:firstLine="509"/>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plans; created a new Medicare Part D coverage gap discount program, in which manufacturers must agree to offer 70% point-of-sale discounts off negotiated prices of applicable brand drugs to eligible beneficiaries during their coverage gap period, as a condition for manufacturers’ outpatient drugs coverage under Medicare Part D; subjects drug manufacturers to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other legislative and regulatory changes have been proposed and adopted in the United States since the ACE was enacted:</w:t>
      </w:r>
    </w:p>
    <w:p>
      <w:pPr>
        <w:spacing w:after="0" w:line="237" w:lineRule="exact"/>
        <w:rPr>
          <w:sz w:val="20"/>
          <w:szCs w:val="20"/>
          <w:color w:val="auto"/>
        </w:rPr>
      </w:pPr>
    </w:p>
    <w:p>
      <w:pPr>
        <w:jc w:val="both"/>
        <w:ind w:left="1260" w:right="120" w:hanging="368"/>
        <w:spacing w:after="0" w:line="301" w:lineRule="auto"/>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Budget Control Act of 2011 and subsequent legislation, among other things, created measures for spending reductions by Congress that include aggregate reductions of Medicare payments to providers of 2% per fiscal year, which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157" w:lineRule="exact"/>
        <w:rPr>
          <w:rFonts w:ascii="Arial" w:cs="Arial" w:eastAsia="Arial" w:hAnsi="Arial"/>
          <w:sz w:val="16"/>
          <w:szCs w:val="16"/>
          <w:color w:val="auto"/>
        </w:rPr>
      </w:pPr>
    </w:p>
    <w:p>
      <w:pPr>
        <w:ind w:left="1260" w:right="460" w:hanging="368"/>
        <w:spacing w:after="0" w:line="308"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U.S. American Taxpayer Relief Act of 2012 further reduced Medicare payments to several types of providers and increased the statute of limitations period for the government to recover overpayment to providers from three to five years.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1" w:name="page42"/>
    <w:bookmarkEnd w:id="41"/>
    <w:p>
      <w:pPr>
        <w:ind w:left="1260" w:right="100" w:hanging="368"/>
        <w:spacing w:after="0" w:line="263"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83" w:lineRule="exact"/>
        <w:rPr>
          <w:rFonts w:ascii="Arial" w:cs="Arial" w:eastAsia="Arial" w:hAnsi="Arial"/>
          <w:sz w:val="18"/>
          <w:szCs w:val="18"/>
          <w:color w:val="auto"/>
        </w:rPr>
      </w:pPr>
    </w:p>
    <w:p>
      <w:pPr>
        <w:ind w:left="1260" w:right="60" w:hanging="368"/>
        <w:spacing w:after="0" w:line="275"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6" w:lineRule="exact"/>
        <w:rPr>
          <w:rFonts w:ascii="Arial" w:cs="Arial" w:eastAsia="Arial" w:hAnsi="Arial"/>
          <w:sz w:val="17"/>
          <w:szCs w:val="17"/>
          <w:color w:val="auto"/>
        </w:rPr>
      </w:pPr>
    </w:p>
    <w:p>
      <w:pPr>
        <w:ind w:left="1260" w:right="540" w:hanging="368"/>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170"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186"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7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our products, if approved, or additional pricing pressures.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While there have been some HSC gene therapies that have obtained coverage and reimbursement, 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our gene therapies could reduce physician utilization of our products once approved and have a material adverse effect on our sales, results of operations and financial condition.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68" w:lineRule="exact"/>
        <w:rPr>
          <w:sz w:val="20"/>
          <w:szCs w:val="20"/>
          <w:color w:val="auto"/>
        </w:rPr>
      </w:pPr>
    </w:p>
    <w:p>
      <w:pPr>
        <w:jc w:val="both"/>
        <w:ind w:right="500" w:firstLine="509"/>
        <w:spacing w:after="0" w:line="263" w:lineRule="auto"/>
        <w:rPr>
          <w:sz w:val="20"/>
          <w:szCs w:val="20"/>
          <w:color w:val="auto"/>
        </w:rPr>
      </w:pPr>
      <w:r>
        <w:rPr>
          <w:rFonts w:ascii="Arial" w:cs="Arial" w:eastAsia="Arial" w:hAnsi="Arial"/>
          <w:sz w:val="18"/>
          <w:szCs w:val="18"/>
          <w:color w:val="auto"/>
        </w:rPr>
        <w:t>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payor separately and will be a time-consuming process. In addition, many pharmaceutical manufacturers must calculate and report certain price reporting metrics to the government, such as average sales price, or ASP, and best price. Penalties may apply in some cases when such metrics are not submitted accurately and timely.</w:t>
      </w:r>
    </w:p>
    <w:p>
      <w:pPr>
        <w:spacing w:after="0" w:line="187" w:lineRule="exact"/>
        <w:rPr>
          <w:sz w:val="20"/>
          <w:szCs w:val="20"/>
          <w:color w:val="auto"/>
        </w:rPr>
      </w:pPr>
    </w:p>
    <w:p>
      <w:pPr>
        <w:ind w:right="280" w:firstLine="509"/>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 Factors payors consider in determining reimbursement are based on whether the product is:</w:t>
      </w:r>
    </w:p>
    <w:p>
      <w:pPr>
        <w:spacing w:after="0" w:line="70" w:lineRule="exact"/>
        <w:rPr>
          <w:sz w:val="20"/>
          <w:szCs w:val="20"/>
          <w:color w:val="auto"/>
        </w:rPr>
      </w:pPr>
    </w:p>
    <w:p>
      <w:pPr>
        <w:ind w:left="900" w:hanging="36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December 31, 2022, we had 78 full-time employees, 17 of whom have Ph.D. or M.D. degrees. Of these full-time employees, 52 employees are engaged in research and development activities and 26 employees are engaged in finance, legal, human resources, facilities and general management. We have no collective bargaining agreements with our employees and we have not experienced any work stoppages. We consider our relationship with our employees to be good.</w:t>
      </w:r>
    </w:p>
    <w:p>
      <w:pPr>
        <w:spacing w:after="0" w:line="119" w:lineRule="exact"/>
        <w:rPr>
          <w:sz w:val="20"/>
          <w:szCs w:val="20"/>
          <w:color w:val="auto"/>
        </w:rPr>
      </w:pPr>
    </w:p>
    <w:p>
      <w:pPr>
        <w:ind w:right="20" w:firstLine="499"/>
        <w:spacing w:after="0" w:line="277" w:lineRule="auto"/>
        <w:rPr>
          <w:sz w:val="20"/>
          <w:szCs w:val="20"/>
          <w:color w:val="auto"/>
        </w:rPr>
      </w:pPr>
      <w:r>
        <w:rPr>
          <w:rFonts w:ascii="Arial" w:cs="Arial" w:eastAsia="Arial" w:hAnsi="Arial"/>
          <w:sz w:val="18"/>
          <w:szCs w:val="18"/>
          <w:color w:val="auto"/>
        </w:rPr>
        <w:t>Our human capital resources objectives include, as applicable, retaining, incentivizing and integrating existing and new employees, and identifying and recruiting prospective new employees. The principal purposes of our incentive plans are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attract, retain and motivate selected employees, consultants and directors through the granting of stock-based compensation awards and cash-based performance bonus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are subject to the informational requirements of the Exchange Act and are required to file annual, quarterly and current reports, proxy statements and other information with the SEC. You can read our SEC filings at the SEC’s website at www.sec.gov. We also maintain a website at www.avrobio.com.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uncertainties, together with all other information in this Annual Report on Form 10-K,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ind w:left="520" w:right="62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Since inception, we have incurred net losses. We incurred net losses of $105.9 million and $119.1 million for the years ended December 31, 2022 and 2021, respectively. We historically financed our operations primarily through private placements of our preferred stock and, more recently, our initial public offering and follow-on public offerings of our common stock, as well as sales of our common stock under our “at-the-market” facility. In addition, on November 2, 2021 we entered into the Loan and Security Agreement, or the Term Loan Agreement, by and among the Company, the lenders party thereto from time to time and Silicon Valley Bank (or its successor bridge bank), which we refer to as SVB.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57" w:lineRule="exact"/>
        <w:rPr>
          <w:sz w:val="20"/>
          <w:szCs w:val="20"/>
          <w:color w:val="auto"/>
        </w:rPr>
      </w:pPr>
    </w:p>
    <w:p>
      <w:pPr>
        <w:ind w:left="900" w:right="18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 if any;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experience delays or interruptions in preclinical studies, clinical trials, or our supply chain due to the ongoing COVID-19 pandemic;</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00" w:right="5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implementation of our plato platform as we seek to industrialize our HSC gene therapy approach into a robust, scalable and, if approved, commercially viable process;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regulatory and scientific personnel;</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as needed to accommodate our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and acceptance. This will require us to be successful in a range of challenging activities, and our expenses will increase substantially as we seek to initiate, conduct and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45" w:name="page46"/>
    <w:bookmarkEnd w:id="45"/>
    <w:p>
      <w:pPr>
        <w:ind w:right="40" w:firstLine="509"/>
        <w:spacing w:after="0" w:line="289" w:lineRule="auto"/>
        <w:rPr>
          <w:sz w:val="20"/>
          <w:szCs w:val="20"/>
          <w:color w:val="auto"/>
        </w:rPr>
      </w:pPr>
      <w:r>
        <w:rPr>
          <w:rFonts w:ascii="Arial" w:cs="Arial" w:eastAsia="Arial" w:hAnsi="Arial"/>
          <w:sz w:val="16"/>
          <w:szCs w:val="16"/>
          <w:color w:val="auto"/>
        </w:rPr>
        <w:t>Management identified certain conditions or events, which, considered in the aggregate, raise substantial doubt about our ability to continue as a going concern and the future viability of the Company, including the risk that we will be unable to raise adequate additional capital to fund our operations. Substantial doubt about our ability to continue as a going concern and the Company’s inability to raise adequate capital as and when needed may create negative reactions to the price of our common stock and could have a negative impact on our financial condition and ability to pursue our business strategies. There can be no assurance that our current operating plan will be achieved or that additional funding will be available on terms acceptable to us, or at all. If we are unable to raise additional capital at levels sufficient to fund our operations or on terms acceptable to us, we will need to consider other various strategic alternatives, including a merger, reverse merger, sale, wind-down, liquidation and dissolution or other strategic transaction, or be unable to continue operations. Further, if we are unable to continue as a going concern, we may have to liquidate our assets and the values we receive for our assets in liquidation or dissolution could be significantly lower than the values reflected in our consolidated financial statements.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900" w:hanging="383"/>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commercial market demand for our product candidates, if approved;</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900" w:right="42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5"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As of December 31, 2022, we had cash and cash equivalents of $92.6 million. We believe that our existing cash and cash equivalents as of December 31, 2022 will enable us to fund our operating expenses and capital expenditure requirements into the first quarter of 2024.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firstLine="509"/>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currently have a total of four gene therapy programs in our pipeline, two of which are in clinical development.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73" w:lineRule="exact"/>
        <w:rPr>
          <w:sz w:val="20"/>
          <w:szCs w:val="20"/>
          <w:color w:val="auto"/>
        </w:rPr>
      </w:pPr>
    </w:p>
    <w:p>
      <w:pPr>
        <w:ind w:left="1020" w:right="400" w:hanging="503"/>
        <w:spacing w:after="0" w:line="34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laboratory testing, preclinical development and clinical trials for our current and future product candidates, including the extent of any impacts from the ongoing COVID-19 pandemic on these activities;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if any, raised from potential financings and capital raising activities;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defending against and resolving adverse litigation,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65"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On November 2, 2021, we entered into the Term Loan Agreement. The Term Loan Agreement provided for term loans of up to $65.0 million in the aggregate available in three tranches, but due to the deprioritization of our Fabry program we can no longer draw $20.0 million of term loans that were contingent upon the achievement of certain milestones related to our development of AVR-RD-01 for Fabry disease. As a result, the amount that remains available to us for future drawdown, subject to satisfaction of the conditions in the Term Loan Agreement, is $30.0 million, $15.0 million of which requires the consent of the Agent and Lenders. The Term Loan Agreement contains various covenants that limit our ability to engage in specified types of transactions. These covenants limit our ability to, among other things:</w:t>
      </w:r>
    </w:p>
    <w:p>
      <w:pPr>
        <w:spacing w:after="0" w:line="84"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operating accounts, depository accounts and excess cash at institutions other than SVB;</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104" w:lineRule="exact"/>
        <w:rPr>
          <w:sz w:val="20"/>
          <w:szCs w:val="20"/>
          <w:color w:val="auto"/>
        </w:rPr>
      </w:pPr>
    </w:p>
    <w:p>
      <w:pPr>
        <w:ind w:firstLine="576"/>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60" w:lineRule="exact"/>
        <w:rPr>
          <w:sz w:val="20"/>
          <w:szCs w:val="20"/>
          <w:color w:val="auto"/>
        </w:rPr>
      </w:pPr>
    </w:p>
    <w:p>
      <w:pPr>
        <w:ind w:right="20" w:firstLine="576"/>
        <w:spacing w:after="0" w:line="291" w:lineRule="auto"/>
        <w:rPr>
          <w:sz w:val="20"/>
          <w:szCs w:val="20"/>
          <w:color w:val="auto"/>
        </w:rPr>
      </w:pPr>
      <w:r>
        <w:rPr>
          <w:rFonts w:ascii="Arial" w:cs="Arial" w:eastAsia="Arial" w:hAnsi="Arial"/>
          <w:sz w:val="16"/>
          <w:szCs w:val="16"/>
          <w:color w:val="auto"/>
        </w:rPr>
        <w:t>At closing, we drew $15.0 million of the $30.0 million available to us as part of the first tranche. As executed, the Term Loan Agreement also provided the ability to access up to an additional $35.0 million, of which $20.0 million could be drawn in two additional tranches subject to the achievement of certain regulatory and clinical milestones, or the Milestone Funding, and of which $15.0 million could be drawn in an additional tranche with the approval of the Agent and the Lenders. However, as a result of the deprioritization of our Fabry disease program, we are no longer able to draw the $20.0 million of Milestone Funding per the terms of the Term Loan Agreement. Moreover, if the Agent and Lenders do not consent, we would not be able to draw down the final $15.0 million tranche of financing. If we are unable to access the final $15.0 million tranche, there can be no assurance that we will be able to obtain alternative financing to replace such tranche on commercially reasonable terms or at all, which could adversely impact our business.</w:t>
      </w:r>
    </w:p>
    <w:p>
      <w:pPr>
        <w:spacing w:after="0" w:line="45" w:lineRule="exact"/>
        <w:rPr>
          <w:sz w:val="20"/>
          <w:szCs w:val="20"/>
          <w:color w:val="auto"/>
        </w:rPr>
      </w:pPr>
    </w:p>
    <w:p>
      <w:pPr>
        <w:ind w:firstLine="576"/>
        <w:spacing w:after="0" w:line="272" w:lineRule="auto"/>
        <w:rPr>
          <w:sz w:val="20"/>
          <w:szCs w:val="20"/>
          <w:color w:val="auto"/>
        </w:rPr>
      </w:pPr>
      <w:r>
        <w:rPr>
          <w:rFonts w:ascii="Arial" w:cs="Arial" w:eastAsia="Arial" w:hAnsi="Arial"/>
          <w:sz w:val="17"/>
          <w:szCs w:val="17"/>
          <w:color w:val="auto"/>
        </w:rPr>
        <w:t>We may not have enough available cash to repay or refinance our indebtedness at the time any such repayment is required. In such an event, we may be required to delay, limit, reduce, or terminate our preclinical and clinical product development or grant others rights to develop and market product candidates that we would otherwise prefer to develop and market ourselves. Our business, financial condition, and results of operations could be materially adversely affected as a result. For further risks related to indebtedness, see “Risk Factors—Risks related to our business, financial position and need for additional capital—Adverse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ind w:right="80"/>
        <w:spacing w:after="0" w:line="257" w:lineRule="auto"/>
        <w:rPr>
          <w:sz w:val="20"/>
          <w:szCs w:val="20"/>
          <w:color w:val="auto"/>
        </w:rPr>
      </w:pPr>
      <w:r>
        <w:rPr>
          <w:rFonts w:ascii="Arial" w:cs="Arial" w:eastAsia="Arial" w:hAnsi="Arial"/>
          <w:sz w:val="18"/>
          <w:szCs w:val="18"/>
          <w:color w:val="auto"/>
        </w:rPr>
        <w:t>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96" w:lineRule="exact"/>
        <w:rPr>
          <w:sz w:val="20"/>
          <w:szCs w:val="20"/>
          <w:color w:val="auto"/>
        </w:rPr>
      </w:pPr>
    </w:p>
    <w:p>
      <w:pPr>
        <w:ind w:left="520" w:right="46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6"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In addition, if any of our contract organizations, vendors, suppliers or other parties with whom we conduct business are unable to access funds pursuant to their own arrangements with such a financial institution, such parties’ ability to perform their obligations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6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currently maintain a term loan facility with SVB pursuant to the Term Loan Agreement, under which we have drawn down $15.0 million, but we may be unable to draw down on additional funding under such facility due to SVB’s closure. As our facility currently requires substantially all of our cash and cash equivalents to be deposited with SVB, historically we have relied primarily on SVB for commercial banking services. We are pursuing actions to make alternative banking arrangements, including opening deposit accounts at one or more other financial institutions. SVB has agreed to waive covenants related to maintaining our deposits at SVB for a period of 30 days, during which time we have agreed to obtain an Account Control Agreement, or ACA, for all accounts held outside of SVB. An ACA is a multi-party agreement among a debtor, lender and a bank that allows the lender to perfect a security interest in the customer's funds by taking control of the deposit account if necessary. However, efforts to open deposit accounts at financial institutions other than SVB may not adequately mitigate the risk of financial crises similar to that experienced by SVB.</w:t>
      </w:r>
    </w:p>
    <w:p>
      <w:pPr>
        <w:spacing w:after="0" w:line="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ind w:firstLine="509"/>
        <w:spacing w:after="0" w:line="342" w:lineRule="auto"/>
        <w:rPr>
          <w:sz w:val="20"/>
          <w:szCs w:val="20"/>
          <w:color w:val="auto"/>
        </w:rPr>
      </w:pPr>
      <w:r>
        <w:rPr>
          <w:rFonts w:ascii="Arial" w:cs="Arial" w:eastAsia="Arial" w:hAnsi="Arial"/>
          <w:sz w:val="16"/>
          <w:szCs w:val="16"/>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6"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w:t>
      </w:r>
    </w:p>
    <w:p>
      <w:pPr>
        <w:spacing w:after="0" w:line="75" w:lineRule="exact"/>
        <w:rPr>
          <w:rFonts w:ascii="Arial" w:cs="Arial" w:eastAsia="Arial" w:hAnsi="Arial"/>
          <w:sz w:val="18"/>
          <w:szCs w:val="18"/>
          <w:color w:val="auto"/>
        </w:rPr>
      </w:pPr>
    </w:p>
    <w:p>
      <w:pPr>
        <w:ind w:left="1020" w:right="98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or actual breach of contractual obligations that require the Company to maintain letters of credit or other credit support arrangements;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Termination of cash management arrangements and/or delays in accessing or actual loss of funds subject to cash management arrangements.</w:t>
      </w:r>
    </w:p>
    <w:p>
      <w:pPr>
        <w:spacing w:after="0" w:line="14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69"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contract organizations, vendors, suppliers or other parties with whom we conduct business, which in turn, could have a material adverse effect on our current and/or projected business operations and results of operations and financial condition. For example, contract organizations, vendors, suppliers or other parties with whom we conduct business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bankruptcy or insolvency involving our contract organizations, vendors, suppliers or other parties with whom we conduct business, or any breach or default by such parties, or the loss of any significant relationships with such parties, could result in a material adverse impact on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520" w:right="360"/>
        <w:spacing w:after="0" w:line="342"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or COVID-19, pandemic or similar public health crises have caused and may continue to cause a disruption of the development of our product candidates and adversely impact our business.</w:t>
      </w:r>
    </w:p>
    <w:p>
      <w:pPr>
        <w:spacing w:after="0" w:line="16"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COVID-19 pandemic has continued to disrupt normal business operations both in and outside of affected areas and has had significant negative impacts on businesses and financial markets worldwide. We continue to monitor our operations and follow applicable government recommendations, and the majority of our employees, other than our laboratory staff, have adopted a “hybrid” work schedule which generally limits the number of people in our office at any particular time. Notwithstanding these measures, the COVID-19 pandemic, including potential outbreaks of new variants, or any other public health crisis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right="80" w:firstLine="509"/>
        <w:spacing w:after="0" w:line="275" w:lineRule="auto"/>
        <w:rPr>
          <w:sz w:val="20"/>
          <w:szCs w:val="20"/>
          <w:color w:val="auto"/>
        </w:rPr>
      </w:pPr>
      <w:r>
        <w:rPr>
          <w:rFonts w:ascii="Arial" w:cs="Arial" w:eastAsia="Arial" w:hAnsi="Arial"/>
          <w:sz w:val="17"/>
          <w:szCs w:val="17"/>
          <w:color w:val="auto"/>
        </w:rPr>
        <w:t>In addition, clinical trial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we have resumed data collection and dosing of new patients, our ability to continue clinical activities without further delay or interruption will depend on future developments that are highly uncertain and cannot be accurately predicted.</w:t>
      </w:r>
    </w:p>
    <w:p>
      <w:pPr>
        <w:spacing w:after="0" w:line="17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Additional factors from any public health crisis that may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900" w:right="140" w:hanging="383"/>
        <w:spacing w:after="0" w:line="263"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900" w:right="20" w:hanging="383"/>
        <w:spacing w:after="0" w:line="27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900" w:right="480" w:hanging="38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900" w:right="40" w:hanging="383"/>
        <w:spacing w:after="0" w:line="262"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75" w:lineRule="exact"/>
        <w:rPr>
          <w:rFonts w:ascii="Arial" w:cs="Arial" w:eastAsia="Arial" w:hAnsi="Arial"/>
          <w:sz w:val="18"/>
          <w:szCs w:val="18"/>
          <w:color w:val="auto"/>
        </w:rPr>
      </w:pPr>
    </w:p>
    <w:p>
      <w:pPr>
        <w:ind w:left="900" w:right="80" w:hanging="383"/>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900" w:right="20" w:hanging="38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Since the beginning of the COVID-19 pandemic, several vaccines for COVID-19 have received Emergency Use Authorization by the FDA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8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These and other factors arising from the COVID-19 pandemic could reemerge or worsen and adversely impact our ability to conduct clinical trials and our business generally, and could have a material adverse impact on our operations and financial condition and results. The extent to which any public health crisis impacts our operations or those of our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1" w:name="page52"/>
    <w:bookmarkEnd w:id="51"/>
    <w:p>
      <w:pPr>
        <w:ind w:left="520" w:right="460"/>
        <w:spacing w:after="0" w:line="277" w:lineRule="auto"/>
        <w:rPr>
          <w:sz w:val="20"/>
          <w:szCs w:val="20"/>
          <w:color w:val="auto"/>
        </w:rPr>
      </w:pPr>
      <w:r>
        <w:rPr>
          <w:rFonts w:ascii="Arial" w:cs="Arial" w:eastAsia="Arial" w:hAnsi="Arial"/>
          <w:sz w:val="18"/>
          <w:szCs w:val="18"/>
          <w:b w:val="1"/>
          <w:bCs w:val="1"/>
          <w:i w:val="1"/>
          <w:iCs w:val="1"/>
          <w:color w:val="auto"/>
        </w:rPr>
        <w:t>Our HSC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have concentrated our research and development efforts on our HSC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were and may continue to be adversely affected by the COVID-19 pandemic, especially if a resurgence of cases occurs. In addition, the implementation of our plato platform and upgrades, including our current conditioning regimen or any conditioning regimen we implement in the future,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additional or alternative partners, which may prevent us from completing our clinical studies or commercializing our products on a timely or profitable basis, if at all. For example, as of March 20, 2023 we have only dosed ten patients using our plato platform in our clinical trials, which includes six patients in our FAB-GT clinical trial for which we halted enrollment.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HSC gene therapy.</w:t>
      </w:r>
    </w:p>
    <w:p>
      <w:pPr>
        <w:spacing w:after="0" w:line="176"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HSC gene therapies have received marketing authorization from the FDA or foreign regulatory authorities. It is difficult to determine how long it will take or how much it will cost to obtain regulatory approvals for our product candidates in the United States, Canada, Europe, Japan or other major markets or how long it will take to commercialize our product candidates, if any are approved. Approvals by foreign regulatory authorities may not be indicative of what the FDA may require for approval, and vice versa.</w:t>
      </w:r>
    </w:p>
    <w:p>
      <w:pPr>
        <w:spacing w:after="0" w:line="16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7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or OTAT, within the CBER, to consolidate the review of gene therapy and related products, and to advise the CBER on its review. In September 2022, the FDA announced retitling of OTAT to the Office of Therapeutic Products, or OTP, and elevation of OTP to a “Super Office” to meet its growing cell and gene therapy workload. Although FDA has indicated that this change of name and responsibilities is intended to, among other things, increase review capabilities and enhance expertise on new cell and gene therapies, we cannot be certain that this approach will improve the time and cost associated with navigating gene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2" w:name="page53"/>
    <w:bookmarkEnd w:id="52"/>
    <w:p>
      <w:pPr>
        <w:ind w:right="480"/>
        <w:spacing w:after="0" w:line="277" w:lineRule="auto"/>
        <w:rPr>
          <w:sz w:val="20"/>
          <w:szCs w:val="20"/>
          <w:color w:val="auto"/>
        </w:rPr>
      </w:pPr>
      <w:r>
        <w:rPr>
          <w:rFonts w:ascii="Arial" w:cs="Arial" w:eastAsia="Arial" w:hAnsi="Arial"/>
          <w:sz w:val="18"/>
          <w:szCs w:val="18"/>
          <w:color w:val="auto"/>
        </w:rPr>
        <w:t>therapy regulatory requirements, our regulatory strategy or the potential success of our product candidates. Such regulatory action and developments could, instead, delay, impede or even prevent commercialization of some or all of our product candidates.</w:t>
      </w:r>
    </w:p>
    <w:p>
      <w:pPr>
        <w:spacing w:after="0" w:line="170"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8"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285" w:lineRule="exact"/>
        <w:rPr>
          <w:sz w:val="20"/>
          <w:szCs w:val="20"/>
          <w:color w:val="auto"/>
        </w:rPr>
      </w:pPr>
    </w:p>
    <w:p>
      <w:pPr>
        <w:jc w:val="both"/>
        <w:ind w:left="520" w:right="24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or compassionate use, may lead to discovery of undesirable side effects, or other negative consequences that could have adverse impacts on our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86"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our HSC gene therapy approach is designed to avoid insertional oncogenesis, there can be no assurance that patients will not experience such adverse effects, including death. In addition, although in the future we may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60" w:firstLine="509"/>
        <w:spacing w:after="0" w:line="275"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w:t>
      </w:r>
    </w:p>
    <w:p>
      <w:pPr>
        <w:spacing w:after="0" w:line="1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called TCI, to achieve a balance between the removal of a sufficient amount of bone marrow cells from a patient to aid engraftment of our genetically modified cells against potential risks, such as toxicity or graft failure. In addition, we are evaluating the potential future use of alternative conditioning agents in lieu of the current busulfan TCI conditioning regimen. For example, we have entered into a collaboration agreement with Jasper Therapeutics, Inc. and are currently evaluating the potential use of their respective monoclonal antibody conditioning agents. We are also evaluating the potential use of additional agents to tailor the conditioning regimen for certain disease indications. However, there can be no assurances these alternative conditioning regimens will be implemented or would be successful if implemented. Our conditioning regimens may not be successful or may nevertheless result in adverse side effects. For example, busulfan, the myeloablative agent currently used in our conditioning regimen, has been known to carry certain safety risks, including the risk of impairment to fertility in both men and women, and such impairment has been reported in some patients in our clinical trials. Moreover, in each of our ongoing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in the future we may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385" w:lineRule="exact"/>
        <w:rPr>
          <w:sz w:val="20"/>
          <w:szCs w:val="20"/>
          <w:color w:val="auto"/>
        </w:rPr>
      </w:pPr>
    </w:p>
    <w:p>
      <w:pPr>
        <w:jc w:val="both"/>
        <w:ind w:right="360" w:firstLine="509"/>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80" w:lineRule="exact"/>
        <w:rPr>
          <w:sz w:val="20"/>
          <w:szCs w:val="20"/>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have never completed a pivotal or registrational clinical trial, and may be unable to do so for any product candidates we may develop.</w:t>
      </w:r>
    </w:p>
    <w:p>
      <w:pPr>
        <w:spacing w:after="0" w:line="14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are at an early stage of development for all of our product candidates. As of the date of this Annual Report, only 24 patients have been dosed in our clinical trials, which includes 14 patients from our Fabry program that we deprioritized in January 2022. Our ongoing clinical trials, as well as potentially additional pivotal clinical trials (also referred to as registrational trials), must be completed in order to obtain FDA or other regulatory approval to market these product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jc w:val="both"/>
        <w:ind w:right="140"/>
        <w:spacing w:after="0" w:line="263" w:lineRule="auto"/>
        <w:rPr>
          <w:sz w:val="20"/>
          <w:szCs w:val="20"/>
          <w:color w:val="auto"/>
        </w:rPr>
      </w:pPr>
      <w:r>
        <w:rPr>
          <w:rFonts w:ascii="Arial" w:cs="Arial" w:eastAsia="Arial" w:hAnsi="Arial"/>
          <w:sz w:val="18"/>
          <w:szCs w:val="18"/>
          <w:color w:val="auto"/>
        </w:rPr>
        <w:t>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p>
    <w:p>
      <w:pPr>
        <w:spacing w:after="0" w:line="18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addition, across our Company-sponsored clinical trials we have dosed only three patients in the United States, and our interactions with the FDA have generally been limited. We cannot be certain how many additional clinical trials of AVR-RD-02, AVR-RD-04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CTA we submit in other countries, will be accepted. While we have received clearance from the FDA to commence clinical testing in the United States for our Company-sponsored Phase 1/2 clinical trial of AVR-RD-02 for Gaucher disease type 1 and the sponsor of the collaborator-led Phase 1/2 clinical trial for AVR-RD-04 for cystinosis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6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ongoing Phase 1/2 clinical trial of AVR-RD-04 is being conducted by our collaborators at the University of California, San Diego. In addition, the planned Phase 1/2 clinical trial of AVR-RD-05 will be a collaborator-sponsored trial conducted by our collaborators at The University of Manchester; and the MHRA recently accepted its CTA application for this Phase 1/2 clinical trial. We do not control the design or administration of collaborator-sponsored trials, nor the submission or clearance of any IND or foreign equivalent required to conduct these trials, and the collaborator-sponsored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non-Company-sponsored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collaborator-sponsored trials could be useful to inform our own clinical development efforts, there is no guarantee that we will be able to use the data from these trials to form the basis for regulatory authorization to conduct further clinical studies, or for regulatory approval of our product candidates. For example, regulators may require us to submit comparability or bridging studies to allow data generated in non-Company-sponsored studies to support the regulatory applications for or approvals of our product candidates, and we cannot be certain that such comparability or bridging studies, if any, would be successful or feasible.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 endothelium. However, while this belief is based on a thorough review and analysis conducted by the Company, it remains 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5" w:name="page56"/>
    <w:bookmarkEnd w:id="55"/>
    <w:p>
      <w:pPr>
        <w:ind w:right="20"/>
        <w:spacing w:after="0" w:line="257" w:lineRule="auto"/>
        <w:rPr>
          <w:sz w:val="20"/>
          <w:szCs w:val="20"/>
          <w:color w:val="auto"/>
        </w:rPr>
      </w:pPr>
      <w:r>
        <w:rPr>
          <w:rFonts w:ascii="Arial" w:cs="Arial" w:eastAsia="Arial" w:hAnsi="Arial"/>
          <w:sz w:val="18"/>
          <w:szCs w:val="18"/>
          <w:color w:val="auto"/>
        </w:rPr>
        <w:t>hypothesis and there can be no assurances that similar engraftment or other issues will not occur in clinical trials of our other product candidates, which are all based on our technology and the same HSC approach utilized for AVR-RD-01. For example, although we believe the variable engraftment data were caused by factors intrinsic to certain Fabry disease patients and we do not anticipate readthrough to other clinical trials, if the variable engraftment data were actually caused, directly or indirectly, by any other factors, including any aspect of our plato platform or the conditioning process, we could see similar issues in other clinical trials.</w:t>
      </w:r>
    </w:p>
    <w:p>
      <w:pPr>
        <w:spacing w:after="0" w:line="80"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7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49"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6" w:name="page57"/>
    <w:bookmarkEnd w:id="56"/>
    <w:p>
      <w:pPr>
        <w:ind w:left="520" w:right="6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resumed, there could be additional pauses in the future as a result of the ongoing COVID-19 pandemic or other factors.</w:t>
      </w:r>
    </w:p>
    <w:p>
      <w:pPr>
        <w:spacing w:after="0" w:line="18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or at all. Although we currently expect to have enrolled up to a total of ten patients by the end of 2023 in our Company-sponsored clinical trial of AVR-RD-02 for Gaucher disease type 1, which we refer to as the Guard1 clinical trial, there can be no assurances we will achieve that goal or any of our other patient enrollment goals.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900" w:right="50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509"/>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900" w:hanging="383"/>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contract research organizations, or CROs, clinical study sites and physicians;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900" w:right="260" w:hanging="383"/>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both"/>
        <w:ind w:right="420" w:firstLine="509"/>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or if collaborator-sponsored trials utilize different materials or manufacturing processes from ours to generate data, we may need to conduct additional studies to compare or bridge our modified product candidates to earlier versions, which could delay our clinical development plan or marketing approval for our product candidates. For example, we have transitioned our lentiviral vectors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8" w:name="page59"/>
    <w:bookmarkEnd w:id="58"/>
    <w:p>
      <w:pPr>
        <w:spacing w:after="0" w:line="267" w:lineRule="auto"/>
        <w:rPr>
          <w:sz w:val="20"/>
          <w:szCs w:val="20"/>
          <w:color w:val="auto"/>
        </w:rPr>
      </w:pPr>
      <w:r>
        <w:rPr>
          <w:rFonts w:ascii="Arial" w:cs="Arial" w:eastAsia="Arial" w:hAnsi="Arial"/>
          <w:sz w:val="17"/>
          <w:szCs w:val="17"/>
          <w:color w:val="auto"/>
        </w:rPr>
        <w:t>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CTAs, to demonstrate analytic comparability between LV1 and LV2. Our CTA (including amendments) and IND for our Guard1 clinical study of AVR-RD-02 for Gaucher disease type 1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collaborator-sponsored clinical study of AVR-RD-04 for cystinosis in the United States, which has been cleared by the FDA, does not include our LV2 lentiviral vector or our automated manufacturing platform. Additionally, the study drug for the planned collaborator-sponsored clinical study of AVR-RD-05 for Hunter syndrome will not be manufactured using our plato platform, and neither the automated, closed manufacturing system nor LV2 will be used in connection with this clinical trial. Moreover, we are currently evaluating the implementation of an additional, new conditioning regimen that utilizes conditioning agents other than busulfan. We anticipate that we will be required to submit comparability data in future regulatory filings relating to our transition to LV2, the automated manufacturing platform and any new conditioning regimen that we implement.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left="520" w:right="88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9" w:name="page60"/>
    <w:bookmarkEnd w:id="59"/>
    <w:p>
      <w:pPr>
        <w:ind w:right="220"/>
        <w:spacing w:after="0" w:line="311" w:lineRule="auto"/>
        <w:rPr>
          <w:sz w:val="20"/>
          <w:szCs w:val="20"/>
          <w:color w:val="auto"/>
        </w:rPr>
      </w:pPr>
      <w:r>
        <w:rPr>
          <w:rFonts w:ascii="Arial" w:cs="Arial" w:eastAsia="Arial" w:hAnsi="Arial"/>
          <w:sz w:val="16"/>
          <w:szCs w:val="16"/>
          <w:color w:val="auto"/>
        </w:rPr>
        <w:t>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or labeling claims, our business, prospects, financial condition and results of operations would be materially and adversely affected.</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Only one of our ongoing clinical trials utilizes our commercially-scalable plato platform.</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While we have submitted and intend to continue to submit comparability studies to the FDA and other regulatory agencies, as needed, with respect to our implementation of our scalable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scalable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commercial programs, with the intent of replacing our original academic platforms with improved solutions for delivering our gene therapy candidates to patients in multiple disease indications. We believe improvements to our plato platform may lead to better patient outcomes with our gene therapy candidates. In order to implement this transition, we have been and will be required to conduct additional studies to bridge our modified product candidates to earlier versions, including earlier versions utilized in collaborator-sponsored clinical studies,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94" w:lineRule="exact"/>
        <w:rPr>
          <w:sz w:val="20"/>
          <w:szCs w:val="20"/>
          <w:color w:val="auto"/>
        </w:rPr>
      </w:pPr>
    </w:p>
    <w:p>
      <w:pPr>
        <w:ind w:left="520" w:right="80"/>
        <w:spacing w:after="0" w:line="311"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4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140" w:firstLine="509"/>
        <w:spacing w:after="0" w:line="288" w:lineRule="auto"/>
        <w:rPr>
          <w:sz w:val="20"/>
          <w:szCs w:val="20"/>
          <w:color w:val="auto"/>
        </w:rPr>
      </w:pPr>
      <w:r>
        <w:rPr>
          <w:rFonts w:ascii="Arial" w:cs="Arial" w:eastAsia="Arial" w:hAnsi="Arial"/>
          <w:sz w:val="16"/>
          <w:szCs w:val="16"/>
          <w:color w:val="auto"/>
        </w:rPr>
        <w:t>We anticipate competing with biotechnology and pharmaceutical companies , many of which may have significantly greater resources than we do. For example, for Gaucher disease, Sanofi, Pfizer, and Takeda market existing enzyme replacement therapies, or ERTs, that represent the standard of care for Gaucher patients. For Gaucher disease we also expect to compete with oral therapies marketed by Johnson &amp; Johnson and Sanofi. Sanofi also markets an enzyme replacement therapy for Pompe disease, and Takeda markets an enzyme replacement therapy for Hunter syndrome. Denali Therapeutics has an ERT in late-stage clinical development for Hunter syndrome. Cystinosis is currently treated by therapies marketed by Horizon Orphan, Mylan, Chiesi, Recordati, Orphan Europe and Leadiant Biosciences. In addition, we may compete with other gene therapy companies in our industry such as Freeline Therapeutics, Generation Bio, Eli Lilly and Company or Graphite Bio. Freeline Therapeutics, for example, is developing an adeno-associated virus, or AAV based gene therapy for Gaucher disease type 1. Moreover, a number of gene therapy companies have announced preclinical or clinical non-viral and adeno-associated viral based gene therapy programs that, if successful in obtaining regulatory approval, could compete with our gene therapies. For example, Gene Cradle has announced a pre-clinical program for infantile onset Pompe disease and late onset Pompe disease.</w:t>
      </w:r>
    </w:p>
    <w:p>
      <w:pPr>
        <w:spacing w:after="0" w:line="168" w:lineRule="exact"/>
        <w:rPr>
          <w:sz w:val="20"/>
          <w:szCs w:val="20"/>
          <w:color w:val="auto"/>
        </w:rPr>
      </w:pPr>
    </w:p>
    <w:p>
      <w:pPr>
        <w:jc w:val="both"/>
        <w:ind w:right="120" w:firstLine="509"/>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ind w:right="240"/>
        <w:spacing w:after="0" w:line="342" w:lineRule="auto"/>
        <w:rPr>
          <w:sz w:val="20"/>
          <w:szCs w:val="20"/>
          <w:color w:val="auto"/>
        </w:rPr>
      </w:pPr>
      <w:r>
        <w:rPr>
          <w:rFonts w:ascii="Arial" w:cs="Arial" w:eastAsia="Arial" w:hAnsi="Arial"/>
          <w:sz w:val="16"/>
          <w:szCs w:val="16"/>
          <w:color w:val="auto"/>
        </w:rPr>
        <w:t>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24"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5"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71"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We may seek an accelerated approval pathway for one or more of our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spacing w:after="0" w:line="73"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Prior to seeking accelerated approval, we will seek feedback from the FDA or comparable foreign regulatory authorities and will otherwise evaluate our ability to seek and receive such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jc w:val="both"/>
        <w:ind w:right="160"/>
        <w:spacing w:after="0" w:line="286" w:lineRule="auto"/>
        <w:rPr>
          <w:sz w:val="20"/>
          <w:szCs w:val="20"/>
          <w:color w:val="auto"/>
        </w:rPr>
      </w:pPr>
      <w:r>
        <w:rPr>
          <w:rFonts w:ascii="Arial" w:cs="Arial" w:eastAsia="Arial" w:hAnsi="Arial"/>
          <w:sz w:val="16"/>
          <w:szCs w:val="16"/>
          <w:color w:val="auto"/>
        </w:rPr>
        <w:t>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Moreover, even if we are able to obtain accelerated approval for any of our product candidates, there is no guarantee that post-approval studies will be able to confirm the clinical benefit, which could cause FDA to withdraw our approval.</w:t>
      </w:r>
    </w:p>
    <w:p>
      <w:pPr>
        <w:spacing w:after="0" w:line="185"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may also pursue programs or designations from foreign regulatory authorities, such as the UK’s Innovative Licensing and Access Pathway, or ILAP, which aims to accelerate the time to market and facilitate patient access to certain types of medicinal products in development which target a life-threatening or seriously debilitating condition, or where there is a significant patient or public health need. The first step in the ILAP is receipt of an Innovation Passport, which allows for enhanced engagement with the MHRA and its partner agencies. In October 2022, we announced that the MHRA had granted an Innovation Passport to AVR-RD-02, which we are evaluating for the treatment of Gaucher disease. However, although the goal of ILAP and the Innovation Passport is to reduce the time to market and enable earlier patient access, receipt of this designation does not accelerate conduct of clinical trials or mean that the regulatory requirements are less stringent, nor does it ensure that any future application for marketing authorization will be approved or that any approval will be granted within a particular timeframe.</w:t>
      </w:r>
    </w:p>
    <w:p>
      <w:pPr>
        <w:spacing w:after="0" w:line="178"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In December 2021, we received Fast Track Designation from the FDA for AVR-RD-02 for the treatment of Gaucher disease, and in July 2021 we received Fast Track Designation from the FDA for AVR-RD-04 for the treatment of cystinosis to improve renal function. However, the FDA has broad discretion whether or not to grant Fast Track designation, so even if we believe another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8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288" w:lineRule="exact"/>
        <w:rPr>
          <w:sz w:val="20"/>
          <w:szCs w:val="20"/>
          <w:color w:val="auto"/>
        </w:rPr>
      </w:pPr>
    </w:p>
    <w:p>
      <w:pPr>
        <w:ind w:left="520" w:right="12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ind w:right="40"/>
        <w:spacing w:after="0" w:line="270" w:lineRule="auto"/>
        <w:rPr>
          <w:sz w:val="20"/>
          <w:szCs w:val="20"/>
          <w:color w:val="auto"/>
        </w:rPr>
      </w:pPr>
      <w:r>
        <w:rPr>
          <w:rFonts w:ascii="Arial" w:cs="Arial" w:eastAsia="Arial" w:hAnsi="Arial"/>
          <w:sz w:val="17"/>
          <w:szCs w:val="17"/>
          <w:color w:val="auto"/>
        </w:rPr>
        <w:t>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may designate a medicinal product as an orphan medicinal product if it is intended for the diagnosis, prevention or treatment of a life-threatening or chronically debilitating condition affecting not more than 5 in 10,000 persons in the European Union. Additionally, orphan designation may be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will be of significant benefit to those affected by the condition.</w:t>
      </w:r>
    </w:p>
    <w:p>
      <w:pPr>
        <w:spacing w:after="0" w:line="181"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In October 2019 and March 2020, the FDA granted our requests for orphan drug designation for AVR-RD-02 for the treatment of Gaucher disease and AVR-RD-04 for the treatment of cystinosis, respectively. Additionally, in July 2022, we announced that the FDA granted our request for orphan drug designation for AVR-RD-05 for the treatment of Hunter syndrome. In September 2020 and March 2021 we announced that the European Commission granted our request for orphan drug designation for AVR-RD-02 for the treatment of Gaucher disease and AVR-RD-04 for the treatment of cystinosis, respectively. However, if we request orphan drug designation (or the foreign equivalent) for any other product candidates, there can be no assurances that the FDA or applicable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66"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at any time if:</w:t>
      </w:r>
    </w:p>
    <w:p>
      <w:pPr>
        <w:spacing w:after="0" w:line="80" w:lineRule="exact"/>
        <w:rPr>
          <w:sz w:val="20"/>
          <w:szCs w:val="20"/>
          <w:color w:val="auto"/>
        </w:rPr>
      </w:pPr>
    </w:p>
    <w:p>
      <w:pPr>
        <w:ind w:left="900" w:right="58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8" w:lineRule="exact"/>
        <w:rPr>
          <w:sz w:val="20"/>
          <w:szCs w:val="20"/>
          <w:color w:val="auto"/>
        </w:rPr>
      </w:pPr>
    </w:p>
    <w:p>
      <w:pPr>
        <w:jc w:val="both"/>
        <w:ind w:left="520" w:right="260"/>
        <w:spacing w:after="0" w:line="263" w:lineRule="auto"/>
        <w:rPr>
          <w:sz w:val="20"/>
          <w:szCs w:val="20"/>
          <w:color w:val="auto"/>
        </w:rPr>
      </w:pPr>
      <w:r>
        <w:rPr>
          <w:rFonts w:ascii="Arial" w:cs="Arial" w:eastAsia="Arial" w:hAnsi="Arial"/>
          <w:sz w:val="18"/>
          <w:szCs w:val="18"/>
          <w:b w:val="1"/>
          <w:bCs w:val="1"/>
          <w:i w:val="1"/>
          <w:iCs w:val="1"/>
          <w:color w:val="auto"/>
        </w:rPr>
        <w:t>We have received rare pediatric disease designation, or RPDD, for several of our product candidates. However, a marketing application for a product candidate with RPDD, if approved, may not meet the eligibility criteria for a Priority Review Voucher, or PRV, or the RPDD program may sunset before the FDA is able to consider us for a voucher.</w:t>
      </w:r>
    </w:p>
    <w:p>
      <w:pPr>
        <w:spacing w:after="0" w:line="18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have received rare pediatric disease designation, or RPDD, for AVR-RD-02 for the treatment of Gaucher disease, AVR-RD-04 for the treatment of cystinosis, and AVR-RD-05 for the treatment of Hunter syndrome. Designation of a drug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3" w:name="page64"/>
    <w:bookmarkEnd w:id="63"/>
    <w:p>
      <w:pPr>
        <w:ind w:right="40"/>
        <w:spacing w:after="0" w:line="259" w:lineRule="auto"/>
        <w:rPr>
          <w:sz w:val="20"/>
          <w:szCs w:val="20"/>
          <w:color w:val="auto"/>
        </w:rPr>
      </w:pPr>
      <w:r>
        <w:rPr>
          <w:rFonts w:ascii="Arial" w:cs="Arial" w:eastAsia="Arial" w:hAnsi="Arial"/>
          <w:sz w:val="18"/>
          <w:szCs w:val="18"/>
          <w:color w:val="auto"/>
        </w:rPr>
        <w:t>biologic as a product for a rare pediatric disease does not guarantee that a BLA for such drug or biologic will meet the eligibility criteria for a rare pediatric disease PRV at the time the application is approved. Under the Federal Food, Drug, and Cosmetic Act, we will need to request a rare pediatric disease PRV in our original BLA for AVR-RD-05. The FDA may determine that a BLA for AVR-RD-05, if approved, does not meet the eligibility criteria for a PRV, including for the following reasons:</w:t>
      </w:r>
    </w:p>
    <w:p>
      <w:pPr>
        <w:spacing w:after="0" w:line="79"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disease indication no longer meets the definition of a rare pediatric disease;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BLA contains an active ingredient that has been previously approved in a BLA;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BLA is not deemed eligible for priority review;</w:t>
      </w:r>
    </w:p>
    <w:p>
      <w:pPr>
        <w:spacing w:after="0" w:line="117" w:lineRule="exact"/>
        <w:rPr>
          <w:rFonts w:ascii="Arial" w:cs="Arial" w:eastAsia="Arial" w:hAnsi="Arial"/>
          <w:sz w:val="18"/>
          <w:szCs w:val="18"/>
          <w:color w:val="auto"/>
        </w:rPr>
      </w:pPr>
    </w:p>
    <w:p>
      <w:pPr>
        <w:ind w:left="1020" w:right="38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BLA is approved for a different adult indication than the rare pediatric disease for which the product candidate is designated.</w:t>
      </w:r>
    </w:p>
    <w:p>
      <w:pPr>
        <w:spacing w:after="0" w:line="117"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authority for the FDA to award rare pediatric disease PRVs for drugs that have received rare pediatric disease designation prior to September 30, 2024 currently expires on September 30, 2026. If the BLA for any of our product candidates with RPDD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4" w:name="page65"/>
    <w:bookmarkEnd w:id="64"/>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900" w:right="260" w:hanging="383"/>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140" w:firstLine="509"/>
        <w:spacing w:after="0" w:line="289" w:lineRule="auto"/>
        <w:rPr>
          <w:sz w:val="20"/>
          <w:szCs w:val="20"/>
          <w:color w:val="auto"/>
        </w:rPr>
      </w:pPr>
      <w:r>
        <w:rPr>
          <w:rFonts w:ascii="Arial" w:cs="Arial" w:eastAsia="Arial" w:hAnsi="Arial"/>
          <w:sz w:val="16"/>
          <w:szCs w:val="16"/>
          <w:color w:val="auto"/>
        </w:rPr>
        <w:t>While we initially pursued a growth strategy to identify, develop and market additional product candidates, we are not currently actively seeking additional product candidates beyond our existing product candidates. We may spend several years completing our development of any particular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20" w:right="82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 Our manufacturing process relies on a platform structure, which we refer to as our plato platform, and, if we experience delays, deviations or failures that impact that platform, such delays, deviations or failures could have an adverse impact on our development products or future commercialization programs.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20" w:right="64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7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Even with relevant experience and expertise, our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We cannot make any assurances that these difficulties will not occur in the future, or that we will be able to resolve or address them in a timely manner or at all as problems arise.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right="100" w:firstLine="509"/>
        <w:spacing w:after="0" w:line="289"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anticipated data was not available.</w:t>
      </w:r>
    </w:p>
    <w:p>
      <w:pPr>
        <w:spacing w:after="0" w:line="166"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62" w:lineRule="exact"/>
        <w:rPr>
          <w:sz w:val="20"/>
          <w:szCs w:val="20"/>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900" w:right="620" w:hanging="383"/>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2" w:lineRule="exact"/>
        <w:rPr>
          <w:sz w:val="20"/>
          <w:szCs w:val="20"/>
          <w:color w:val="auto"/>
        </w:rPr>
      </w:pPr>
    </w:p>
    <w:p>
      <w:pPr>
        <w:ind w:left="520" w:right="80"/>
        <w:spacing w:after="0" w:line="286" w:lineRule="auto"/>
        <w:rPr>
          <w:sz w:val="20"/>
          <w:szCs w:val="20"/>
          <w:color w:val="auto"/>
        </w:rPr>
      </w:pPr>
      <w:r>
        <w:rPr>
          <w:rFonts w:ascii="Arial" w:cs="Arial" w:eastAsia="Arial" w:hAnsi="Arial"/>
          <w:sz w:val="17"/>
          <w:szCs w:val="17"/>
          <w:b w:val="1"/>
          <w:bCs w:val="1"/>
          <w:i w:val="1"/>
          <w:iCs w:val="1"/>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5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We have moved our cell processing to an automated, closed system with a sole source supplier. In addition, we currently rely, and expect to continue to rely, on sole source suppliers for vector supply, plasmid supply and cell culture media, as well as drug product manufacturing for our Company-sponsored clinical trials. Our sole source suppliers may be unwilling or unable to supply product to us reliably, continuously or at the levels we anticipate or are required by our clinical trial activities. Such </w:t>
      </w:r>
      <w:r>
        <w:rPr>
          <w:rFonts w:ascii="Arial" w:cs="Arial" w:eastAsia="Arial" w:hAnsi="Arial"/>
          <w:sz w:val="18"/>
          <w:szCs w:val="18"/>
          <w:color w:val="333333"/>
        </w:rPr>
        <w:t>suppliers could still delay, suspend, or terminate supply of product to us for a number of reasons,</w:t>
      </w:r>
      <w:r>
        <w:rPr>
          <w:rFonts w:ascii="Arial" w:cs="Arial" w:eastAsia="Arial" w:hAnsi="Arial"/>
          <w:sz w:val="18"/>
          <w:szCs w:val="18"/>
          <w:color w:val="auto"/>
        </w:rPr>
        <w:t xml:space="preserve"> </w:t>
      </w:r>
      <w:r>
        <w:rPr>
          <w:rFonts w:ascii="Arial" w:cs="Arial" w:eastAsia="Arial" w:hAnsi="Arial"/>
          <w:sz w:val="18"/>
          <w:szCs w:val="18"/>
          <w:color w:val="333333"/>
        </w:rPr>
        <w:t>including manufacturing or quality issues, payment disputes with us, intellectual property disputes with third parties, bankruptcy or insolvency, earthquakes or other natural disasters or other occurrences.</w:t>
      </w:r>
    </w:p>
    <w:p>
      <w:pPr>
        <w:spacing w:after="0" w:line="84"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In addition, we currently depend on a limited number of suppliers for some of the other components necessary for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8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right="40"/>
        <w:spacing w:after="0" w:line="271" w:lineRule="auto"/>
        <w:rPr>
          <w:sz w:val="20"/>
          <w:szCs w:val="20"/>
          <w:color w:val="auto"/>
        </w:rPr>
      </w:pPr>
      <w:r>
        <w:rPr>
          <w:rFonts w:ascii="Arial" w:cs="Arial" w:eastAsia="Arial" w:hAnsi="Arial"/>
          <w:sz w:val="17"/>
          <w:szCs w:val="17"/>
          <w:color w:val="auto"/>
        </w:rPr>
        <w:t>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7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Our reliance on suppliers subjects us to a number of risks that could materially harm our reputation, business, and financial condition, including, among other things:</w:t>
      </w:r>
    </w:p>
    <w:p>
      <w:pPr>
        <w:spacing w:after="0" w:line="62" w:lineRule="exact"/>
        <w:rPr>
          <w:sz w:val="20"/>
          <w:szCs w:val="20"/>
          <w:color w:val="auto"/>
        </w:rPr>
      </w:pPr>
    </w:p>
    <w:p>
      <w:pPr>
        <w:ind w:left="900" w:right="760" w:hanging="383"/>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 or trade sanctions, embargoes, and heightened export requirements resulting from the war in Ukraine;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If any of these risks materialize, our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left="520" w:right="56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currently rely on sole source suppliers of our automated, closed cell processing system; vector supply; plasmid supply; cell culture media; as well as drug product manufacturing for our Company-sponsored clinical trials. In addition, we currently depend on a 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All entities involved in the preparation of therapeutics for clinical studies or commercial sale, including our existing contract manufacturers for our product candidates, are subject to extensive regulation. Components of a finished therapeutic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spacing w:after="0" w:line="286" w:lineRule="auto"/>
        <w:rPr>
          <w:sz w:val="20"/>
          <w:szCs w:val="20"/>
          <w:color w:val="auto"/>
        </w:rPr>
      </w:pPr>
      <w:r>
        <w:rPr>
          <w:rFonts w:ascii="Arial" w:cs="Arial" w:eastAsia="Arial" w:hAnsi="Arial"/>
          <w:sz w:val="16"/>
          <w:szCs w:val="16"/>
          <w:color w:val="auto"/>
        </w:rPr>
        <w:t>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ongoing COVID-19 pandemic, the FDA may issue a complete response letter or defer action on our applications, and approval of the products may be delayed or may not be granted.</w:t>
      </w:r>
    </w:p>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jc w:val="both"/>
        <w:ind w:right="460" w:firstLine="509"/>
        <w:spacing w:after="0" w:line="259" w:lineRule="auto"/>
        <w:rPr>
          <w:sz w:val="20"/>
          <w:szCs w:val="20"/>
          <w:color w:val="auto"/>
        </w:rPr>
      </w:pPr>
      <w:r>
        <w:rPr>
          <w:rFonts w:ascii="Arial" w:cs="Arial" w:eastAsia="Arial" w:hAnsi="Arial"/>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9" w:name="page70"/>
    <w:bookmarkEnd w:id="69"/>
    <w:p>
      <w:pPr>
        <w:ind w:right="300"/>
        <w:spacing w:after="0" w:line="259" w:lineRule="auto"/>
        <w:rPr>
          <w:sz w:val="20"/>
          <w:szCs w:val="20"/>
          <w:color w:val="auto"/>
        </w:rPr>
      </w:pPr>
      <w:r>
        <w:rPr>
          <w:rFonts w:ascii="Arial" w:cs="Arial" w:eastAsia="Arial" w:hAnsi="Arial"/>
          <w:sz w:val="18"/>
          <w:szCs w:val="18"/>
          <w:color w:val="auto"/>
        </w:rPr>
        <w:t>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To successfully commercialize any of our product candidates, if approved, we will need to develop our commercial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30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p>
    <w:p>
      <w:pPr>
        <w:spacing w:after="0" w:line="303"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0" w:lineRule="exact"/>
        <w:rPr>
          <w:sz w:val="20"/>
          <w:szCs w:val="20"/>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900" w:right="440" w:hanging="383"/>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0" w:name="page71"/>
    <w:bookmarkEnd w:id="70"/>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accessible and skilled healthcare centers capable of administering our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economic weakness, including inflation, fluctuating interest rates, or political instability in particular foreign economies and markets;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1" w:name="page72"/>
    <w:bookmarkEnd w:id="71"/>
    <w:p>
      <w:pPr>
        <w:ind w:left="520" w:right="12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w:t>
      </w:r>
      <w:r>
        <w:rPr>
          <w:rFonts w:ascii="Arial" w:cs="Arial" w:eastAsia="Arial" w:hAnsi="Arial"/>
          <w:sz w:val="17"/>
          <w:szCs w:val="17"/>
          <w:i w:val="1"/>
          <w:iCs w:val="1"/>
          <w:color w:val="auto"/>
        </w:rPr>
        <w:t>Business –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 Coverage and Reimbursement</w:t>
      </w:r>
      <w:r>
        <w:rPr>
          <w:rFonts w:ascii="Arial" w:cs="Arial" w:eastAsia="Arial" w:hAnsi="Arial"/>
          <w:sz w:val="17"/>
          <w:szCs w:val="17"/>
          <w:color w:val="auto"/>
        </w:rPr>
        <w:t>.”</w:t>
      </w:r>
    </w:p>
    <w:p>
      <w:pPr>
        <w:spacing w:after="0" w:line="18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CMS, an agency within the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spacing w:after="0" w:line="178"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2" w:name="page73"/>
    <w:bookmarkEnd w:id="72"/>
    <w:p>
      <w:pPr>
        <w:ind w:right="240"/>
        <w:spacing w:after="0" w:line="311" w:lineRule="auto"/>
        <w:rPr>
          <w:sz w:val="20"/>
          <w:szCs w:val="20"/>
          <w:color w:val="auto"/>
        </w:rPr>
      </w:pPr>
      <w:r>
        <w:rPr>
          <w:rFonts w:ascii="Arial" w:cs="Arial" w:eastAsia="Arial" w:hAnsi="Arial"/>
          <w:sz w:val="16"/>
          <w:szCs w:val="16"/>
          <w:color w:val="auto"/>
        </w:rPr>
        <w:t>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57"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 Moreover, if approved for marketing, because our product candidates are designed to provide their intended therapeutic benefit from a single administration, treatment with our product candidates may result in a decrease in the available pool of target patients.</w:t>
      </w:r>
    </w:p>
    <w:p>
      <w:pPr>
        <w:spacing w:after="0" w:line="303"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w:t>
      </w:r>
      <w:r>
        <w:rPr>
          <w:rFonts w:ascii="Arial" w:cs="Arial" w:eastAsia="Arial" w:hAnsi="Arial"/>
          <w:sz w:val="17"/>
          <w:szCs w:val="17"/>
          <w:i w:val="1"/>
          <w:iCs w:val="1"/>
          <w:color w:val="auto"/>
        </w:rPr>
        <w:t>“Business - Government Regulation – Healthcare Reform.”</w:t>
      </w:r>
    </w:p>
    <w:p>
      <w:pPr>
        <w:spacing w:after="0" w:line="178" w:lineRule="exact"/>
        <w:rPr>
          <w:sz w:val="20"/>
          <w:szCs w:val="20"/>
          <w:color w:val="auto"/>
        </w:rPr>
      </w:pPr>
    </w:p>
    <w:p>
      <w:pPr>
        <w:ind w:right="260" w:firstLine="509"/>
        <w:spacing w:after="0" w:line="258"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adversely affect:</w:t>
      </w:r>
    </w:p>
    <w:p>
      <w:pPr>
        <w:spacing w:after="0" w:line="1" w:lineRule="exact"/>
        <w:rPr>
          <w:sz w:val="20"/>
          <w:szCs w:val="20"/>
          <w:color w:val="auto"/>
        </w:rPr>
      </w:pPr>
    </w:p>
    <w:p>
      <w:pPr>
        <w:ind w:left="1260" w:hanging="368"/>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9" w:lineRule="exact"/>
        <w:rPr>
          <w:rFonts w:ascii="Arial" w:cs="Arial" w:eastAsia="Arial" w:hAnsi="Arial"/>
          <w:sz w:val="18"/>
          <w:szCs w:val="18"/>
          <w:color w:val="auto"/>
        </w:rPr>
      </w:pPr>
    </w:p>
    <w:p>
      <w:pPr>
        <w:ind w:left="1260" w:hanging="368"/>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to set a price that we believe is fair for any of our product candidates, if approved;</w:t>
      </w:r>
    </w:p>
    <w:p>
      <w:pPr>
        <w:spacing w:after="0" w:line="9" w:lineRule="exact"/>
        <w:rPr>
          <w:rFonts w:ascii="Arial" w:cs="Arial" w:eastAsia="Arial" w:hAnsi="Arial"/>
          <w:sz w:val="18"/>
          <w:szCs w:val="18"/>
          <w:color w:val="auto"/>
        </w:rPr>
      </w:pPr>
    </w:p>
    <w:p>
      <w:pPr>
        <w:ind w:left="1260" w:hanging="368"/>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1260" w:hanging="368"/>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260" w:hanging="368"/>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03"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existing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4" w:lineRule="exact"/>
        <w:rPr>
          <w:sz w:val="20"/>
          <w:szCs w:val="20"/>
          <w:color w:val="auto"/>
        </w:rPr>
      </w:pPr>
    </w:p>
    <w:p>
      <w:pPr>
        <w:ind w:right="220" w:firstLine="509"/>
        <w:spacing w:after="0" w:line="296"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In August 2022, the Inflation Reduction Act of 2022, or the IRA, was signed into law. The IRA includes several provisions that will impact our business to varying degrees, including provisions that create a $2,000 out-of-pocket cap for Medicare Part D beneficiaries, impose new manufacturer financial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3" w:name="page74"/>
    <w:bookmarkEnd w:id="73"/>
    <w:p>
      <w:pPr>
        <w:ind w:right="160"/>
        <w:spacing w:after="0" w:line="275" w:lineRule="auto"/>
        <w:rPr>
          <w:sz w:val="20"/>
          <w:szCs w:val="20"/>
          <w:color w:val="auto"/>
        </w:rPr>
      </w:pPr>
      <w:r>
        <w:rPr>
          <w:rFonts w:ascii="Arial" w:cs="Arial" w:eastAsia="Arial" w:hAnsi="Arial"/>
          <w:sz w:val="17"/>
          <w:szCs w:val="17"/>
          <w:color w:val="auto"/>
        </w:rPr>
        <w:t>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the IRA on our business and the healthcare industry in general is not yet known. The implementation of cost containment measures or other healthcare reforms may prevent us from being able to generate revenue, attain profitability or commercialize our product candidates.</w:t>
      </w:r>
    </w:p>
    <w:p>
      <w:pPr>
        <w:spacing w:after="0" w:line="284" w:lineRule="exact"/>
        <w:rPr>
          <w:sz w:val="20"/>
          <w:szCs w:val="20"/>
          <w:color w:val="auto"/>
        </w:rPr>
      </w:pPr>
    </w:p>
    <w:p>
      <w:pPr>
        <w:ind w:left="5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174" w:lineRule="exact"/>
        <w:rPr>
          <w:sz w:val="20"/>
          <w:szCs w:val="20"/>
          <w:color w:val="auto"/>
        </w:rPr>
      </w:pPr>
    </w:p>
    <w:p>
      <w:pPr>
        <w:ind w:left="520" w:right="12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jc w:val="both"/>
        <w:ind w:right="160" w:firstLine="509"/>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20" w:right="18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Gene therapy remains a novel technology, with only a limited number of gene therapy products approved to date. Public perception may be influenced by claims that gene therapy is unsafe, and gene therapy may not gain the acceptance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ind w:right="40"/>
        <w:spacing w:after="0" w:line="288" w:lineRule="auto"/>
        <w:rPr>
          <w:sz w:val="20"/>
          <w:szCs w:val="20"/>
          <w:color w:val="auto"/>
        </w:rPr>
      </w:pPr>
      <w:r>
        <w:rPr>
          <w:rFonts w:ascii="Arial" w:cs="Arial" w:eastAsia="Arial" w:hAnsi="Arial"/>
          <w:sz w:val="16"/>
          <w:szCs w:val="16"/>
          <w:color w:val="auto"/>
        </w:rPr>
        <w:t>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76"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executive or key employees might impede the achievement of our research, development and commercialization objectives. Recruiting and retaining other qualified employees, consultants and advisors for our business, including scientific and technical personnel, will also be critical to our success. We implemented a reduction in force in January 2022 in connection with the deprioritization of our Fabry disease program, and through the first half of 2022 we continued to streamline employee headcount including senior management. Reductions in force, management changes and program reprioritizations can have an adverse impact on employee morale. While we believe our relations with our continuing employees to be good, there can be no assurance that we can avoid hiring and retention challenges for skilled personnel in the future. There is currently a shortage of skilled executives and other personnel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ongoing COVID-19 pandemic, which could impact employees’ productivity and morale, as well as any failure to succeed in preclinical or clinical trials. In addition, in recent months, the market price of our common stock has experienced significant downward pressure, resulting in “underwater” or “out-of-the-money” stock options for many of our employees, thereby limiting the desired retentive effect that our equity incentive program was intended to achieve. The inability to recruit or the loss of the services of any executive, key employee, skilled personnel, consultant or advisor may impede the progress of our research, development and commercialization objectives.</w:t>
      </w:r>
    </w:p>
    <w:p>
      <w:pPr>
        <w:spacing w:after="0" w:line="279"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We may need to expand or streamline our operations and we may experience difficulties in managing any such changes, which could disrupt our operations.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As we mature, we may need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5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Conversely, headwinds in the overall economy and limited availability of suitable financing to meet our needs could constrain our ability to achieve our growth objectives, and could in turn lead to reductions in force or scaling back of business operations, that could impact employee morale and adversely impact our ability to manage ongoing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We may not be successful in identifying and pursuing any strategic opportunities for our programs, our technology or our plato platform, and any strategic transactions that we may consummate in the future could have negative consequences.</w:t>
      </w:r>
    </w:p>
    <w:p>
      <w:pPr>
        <w:spacing w:after="0" w:line="6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In addition to our research and development efforts for our pipeline candidates, as part of our business strategy, from time to time, we evaluate and intend to continue to evaluate opportunities to collaborate, partner, enter into joint ventures or undertake other strategic initiatives with third parties with respect to one or more of our programs, our technology or our plato platform. However, there can be no assurance that we will be able to successfully consummate any particular strategic transaction. These efforts may be costly, time-consuming and complex and we may incur significant legal, accounting and advisory fees and other expenses, some of which may be incurred regardless of whether we successfully enter into a transaction.</w:t>
      </w:r>
    </w:p>
    <w:p>
      <w:pPr>
        <w:spacing w:after="0" w:line="5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Furthermore, any strategic transactions that we may pursue could have a variety of negative consequences and we may enter into a transaction that yields unexpected results that adversely affects our business and decreases the remaining cash available for use in our business. There can be no assurances that any particular course of action, business arrangement or transaction, or series of transactions, will be pursued, successfully consummated, lead to increased stockholder value, or achieve the anticipated results.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realize any additional value in a strategic transaction.</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market capitalization of our company is below the value of our cash and cash equivalents. Potential counterparties in a strategic transaction involving our company may place minimal or no value on our assets, including the programs in our pipeline.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our company may choose not to spend additional resources and continue development of our product candidates and may attribute little or no value, in such a transaction, to those product candidates.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pursue strategic transactions depends on our ability to retain our employees.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ability to pursue strategic transactions depends upon our ability to retain our employees, the loss of whose services may adversely impact the ability to identify, negotiate and consummate such transaction. In January 2022, we restructured our organization, which significantly reduced our workforce in order to conserve our capital resources. Our cash conservation activities may yield unintended consequences, such as attrition beyond our planned reduction in workforce and reduced employee morale, which may cause remaining employees to seek alternative employment. If we are unable to successfully retain our remaining personnel, we are at risk of a disruption to our exploration and consummation of one or more strategic transactions as well as business operations.</w:t>
      </w:r>
    </w:p>
    <w:p>
      <w:pPr>
        <w:spacing w:after="0" w:line="327" w:lineRule="exact"/>
        <w:rPr>
          <w:sz w:val="20"/>
          <w:szCs w:val="20"/>
          <w:color w:val="auto"/>
        </w:rPr>
      </w:pPr>
    </w:p>
    <w:p>
      <w:pPr>
        <w:ind w:left="520" w:right="60" w:firstLine="54"/>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conduct in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76" w:name="page77"/>
    <w:bookmarkEnd w:id="76"/>
    <w:p>
      <w:pPr>
        <w:ind w:right="40"/>
        <w:spacing w:after="0" w:line="270" w:lineRule="auto"/>
        <w:rPr>
          <w:sz w:val="20"/>
          <w:szCs w:val="20"/>
          <w:color w:val="auto"/>
        </w:rPr>
      </w:pPr>
      <w:r>
        <w:rPr>
          <w:rFonts w:ascii="Arial" w:cs="Arial" w:eastAsia="Arial" w:hAnsi="Arial"/>
          <w:sz w:val="17"/>
          <w:szCs w:val="17"/>
          <w:color w:val="auto"/>
        </w:rPr>
        <w:t>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9"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ind w:left="520" w:right="140"/>
        <w:spacing w:after="0" w:line="263" w:lineRule="auto"/>
        <w:rPr>
          <w:sz w:val="20"/>
          <w:szCs w:val="20"/>
          <w:color w:val="auto"/>
        </w:rPr>
      </w:pPr>
      <w:r>
        <w:rPr>
          <w:rFonts w:ascii="Arial" w:cs="Arial" w:eastAsia="Arial" w:hAnsi="Arial"/>
          <w:sz w:val="18"/>
          <w:szCs w:val="18"/>
          <w:b w:val="1"/>
          <w:bCs w:val="1"/>
          <w:i w:val="1"/>
          <w:iCs w:val="1"/>
          <w:color w:val="auto"/>
        </w:rPr>
        <w:t>We are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are subject, and may be increasingly subject if we obtain FDA approval for any of our product candidates , to various federal and state fraud and abuse laws and regulations, including, without limitation, the federal Health Care Program Anti-Kickback Statute, the federal civil and criminal False Claims Act and Physician Payments Sunshine Act and regulations. See Section entitled “Business - Government Regulation - Other Healthcare Laws and Compliance Requirements.”</w:t>
      </w:r>
    </w:p>
    <w:p>
      <w:pPr>
        <w:spacing w:after="0" w:line="7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These laws will impact, among other things, our clinical trial programs, healthcare professional interactions, grant making activities, and our anticipated sales, marketing and medical educational programs. In addition, we may be subject to patient privacy laws by both the federal government and the states in which we conduct our business.</w:t>
      </w:r>
    </w:p>
    <w:p>
      <w:pPr>
        <w:spacing w:after="0" w:line="1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7" w:name="page78"/>
    <w:bookmarkEnd w:id="77"/>
    <w:p>
      <w:pPr>
        <w:ind w:right="100"/>
        <w:spacing w:after="0" w:line="277" w:lineRule="auto"/>
        <w:rPr>
          <w:sz w:val="20"/>
          <w:szCs w:val="20"/>
          <w:color w:val="auto"/>
        </w:rPr>
      </w:pPr>
      <w:r>
        <w:rPr>
          <w:rFonts w:ascii="Arial" w:cs="Arial" w:eastAsia="Arial" w:hAnsi="Arial"/>
          <w:sz w:val="18"/>
          <w:szCs w:val="18"/>
          <w:color w:val="auto"/>
        </w:rPr>
        <w:t>be subject to criminal, civil or administrative sanctions, including exclusions from government funded healthcare programs. Prohibitions or restrictions on personnel, sales or withdrawal of future marketed products could materially affect business in an adverse way.</w:t>
      </w:r>
    </w:p>
    <w:p>
      <w:pPr>
        <w:spacing w:after="0" w:line="170"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and the UK is governed by the provisions of the GDPR (references to the GDPR include the “UK GDPR” unless specified otherwise).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EU or the UK. Its definition of personal data includes coded data, requires changes to informed consent practices and detailed notices for clinical trial subjects and investigators. In addition, the GDPR imposes strict rules on the transfer of personal data out of the EU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whichever is greater, and confers a private right of action on data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8" w:name="page79"/>
    <w:bookmarkEnd w:id="78"/>
    <w:p>
      <w:pPr>
        <w:ind w:right="80"/>
        <w:spacing w:after="0" w:line="263" w:lineRule="auto"/>
        <w:rPr>
          <w:sz w:val="20"/>
          <w:szCs w:val="20"/>
          <w:color w:val="auto"/>
        </w:rPr>
      </w:pPr>
      <w:r>
        <w:rPr>
          <w:rFonts w:ascii="Arial" w:cs="Arial" w:eastAsia="Arial" w:hAnsi="Arial"/>
          <w:sz w:val="18"/>
          <w:szCs w:val="18"/>
          <w:color w:val="auto"/>
        </w:rPr>
        <w:t>subjects and consumer associations to lodge complaints with supervisory authorities, seek judicial remedies, and obtain compensation for damages resulting from violations of the GDPR. In addition, the GDPR provides that EU member states or the UK may make their own further laws and regulations limiting the processing of personal data, including genetic, biometric, or health data.</w:t>
      </w:r>
    </w:p>
    <w:p>
      <w:pPr>
        <w:spacing w:after="0" w:line="76"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w:t>
      </w:r>
    </w:p>
    <w:p>
      <w:pPr>
        <w:spacing w:after="0" w:line="76"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It is possible that over time the GDPR and the UK GDPR will diverge further. The UK government has announced plans to reform the data protection legal framework in the UK in its Data Reform Bill but this is not yet in final form. This lack of clarity on future UK laws and regulations and their interaction with EU laws and regulations could add legal risk, uncertainty, complexity and cost to our handling of personal information and our privacy and data security compliance programs and could require us to implement different compliance measures for the UK and the EU.</w:t>
      </w:r>
    </w:p>
    <w:p>
      <w:pPr>
        <w:spacing w:after="0" w:line="63"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To enable the transfer of personal data outside of the EU or the UK, adequate safeguards must be implemented in compliance with the GDPR laws. On June 4, 2021, the EC issued new forms of standard contractual clauses for data transfers from controllers or processors in the EU (or otherwise subject to the GDPR) to controllers or processors established outside the EU (and not subject to the GDPR). As of December 27, 2022 the new standard contractual clauses replace the standard contractual clauses that were adopted previously under the EU Data Protection Directive. The UK is not subject to the EC’s new standard contractual clauses but has published the UK International Data Transfer Agreement and the International Data Transfer Addendum to the new standard contractual clauses (the “IDTA”), which enable transfers from the UK. For new transfers, the IDTA already needs to be in place, and it must be in place for all existing transfers from the UK from March 21, 2024. Companies relying on standard contractual clauses of IDTA to govern transfers of personal data to third countries (in particular the United States) will also need to assess whether the data importer can ensure sufficient guarantees for safeguarding the personal data under GDPR, including an analysis of the laws in the recipient’s country. We are required to implement these new safeguards when conducting restricted data transfers under the EU and UK GDPR and doing so will require significant effort and cost.</w:t>
      </w:r>
    </w:p>
    <w:p>
      <w:pPr>
        <w:spacing w:after="0" w:line="60"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6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Although the UK is regarded as a third country under the EU GDPR, the EC has issued a decision recognizing the UK as providing adequate protection under the EU GDPR and, therefore, transfers of personal data originating in the EU to the UK remain unrestricted. Like the EU GDPR, the UK GDPR restricts personal data transfers outside the UK to countries not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9" w:name="page80"/>
    <w:bookmarkEnd w:id="79"/>
    <w:p>
      <w:pPr>
        <w:ind w:right="220"/>
        <w:spacing w:after="0" w:line="277" w:lineRule="auto"/>
        <w:rPr>
          <w:sz w:val="20"/>
          <w:szCs w:val="20"/>
          <w:color w:val="auto"/>
        </w:rPr>
      </w:pPr>
      <w:r>
        <w:rPr>
          <w:rFonts w:ascii="Arial" w:cs="Arial" w:eastAsia="Arial" w:hAnsi="Arial"/>
          <w:sz w:val="18"/>
          <w:szCs w:val="18"/>
          <w:color w:val="auto"/>
        </w:rPr>
        <w:t>regarded by the UK as providing adequate protection. The UK government has confirmed that personal data transfers from the UK to the EU remain free flowing.</w:t>
      </w:r>
    </w:p>
    <w:p>
      <w:pPr>
        <w:spacing w:after="0" w:line="278" w:lineRule="exact"/>
        <w:rPr>
          <w:sz w:val="20"/>
          <w:szCs w:val="20"/>
          <w:color w:val="auto"/>
        </w:rPr>
      </w:pPr>
    </w:p>
    <w:p>
      <w:pPr>
        <w:jc w:val="both"/>
        <w:ind w:left="520" w:right="4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use of our product candidates including in clinical studies and the future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0" w:name="page81"/>
    <w:bookmarkEnd w:id="80"/>
    <w:p>
      <w:pPr>
        <w:ind w:right="20"/>
        <w:spacing w:after="0" w:line="275" w:lineRule="auto"/>
        <w:rPr>
          <w:sz w:val="20"/>
          <w:szCs w:val="20"/>
          <w:color w:val="auto"/>
        </w:rPr>
      </w:pPr>
      <w:r>
        <w:rPr>
          <w:rFonts w:ascii="Arial" w:cs="Arial" w:eastAsia="Arial" w:hAnsi="Arial"/>
          <w:sz w:val="17"/>
          <w:szCs w:val="17"/>
          <w:color w:val="auto"/>
        </w:rPr>
        <w:t>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ind w:left="520" w:right="9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As of December 31, 2022 and 2021, we had federal and state net operating loss carryforwards of $340.4 million and $313.0 million, respectively, and federal research and development tax credit carryforwards of approximately $6.8 million and $6.2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1" w:name="page82"/>
    <w:bookmarkEnd w:id="81"/>
    <w:p>
      <w:pPr>
        <w:ind w:right="640"/>
        <w:spacing w:after="0" w:line="308" w:lineRule="auto"/>
        <w:rPr>
          <w:sz w:val="20"/>
          <w:szCs w:val="20"/>
          <w:color w:val="auto"/>
        </w:rPr>
      </w:pPr>
      <w:r>
        <w:rPr>
          <w:rFonts w:ascii="Arial" w:cs="Arial" w:eastAsia="Arial" w:hAnsi="Arial"/>
          <w:sz w:val="17"/>
          <w:szCs w:val="17"/>
          <w:color w:val="auto"/>
        </w:rPr>
        <w:t>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4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which we deprioritized in January 2022) and affiliates of Lund University (relevant to AVR-RD-02 and our Gaucher type 1 and type 3 programs). In addition, we have in-licensed patents and patent applications from BioMarin Pharmaceutical Inc., or BioMarin (relevant to AVR-RD-03 and our Pompe program), GenStem Therapeutics, Inc., which was subsequently assigned to Papillon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8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ind w:right="20" w:firstLine="509"/>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Papillon,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20" w:right="4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and AVR-RD-05, we currently have no owned or in-licensed patents or patent applications covering AVR-RD-01, or AVR-RD-02, and the patent applications that we in-licensed related to AVR-RD-04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spacing w:after="0" w:line="254" w:lineRule="auto"/>
        <w:rPr>
          <w:sz w:val="20"/>
          <w:szCs w:val="20"/>
          <w:color w:val="auto"/>
        </w:rPr>
      </w:pPr>
      <w:r>
        <w:rPr>
          <w:rFonts w:ascii="Arial" w:cs="Arial" w:eastAsia="Arial" w:hAnsi="Arial"/>
          <w:sz w:val="18"/>
          <w:szCs w:val="18"/>
          <w:color w:val="auto"/>
        </w:rPr>
        <w:t>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6"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4" w:name="page85"/>
    <w:bookmarkEnd w:id="84"/>
    <w:p>
      <w:pPr>
        <w:ind w:lef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left="520" w:right="10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Some of the intellectual property rights we have licensed, including rights licensed to us by Papillon,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originally licensed from GenStem Therapeutics, Inc., who subsequently assigned the license to Papillon.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ind w:right="20"/>
        <w:spacing w:after="0" w:line="290" w:lineRule="auto"/>
        <w:rPr>
          <w:sz w:val="20"/>
          <w:szCs w:val="20"/>
          <w:color w:val="auto"/>
        </w:rPr>
      </w:pPr>
      <w:r>
        <w:rPr>
          <w:rFonts w:ascii="Arial" w:cs="Arial" w:eastAsia="Arial" w:hAnsi="Arial"/>
          <w:sz w:val="16"/>
          <w:szCs w:val="16"/>
          <w:color w:val="auto"/>
        </w:rPr>
        <w:t>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to UCSD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6"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6" w:name="page87"/>
    <w:bookmarkEnd w:id="86"/>
    <w:p>
      <w:pPr>
        <w:ind w:right="20" w:firstLine="509"/>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7" w:name="page88"/>
    <w:bookmarkEnd w:id="87"/>
    <w:p>
      <w:pPr>
        <w:ind w:left="52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00" w:right="54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900" w:right="44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900" w:right="860" w:hanging="383"/>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900" w:right="80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March 1, 2023, the trading price of our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results or delays in ongoing or planned preclinical studies or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by us to comply with the terms of our Term Loan Agreement;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partners or our competitors;</w:t>
      </w:r>
    </w:p>
    <w:p>
      <w:pPr>
        <w:spacing w:after="0" w:line="62"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 or other skilled personnel;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Nasdaq ,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9" w:name="page90"/>
    <w:bookmarkEnd w:id="89"/>
    <w:p>
      <w:pPr>
        <w:ind w:right="200"/>
        <w:spacing w:after="0" w:line="277" w:lineRule="auto"/>
        <w:rPr>
          <w:sz w:val="20"/>
          <w:szCs w:val="20"/>
          <w:color w:val="auto"/>
        </w:rPr>
      </w:pPr>
      <w:r>
        <w:rPr>
          <w:rFonts w:ascii="Arial" w:cs="Arial" w:eastAsia="Arial" w:hAnsi="Arial"/>
          <w:sz w:val="18"/>
          <w:szCs w:val="18"/>
          <w:color w:val="auto"/>
        </w:rPr>
        <w:t>likely decline. In addition, if one or more analysts cease coverage of our company or fail to regularly publish reports on us, we could lose visibility in the financial markets, which could cause our share price or trading volume to decline.</w:t>
      </w:r>
    </w:p>
    <w:p>
      <w:pPr>
        <w:spacing w:after="0" w:line="278"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Based on shares outstanding as of March 16, 2023, our executive officers, directors, five percent stockholders and their affiliates beneficially owned approximately 32%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293"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509"/>
        <w:spacing w:after="0" w:line="287"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$1.235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53" w:lineRule="auto"/>
        <w:tabs>
          <w:tab w:leader="none" w:pos="3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rFonts w:ascii="Arial" w:cs="Arial" w:eastAsia="Arial" w:hAnsi="Arial"/>
          <w:sz w:val="18"/>
          <w:szCs w:val="18"/>
          <w:color w:val="auto"/>
        </w:rPr>
      </w:pPr>
    </w:p>
    <w:p>
      <w:pPr>
        <w:ind w:left="900" w:hanging="383"/>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900" w:right="580" w:hanging="383"/>
        <w:spacing w:after="0" w:line="263"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900" w:right="240" w:hanging="383"/>
        <w:spacing w:after="0" w:line="34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not included in this Annual Report, and do not intend to include in our 2023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0" w:name="page91"/>
    <w:bookmarkEnd w:id="90"/>
    <w:p>
      <w:pPr>
        <w:ind w:right="160" w:firstLine="509"/>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92" w:lineRule="exact"/>
        <w:rPr>
          <w:sz w:val="20"/>
          <w:szCs w:val="20"/>
          <w:color w:val="auto"/>
        </w:rPr>
      </w:pPr>
    </w:p>
    <w:p>
      <w:pPr>
        <w:ind w:left="520" w:right="7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20" w:right="4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b w:val="1"/>
          <w:bCs w:val="1"/>
          <w:i w:val="1"/>
          <w:iCs w:val="1"/>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1" w:name="page92"/>
    <w:bookmarkEnd w:id="91"/>
    <w:p>
      <w:pPr>
        <w:ind w:right="20" w:firstLine="509"/>
        <w:spacing w:after="0" w:line="273" w:lineRule="auto"/>
        <w:rPr>
          <w:sz w:val="20"/>
          <w:szCs w:val="20"/>
          <w:color w:val="auto"/>
        </w:rPr>
      </w:pPr>
      <w:r>
        <w:rPr>
          <w:rFonts w:ascii="Arial" w:cs="Arial" w:eastAsia="Arial" w:hAnsi="Arial"/>
          <w:sz w:val="17"/>
          <w:szCs w:val="17"/>
          <w:color w:val="auto"/>
        </w:rPr>
        <w:t>We expect to continue our efforts to improve our control processes, though there can be no assurance that our efforts will ultimately be successful or avoid potential material weaknesses, and we expect to continue incurring additional costs as a result of these efforts. If we are unable to successfully remediate any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00"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March 1, 2023,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Term Loan Agreement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4" w:lineRule="exact"/>
        <w:rPr>
          <w:sz w:val="20"/>
          <w:szCs w:val="20"/>
          <w:color w:val="auto"/>
        </w:rPr>
      </w:pPr>
    </w:p>
    <w:p>
      <w:pPr>
        <w:ind w:left="520" w:right="42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6"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900" w:hanging="383"/>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2" w:name="page93"/>
    <w:bookmarkEnd w:id="92"/>
    <w:p>
      <w:pPr>
        <w:ind w:left="900" w:right="660" w:hanging="383"/>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900" w:right="80" w:hanging="383"/>
        <w:spacing w:after="0" w:line="263"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00" w:firstLine="509"/>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68"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3" w:name="page94"/>
    <w:bookmarkEnd w:id="93"/>
    <w:p>
      <w:pPr>
        <w:ind w:left="5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requirement to maintain a minimum bid price of $1.00 per share pursuant to Nasdaq Listing Rule 5450(a)(1), or the Minimum Bid Price Requirement, Nasdaq may take steps to delist our common stock.</w:t>
      </w:r>
    </w:p>
    <w:p>
      <w:pPr>
        <w:spacing w:after="0" w:line="18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On October 4, 2022, we received a written notice from the staff, or the Staff, of Nasdaq’s Listing Qualifications Department, notifying us that, for the 30 consecutive business day period between August 22, 2022 through October 3, 2022, our common stock had not complied with the Minimum Bid Price Requirement. Nasdaq’s written notice did not result in the immediate delisting of our common stock from Nasdaq. In accordance with Nasdaq Listing Rule 5810(c)(3)(A), the Company had 180 calendar days, or until April 3, 2023, or the Compliance Date, to regain compliance with the Minimum Bid Price Requirement.</w:t>
      </w:r>
    </w:p>
    <w:p>
      <w:pPr>
        <w:spacing w:after="0" w:line="188" w:lineRule="exact"/>
        <w:rPr>
          <w:sz w:val="20"/>
          <w:szCs w:val="20"/>
          <w:color w:val="auto"/>
        </w:rPr>
      </w:pPr>
    </w:p>
    <w:p>
      <w:pPr>
        <w:jc w:val="both"/>
        <w:ind w:right="380" w:firstLine="509"/>
        <w:spacing w:after="0" w:line="286" w:lineRule="auto"/>
        <w:rPr>
          <w:sz w:val="20"/>
          <w:szCs w:val="20"/>
          <w:color w:val="auto"/>
        </w:rPr>
      </w:pPr>
      <w:r>
        <w:rPr>
          <w:rFonts w:ascii="Arial" w:cs="Arial" w:eastAsia="Arial" w:hAnsi="Arial"/>
          <w:sz w:val="17"/>
          <w:szCs w:val="17"/>
          <w:color w:val="auto"/>
        </w:rPr>
        <w:t>On February 23, 2023, we received a written notice from the Staff notifying us that for 10 consecutive business days, from February 8, 2023 to February 22, 2023, the closing bid price of our common stock was at $1.00 per share or greater. Accordingly, the Staff advised us that we had regained compliance with the Minimum Bid Price Requirement and indicated that the matter was now closed.</w:t>
      </w:r>
    </w:p>
    <w:p>
      <w:pPr>
        <w:spacing w:after="0" w:line="16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While we have regained compliance with the Minimum Bid Price Requirement as of the date of this Annual Report, we can provide no assurance that we will continue to remain in compliance with the Minimum Bid Price Requirement. If we are unable to maintain compliance with any of Nasdaq’s continued listing requirements in the future, we may be subject to delisting. At that time, we may appeal the Staff’s delisting determination to a Nasdaq Hearing Panel. There can no assurance that, if we receive a delisting notice and appeal the delisting determination by the Staff to the Nasdaq Hearing Panel, such appeal would be successful.</w:t>
      </w:r>
    </w:p>
    <w:p>
      <w:pPr>
        <w:spacing w:after="0" w:line="188"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Such a delisting would likely have a negative effect on the price of our common stock and would impair your ability to sell or purchase our common stock when you wish to do so. Any such delisting could also adversely impact our ability to raise additional capital or enter into strategic transactions. Additionally, if our common stock is not listed on, or becomes delisted from, Nasdaq for any reason, trading our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our common stock may be more limited than if we were quoted or listed on Nasdaq or another national securities exchange. In such circumstances, you may be unable to sell your common stock unless a market can be established or sustained.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89"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4" w:name="page95"/>
    <w:bookmarkEnd w:id="94"/>
    <w:p>
      <w:pPr>
        <w:ind w:right="260"/>
        <w:spacing w:after="0" w:line="259" w:lineRule="auto"/>
        <w:rPr>
          <w:sz w:val="20"/>
          <w:szCs w:val="20"/>
          <w:color w:val="auto"/>
        </w:rPr>
      </w:pPr>
      <w:r>
        <w:rPr>
          <w:rFonts w:ascii="Arial" w:cs="Arial" w:eastAsia="Arial" w:hAnsi="Arial"/>
          <w:sz w:val="18"/>
          <w:szCs w:val="18"/>
          <w:color w:val="auto"/>
        </w:rPr>
        <w:t>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95"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corporate headquarters are located in Cambridge, Massachusetts, and encompasses a total of approximately 26,114 square feet of leased office space and laboratory facilities, pursuant to a sub-sublease. We initially entered into the sub-sublease for 13,643 square feet of laboratory space, or the Lab Sublease, in August 2018. The Lab Sublease was set to expire in April 2022. In January 2022, we amended the Lab Sublease to increase the premises to a total of 26,114 square feet and extend the term through April 30, 2023, and we have thereafter agreed to extend the Lab Sublease through April 30, 2024. In June 2020, we entered into a lease agreement for 3,885 square feet of office space located in Toronto, Ontario, Canada, which expires in June 2025. In October 2022, we subleased the entirety of the Toronto leased office space to a third party for a term extending through June 2025. We believe that our office and laboratory space is sufficient to meet our current needs and that suitable additional space or alternative space will be available as needed on commercially reasonable terms.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620"/>
        <w:spacing w:after="0" w:line="378"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i w:val="1"/>
          <w:iCs w:val="1"/>
          <w:color w:val="auto"/>
        </w:rPr>
        <w:t>Market Information</w:t>
      </w:r>
    </w:p>
    <w:p>
      <w:pPr>
        <w:ind w:firstLine="509"/>
        <w:spacing w:after="0" w:line="342" w:lineRule="auto"/>
        <w:rPr>
          <w:sz w:val="20"/>
          <w:szCs w:val="20"/>
          <w:color w:val="auto"/>
        </w:rPr>
      </w:pPr>
      <w:r>
        <w:rPr>
          <w:rFonts w:ascii="Arial" w:cs="Arial" w:eastAsia="Arial" w:hAnsi="Arial"/>
          <w:sz w:val="16"/>
          <w:szCs w:val="16"/>
          <w:color w:val="auto"/>
        </w:rPr>
        <w:t>Our common stock is traded on the Nasdaq Global Select Market under the symbol “AVRO”. Trading of our common stock commenced on June 21, 2018, following the completion of our initial public offering. Prior to that time, there was no established public trading market for our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 of Common Stock</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As of March 10, 2023, the number of holders of record of our common stock was eight. The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 Use of Proceeds from Registered Offerings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sell any unregistered equity securities during the period covered by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i w:val="1"/>
          <w:iCs w:val="1"/>
          <w:color w:val="auto"/>
        </w:rPr>
        <w:t>Our management’s discussion and analysis of our financial condition and results of operations are based upon our consolidated financial statements included in this Annual Report on Form 10-K, which have been prepared by us in accordance with United States generally accepted accounting principles, or GAAP, and with Regulation S-X promulgated under the Securities Exchange Act of 1934, as amended. This discussion and analysis should be read in conjunction with the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Risk Factors of this Annual Report on Form 10-K,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are a clinical-stage gene therapy company with a purpose to free people from a lifetime of genetic disease. Our company is focused on developing potentially curative HSC gene therapies to treat patients with rare diseases following a single dose treatment regimen. Our gene therapies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$3.5 billion in worldwide net sales in 2022.</w:t>
      </w:r>
    </w:p>
    <w:p>
      <w:pPr>
        <w:spacing w:after="0" w:line="19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pipeline is comprised of four HSC gene therapy programs: AVR-RD-02 for the treatment of Gaucher disease type 1 and type 3; AVR-RD-04 for the treatment of cystinosis; AVR-RD-05 for the treatment of neuronopathic mucopolysaccharidosis type II, or MPS-II or Hunter syndrome; and AVR-RD-03 for the treatment of Pompe disease.</w:t>
      </w:r>
    </w:p>
    <w:p>
      <w:pPr>
        <w:spacing w:after="0" w:line="184"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AVR-RD-02 is currently being studied for the treatment of Gaucher disease type 1 in a Company-sponsored Phase 1/2 clinical trial, which we refer to as the Guard1 clinical trial. As of March 20, 2023, four patients have been dosed in the Guard1 clinical trial, and six patients have been enrolled. We are actively recruiting additional potential patients for our currently active Guard1 trial sites. We are also planning for a registrational global Phase 2/3 clinical trial of AVR-RD-02 for the treatment of Gaucher disease type 3, which we refer to as the Guard3 clinical trial. We currently are planning for the Guard3 clinical trial to be initiated in the second half of 2023, subject to regulatory alignment.</w:t>
      </w:r>
    </w:p>
    <w:p>
      <w:pPr>
        <w:spacing w:after="0" w:line="176" w:lineRule="exact"/>
        <w:rPr>
          <w:sz w:val="20"/>
          <w:szCs w:val="20"/>
          <w:color w:val="auto"/>
        </w:rPr>
      </w:pPr>
    </w:p>
    <w:p>
      <w:pPr>
        <w:jc w:val="both"/>
        <w:ind w:right="220" w:firstLine="509"/>
        <w:spacing w:after="0" w:line="259" w:lineRule="auto"/>
        <w:rPr>
          <w:sz w:val="20"/>
          <w:szCs w:val="20"/>
          <w:color w:val="auto"/>
        </w:rPr>
      </w:pPr>
      <w:r>
        <w:rPr>
          <w:rFonts w:ascii="Arial" w:cs="Arial" w:eastAsia="Arial" w:hAnsi="Arial"/>
          <w:sz w:val="18"/>
          <w:szCs w:val="18"/>
          <w:color w:val="auto"/>
        </w:rPr>
        <w:t>AVR-RD-04 is currently being studied for the treatment of cystinosis by our collaborators at UCSD in a Phase 1/2 collaborator-sponsored clinical trial. Enrollment of this clinical trial is complete with a total of six patients dosed. In addition, based on recent regulatory interactions and feedback and subject to regulatory clearance, we are planning to initiate activities for a Company-sponsored Phase 1/2 clinical trial of AVR-RD-04 for the treatment of cystinosis in the second half of 2023, which is designed to be registration-enabling.</w:t>
      </w:r>
    </w:p>
    <w:p>
      <w:pPr>
        <w:spacing w:after="0" w:line="187" w:lineRule="exact"/>
        <w:rPr>
          <w:sz w:val="20"/>
          <w:szCs w:val="20"/>
          <w:color w:val="auto"/>
        </w:rPr>
      </w:pPr>
    </w:p>
    <w:p>
      <w:pPr>
        <w:jc w:val="both"/>
        <w:ind w:right="220" w:firstLine="509"/>
        <w:spacing w:after="0" w:line="277" w:lineRule="auto"/>
        <w:rPr>
          <w:sz w:val="20"/>
          <w:szCs w:val="20"/>
          <w:color w:val="auto"/>
        </w:rPr>
      </w:pPr>
      <w:r>
        <w:rPr>
          <w:rFonts w:ascii="Arial" w:cs="Arial" w:eastAsia="Arial" w:hAnsi="Arial"/>
          <w:sz w:val="18"/>
          <w:szCs w:val="18"/>
          <w:color w:val="auto"/>
        </w:rPr>
        <w:t>AVR-RD-05 is being studied for the treatment of Hunter syndrome by our collaborators at The University of Manchester, and we currently expect the Phase 1/2 collaborator-sponsored clinical trial will be initiated in 2023.</w:t>
      </w:r>
    </w:p>
    <w:p>
      <w:pPr>
        <w:spacing w:after="0" w:line="17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AVR-RD-03 is our preclinical program for Pompe disease. While we continue to advance AVR-RD-03, we are prioritizing our Gaucher disease and cystinosis clinical programs. As a result, we no longer expect to initiate a clinical trial for AVR-RD-03 in 2023.</w:t>
      </w:r>
    </w:p>
    <w:p>
      <w:pPr>
        <w:spacing w:after="0" w:line="170"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January 2022, we announced the deprioritization of AVR-RD-01, our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we refer to as the FAB-GT clinical trial. As a result of the deprioritization, the Company stopped enrollment of its Phase 2 FAB-GT clinical trial and continues to focus on its other pipeline programs.</w:t>
      </w:r>
    </w:p>
    <w:p>
      <w:pPr>
        <w:spacing w:after="0" w:line="17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ind w:right="100"/>
        <w:spacing w:after="0" w:line="301" w:lineRule="auto"/>
        <w:rPr>
          <w:sz w:val="20"/>
          <w:szCs w:val="20"/>
          <w:color w:val="auto"/>
        </w:rPr>
      </w:pPr>
      <w:r>
        <w:rPr>
          <w:rFonts w:ascii="Arial" w:cs="Arial" w:eastAsia="Arial" w:hAnsi="Arial"/>
          <w:sz w:val="16"/>
          <w:szCs w:val="16"/>
          <w:color w:val="auto"/>
        </w:rPr>
        <w:t>the private placement of our securities and through public offerings of our common stock. Through December 31, 2022,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$23.5 million from sales of our common stock through our 2019 “at-the-market” facility, or 2019 ATM Facility.</w:t>
      </w:r>
    </w:p>
    <w:p>
      <w:pPr>
        <w:spacing w:after="0" w:line="15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$105.9 million and $119.1 million for the years ended December 31, 2022 and 2021, respectively. As of December 31, 2022, we had an accumulated deficit of $489.4 million. We expect to continue to incur significant expenses for at least the next several years as we advance our current and future product candidates from discovery through preclinical development and clinical trials and seek regulatory approval of our product candidates. Our pipeline consists of four investigational gene therapies, two of which are currently in clinical development. As a result,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6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2019 ATM Facility as well as proceeds under our Term Loan Agreement. We may also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As of December 31, 2022, we had cash and cash equivalents of $92.6 million. We believe that our existing cash and cash equivalents as of December 31, 2022 will enable us to fund our operating expenses and capital expenditure requirements into the first quarter of 2024. We have based this estimate on assumptions that may prove to be wrong, and we could exhaust our available capital resources sooner than we expect. See “</w:t>
      </w:r>
      <w:r>
        <w:rPr>
          <w:rFonts w:ascii="Arial" w:cs="Arial" w:eastAsia="Arial" w:hAnsi="Arial"/>
          <w:sz w:val="16"/>
          <w:szCs w:val="16"/>
          <w:i w:val="1"/>
          <w:iCs w:val="1"/>
          <w:color w:val="auto"/>
        </w:rPr>
        <w:t>Liquidity and</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Resources.</w:t>
      </w:r>
      <w:r>
        <w:rPr>
          <w:rFonts w:ascii="Arial" w:cs="Arial" w:eastAsia="Arial" w:hAnsi="Arial"/>
          <w:sz w:val="16"/>
          <w:szCs w:val="16"/>
          <w:color w:val="auto"/>
        </w:rPr>
        <w:t>” To finance our operations beyond that point, we will need to raise additional capital, which cannot be assured.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900" w:hanging="368"/>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7" w:lineRule="exact"/>
        <w:rPr>
          <w:rFonts w:ascii="Arial" w:cs="Arial" w:eastAsia="Arial" w:hAnsi="Arial"/>
          <w:sz w:val="18"/>
          <w:szCs w:val="18"/>
          <w:color w:val="auto"/>
        </w:rPr>
      </w:pPr>
    </w:p>
    <w:p>
      <w:pPr>
        <w:ind w:left="900" w:hanging="368"/>
        <w:spacing w:after="0" w:line="308"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900" w:right="40" w:hanging="368"/>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9" w:name="page100"/>
    <w:bookmarkEnd w:id="99"/>
    <w:p>
      <w:pPr>
        <w:ind w:left="900" w:hanging="368"/>
        <w:spacing w:after="0" w:line="207" w:lineRule="exact"/>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117" w:lineRule="exact"/>
        <w:rPr>
          <w:rFonts w:ascii="Arial" w:cs="Arial" w:eastAsia="Arial" w:hAnsi="Arial"/>
          <w:sz w:val="18"/>
          <w:szCs w:val="18"/>
          <w:color w:val="auto"/>
        </w:rPr>
      </w:pPr>
    </w:p>
    <w:p>
      <w:pPr>
        <w:ind w:left="900" w:right="540" w:hanging="368"/>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280" w:firstLine="509"/>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57"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9,644</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12,402</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Gaucher</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6,748</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Cystinosis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5,104</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Other research activities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43,362</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72,186</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83,114</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9"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900" w:hanging="368"/>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900" w:hanging="368"/>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00" w:name="page101"/>
    <w:bookmarkEnd w:id="100"/>
    <w:p>
      <w:pPr>
        <w:ind w:left="900" w:hanging="368"/>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28" w:lineRule="exact"/>
        <w:rPr>
          <w:rFonts w:ascii="Arial" w:cs="Arial" w:eastAsia="Arial" w:hAnsi="Arial"/>
          <w:sz w:val="17"/>
          <w:szCs w:val="17"/>
          <w:color w:val="auto"/>
        </w:rPr>
      </w:pPr>
    </w:p>
    <w:p>
      <w:pPr>
        <w:ind w:left="900" w:hanging="368"/>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risks disclosed in the section entitled “Risk Factors” of this Annual Report on Form 10-K.</w:t>
      </w:r>
    </w:p>
    <w:p>
      <w:pPr>
        <w:spacing w:after="0" w:line="225"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other commercialization-related expenses as a result of our preparation for commercial operations, especially as it relates to the sales and marketing of our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Other (expense) income, net primarily consists of interest income earned on our cash and cash equivalents, changes in foreign currency, and interest expense related to our Term Loan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Change</w:t>
            </w:r>
          </w:p>
        </w:tc>
      </w:tr>
      <w:tr>
        <w:trPr>
          <w:trHeight w:val="237"/>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72,186</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83,114</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(10,928 )</w:t>
            </w:r>
          </w:p>
        </w:tc>
      </w:tr>
      <w:tr>
        <w:trPr>
          <w:trHeight w:val="243"/>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(2,479 )</w:t>
            </w:r>
          </w:p>
        </w:tc>
      </w:tr>
      <w:tr>
        <w:trPr>
          <w:trHeight w:val="20"/>
        </w:trPr>
        <w:tc>
          <w:tcPr>
            <w:tcW w:w="5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9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105,434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118,841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(13,407 )</w:t>
            </w:r>
          </w:p>
        </w:tc>
      </w:tr>
      <w:tr>
        <w:trPr>
          <w:trHeight w:val="24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(105,434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(118,841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13,407</w:t>
            </w:r>
          </w:p>
        </w:tc>
        <w:tc>
          <w:tcPr>
            <w:tcW w:w="100" w:type="dxa"/>
            <w:vAlign w:val="bottom"/>
            <w:shd w:val="clear" w:color="auto" w:fill="CFF0FC"/>
          </w:tcPr>
          <w:p>
            <w:pPr>
              <w:spacing w:after="0"/>
              <w:rPr>
                <w:sz w:val="21"/>
                <w:szCs w:val="2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income, net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(299 )</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(224 )</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(75 )</w:t>
            </w: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(157 )</w:t>
            </w:r>
          </w:p>
        </w:tc>
        <w:tc>
          <w:tcPr>
            <w:tcW w:w="38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(61 )</w:t>
            </w: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(96 )</w:t>
            </w:r>
          </w:p>
        </w:tc>
      </w:tr>
      <w:tr>
        <w:trPr>
          <w:trHeight w:val="236"/>
        </w:trPr>
        <w:tc>
          <w:tcPr>
            <w:tcW w:w="59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(105,890 )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(119,126 )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13,236</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-1139825</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-1139825</wp:posOffset>
            </wp:positionV>
            <wp:extent cx="603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-1139825</wp:posOffset>
            </wp:positionV>
            <wp:extent cx="603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03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jc w:val="both"/>
        <w:ind w:right="100" w:firstLine="509"/>
        <w:spacing w:after="0" w:line="301" w:lineRule="auto"/>
        <w:rPr>
          <w:sz w:val="20"/>
          <w:szCs w:val="20"/>
          <w:color w:val="auto"/>
        </w:rPr>
      </w:pPr>
      <w:r>
        <w:rPr>
          <w:rFonts w:ascii="Arial" w:cs="Arial" w:eastAsia="Arial" w:hAnsi="Arial"/>
          <w:sz w:val="16"/>
          <w:szCs w:val="16"/>
          <w:color w:val="auto"/>
        </w:rPr>
        <w:t>Research and development expenses decreased by $10.9 million to $72.2 million for the year ended December 31, 2022, from approximately $83.1 million for the year ended December 31, 2021. This decrease was driven by a $9.7 million decrease in personnel-related costs which was impacted by our reduction in workforce implemented in January 2022, a $2.6 million decrease in our preclinical costs, and a $1.6 million decrease in manufacturing costs. These decreases were partially offset by a $2.1 million increase in development costs and a $0.8 million increase in consulting costs.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General and administrative expenses decreased by $2.5 million to $33.2 million for the year ended December 31, 2022, from $35.7 million for the year ended December 31, 2021. This decrease was attributable to $1.8 million decrease in personnel-related costs which was impacted by our reduction in workforce implemented in January 2022 and a $0.7 million decrease in professional fees.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Other (expense) income, net was $(0.5) million for the year ended December 31, 2022, compared to $(0.3) million of other income, net for the year ended December 31, 2021. The increase in expense was driven by a $1.6 million increase in interest expense related to our Term Loan Agreement, which we entered into in the fourth quarter of 2021 and partially offset by a $1.5 million increase in interest income earned on short-term money market funds.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initial public offering, or IPO, and we have raised additional capital through subsequent follow-on offerings and our 2019 ATM Facility, as well as through our Term Loan Agreement. Through December 31, 2022, we had received gross cash proceeds of $87.5 million from sales of our preferred stock; gross cash proceeds, before deducting underwriting discounts and commissions and expenses, of $428.1 million from sales of our common stock through our IPO and follow-on public offerings; $23.5 million in gross proceeds from the sale of our common stock under our 2019 ATM Facility; and we had drawn $15.0 million in term loans under our Term Loan Agreement.</w:t>
      </w:r>
    </w:p>
    <w:p>
      <w:pPr>
        <w:spacing w:after="0" w:line="19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“at-the-market” offerings under the July 2019 Shelf. The July 2019 Shelf was declared effective by the SEC on July 10,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02" w:name="page103"/>
    <w:bookmarkEnd w:id="102"/>
    <w:p>
      <w:pPr>
        <w:ind w:right="20" w:firstLine="509"/>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$129.5 million.</w:t>
      </w:r>
    </w:p>
    <w:p>
      <w:pPr>
        <w:spacing w:after="0" w:line="171"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In February 2020, we closed an underwritten public offering, or the February 2020 Follow-On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$93.6 million.</w:t>
      </w:r>
    </w:p>
    <w:p>
      <w:pPr>
        <w:spacing w:after="0" w:line="14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 June 2020, we sold an aggregate of 384,140 shares of common stock under the 2019 ATM Facility for net proceeds, after deducting commissions and other offering expenses payable by us, of $8.1 million.</w:t>
      </w:r>
    </w:p>
    <w:p>
      <w:pPr>
        <w:spacing w:after="0" w:line="170" w:lineRule="exact"/>
        <w:rPr>
          <w:sz w:val="20"/>
          <w:szCs w:val="20"/>
          <w:color w:val="auto"/>
        </w:rPr>
      </w:pPr>
    </w:p>
    <w:p>
      <w:pPr>
        <w:ind w:right="20" w:firstLine="509"/>
        <w:spacing w:after="0" w:line="303" w:lineRule="auto"/>
        <w:rPr>
          <w:sz w:val="20"/>
          <w:szCs w:val="20"/>
          <w:color w:val="auto"/>
        </w:rPr>
      </w:pPr>
      <w:r>
        <w:rPr>
          <w:rFonts w:ascii="Arial" w:cs="Arial" w:eastAsia="Arial" w:hAnsi="Arial"/>
          <w:sz w:val="17"/>
          <w:szCs w:val="17"/>
          <w:color w:val="auto"/>
        </w:rPr>
        <w:t>In November 2020, we closed an underwritten public offering, or the November 2020 Follow-On Offering, of 5,000,000 shares of our common stock at a public offering price of $15.00 per share, less underwriting discounts and commissions. The net proceeds to us from the November 2020 Follow-On Offering, after deducting underwriting discounts and commissions and other offering expenses payable by us, were $70.2 million.</w:t>
      </w:r>
    </w:p>
    <w:p>
      <w:pPr>
        <w:spacing w:after="0" w:line="151" w:lineRule="exact"/>
        <w:rPr>
          <w:sz w:val="20"/>
          <w:szCs w:val="20"/>
          <w:color w:val="auto"/>
        </w:rPr>
      </w:pPr>
    </w:p>
    <w:p>
      <w:pPr>
        <w:ind w:right="540" w:firstLine="578"/>
        <w:spacing w:after="0" w:line="263" w:lineRule="auto"/>
        <w:rPr>
          <w:sz w:val="20"/>
          <w:szCs w:val="20"/>
          <w:color w:val="auto"/>
        </w:rPr>
      </w:pPr>
      <w:r>
        <w:rPr>
          <w:rFonts w:ascii="Arial" w:cs="Arial" w:eastAsia="Arial" w:hAnsi="Arial"/>
          <w:sz w:val="18"/>
          <w:szCs w:val="18"/>
          <w:color w:val="auto"/>
        </w:rPr>
        <w:t>In May 2021, we sold an aggregate of 1,829,268 shares of common stock under the 2019 ATM Facility for net proceeds, after deducting commissions and other offering expenses payable by us, of $14.5 million. As of December 31, 2022, approximately $26.5 million of common stock remained available for future issuance under the 2019 ATM Facility.</w:t>
      </w:r>
    </w:p>
    <w:p>
      <w:pPr>
        <w:spacing w:after="0" w:line="184" w:lineRule="exact"/>
        <w:rPr>
          <w:sz w:val="20"/>
          <w:szCs w:val="20"/>
          <w:color w:val="auto"/>
        </w:rPr>
      </w:pPr>
    </w:p>
    <w:p>
      <w:pPr>
        <w:ind w:right="60" w:firstLine="578"/>
        <w:spacing w:after="0" w:line="271" w:lineRule="auto"/>
        <w:rPr>
          <w:sz w:val="20"/>
          <w:szCs w:val="20"/>
          <w:color w:val="auto"/>
        </w:rPr>
      </w:pPr>
      <w:r>
        <w:rPr>
          <w:rFonts w:ascii="Arial" w:cs="Arial" w:eastAsia="Arial" w:hAnsi="Arial"/>
          <w:sz w:val="17"/>
          <w:szCs w:val="17"/>
          <w:color w:val="auto"/>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As a result of the deprioritization of our Fabry disease program, we are no longer able to draw the $20.0 million of Milestone Funding per the terms of the Term Loan Agreement. The loan repayment schedule provides for interest only payments until November 1, 2024, followed by consecutive monthly payments of principal and interest. All unpaid principal and accrued and unpaid interest with respect to each term loan is due and payable in full on October 1, 2026.</w:t>
      </w:r>
    </w:p>
    <w:p>
      <w:pPr>
        <w:spacing w:after="0" w:line="178"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In July 2022, the July 2019 Shelf expired, and on November 8, 2022, we filed a shelf registration statement on Form S-3 with the SEC, or the November 2022 Shelf, which covers the offering, issuance and sale by us of up to an aggregate of $250.0 million of our common stock, preferred stock, debt securities, warrants and/or units. The December 2019 Shelf expired in December 2022, and the November 2022 Shelf carried forward unsold securities previously covered by the December 2019 Shelf, thus registering an aggregate total of $250.0 million of our common stock, preferred stock, debt securities, warrants and/or units. Because the 2019 ATM Facility was established under the July 2019 Shelf that has expired, in connection with the November 2022 Shelf, we simultaneously entered into a new Sales Agreement with Cowen and Company, LLC, as sales agent, to provide for the offering, issuance and sale by us of up to $50.0 million of our common stock from time to time in “at-the-market” offerings under the November 2022 Shelf (the “2022 ATM Facility”). As of the date of this report, we have not made any sales under the 2022 ATM Facility, and intend to file one or more prospectuses or prospectus supplements related to this new facility before making any such sales.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3" w:name="page104"/>
    <w:bookmarkEnd w:id="103"/>
    <w:p>
      <w:pPr>
        <w:ind w:firstLine="509"/>
        <w:spacing w:after="0" w:line="259" w:lineRule="auto"/>
        <w:rPr>
          <w:sz w:val="20"/>
          <w:szCs w:val="20"/>
          <w:color w:val="auto"/>
        </w:rPr>
      </w:pPr>
      <w:r>
        <w:rPr>
          <w:rFonts w:ascii="Arial" w:cs="Arial" w:eastAsia="Arial" w:hAnsi="Arial"/>
          <w:sz w:val="18"/>
          <w:szCs w:val="18"/>
          <w:color w:val="auto"/>
        </w:rPr>
        <w:t>As of December 31, 2022, we had cash and cash equivalents of $92.6 million. Cash in excess of immediate requirements is invested primarily with a view to liquidity and capital preservation. We believe that our existing cash and cash equivalents as of December 31, 2022 will enable us to fund our operating expenses and capital expenditure requirements into the first quarter of 2024. See “Risk Factors” for risks related to our business, financial position and need for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 capital.</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57"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(97,208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(267 )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(2,461 )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rPr>
              <w:t>Net (decrease) increase in cash, cash equivalents and restricted</w:t>
            </w:r>
          </w:p>
        </w:tc>
        <w:tc>
          <w:tcPr>
            <w:tcW w:w="960" w:type="dxa"/>
            <w:vAlign w:val="bottom"/>
            <w:vMerge w:val="restart"/>
          </w:tcPr>
          <w:p>
            <w:pPr>
              <w:jc w:val="right"/>
              <w:ind w:right="756"/>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w w:val="91"/>
              </w:rPr>
              <w:t>(97,213 )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(70,115 )</w:t>
            </w:r>
          </w:p>
        </w:tc>
        <w:tc>
          <w:tcPr>
            <w:tcW w:w="0" w:type="dxa"/>
            <w:vAlign w:val="bottom"/>
          </w:tcPr>
          <w:p>
            <w:pPr>
              <w:spacing w:after="0"/>
              <w:rPr>
                <w:sz w:val="1"/>
                <w:szCs w:val="1"/>
                <w:color w:val="auto"/>
              </w:rPr>
            </w:pPr>
          </w:p>
        </w:tc>
      </w:tr>
      <w:tr>
        <w:trPr>
          <w:trHeight w:val="203"/>
        </w:trPr>
        <w:tc>
          <w:tcPr>
            <w:tcW w:w="7720" w:type="dxa"/>
            <w:vAlign w:val="bottom"/>
          </w:tcPr>
          <w:p>
            <w:pPr>
              <w:ind w:left="340"/>
              <w:spacing w:after="0" w:line="203" w:lineRule="exact"/>
              <w:rPr>
                <w:sz w:val="20"/>
                <w:szCs w:val="20"/>
                <w:color w:val="auto"/>
              </w:rPr>
            </w:pPr>
            <w:r>
              <w:rPr>
                <w:rFonts w:ascii="Arial" w:cs="Arial" w:eastAsia="Arial" w:hAnsi="Arial"/>
                <w:sz w:val="18"/>
                <w:szCs w:val="18"/>
                <w:color w:val="auto"/>
              </w:rPr>
              <w:t>cash</w:t>
            </w:r>
          </w:p>
        </w:tc>
        <w:tc>
          <w:tcPr>
            <w:tcW w:w="9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year ended December 31, 2022, operating activities used $97.2 million of cash and cash equivalents, resulting from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$105.9 million and cash used by changes in our operating assets and liabilities of $7.4 million which was offset by non-cash charges of $16.1 million.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used by changes in our operating assets and liabilities for the year ended December 31, 2022 consists primarily of a $2.5 million decrease in prepaid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and other current assets, a $3.9 million decrease in accrued expenses and other current liabilities, a $3.1 million decrease in accounts payable,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$2.9 million decrease in current and non-current operating lease liabilities. The increase in accrued expenses and other current liabilities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an increase in accrued compensation and benefit costs.</w:t>
      </w:r>
    </w:p>
    <w:p>
      <w:pPr>
        <w:spacing w:after="0" w:line="211"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During the year ended December 31, 2021, operating activities used $98.0 million of cash and cash equivalents, resulting from our net loss of $119.1 million, partially off-set by net cash provided by changes in our operating assets and liabilities of $1.3 million and non-cash charges of $19.8 million. Net cash provided by changes in our operating assets and liabilities for the year ended December 31, 2021 consists primarily of a $2.1 million increase in accrued expenses and other current liabilities, a $0.4 million decrease in other assets, and a $0.8 million increase in accounts payable, partially offset by a $2.0 million increase in prepaid expenses and other current assets. The increase in accrued expenses and other current liabilities was primarily due to an increase in accrued compensation and benefit costs.</w:t>
      </w:r>
    </w:p>
    <w:p>
      <w:pPr>
        <w:spacing w:after="0" w:line="30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Net cash used in investing activities was $0.3 million for the year ended December 31, 2022 compared to $2.5 million for the year ended December 31, 2021. The decrease in cash used in investing activities was primarily due to a decrease in purchases of property and equipment.</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Net cash provided by financing activities was $0.3 million for the year ended December 31, 2022 compared to $30.4 million for the year ended December 31, 2021. The decrease in cash provided by financing activities was primarily due to the proceeds of $15.0 million from long-term debt, proceeds of $14.6 million from issuance of common shares under our 2019 ATM facility, net of offering costs paid, and $0.9 million from proceeds from the exercise of stock options during the year ended December 31, 2021 which was partially offset by $0.2 million in proceeds from the issuance of shares under our 2018 Employee Stock Purchase Plan and $0.1 million in proceeds from the exercise of stock options during the year ended December 31,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Our expenses will also increase as we:</w:t>
      </w:r>
    </w:p>
    <w:p>
      <w:pPr>
        <w:spacing w:after="0" w:line="62" w:lineRule="exact"/>
        <w:rPr>
          <w:sz w:val="20"/>
          <w:szCs w:val="20"/>
          <w:color w:val="auto"/>
        </w:rPr>
      </w:pPr>
    </w:p>
    <w:p>
      <w:pPr>
        <w:ind w:left="900" w:hanging="36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enrollment and dosing of patients in our ongoing clinical trials;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industrialize our HSC gene therapy approach into a robust, scalable and, if approved, commercially viable process;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00" w:right="560" w:hanging="368"/>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17" w:lineRule="exact"/>
        <w:rPr>
          <w:rFonts w:ascii="Arial" w:cs="Arial" w:eastAsia="Arial" w:hAnsi="Arial"/>
          <w:sz w:val="18"/>
          <w:szCs w:val="18"/>
          <w:color w:val="auto"/>
        </w:rPr>
      </w:pPr>
    </w:p>
    <w:p>
      <w:pPr>
        <w:ind w:left="900" w:right="920" w:hanging="368"/>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00" w:hanging="368"/>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believe that our $92.6 million of existing cash and cash equivalents as of December 31, 2022, will enable us to fund our operating expenses and capital expenditure requirements into the first quarter of 2024.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2022 and the effects that such obligations are expected to have on our liquidity and cash flows in future periods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181"/>
              <w:spacing w:after="0" w:line="133" w:lineRule="exact"/>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1 to 3</w:t>
            </w:r>
          </w:p>
        </w:tc>
        <w:tc>
          <w:tcPr>
            <w:tcW w:w="24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4 to 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81"/>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commitments (1)</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1,007</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-187960</wp:posOffset>
            </wp:positionV>
            <wp:extent cx="76835" cy="342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-187960</wp:posOffset>
            </wp:positionV>
            <wp:extent cx="68580" cy="342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68580" cy="342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3429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42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09" w:lineRule="exact"/>
        <w:rPr>
          <w:sz w:val="20"/>
          <w:szCs w:val="20"/>
          <w:color w:val="auto"/>
        </w:rPr>
      </w:pPr>
    </w:p>
    <w:p>
      <w:pPr>
        <w:ind w:left="520" w:hanging="512"/>
        <w:spacing w:after="0" w:line="263" w:lineRule="auto"/>
        <w:tabs>
          <w:tab w:leader="none" w:pos="371"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leases for office and laboratory space, which are located in Cambridge, Massachusetts and Toronto, Canada. Those leases will expire from April 2024 to June 2025. The minimum lease payments above do not include any related common area maintenance charges or real estate taxes.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ind w:firstLine="509"/>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In addition, pursuant to our license agreements with UHN, BioMarin, The University of Manchester, Papillon and the Lund University rights holders, we are required to make certain milestone and royalty payments to our licensors. See “Business—License Agreements” for additional details regarding our payment obligations to these licensors.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Our consolidated financial statements are prepared in accordance with GAAP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58" w:lineRule="exact"/>
        <w:rPr>
          <w:sz w:val="20"/>
          <w:szCs w:val="20"/>
          <w:color w:val="auto"/>
        </w:rPr>
      </w:pPr>
    </w:p>
    <w:p>
      <w:pPr>
        <w:ind w:left="900" w:hanging="368"/>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17" w:lineRule="exact"/>
        <w:rPr>
          <w:rFonts w:ascii="Arial" w:cs="Arial" w:eastAsia="Arial" w:hAnsi="Arial"/>
          <w:sz w:val="18"/>
          <w:szCs w:val="18"/>
          <w:color w:val="auto"/>
        </w:rPr>
      </w:pPr>
    </w:p>
    <w:p>
      <w:pPr>
        <w:ind w:left="900" w:hanging="368"/>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509"/>
        <w:spacing w:after="0" w:line="289"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any particular period. To date, there have not been any material adjustments to our prior estimates of accrued research and development expenses.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issued stock options, restricted stock and restricted stock units with service-based vesting conditions.</w:t>
      </w:r>
    </w:p>
    <w:p>
      <w:pPr>
        <w:spacing w:after="0" w:line="79"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Modifications to stock-based awards are treated as an exchange of the original award for a new award with total compensation equal to the grant-date fair value of the original award plus any incremental value of the modification. The incremental value is based on the excess of the fair value of the modified award over the fair value of the original award immediately before the modification.</w:t>
      </w:r>
    </w:p>
    <w:p>
      <w:pPr>
        <w:spacing w:after="0" w:line="18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Prior to the adoption of Accounting Standards Update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 (ASU 2018-07)</w:t>
      </w:r>
      <w:r>
        <w:rPr>
          <w:rFonts w:ascii="Arial" w:cs="Arial" w:eastAsia="Arial" w:hAnsi="Arial"/>
          <w:sz w:val="17"/>
          <w:szCs w:val="17"/>
          <w:color w:val="auto"/>
        </w:rPr>
        <w:t>, as discussed in Note 2</w:t>
      </w:r>
      <w:r>
        <w:rPr>
          <w:rFonts w:ascii="Arial" w:cs="Arial" w:eastAsia="Arial" w:hAnsi="Arial"/>
          <w:sz w:val="17"/>
          <w:szCs w:val="17"/>
          <w:i w:val="1"/>
          <w:iCs w:val="1"/>
          <w:color w:val="auto"/>
        </w:rPr>
        <w:t xml:space="preserve"> “Summary of Significant Accounting Policies” </w:t>
      </w:r>
      <w:r>
        <w:rPr>
          <w:rFonts w:ascii="Arial" w:cs="Arial" w:eastAsia="Arial" w:hAnsi="Arial"/>
          <w:sz w:val="17"/>
          <w:szCs w:val="17"/>
          <w:color w:val="auto"/>
        </w:rPr>
        <w:t>to our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appearing elsewhere in this Annual Report, the measurement date for non-employee awards was generally the date the services were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spacing w:after="0" w:line="17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4"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62" w:lineRule="exact"/>
        <w:rPr>
          <w:sz w:val="20"/>
          <w:szCs w:val="20"/>
          <w:color w:val="auto"/>
        </w:rPr>
      </w:pPr>
    </w:p>
    <w:p>
      <w:pPr>
        <w:ind w:left="900" w:hanging="368"/>
        <w:spacing w:after="0" w:line="270"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 of the Fair Value of Common Stock. </w:t>
      </w:r>
      <w:r>
        <w:rPr>
          <w:rFonts w:ascii="Arial" w:cs="Arial" w:eastAsia="Arial" w:hAnsi="Arial"/>
          <w:sz w:val="17"/>
          <w:szCs w:val="17"/>
          <w:color w:val="auto"/>
        </w:rPr>
        <w:t>The fair value of our common stock is determined based on the quoted market price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Following the closing of our IPO, it was no longer necessary for our board of directors to estimate the fair market value of our common stock in connection with our accounting for granted equity awards.</w:t>
      </w:r>
    </w:p>
    <w:p>
      <w:pPr>
        <w:spacing w:after="0" w:line="72" w:lineRule="exact"/>
        <w:rPr>
          <w:rFonts w:ascii="Arial" w:cs="Arial" w:eastAsia="Arial" w:hAnsi="Arial"/>
          <w:sz w:val="17"/>
          <w:szCs w:val="17"/>
          <w:color w:val="auto"/>
        </w:rPr>
      </w:pPr>
    </w:p>
    <w:p>
      <w:pPr>
        <w:ind w:left="900" w:right="60" w:hanging="368"/>
        <w:spacing w:after="0" w:line="263"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75" w:lineRule="exact"/>
        <w:rPr>
          <w:rFonts w:ascii="Arial" w:cs="Arial" w:eastAsia="Arial" w:hAnsi="Arial"/>
          <w:sz w:val="18"/>
          <w:szCs w:val="18"/>
          <w:color w:val="auto"/>
        </w:rPr>
      </w:pPr>
    </w:p>
    <w:p>
      <w:pPr>
        <w:ind w:left="900" w:right="80" w:hanging="368"/>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date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maturity notes with terms approximately equal to the stock-based award’s expected term.</w:t>
      </w:r>
    </w:p>
    <w:p>
      <w:pPr>
        <w:spacing w:after="0" w:line="62" w:lineRule="exact"/>
        <w:rPr>
          <w:rFonts w:ascii="Arial" w:cs="Arial" w:eastAsia="Arial" w:hAnsi="Arial"/>
          <w:sz w:val="18"/>
          <w:szCs w:val="18"/>
          <w:color w:val="auto"/>
        </w:rPr>
      </w:pPr>
    </w:p>
    <w:p>
      <w:pPr>
        <w:ind w:left="900" w:right="140" w:hanging="368"/>
        <w:spacing w:after="0" w:line="263"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long-term trading history of our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several public companies within our industry that we consider to be comparable to our business over a period equivalent to the expected term of the stock-based awards.</w:t>
      </w:r>
    </w:p>
    <w:p>
      <w:pPr>
        <w:spacing w:after="0" w:line="75" w:lineRule="exact"/>
        <w:rPr>
          <w:rFonts w:ascii="Arial" w:cs="Arial" w:eastAsia="Arial" w:hAnsi="Arial"/>
          <w:sz w:val="18"/>
          <w:szCs w:val="18"/>
          <w:color w:val="auto"/>
        </w:rPr>
      </w:pPr>
    </w:p>
    <w:p>
      <w:pPr>
        <w:ind w:left="900" w:hanging="368"/>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zero as we have not paid and do not anticipate paying any dividends in the foreseeable future.</w:t>
      </w:r>
    </w:p>
    <w:p>
      <w:pPr>
        <w:spacing w:after="0" w:line="23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$1.235 billion in annual revenue, we have more than $700.0 million in market value of our stock held by non-affiliates or we issue more than $1.0 billion of non-convertible debt securities over a three-year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 xml:space="preserve">A description of recently issued accounting pronouncements that may potentially impact our financial position and results of operations is disclosed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our audited financial statements appearing elsewhere in this Annual Report.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80" w:firstLine="509"/>
        <w:spacing w:after="0" w:line="286" w:lineRule="auto"/>
        <w:rPr>
          <w:sz w:val="20"/>
          <w:szCs w:val="20"/>
          <w:color w:val="auto"/>
        </w:rPr>
      </w:pPr>
      <w:r>
        <w:rPr>
          <w:rFonts w:ascii="Arial" w:cs="Arial" w:eastAsia="Arial" w:hAnsi="Arial"/>
          <w:sz w:val="17"/>
          <w:szCs w:val="17"/>
          <w:color w:val="auto"/>
        </w:rPr>
        <w:t>As of December 31, 2022, we had cash and cash equivalents of $92.6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debt-related obligations, financial position or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years ended December 31, 2022 and 2021, we recognized immaterial foreign currency transaction losses.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78"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All financial statements and supplementary data required to be filed hereunder are filed as listed under Item 15(a) of this Annual Report on Form 10-K and are incorporated herein by this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Based on the evaluation of our disclosure controls and procedures as of December 31, 2022, our Chief Executive Officer and Chief Financial Officer concluded that our disclosure controls and procedures were effective at a reasonable assurance level as of the end of the period covered by this Annual Report on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for the Company. Our internal control over financial reporting is designed to provide reasonable assurances regarding the reliability of financial reporting and the preparation of our consolidated financial statements in accordance with U.S. GAAP and includes those policies and procedures that:</w:t>
      </w:r>
    </w:p>
    <w:p>
      <w:pPr>
        <w:spacing w:after="0" w:line="79" w:lineRule="exact"/>
        <w:rPr>
          <w:sz w:val="20"/>
          <w:szCs w:val="20"/>
          <w:color w:val="auto"/>
        </w:rPr>
      </w:pPr>
    </w:p>
    <w:p>
      <w:pPr>
        <w:ind w:left="900" w:right="120" w:hanging="383"/>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900" w:right="220" w:hanging="383"/>
        <w:spacing w:after="0" w:line="263"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principles, and that receipts and expenditures of the Company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900" w:right="120" w:hanging="383"/>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29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management, with the participation of its Chief Executive Officer and Chief Financial Officer, assessed our internal control over financial reporting as of December 31, 2022. Management based its assessment on criteria established in Internal Control—Integrated Framework issued by the Committee of Sponsoring Organizations of the Treadway Commission and concluded that our internal control over financial reporting was effective at the reasonable assurance level as of December 31, 2022.</w:t>
      </w:r>
    </w:p>
    <w:p>
      <w:pPr>
        <w:spacing w:after="0" w:line="7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rules of the SEC for “emerging growth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December 31, 2022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Certain information required by Part III is omitted from this Annual Report on Form 10-K and is incorporated by reference from our definitive proxy statement relating to our 2023 annual meeting of stockholders, pursuant to Regulation 14A of the Securities Exchange Act of 1934, as amended, also referred to in this Annual Report on Form 10-K as our 2023 Proxy Statement, which we expect to file with the SEC no later than April 28, 2023.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Information required by this item with respect to our directors and executive officers and compliance with Section 16(a) of the Exchange Act will be included in our 2023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included in our 2023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40" w:firstLine="509"/>
        <w:spacing w:after="0" w:line="308"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and securities authorized for issuance under equity compensation plans will be included in our 2023 Proxy Statement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included in our 2023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The information required by this item regarding principal accounting fees and services will be included in our 2023 Proxy Statement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1" w:name="page112"/>
    <w:bookmarkEnd w:id="111"/>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included in this Annual Report on Form 10-K:</w:t>
      </w:r>
    </w:p>
    <w:p>
      <w:pPr>
        <w:spacing w:after="0" w:line="117" w:lineRule="exact"/>
        <w:rPr>
          <w:rFonts w:ascii="Arial" w:cs="Arial" w:eastAsia="Arial" w:hAnsi="Arial"/>
          <w:sz w:val="18"/>
          <w:szCs w:val="18"/>
          <w:color w:val="auto"/>
        </w:rPr>
      </w:pPr>
    </w:p>
    <w:p>
      <w:pPr>
        <w:ind w:left="820" w:right="1920" w:hanging="393"/>
        <w:spacing w:after="0" w:line="375" w:lineRule="auto"/>
        <w:tabs>
          <w:tab w:leader="none" w:pos="80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the Company are included in this Annual Report: Report of Independent Registered Public Accounting Firm</w:t>
      </w:r>
    </w:p>
    <w:p>
      <w:pPr>
        <w:spacing w:after="0" w:line="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color w:val="auto"/>
        </w:rPr>
      </w:pPr>
    </w:p>
    <w:p>
      <w:pPr>
        <w:ind w:left="820" w:right="5420"/>
        <w:spacing w:after="0" w:line="397" w:lineRule="auto"/>
        <w:rPr>
          <w:rFonts w:ascii="Arial" w:cs="Arial" w:eastAsia="Arial" w:hAnsi="Arial"/>
          <w:sz w:val="18"/>
          <w:szCs w:val="18"/>
          <w:color w:val="auto"/>
        </w:rPr>
      </w:pPr>
      <w:r>
        <w:rPr>
          <w:rFonts w:ascii="Arial" w:cs="Arial" w:eastAsia="Arial" w:hAnsi="Arial"/>
          <w:sz w:val="17"/>
          <w:szCs w:val="17"/>
          <w:color w:val="auto"/>
        </w:rPr>
        <w:t>Consolidated Statements of Operations and Comprehensive Loss Consolidated Statements of Stockholders’ Equity Consolidated Statements of Cash Flows</w:t>
      </w:r>
    </w:p>
    <w:p>
      <w:pPr>
        <w:spacing w:after="0" w:line="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800" w:hanging="373"/>
        <w:spacing w:after="0" w:line="277"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financial schedules have been omitted because the required information is either presented in the consolidated financial statements or the notes thereto or is not applicable or required.</w:t>
      </w:r>
    </w:p>
    <w:p>
      <w:pPr>
        <w:spacing w:after="0" w:line="62" w:lineRule="exact"/>
        <w:rPr>
          <w:rFonts w:ascii="Arial" w:cs="Arial" w:eastAsia="Arial" w:hAnsi="Arial"/>
          <w:sz w:val="18"/>
          <w:szCs w:val="18"/>
          <w:color w:val="auto"/>
        </w:rPr>
      </w:pPr>
    </w:p>
    <w:p>
      <w:pPr>
        <w:ind w:left="800" w:right="80" w:hanging="373"/>
        <w:spacing w:after="0" w:line="263"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64" w:right="659" w:bottom="1440" w:gutter="0" w:footer="0" w:header="0"/>
        </w:sectPr>
      </w:pPr>
    </w:p>
    <w:bookmarkStart w:id="112" w:name="page113"/>
    <w:bookmarkEnd w:id="112"/>
    <w:p>
      <w:pPr>
        <w:jc w:val="center"/>
        <w:ind w:right="4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182"/>
        </w:trPr>
        <w:tc>
          <w:tcPr>
            <w:tcW w:w="5520" w:type="dxa"/>
            <w:vAlign w:val="bottom"/>
            <w:tcBorders>
              <w:bottom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w w:val="92"/>
              </w:rPr>
              <w:t>Report of Independent Registered Public Accounting Firm (PCAOB ID: 42)</w:t>
            </w:r>
          </w:p>
        </w:tc>
        <w:tc>
          <w:tcPr>
            <w:tcW w:w="506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F-2</w:t>
            </w:r>
          </w:p>
        </w:tc>
      </w:tr>
      <w:tr>
        <w:trPr>
          <w:trHeight w:val="223"/>
        </w:trPr>
        <w:tc>
          <w:tcPr>
            <w:tcW w:w="10580" w:type="dxa"/>
            <w:vAlign w:val="bottom"/>
            <w:gridSpan w:val="8"/>
          </w:tcPr>
          <w:p>
            <w:pPr>
              <w:ind w:left="20"/>
              <w:spacing w:after="0"/>
              <w:rPr>
                <w:sz w:val="20"/>
                <w:szCs w:val="20"/>
                <w:color w:val="auto"/>
              </w:rPr>
            </w:pPr>
            <w:r>
              <w:rPr>
                <w:rFonts w:ascii="Arial" w:cs="Arial" w:eastAsia="Arial" w:hAnsi="Arial"/>
                <w:sz w:val="18"/>
                <w:szCs w:val="18"/>
                <w:color w:val="0000FF"/>
              </w:rPr>
              <w:t>Consolidated Balance Sheets</w:t>
            </w: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F-3</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70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5880" w:type="dxa"/>
            <w:vAlign w:val="bottom"/>
            <w:gridSpan w:val="3"/>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F-4</w:t>
            </w:r>
          </w:p>
        </w:tc>
      </w:tr>
      <w:tr>
        <w:trPr>
          <w:trHeight w:val="223"/>
        </w:trPr>
        <w:tc>
          <w:tcPr>
            <w:tcW w:w="10580" w:type="dxa"/>
            <w:vAlign w:val="bottom"/>
            <w:gridSpan w:val="8"/>
          </w:tcPr>
          <w:p>
            <w:pPr>
              <w:ind w:left="20"/>
              <w:spacing w:after="0"/>
              <w:rPr>
                <w:sz w:val="20"/>
                <w:szCs w:val="20"/>
                <w:color w:val="auto"/>
              </w:rPr>
            </w:pPr>
            <w:r>
              <w:rPr>
                <w:rFonts w:ascii="Arial" w:cs="Arial" w:eastAsia="Arial" w:hAnsi="Arial"/>
                <w:sz w:val="18"/>
                <w:szCs w:val="18"/>
                <w:color w:val="0000FF"/>
              </w:rPr>
              <w:t>Consolidated Statements of Stockholders’ Equity</w:t>
            </w: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F-5</w:t>
            </w:r>
          </w:p>
        </w:tc>
      </w:tr>
      <w:tr>
        <w:trPr>
          <w:trHeight w:val="223"/>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660" w:type="dxa"/>
            <w:vAlign w:val="bottom"/>
            <w:tcBorders>
              <w:top w:val="single" w:sz="8" w:color="0000FF"/>
            </w:tcBorders>
            <w:gridSpan w:val="2"/>
          </w:tcPr>
          <w:p>
            <w:pPr>
              <w:spacing w:after="0"/>
              <w:rPr>
                <w:sz w:val="19"/>
                <w:szCs w:val="19"/>
                <w:color w:val="auto"/>
              </w:rPr>
            </w:pPr>
          </w:p>
        </w:tc>
        <w:tc>
          <w:tcPr>
            <w:tcW w:w="7020" w:type="dxa"/>
            <w:vAlign w:val="bottom"/>
            <w:gridSpan w:val="4"/>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F-6</w:t>
            </w:r>
          </w:p>
        </w:tc>
      </w:tr>
      <w:tr>
        <w:trPr>
          <w:trHeight w:val="223"/>
        </w:trPr>
        <w:tc>
          <w:tcPr>
            <w:tcW w:w="10580" w:type="dxa"/>
            <w:vAlign w:val="bottom"/>
            <w:gridSpan w:val="8"/>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F-7</w:t>
            </w:r>
          </w:p>
        </w:tc>
      </w:tr>
      <w:tr>
        <w:trPr>
          <w:trHeight w:val="696"/>
        </w:trPr>
        <w:tc>
          <w:tcPr>
            <w:tcW w:w="2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F-1</w:t>
            </w:r>
          </w:p>
        </w:tc>
        <w:tc>
          <w:tcPr>
            <w:tcW w:w="66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13" w:name="page114"/>
    <w:bookmarkEnd w:id="113"/>
    <w:p>
      <w:pPr>
        <w:ind w:left="3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AVROBIO,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AVROBIO, Inc. (the Company) as of December 31, 2022 and 2021,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including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23,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4" w:name="page115"/>
    <w:bookmarkEnd w:id="114"/>
    <w:p>
      <w:pPr>
        <w:jc w:val="center"/>
        <w:ind w:right="4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92,563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189,567</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7,112</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99,958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199,145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net of current portion</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103,949</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203,837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rent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tcBorders>
              <w:top w:val="single" w:sz="8" w:color="CFF0FC"/>
            </w:tcBorders>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payable, net of discount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rent, net of current portion</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28,579</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34,361</w:t>
            </w:r>
          </w:p>
        </w:tc>
        <w:tc>
          <w:tcPr>
            <w:tcW w:w="100" w:type="dxa"/>
            <w:vAlign w:val="bottom"/>
            <w:tcBorders>
              <w:top w:val="single" w:sz="8" w:color="CFF0FC"/>
            </w:tcBorders>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$0.0001 par value; 10,000 shares authorized and</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no shares issued or outstanding as of December 31, 2022 and 2021</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00"/>
              <w:spacing w:after="0"/>
              <w:rPr>
                <w:sz w:val="20"/>
                <w:szCs w:val="20"/>
                <w:color w:val="auto"/>
              </w:rPr>
            </w:pPr>
            <w:r>
              <w:rPr>
                <w:rFonts w:ascii="Arial" w:cs="Arial" w:eastAsia="Arial" w:hAnsi="Arial"/>
                <w:sz w:val="18"/>
                <w:szCs w:val="18"/>
                <w:color w:val="auto"/>
              </w:rPr>
              <w:t>Common stock, $0.0001 par value; 150,000 shares authorized as of</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December 31, 2022 and 2021; 43,916 and 43,652 shares issued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outstanding as of December 31, 2022 and 2021,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564,798</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553,014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(489,432 )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(383,542 )</w:t>
            </w:r>
          </w:p>
        </w:tc>
      </w:tr>
      <w:tr>
        <w:trPr>
          <w:trHeight w:val="237"/>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75,370</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103,949</w:t>
            </w:r>
          </w:p>
        </w:tc>
        <w:tc>
          <w:tcPr>
            <w:tcW w:w="3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203,837</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-4371340</wp:posOffset>
            </wp:positionV>
            <wp:extent cx="6858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-3428365</wp:posOffset>
            </wp:positionV>
            <wp:extent cx="1260475"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60475"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-2476500</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-1851025</wp:posOffset>
            </wp:positionV>
            <wp:extent cx="6858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342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429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72,186</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83,114</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105,434</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118,841</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(105,434</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income, net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(299 )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(224 )</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(157 )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(61 )</w:t>
            </w:r>
          </w:p>
        </w:tc>
      </w:tr>
      <w:tr>
        <w:trPr>
          <w:trHeight w:val="237"/>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 income,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(105,890 )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(119,126 )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76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43,739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42,854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-1465580</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-1465580</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-514350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-514350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-171450</wp:posOffset>
            </wp:positionV>
            <wp:extent cx="1251585"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51585" cy="179705"/>
                    </a:xfrm>
                    <a:prstGeom prst="rect">
                      <a:avLst/>
                    </a:prstGeom>
                    <a:noFill/>
                  </pic:spPr>
                </pic:pic>
              </a:graphicData>
            </a:graphic>
          </wp:anchor>
        </w:drawing>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2300" w:type="dxa"/>
            <w:vAlign w:val="bottom"/>
            <w:gridSpan w:val="3"/>
            <w:vMerge w:val="restart"/>
          </w:tcPr>
          <w:p>
            <w:pPr>
              <w:jc w:val="right"/>
              <w:ind w:right="510"/>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69"/>
              <w:spacing w:after="0"/>
              <w:rPr>
                <w:sz w:val="20"/>
                <w:szCs w:val="20"/>
                <w:color w:val="auto"/>
              </w:rPr>
            </w:pPr>
            <w:r>
              <w:rPr>
                <w:rFonts w:ascii="Arial" w:cs="Arial" w:eastAsia="Arial" w:hAnsi="Arial"/>
                <w:sz w:val="13"/>
                <w:szCs w:val="13"/>
                <w:b w:val="1"/>
                <w:bCs w:val="1"/>
                <w:color w:val="auto"/>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3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Arial" w:cs="Arial" w:eastAsia="Arial" w:hAnsi="Arial"/>
                <w:sz w:val="13"/>
                <w:szCs w:val="13"/>
                <w:b w:val="1"/>
                <w:bCs w:val="1"/>
                <w:color w:val="auto"/>
              </w:rPr>
              <w:t>Paid-in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28"/>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100" w:type="dxa"/>
            <w:vAlign w:val="bottom"/>
          </w:tcPr>
          <w:p>
            <w:pPr>
              <w:jc w:val="right"/>
              <w:ind w:right="289"/>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Arial" w:cs="Arial" w:eastAsia="Arial" w:hAnsi="Arial"/>
                <w:sz w:val="13"/>
                <w:szCs w:val="13"/>
                <w:b w:val="1"/>
                <w:bCs w:val="1"/>
                <w:color w:val="auto"/>
              </w:rPr>
              <w:t>Capital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728"/>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3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December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41,569</w:t>
            </w:r>
          </w:p>
        </w:tc>
        <w:tc>
          <w:tcPr>
            <w:tcW w:w="30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518,756</w:t>
            </w: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(264,416</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254,344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200"/>
              <w:spacing w:after="0"/>
              <w:rPr>
                <w:sz w:val="20"/>
                <w:szCs w:val="20"/>
                <w:color w:val="auto"/>
              </w:rPr>
            </w:pPr>
            <w:r>
              <w:rPr>
                <w:rFonts w:ascii="Arial" w:cs="Arial" w:eastAsia="Arial" w:hAnsi="Arial"/>
                <w:sz w:val="14"/>
                <w:szCs w:val="14"/>
                <w:color w:val="auto"/>
              </w:rPr>
              <w:t>Vesting of restricted stock awards and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76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tcPr>
          <w:p>
            <w:pPr>
              <w:ind w:left="340"/>
              <w:spacing w:after="0"/>
              <w:rPr>
                <w:sz w:val="20"/>
                <w:szCs w:val="20"/>
                <w:color w:val="auto"/>
              </w:rPr>
            </w:pPr>
            <w:r>
              <w:rPr>
                <w:rFonts w:ascii="Arial" w:cs="Arial" w:eastAsia="Arial" w:hAnsi="Arial"/>
                <w:sz w:val="14"/>
                <w:szCs w:val="14"/>
                <w:color w:val="auto"/>
              </w:rPr>
              <w:t>ATM facility, net of offering costs of $47</w:t>
            </w:r>
          </w:p>
        </w:tc>
        <w:tc>
          <w:tcPr>
            <w:tcW w:w="1100" w:type="dxa"/>
            <w:vAlign w:val="bottom"/>
          </w:tcPr>
          <w:p>
            <w:pPr>
              <w:jc w:val="right"/>
              <w:spacing w:after="0"/>
              <w:rPr>
                <w:sz w:val="20"/>
                <w:szCs w:val="20"/>
                <w:color w:val="auto"/>
              </w:rPr>
            </w:pPr>
            <w:r>
              <w:rPr>
                <w:rFonts w:ascii="Arial" w:cs="Arial" w:eastAsia="Arial" w:hAnsi="Arial"/>
                <w:sz w:val="14"/>
                <w:szCs w:val="14"/>
                <w:color w:val="auto"/>
              </w:rPr>
              <w:t>1,829</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14,550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7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under 2018 employee stock</w:t>
            </w: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18,579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(119,126 )</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(119,126 )</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1100" w:type="dxa"/>
            <w:vAlign w:val="bottom"/>
          </w:tcPr>
          <w:p>
            <w:pPr>
              <w:jc w:val="right"/>
              <w:spacing w:after="0"/>
              <w:rPr>
                <w:sz w:val="20"/>
                <w:szCs w:val="20"/>
                <w:color w:val="auto"/>
              </w:rPr>
            </w:pPr>
            <w:r>
              <w:rPr>
                <w:rFonts w:ascii="Arial" w:cs="Arial" w:eastAsia="Arial" w:hAnsi="Arial"/>
                <w:sz w:val="14"/>
                <w:szCs w:val="14"/>
                <w:color w:val="auto"/>
              </w:rPr>
              <w:t>43,652</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553,014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(383,542 )</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169,476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6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4"/>
                <w:szCs w:val="14"/>
                <w:color w:val="auto"/>
              </w:rPr>
              <w:t>142</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7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under 2018 employee stock</w:t>
            </w: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11,522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11,522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(105,890 )</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(105,890 )</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tcPr>
          <w:p>
            <w:pPr>
              <w:ind w:left="20"/>
              <w:spacing w:after="0"/>
              <w:rPr>
                <w:sz w:val="20"/>
                <w:szCs w:val="20"/>
                <w:color w:val="auto"/>
              </w:rPr>
            </w:pPr>
            <w:r>
              <w:rPr>
                <w:rFonts w:ascii="Arial" w:cs="Arial" w:eastAsia="Arial" w:hAnsi="Arial"/>
                <w:sz w:val="14"/>
                <w:szCs w:val="14"/>
                <w:color w:val="auto"/>
              </w:rPr>
              <w:t>Balance as of December 31, 2022</w:t>
            </w:r>
          </w:p>
        </w:tc>
        <w:tc>
          <w:tcPr>
            <w:tcW w:w="1100" w:type="dxa"/>
            <w:vAlign w:val="bottom"/>
          </w:tcPr>
          <w:p>
            <w:pPr>
              <w:jc w:val="right"/>
              <w:spacing w:after="0"/>
              <w:rPr>
                <w:sz w:val="20"/>
                <w:szCs w:val="20"/>
                <w:color w:val="auto"/>
              </w:rPr>
            </w:pPr>
            <w:r>
              <w:rPr>
                <w:rFonts w:ascii="Arial" w:cs="Arial" w:eastAsia="Arial" w:hAnsi="Arial"/>
                <w:sz w:val="14"/>
                <w:szCs w:val="14"/>
                <w:color w:val="auto"/>
              </w:rPr>
              <w:t>43,916</w:t>
            </w:r>
          </w:p>
        </w:tc>
        <w:tc>
          <w:tcPr>
            <w:tcW w:w="300" w:type="dxa"/>
            <w:vAlign w:val="bottom"/>
          </w:tcPr>
          <w:p>
            <w:pPr>
              <w:spacing w:after="0"/>
              <w:rPr>
                <w:sz w:val="14"/>
                <w:szCs w:val="14"/>
                <w:color w:val="auto"/>
              </w:rPr>
            </w:pPr>
          </w:p>
        </w:tc>
        <w:tc>
          <w:tcPr>
            <w:tcW w:w="900" w:type="dxa"/>
            <w:vAlign w:val="bottom"/>
          </w:tcPr>
          <w:p>
            <w:pPr>
              <w:jc w:val="right"/>
              <w:ind w:right="75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564,798</w:t>
            </w:r>
          </w:p>
        </w:tc>
        <w:tc>
          <w:tcPr>
            <w:tcW w:w="2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28"/>
              <w:spacing w:after="0"/>
              <w:rPr>
                <w:sz w:val="20"/>
                <w:szCs w:val="20"/>
                <w:color w:val="auto"/>
              </w:rPr>
            </w:pPr>
            <w:r>
              <w:rPr>
                <w:rFonts w:ascii="Arial" w:cs="Arial" w:eastAsia="Arial" w:hAnsi="Arial"/>
                <w:sz w:val="14"/>
                <w:szCs w:val="14"/>
                <w:color w:val="auto"/>
              </w:rPr>
              <w:t>(489,432 )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75,370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-916305</wp:posOffset>
            </wp:positionV>
            <wp:extent cx="76835"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-916305</wp:posOffset>
            </wp:positionV>
            <wp:extent cx="7683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-916305</wp:posOffset>
            </wp:positionV>
            <wp:extent cx="68580"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-916305</wp:posOffset>
            </wp:positionV>
            <wp:extent cx="68580"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-144780</wp:posOffset>
            </wp:positionV>
            <wp:extent cx="7683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-144780</wp:posOffset>
            </wp:positionV>
            <wp:extent cx="7683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-144780</wp:posOffset>
            </wp:positionV>
            <wp:extent cx="6858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-144780</wp:posOffset>
            </wp:positionV>
            <wp:extent cx="6858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(105,890 )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(119,126 )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18,579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rent expense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(223 )</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(Gain)/loss on impairment of leasehold improvements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(Gain)/loss on extinguishment of operating lease</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(81 )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(2,018 )</w:t>
            </w: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(3,102 )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 and non-current operating lease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(2,893 )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(3,906 )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(97,208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(98,025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(267 )</w:t>
            </w: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(2,461 )</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(267 )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(2,461 )</w:t>
            </w: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upon completion of public</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160"/>
              <w:spacing w:after="0"/>
              <w:rPr>
                <w:sz w:val="20"/>
                <w:szCs w:val="20"/>
                <w:color w:val="auto"/>
              </w:rPr>
            </w:pPr>
            <w:r>
              <w:rPr>
                <w:rFonts w:ascii="Arial" w:cs="Arial" w:eastAsia="Arial" w:hAnsi="Arial"/>
                <w:sz w:val="18"/>
                <w:szCs w:val="18"/>
                <w:color w:val="auto"/>
              </w:rPr>
              <w:t>offerings, net of offering costs</w:t>
            </w:r>
          </w:p>
        </w:tc>
        <w:tc>
          <w:tcPr>
            <w:tcW w:w="38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(205 )</w:t>
            </w:r>
          </w:p>
        </w:tc>
      </w:tr>
      <w:tr>
        <w:trPr>
          <w:trHeight w:val="25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long-term debt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Payments of issuance cost related to long-term debt</w:t>
            </w:r>
          </w:p>
        </w:tc>
        <w:tc>
          <w:tcPr>
            <w:tcW w:w="38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ATM facility, net of offering costs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2018 employee stock purchase plan</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(97,213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190,059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260,174</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92,846</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Cash:</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paid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 obtained in exchange for operating lease liabilities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1"/>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w w:val="95"/>
              </w:rPr>
              <w:t>Reconciliation of cash, cash equivalents and restricted cash reported within the consolidated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balance sheets: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92,563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189,567</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92,846</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-3462655</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-1430655</wp:posOffset>
            </wp:positionV>
            <wp:extent cx="124333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ind w:left="49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Uncertainties about an Entity’s Ability to Continue as a Going Concern </w:t>
      </w:r>
      <w:r>
        <w:rPr>
          <w:rFonts w:ascii="Arial" w:cs="Arial" w:eastAsia="Arial" w:hAnsi="Arial"/>
          <w:sz w:val="18"/>
          <w:szCs w:val="18"/>
          <w:color w:val="auto"/>
        </w:rPr>
        <w:t>(Subtopic 205-40), the Company has evaluated whether there are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events, considered in the aggregate, that raise substantial doubt about the Company’s ability to continue as a going concern within one year after the date that the consolidated financial statements are issued.</w:t>
      </w:r>
    </w:p>
    <w:p>
      <w:pPr>
        <w:spacing w:after="0" w:line="18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and a term loan facility. As of December 31, 2022, the Company had an accumulated deficit of $489,432.</w:t>
      </w:r>
    </w:p>
    <w:p>
      <w:pPr>
        <w:spacing w:after="0" w:line="18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Company expects that its cash and cash equivalents of $92,563 as of December 31, 2022 may not be sufficient to fund operations for at least the next twelve months from the date of issuance of these consolidated financial statements which raises substantial doubt about the Company's ability to continue as a going concern, and the Company will need to obtain additional funding. The Company expects to finance its operations through potential public or private equity financings, debt financings, collaboration agreements or other capital sources.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7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right="7660" w:hanging="512"/>
        <w:spacing w:after="0" w:line="378" w:lineRule="auto"/>
        <w:tabs>
          <w:tab w:leader="none" w:pos="191"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40" w:firstLine="509"/>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9" w:name="page120"/>
    <w:bookmarkEnd w:id="119"/>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69"/>
        <w:spacing w:after="0" w:line="219" w:lineRule="exact"/>
        <w:rPr>
          <w:sz w:val="20"/>
          <w:szCs w:val="20"/>
          <w:color w:val="auto"/>
        </w:rPr>
      </w:pPr>
      <w:r>
        <w:rPr>
          <w:rFonts w:ascii="Arial" w:cs="Arial" w:eastAsia="Arial" w:hAnsi="Arial"/>
          <w:sz w:val="17"/>
          <w:szCs w:val="17"/>
          <w:color w:val="auto"/>
        </w:rPr>
        <w:t>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w:t>
      </w:r>
      <w:r>
        <w:rPr>
          <w:rFonts w:ascii="MS PGothic" w:cs="MS PGothic" w:eastAsia="MS PGothic" w:hAnsi="MS PGothic"/>
          <w:sz w:val="17"/>
          <w:szCs w:val="17"/>
          <w:color w:val="auto"/>
        </w:rPr>
        <w:t>‑</w:t>
      </w:r>
      <w:r>
        <w:rPr>
          <w:rFonts w:ascii="Arial" w:cs="Arial" w:eastAsia="Arial" w:hAnsi="Arial"/>
          <w:sz w:val="17"/>
          <w:szCs w:val="17"/>
          <w:color w:val="auto"/>
        </w:rPr>
        <w:t>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900" w:firstLine="509"/>
        <w:spacing w:after="0" w:line="377" w:lineRule="auto"/>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acquisition to be cash equivalents. As of December 31, 2022 and 2021, cash and cash equivalents were primarily held in interest-bearing money market funds.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0" w:lineRule="exact"/>
        <w:rPr>
          <w:sz w:val="20"/>
          <w:szCs w:val="20"/>
          <w:color w:val="auto"/>
        </w:rPr>
      </w:pPr>
    </w:p>
    <w:p>
      <w:pPr>
        <w:ind w:left="900" w:right="140" w:hanging="368"/>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 Fair values are determined utilizing prices (unadjusted)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900" w:right="160" w:hanging="368"/>
        <w:spacing w:after="0" w:line="263"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900" w:right="40" w:hanging="368"/>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0" w:name="page121"/>
    <w:bookmarkEnd w:id="120"/>
    <w:p>
      <w:pPr>
        <w:ind w:right="880" w:firstLine="509"/>
        <w:spacing w:after="0" w:line="224" w:lineRule="exact"/>
        <w:rPr>
          <w:sz w:val="20"/>
          <w:szCs w:val="20"/>
          <w:color w:val="auto"/>
        </w:rPr>
      </w:pPr>
      <w:r>
        <w:rPr>
          <w:rFonts w:ascii="Arial" w:cs="Arial" w:eastAsia="Arial" w:hAnsi="Arial"/>
          <w:sz w:val="17"/>
          <w:szCs w:val="17"/>
          <w:color w:val="auto"/>
        </w:rPr>
        <w:t>The carrying amounts of the Company’s financial instruments, which include cash equivalents, accounts payable, and accrued expenses, approximated their fair values as of December 31, 2022 and 2021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these instruments.</w:t>
      </w:r>
    </w:p>
    <w:p>
      <w:pPr>
        <w:spacing w:after="0" w:line="202"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 xml:space="preserve">The Company has evaluated the estimated fair value of financial instruments using available market information. The use of different market assumptions, estimation methodologies, or both, could have a significant effect on the estimated fair value amounts. See Note 4 </w:t>
      </w:r>
      <w:r>
        <w:rPr>
          <w:rFonts w:ascii="Arial" w:cs="Arial" w:eastAsia="Arial" w:hAnsi="Arial"/>
          <w:sz w:val="18"/>
          <w:szCs w:val="18"/>
          <w:i w:val="1"/>
          <w:iCs w:val="1"/>
          <w:color w:val="auto"/>
        </w:rPr>
        <w:t>“Fair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Liabilities” </w:t>
      </w:r>
      <w:r>
        <w:rPr>
          <w:rFonts w:ascii="Arial" w:cs="Arial" w:eastAsia="Arial" w:hAnsi="Arial"/>
          <w:sz w:val="18"/>
          <w:szCs w:val="18"/>
          <w:color w:val="auto"/>
        </w:rPr>
        <w:t>for further discussion.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3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3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Computer equipment</w:t>
            </w:r>
          </w:p>
        </w:tc>
        <w:tc>
          <w:tcPr>
            <w:tcW w:w="308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4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Lesser of lease term or 10 years</w:t>
            </w: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 during the years ended December 31, 2022 and 2021.</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Prior to January 1, 2022, the Company accounted for leases in accordance with FASB ASC 840, Leases. At lease inception, the Company determined if an arrangement was an operating or capital lease. For operating leases, the Company recognized rent expense, inclusive of rent escalations, on a straight-line basis over the lease term.</w:t>
      </w:r>
    </w:p>
    <w:p>
      <w:pPr>
        <w:spacing w:after="0" w:line="184"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Effective on January 1, 2022, the Company accounts for leases in accordance with ASC Topic 842, Leases (“ASC 842”). Upon transition, the Company applied the package of practical expedients permitted under ASC 842 transition guidance to its entire lease portfolio at January 1, 2022. As a result, the Company was not required to reassess (i) whether any expired or existing contracts are or contain leases, (ii) the classification of any expired or existing leases, and (iii) initial direct costs for any existing leases. Furthermore, as a lessee the Company elected to combine lease and non-lease components together for the majority of its leases. As a result, for these applicable classes of underlying assets, the Company accounted for each separate lease component and the non-lease components associated with that lease component as a single lease component.</w:t>
      </w:r>
    </w:p>
    <w:p>
      <w:pPr>
        <w:spacing w:after="0" w:line="17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records leases at the lease commencement date, when control of the underlying asset is transferred from the lessor to the lessee, as operating or finance leases and records a right-of-use (“ROU”) asset and a lease liability on the consolidated balance sheet for all leases with a lease term of greater than twelve months. The Company has elected to not recognize leases with a lease term of twelve months or less on the balance sheet and will recognize lease payments for such short-term leases as an expense on a straight-line basis.</w:t>
      </w:r>
    </w:p>
    <w:p>
      <w:pPr>
        <w:spacing w:after="0" w:line="192" w:lineRule="exact"/>
        <w:rPr>
          <w:sz w:val="20"/>
          <w:szCs w:val="20"/>
          <w:color w:val="auto"/>
        </w:rPr>
      </w:pPr>
    </w:p>
    <w:p>
      <w:pPr>
        <w:ind w:right="900" w:firstLine="509"/>
        <w:spacing w:after="0" w:line="277" w:lineRule="auto"/>
        <w:rPr>
          <w:sz w:val="20"/>
          <w:szCs w:val="20"/>
          <w:color w:val="auto"/>
        </w:rPr>
      </w:pPr>
      <w:r>
        <w:rPr>
          <w:rFonts w:ascii="Arial" w:cs="Arial" w:eastAsia="Arial" w:hAnsi="Arial"/>
          <w:sz w:val="18"/>
          <w:szCs w:val="18"/>
          <w:color w:val="auto"/>
        </w:rPr>
        <w:t>The Company enters into contracts that contain both lease and non-lease components. Non-lease components may include items such as maintenance, utilities, or other operating costs. For leases of real estate, the Company combines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1" w:name="page122"/>
    <w:bookmarkEnd w:id="121"/>
    <w:p>
      <w:pPr>
        <w:ind w:right="120"/>
        <w:spacing w:after="0" w:line="263" w:lineRule="auto"/>
        <w:rPr>
          <w:sz w:val="20"/>
          <w:szCs w:val="20"/>
          <w:color w:val="auto"/>
        </w:rPr>
      </w:pPr>
      <w:r>
        <w:rPr>
          <w:rFonts w:ascii="Arial" w:cs="Arial" w:eastAsia="Arial" w:hAnsi="Arial"/>
          <w:sz w:val="18"/>
          <w:szCs w:val="18"/>
          <w:color w:val="auto"/>
        </w:rPr>
        <w:t>lease and associated non-lease components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based upon the available information at the lease commencement date. ROU assets are further adjusted for items such as initial direct costs, prepaid rent, or lease incentives. Operating lease payments are expensed using the straight-line method as an operating expense over the lease term.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lease liability associated with the lease.</w:t>
      </w:r>
    </w:p>
    <w:p>
      <w:pPr>
        <w:spacing w:after="0" w:line="200" w:lineRule="exact"/>
        <w:rPr>
          <w:sz w:val="20"/>
          <w:szCs w:val="20"/>
          <w:color w:val="auto"/>
        </w:rPr>
      </w:pP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8"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60" w:firstLine="509"/>
        <w:spacing w:after="0" w:line="300" w:lineRule="auto"/>
        <w:rPr>
          <w:sz w:val="20"/>
          <w:szCs w:val="20"/>
          <w:color w:val="auto"/>
        </w:rPr>
      </w:pPr>
      <w:r>
        <w:rPr>
          <w:rFonts w:ascii="Arial" w:cs="Arial" w:eastAsia="Arial" w:hAnsi="Arial"/>
          <w:sz w:val="16"/>
          <w:szCs w:val="16"/>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2022 and 2021, the Company recorded foreign exchange losses of $92 and $61, respectively, in other expense in the consolidated statements of operations and comprehensive loss.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60" w:firstLine="509"/>
        <w:spacing w:after="0" w:line="307" w:lineRule="auto"/>
        <w:rPr>
          <w:sz w:val="20"/>
          <w:szCs w:val="20"/>
          <w:color w:val="auto"/>
        </w:rPr>
      </w:pPr>
      <w:r>
        <w:rPr>
          <w:rFonts w:ascii="Arial" w:cs="Arial" w:eastAsia="Arial" w:hAnsi="Arial"/>
          <w:sz w:val="15"/>
          <w:szCs w:val="15"/>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w:t>
      </w:r>
    </w:p>
    <w:p>
      <w:pPr>
        <w:ind w:right="60"/>
        <w:spacing w:after="0" w:line="255"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90"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2" w:name="page123"/>
    <w:bookmarkEnd w:id="122"/>
    <w:p>
      <w:pPr>
        <w:ind w:right="140"/>
        <w:spacing w:after="0" w:line="277" w:lineRule="auto"/>
        <w:rPr>
          <w:sz w:val="20"/>
          <w:szCs w:val="20"/>
          <w:color w:val="auto"/>
        </w:rPr>
      </w:pPr>
      <w:r>
        <w:rPr>
          <w:rFonts w:ascii="Arial" w:cs="Arial" w:eastAsia="Arial" w:hAnsi="Arial"/>
          <w:sz w:val="18"/>
          <w:szCs w:val="18"/>
          <w:color w:val="auto"/>
        </w:rPr>
        <w:t>expense for these awards using the straight-line method. The Company has not issued any stock-based awards with performance- or market-based vesting conditions. The Company accounts for forfeitures as they occur.</w:t>
      </w:r>
    </w:p>
    <w:p>
      <w:pPr>
        <w:spacing w:after="0" w:line="170"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The measurement date for non-employee awards is the later of the adoption date of ASU 2018-07, or the date of grant. For stock-based awards granted to nonemployees subject to graded vesting that only contain service conditions, the Company has elected to recognize stock-based compensation expense using the straight-line recognition method.</w:t>
      </w:r>
    </w:p>
    <w:p>
      <w:pPr>
        <w:spacing w:after="0" w:line="18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2022,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8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60" w:firstLine="509"/>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3" w:name="page124"/>
    <w:bookmarkEnd w:id="123"/>
    <w:p>
      <w:pPr>
        <w:ind w:right="20"/>
        <w:spacing w:after="0" w:line="257" w:lineRule="auto"/>
        <w:rPr>
          <w:sz w:val="20"/>
          <w:szCs w:val="20"/>
          <w:color w:val="auto"/>
        </w:rPr>
      </w:pPr>
      <w:r>
        <w:rPr>
          <w:rFonts w:ascii="Arial" w:cs="Arial" w:eastAsia="Arial" w:hAnsi="Arial"/>
          <w:sz w:val="18"/>
          <w:szCs w:val="18"/>
          <w:color w:val="auto"/>
        </w:rPr>
        <w:t>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as subsequently amended (collectively, “ASC 842”), which sets out the principles for the recognition, measurement, presentation and disclosure of leases for both parties to a contract (i.e., lessees and lessors), and replaces the existing guidance in ASC 840, Leases.</w:t>
      </w:r>
    </w:p>
    <w:p>
      <w:pPr>
        <w:spacing w:after="0" w:line="1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previously noted, the Company adopted ASC 842 with an effective date of January 1, 2022, using the modified retrospective transition approach which uses the effective date as the date of initial application. As a result, prior periods are presented in accordance with the previous guidance in ASC 840. 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w:t>
      </w:r>
    </w:p>
    <w:p>
      <w:pPr>
        <w:spacing w:after="0" w:line="15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Upon its adoption of ASC 842 on January 1, 2022, the Company recognized operating lease right-of-use assets of $1,301 and related operating lease liabilities of $1,593 on its balance sheet, and derecognized deferred rent liabilities of $292. The adoption of ASC 842 did not have a material impact on the Company’s statements of operations and comprehensive loss or statements of cash flows.</w:t>
      </w:r>
    </w:p>
    <w:p>
      <w:pPr>
        <w:spacing w:after="0" w:line="184"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On January 1, 2022 the Company adopted this standard, which had no impact on its financial position or results of operations.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Measurement of Credit Losses on Financial Instruments, or ASU 2016-13. ASU 2016-13 requires that credit losses be reported as an allowance using an expected losses model, representing the 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non-emerging growth companies (“EGCs”)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3.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76"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 The next anticipated payment milestones under the MPSII License Agreement is $4,000 upon the dosing of the first patient in the investigator-sponsored Phase 1/2 clinical trial sponsored by UoM.</w:t>
      </w:r>
    </w:p>
    <w:p>
      <w:pPr>
        <w:spacing w:after="0" w:line="164" w:lineRule="exact"/>
        <w:rPr>
          <w:sz w:val="20"/>
          <w:szCs w:val="20"/>
          <w:color w:val="auto"/>
        </w:rPr>
      </w:pPr>
    </w:p>
    <w:p>
      <w:pPr>
        <w:ind w:right="40" w:firstLine="509"/>
        <w:spacing w:after="0" w:line="265"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0" w:lineRule="exact"/>
        <w:rPr>
          <w:sz w:val="20"/>
          <w:szCs w:val="20"/>
          <w:color w:val="auto"/>
        </w:rPr>
      </w:pPr>
    </w:p>
    <w:p>
      <w:pPr>
        <w:jc w:val="both"/>
        <w:ind w:right="440" w:firstLine="509"/>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estimated to equal approximately £9,900 in the aggregate.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years ended December 31, 2022 and 2021, the Company recognized $2,346 and $1,437, respectively, of costs related to the CRFA.</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Under this agreement, the Company paid an option fee of CAD$20, an upfront license fee of CAD$75,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right="20" w:firstLine="509"/>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For the years ended December 31, 2022 and 2021, the Company recorded research and development expense related to this agreement with UHN of $161 and $209, respectively, which consists of reimbursable funded study trial costs and license maintenance fees. No milestone fees were incurred related to the Fabry license agreement in the years ended December 31, 2022 and 2021.</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certain patent rights for the commercial development, manufacture, distribution and use of any products or processes resulting from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patent rights related to Interleukin 12. Upon execution of this agreement, the Company paid an upfront license fee of CAD$264. In addition,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consideration for the license, the Company issued to UHN 1,161,665 shares of the Company’s common stock and agreed to pay UHN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upon the closing of an IPO if certain criteria are met. The fair value of the shares issued to UHN of $480 and the upfront fee was expensed upon the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agreement. Upon the closing of the IPO in 2018, as the criteria were met, the Company paid UHN $2,000. The Company is also required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pay UHN future annual license maintenance fees of CAD$50 on each anniversary of the effective date of the license agreement prior to expiration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potential future milestone payments of up to CAD$19,275 upon the achievement of specified clinical and regulatory milestones.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pay UHN royalties of a low single-digit percentage of net sales of licensed products sold by the Company. If the Company grants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sublicense rights under the license agreement, the Company has agreed to pay UHN a low double-digit royalty percentage of any sublicense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Company.</w:t>
      </w:r>
    </w:p>
    <w:p>
      <w:pPr>
        <w:spacing w:after="0" w:line="21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For the years ended December 31, 2022 and 2021, the Company recorded research and development expense related to this agreement with UHN of $39 for both periods, which consists of license maintenance fees. No milestone fees were incurred related to the Interleukin 12 license agreement in the years ended December 31, 2022 and 2021.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6" w:name="page127"/>
    <w:bookmarkEnd w:id="126"/>
    <w:p>
      <w:pPr>
        <w:ind w:left="52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2022 and 2021.</w:t>
      </w:r>
    </w:p>
    <w:p>
      <w:pPr>
        <w:spacing w:after="0" w:line="165"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Papillon Therapeutics, Inc. (previously GenStem Therapeutics, Inc.)</w:t>
      </w:r>
    </w:p>
    <w:p>
      <w:pPr>
        <w:spacing w:after="0" w:line="11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expenses related to the license were recorded for the years ended December 31, 2022 and 2021.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2022 and 2021.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4. Fair Value of Financial Assets and Liabilities</w:t>
      </w:r>
    </w:p>
    <w:p>
      <w:pPr>
        <w:spacing w:after="0" w:line="121"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as of December 31, 2022 and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2"/>
              </w:rPr>
              <w:t>Fair Value Measurements as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4"/>
                <w:szCs w:val="14"/>
                <w:b w:val="1"/>
                <w:bCs w:val="1"/>
                <w:color w:val="auto"/>
                <w:w w:val="91"/>
              </w:rPr>
              <w:t>December 31, 2022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Level 1</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Cash equivalents—money market funds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91,095</w:t>
            </w:r>
          </w:p>
        </w:tc>
        <w:tc>
          <w:tcPr>
            <w:tcW w:w="3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40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91,095</w:t>
            </w:r>
          </w:p>
        </w:tc>
        <w:tc>
          <w:tcPr>
            <w:tcW w:w="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right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11"/>
          </w:tcPr>
          <w:p>
            <w:pPr>
              <w:jc w:val="right"/>
              <w:ind w:right="440"/>
              <w:spacing w:after="0"/>
              <w:rPr>
                <w:sz w:val="20"/>
                <w:szCs w:val="20"/>
                <w:color w:val="auto"/>
              </w:rPr>
            </w:pPr>
            <w:r>
              <w:rPr>
                <w:rFonts w:ascii="Arial" w:cs="Arial" w:eastAsia="Arial" w:hAnsi="Arial"/>
                <w:sz w:val="14"/>
                <w:szCs w:val="14"/>
                <w:b w:val="1"/>
                <w:bCs w:val="1"/>
                <w:color w:val="auto"/>
                <w:w w:val="95"/>
              </w:rPr>
              <w:t>Fair Value Measurements as of</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Cash equivalents—money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800" w:type="dxa"/>
            <w:vAlign w:val="bottom"/>
          </w:tcPr>
          <w:p>
            <w:pPr>
              <w:jc w:val="center"/>
              <w:ind w:left="96"/>
              <w:spacing w:after="0"/>
              <w:rPr>
                <w:sz w:val="20"/>
                <w:szCs w:val="20"/>
                <w:color w:val="auto"/>
              </w:rPr>
            </w:pPr>
            <w:r>
              <w:rPr>
                <w:rFonts w:ascii="Arial" w:cs="Arial" w:eastAsia="Arial" w:hAnsi="Arial"/>
                <w:sz w:val="18"/>
                <w:szCs w:val="18"/>
                <w:color w:val="auto"/>
                <w:w w:val="89"/>
              </w:rPr>
              <w:t>189,332</w:t>
            </w:r>
          </w:p>
        </w:tc>
        <w:tc>
          <w:tcPr>
            <w:tcW w:w="100" w:type="dxa"/>
            <w:vAlign w:val="bottom"/>
          </w:tcPr>
          <w:p>
            <w:pPr>
              <w:spacing w:after="0"/>
              <w:rPr>
                <w:sz w:val="20"/>
                <w:szCs w:val="20"/>
                <w:color w:val="auto"/>
              </w:rPr>
            </w:pPr>
          </w:p>
        </w:tc>
        <w:tc>
          <w:tcPr>
            <w:tcW w:w="340" w:type="dxa"/>
            <w:vAlign w:val="bottom"/>
            <w:gridSpan w:val="5"/>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40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center"/>
              <w:ind w:left="96"/>
              <w:spacing w:after="0"/>
              <w:rPr>
                <w:sz w:val="20"/>
                <w:szCs w:val="20"/>
                <w:color w:val="auto"/>
              </w:rPr>
            </w:pPr>
            <w:r>
              <w:rPr>
                <w:rFonts w:ascii="Arial" w:cs="Arial" w:eastAsia="Arial" w:hAnsi="Arial"/>
                <w:sz w:val="18"/>
                <w:szCs w:val="18"/>
                <w:color w:val="auto"/>
                <w:w w:val="89"/>
              </w:rPr>
              <w:t>189,332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80" w:type="dxa"/>
            <w:vAlign w:val="bottom"/>
            <w:tcBorders>
              <w:bottom w:val="single" w:sz="8" w:color="CFF0FC"/>
              <w:right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920" w:type="dxa"/>
            <w:vAlign w:val="bottom"/>
            <w:gridSpan w:val="7"/>
          </w:tcPr>
          <w:p>
            <w:pPr>
              <w:ind w:left="40"/>
              <w:spacing w:after="0"/>
              <w:rPr>
                <w:sz w:val="20"/>
                <w:szCs w:val="20"/>
                <w:color w:val="auto"/>
              </w:rPr>
            </w:pPr>
            <w:r>
              <w:rPr>
                <w:rFonts w:ascii="Arial" w:cs="Arial" w:eastAsia="Arial" w:hAnsi="Arial"/>
                <w:sz w:val="18"/>
                <w:szCs w:val="18"/>
                <w:color w:val="auto"/>
                <w:w w:val="90"/>
              </w:rPr>
              <w:t>During the years ended December 31, 2022 and 2021, there were no transfers between levels.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5. Supplemental Balance Sheet Information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60" w:type="dxa"/>
            <w:vAlign w:val="bottom"/>
            <w:gridSpan w:val="3"/>
          </w:tcPr>
          <w:p>
            <w:pPr>
              <w:ind w:left="520"/>
              <w:spacing w:after="0"/>
              <w:rPr>
                <w:sz w:val="20"/>
                <w:szCs w:val="20"/>
                <w:color w:val="auto"/>
              </w:rPr>
            </w:pPr>
            <w:r>
              <w:rPr>
                <w:rFonts w:ascii="Arial" w:cs="Arial" w:eastAsia="Arial" w:hAnsi="Arial"/>
                <w:sz w:val="18"/>
                <w:szCs w:val="18"/>
                <w:color w:val="auto"/>
                <w:w w:val="94"/>
              </w:rPr>
              <w:t>Prepaid expenses and other current assets consisted of the following: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expenses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4,509</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80" w:type="dxa"/>
            <w:vAlign w:val="bottom"/>
            <w:tcBorders>
              <w:right w:val="single" w:sz="8" w:color="CFF0FC"/>
            </w:tcBorders>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Tax incentive refund, net of reserve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999</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Prepaid compensation benefits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1,008</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9,578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7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60" w:type="dxa"/>
            <w:vAlign w:val="bottom"/>
            <w:gridSpan w:val="3"/>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5,967</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80" w:type="dxa"/>
            <w:vAlign w:val="bottom"/>
            <w:tcBorders>
              <w:right w:val="single" w:sz="8" w:color="CFF0FC"/>
            </w:tcBorders>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6,698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7,946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(3,804 )</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(3,820 )</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2,894</w:t>
            </w:r>
          </w:p>
        </w:tc>
        <w:tc>
          <w:tcPr>
            <w:tcW w:w="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4,126</w:t>
            </w:r>
          </w:p>
        </w:tc>
        <w:tc>
          <w:tcPr>
            <w:tcW w:w="80" w:type="dxa"/>
            <w:vAlign w:val="bottom"/>
            <w:tcBorders>
              <w:top w:val="single" w:sz="8" w:color="CFF0FC"/>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-5280025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-5262880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-5280025</wp:posOffset>
            </wp:positionV>
            <wp:extent cx="59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-5262880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-5280025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-5262880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-5280025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-5262880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-4311015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-4293870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-4311015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-4293870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-4311015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-4293870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-4311015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-4293870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-2108200</wp:posOffset>
            </wp:positionV>
            <wp:extent cx="5143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-2108200</wp:posOffset>
            </wp:positionV>
            <wp:extent cx="431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-504825</wp:posOffset>
            </wp:positionV>
            <wp:extent cx="51435"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5143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for the years ended December 31, 2022 and 2021 was $1,440 and $1,399, respectively.</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472" w:right="899" w:bottom="1440" w:gutter="0" w:footer="0" w:header="0"/>
        </w:sectPr>
      </w:pPr>
    </w:p>
    <w:bookmarkStart w:id="128" w:name="page129"/>
    <w:bookmarkEnd w:id="128"/>
    <w:p>
      <w:pPr>
        <w:jc w:val="both"/>
        <w:ind w:right="460" w:firstLine="749"/>
        <w:spacing w:after="0" w:line="263" w:lineRule="auto"/>
        <w:rPr>
          <w:sz w:val="20"/>
          <w:szCs w:val="20"/>
          <w:color w:val="auto"/>
        </w:rPr>
      </w:pPr>
      <w:r>
        <w:rPr>
          <w:rFonts w:ascii="Arial" w:cs="Arial" w:eastAsia="Arial" w:hAnsi="Arial"/>
          <w:sz w:val="18"/>
          <w:szCs w:val="18"/>
          <w:color w:val="auto"/>
        </w:rPr>
        <w:t>As of December 31, 2022 and 2021, the Company had restricted cash as presented in the table below, which consists of cash used to secure letters of credit for the benefit of the landlord in connection with the Company’s lease agreements. The cash will be restricted until the termination or modification of the lease arrangement.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0"/>
        </w:trPr>
        <w:tc>
          <w:tcPr>
            <w:tcW w:w="1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net of current portion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21"/>
                <w:szCs w:val="21"/>
                <w:color w:val="auto"/>
              </w:rPr>
            </w:pPr>
          </w:p>
        </w:tc>
      </w:tr>
      <w:tr>
        <w:trPr>
          <w:trHeight w:val="540"/>
        </w:trPr>
        <w:tc>
          <w:tcPr>
            <w:tcW w:w="7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000" w:type="dxa"/>
            <w:vAlign w:val="bottom"/>
            <w:gridSpan w:val="2"/>
          </w:tcPr>
          <w:p>
            <w:pPr>
              <w:ind w:left="520"/>
              <w:spacing w:after="0"/>
              <w:rPr>
                <w:sz w:val="20"/>
                <w:szCs w:val="20"/>
                <w:color w:val="auto"/>
              </w:rPr>
            </w:pPr>
            <w:r>
              <w:rPr>
                <w:rFonts w:ascii="Arial" w:cs="Arial" w:eastAsia="Arial" w:hAnsi="Arial"/>
                <w:sz w:val="18"/>
                <w:szCs w:val="18"/>
                <w:color w:val="auto"/>
              </w:rPr>
              <w:t>Accrued expenses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7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7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8,882</w:t>
            </w:r>
          </w:p>
        </w:tc>
        <w:tc>
          <w:tcPr>
            <w:tcW w:w="80" w:type="dxa"/>
            <w:vAlign w:val="bottom"/>
            <w:shd w:val="clear" w:color="auto" w:fill="CFF0FC"/>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Compensation and benefit costs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5,579</w:t>
            </w:r>
          </w:p>
        </w:tc>
        <w:tc>
          <w:tcPr>
            <w:tcW w:w="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FF0FC"/>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11,732</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On January 12, 2018, the Company entered into a lease agreement for office space located in Cambridge, Massachusetts. The lease agreement was set to expire in January 2023 and was terminated early in September 2022. The annual lease payments were subject to a 3% increase each year. The Company received a tenant incentive allowance of $842 in 2018. In accordance with the lease agreement, the Company was required to maintain a security deposit of $209, which was recorded in restricted cash as of December 31, 2021.</w:t>
      </w:r>
    </w:p>
    <w:p>
      <w:pPr>
        <w:spacing w:after="0" w:line="187"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 amended the terms of the sublease, to extend the term through April 2023. In July 2022, the company moved our corporate headquarters to our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December 31, 2022 and 2021.</w:t>
      </w:r>
    </w:p>
    <w:p>
      <w:pPr>
        <w:spacing w:after="0" w:line="16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On June 1, 2020, the Company entered into a lease agreement for office space located in Toronto, Ontario, Canada, which is set to expire in June 2025. The annual lease payments are fixed for years 1 and 2, and then subject to a 6.67% increase for years 3 through 5. In accordance with the lease agreement, the Company is required to maintain a security deposit of CAD$27, which was recorded in other long-term assets as of December 31, 2022 and 2021. In October 2022, the Company entered into a sublease agreement to sublease this space. The term of the sublease agreement commenced on October 1, 2022 and expires on June 29, 2025.</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effect of lease costs in the Company’s consolidated statement of operations and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35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2022</w:t>
            </w:r>
          </w:p>
        </w:tc>
      </w:tr>
      <w:tr>
        <w:trPr>
          <w:trHeight w:val="236"/>
        </w:trPr>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costs</w:t>
            </w:r>
          </w:p>
        </w:tc>
        <w:tc>
          <w:tcPr>
            <w:tcW w:w="56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FF0FC"/>
          </w:tcPr>
          <w:p>
            <w:pPr>
              <w:spacing w:after="0"/>
              <w:rPr>
                <w:sz w:val="20"/>
                <w:szCs w:val="20"/>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8"/>
                <w:szCs w:val="18"/>
                <w:color w:val="auto"/>
              </w:rPr>
              <w:t>Sublease income</w:t>
            </w:r>
          </w:p>
        </w:tc>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r>
      <w:tr>
        <w:trPr>
          <w:trHeight w:val="277"/>
        </w:trPr>
        <w:tc>
          <w:tcPr>
            <w:tcW w:w="3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lease costs</w:t>
            </w:r>
          </w:p>
        </w:tc>
        <w:tc>
          <w:tcPr>
            <w:tcW w:w="56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3540" w:type="dxa"/>
            <w:vAlign w:val="bottom"/>
          </w:tcPr>
          <w:p>
            <w:pPr>
              <w:spacing w:after="0"/>
              <w:rPr>
                <w:sz w:val="24"/>
                <w:szCs w:val="24"/>
                <w:color w:val="auto"/>
              </w:rPr>
            </w:pPr>
          </w:p>
        </w:tc>
        <w:tc>
          <w:tcPr>
            <w:tcW w:w="5920" w:type="dxa"/>
            <w:vAlign w:val="bottom"/>
            <w:gridSpan w:val="2"/>
          </w:tcPr>
          <w:p>
            <w:pPr>
              <w:jc w:val="right"/>
              <w:ind w:right="3570"/>
              <w:spacing w:after="0"/>
              <w:rPr>
                <w:sz w:val="20"/>
                <w:szCs w:val="20"/>
                <w:color w:val="auto"/>
              </w:rPr>
            </w:pPr>
            <w:r>
              <w:rPr>
                <w:rFonts w:ascii="Arial" w:cs="Arial" w:eastAsia="Arial" w:hAnsi="Arial"/>
                <w:sz w:val="18"/>
                <w:szCs w:val="18"/>
                <w:color w:val="auto"/>
              </w:rPr>
              <w:t>F-17</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9220" w:type="dxa"/>
            <w:vAlign w:val="bottom"/>
          </w:tcPr>
          <w:p>
            <w:pPr>
              <w:ind w:left="520"/>
              <w:spacing w:after="0"/>
              <w:rPr>
                <w:sz w:val="20"/>
                <w:szCs w:val="20"/>
                <w:color w:val="auto"/>
              </w:rPr>
            </w:pPr>
            <w:r>
              <w:rPr>
                <w:rFonts w:ascii="Arial" w:cs="Arial" w:eastAsia="Arial" w:hAnsi="Arial"/>
                <w:sz w:val="18"/>
                <w:szCs w:val="18"/>
                <w:color w:val="auto"/>
                <w:w w:val="98"/>
              </w:rPr>
              <w:t>During the year ended December 31, 2022 the Company made cash payments for operating leases of $3,167.</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9220" w:type="dxa"/>
            <w:vAlign w:val="bottom"/>
          </w:tcPr>
          <w:p>
            <w:pPr>
              <w:ind w:left="520"/>
              <w:spacing w:after="0"/>
              <w:rPr>
                <w:sz w:val="20"/>
                <w:szCs w:val="20"/>
                <w:color w:val="auto"/>
              </w:rPr>
            </w:pPr>
            <w:r>
              <w:rPr>
                <w:rFonts w:ascii="Arial" w:cs="Arial" w:eastAsia="Arial" w:hAnsi="Arial"/>
                <w:sz w:val="18"/>
                <w:szCs w:val="18"/>
                <w:color w:val="auto"/>
                <w:w w:val="98"/>
              </w:rPr>
              <w:t>As of December 31, 2022, future minimum payments of operating lease liabilities are as follows (in thousands):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9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r>
      <w:tr>
        <w:trPr>
          <w:trHeight w:val="185"/>
        </w:trPr>
        <w:tc>
          <w:tcPr>
            <w:tcW w:w="9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2022</w:t>
            </w:r>
          </w:p>
        </w:tc>
      </w:tr>
      <w:tr>
        <w:trPr>
          <w:trHeight w:val="236"/>
        </w:trPr>
        <w:tc>
          <w:tcPr>
            <w:tcW w:w="9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20"/>
                <w:szCs w:val="20"/>
                <w:color w:val="auto"/>
              </w:rPr>
            </w:pPr>
          </w:p>
        </w:tc>
      </w:tr>
      <w:tr>
        <w:trPr>
          <w:trHeight w:val="237"/>
        </w:trPr>
        <w:tc>
          <w:tcPr>
            <w:tcW w:w="9220" w:type="dxa"/>
            <w:vAlign w:val="bottom"/>
          </w:tcPr>
          <w:p>
            <w:pPr>
              <w:ind w:left="1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1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9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922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9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12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r>
      <w:tr>
        <w:trPr>
          <w:trHeight w:val="243"/>
        </w:trPr>
        <w:tc>
          <w:tcPr>
            <w:tcW w:w="9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Plus: FX gain/loss</w:t>
            </w: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20" w:type="dxa"/>
            <w:vAlign w:val="bottom"/>
          </w:tcPr>
          <w:p>
            <w:pPr>
              <w:ind w:left="20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As of December 31, 2022, the weighted average remaining lease term was 0.9 years and the weighted average incremental borrowing rate used to determine the operating lease liability was 10.58%.</w:t>
      </w:r>
    </w:p>
    <w:p>
      <w:pPr>
        <w:spacing w:after="0" w:line="170"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Future minimum payments required under the leases as of December 31, 2021 presented in accordance with ASC 840, the relevant accounting standard at that time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during the year ended December 31, 2021 was $2,648.</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 Payable</w:t>
      </w:r>
    </w:p>
    <w:p>
      <w:pPr>
        <w:spacing w:after="0" w:line="121" w:lineRule="exact"/>
        <w:rPr>
          <w:sz w:val="20"/>
          <w:szCs w:val="20"/>
          <w:color w:val="auto"/>
        </w:rPr>
      </w:pPr>
    </w:p>
    <w:p>
      <w:pPr>
        <w:ind w:right="60" w:firstLine="509"/>
        <w:spacing w:after="0" w:line="295" w:lineRule="auto"/>
        <w:rPr>
          <w:sz w:val="20"/>
          <w:szCs w:val="20"/>
          <w:color w:val="auto"/>
        </w:rPr>
      </w:pPr>
      <w:r>
        <w:rPr>
          <w:rFonts w:ascii="Arial" w:cs="Arial" w:eastAsia="Arial" w:hAnsi="Arial"/>
          <w:sz w:val="16"/>
          <w:szCs w:val="16"/>
          <w:color w:val="auto"/>
        </w:rPr>
        <w:t>On November 2, 2021 (the “Closing Date”), the Company entered into a Loan and Security Agreement (the “Loan Agreement”) with Silicon Valley Bank pursuant to which a term loan in an aggregate principal amount of up to $50,000 (the “Term Loan Facility”) is available to the Company in three tranches, subject to certain terms and conditions. The first tranche of $15,000 was advanced to the Company on the Closing Date. Subject to the terms and conditions of the Loan Agreement, the first tranche allows the Company to borrow an additional $15,000 through October 31, 2023. Upon satisfaction of certain milestones, the second and third tranches are available under the Term Loan Facility which allows the Company to borrow an additional amount up to $10,000 in each tranche through October 31, 2023. Additionally, the Company may seek to borrow up to an additional $15,000 at the sole discretion of the lender through the term of the Loan Agreement. The Loan Agreement matures on October 1, 2026 (the “Maturity Date”). The Company is required to pay an end of term fee (“End of Term Charge”) equal to 9.00% of the aggregate principal amount of the Term Loan advances upon repayment.</w:t>
      </w:r>
    </w:p>
    <w:p>
      <w:pPr>
        <w:spacing w:after="0" w:line="162" w:lineRule="exact"/>
        <w:rPr>
          <w:sz w:val="20"/>
          <w:szCs w:val="20"/>
          <w:color w:val="auto"/>
        </w:rPr>
      </w:pPr>
    </w:p>
    <w:p>
      <w:pPr>
        <w:jc w:val="both"/>
        <w:ind w:right="280" w:firstLine="509"/>
        <w:spacing w:after="0" w:line="286" w:lineRule="auto"/>
        <w:rPr>
          <w:sz w:val="20"/>
          <w:szCs w:val="20"/>
          <w:color w:val="auto"/>
        </w:rPr>
      </w:pPr>
      <w:r>
        <w:rPr>
          <w:rFonts w:ascii="Arial" w:cs="Arial" w:eastAsia="Arial" w:hAnsi="Arial"/>
          <w:sz w:val="17"/>
          <w:szCs w:val="17"/>
          <w:color w:val="auto"/>
        </w:rPr>
        <w:t>Advances under the Term Loan Facility will bear interest at a rate equal to the greater of either (i) the Prime Rate (as reported in The Wall Street Journal) plus 4.85%, and (ii) 8.10%. The Company will make interest only payments through November 1, 2024. Following the interest only period, the Company will repay the principal balance and interest of the advances in equal monthly installments through October 1, 2026.</w:t>
      </w:r>
    </w:p>
    <w:p>
      <w:pPr>
        <w:spacing w:after="0" w:line="16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Company may prepay advances under the Loan Agreement, in whole or in part, at any time subject to a prepayment charge (the “Prepayment Premium”) equal to: (a) 1.50% of amounts so prepaid, if such prepayment occurs during the first year following the Closing Date; (b) 1.00% of the amount so prepaid, if such prepayment occurs during the second year following the Closing Date, and (c) 0.00% of the amount so prepaid, if such prepayment occurs after the second year following the Closing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0" w:name="page131"/>
    <w:bookmarkEnd w:id="130"/>
    <w:p>
      <w:pPr>
        <w:ind w:right="160" w:firstLine="509"/>
        <w:spacing w:after="0" w:line="277" w:lineRule="auto"/>
        <w:rPr>
          <w:sz w:val="20"/>
          <w:szCs w:val="20"/>
          <w:color w:val="auto"/>
        </w:rPr>
      </w:pPr>
      <w:r>
        <w:rPr>
          <w:rFonts w:ascii="Arial" w:cs="Arial" w:eastAsia="Arial" w:hAnsi="Arial"/>
          <w:sz w:val="18"/>
          <w:szCs w:val="18"/>
          <w:color w:val="auto"/>
        </w:rPr>
        <w:t>Upon prepayment or repayment of all or any of the term loans under the Term Loan Facility, the Company will pay (in addition to any Prepayment Premium) an end of term charge of 9.0% of the aggregate funded amount under the Term Loan Facility.</w:t>
      </w:r>
    </w:p>
    <w:p>
      <w:pPr>
        <w:spacing w:after="0" w:line="170"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Term Loan Facility is secured by substantially all of the Company’s assets, other than the Company’s intellectual property. The Company has agreed to not pledge or secure its intellectual property to others. The Term Loan Facility is subject to certain terms and conditions that would be considered an Event of Default, including any material adverse change to the Company.</w:t>
      </w:r>
    </w:p>
    <w:p>
      <w:pPr>
        <w:spacing w:after="0" w:line="184"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is approximately 15.00%.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and 2021 the carrying value of the note payable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 payable, including End of Term Charge</w:t>
            </w: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16,350</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16,350</w:t>
            </w: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Debt discount, net of accretion</w:t>
            </w:r>
          </w:p>
        </w:tc>
        <w:tc>
          <w:tcPr>
            <w:tcW w:w="10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(1,074 )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(1,405 )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Note payable, net of discount, long-term</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15,276</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2022, the future principal payments due under the arrangement, excluding interest and the end of term charge,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jc w:val="right"/>
              <w:ind w:right="1753"/>
              <w:spacing w:after="0"/>
              <w:rPr>
                <w:sz w:val="20"/>
                <w:szCs w:val="20"/>
                <w:color w:val="auto"/>
              </w:rPr>
            </w:pPr>
            <w:r>
              <w:rPr>
                <w:rFonts w:ascii="Arial" w:cs="Arial" w:eastAsia="Arial" w:hAnsi="Arial"/>
                <w:sz w:val="14"/>
                <w:szCs w:val="14"/>
                <w:b w:val="1"/>
                <w:bCs w:val="1"/>
                <w:color w:val="auto"/>
              </w:rPr>
              <w:t>Principle</w:t>
            </w:r>
          </w:p>
        </w:tc>
        <w:tc>
          <w:tcPr>
            <w:tcW w:w="100" w:type="dxa"/>
            <w:vAlign w:val="bottom"/>
          </w:tcPr>
          <w:p>
            <w:pPr>
              <w:spacing w:after="0"/>
              <w:rPr>
                <w:sz w:val="16"/>
                <w:szCs w:val="16"/>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0"/>
                <w:szCs w:val="20"/>
                <w:color w:val="auto"/>
              </w:rPr>
            </w:pPr>
          </w:p>
        </w:tc>
      </w:tr>
      <w:tr>
        <w:trPr>
          <w:trHeight w:val="27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During the year ended December 31, 2022, the Company recognized $1,808 of interest expense related to the Loan Agreement, which is reflected in other (expense) income, net on the consolidated statements of operations and comprehensive loss. During year ended December 31, 2021, the Company recognized $203 of interest expense related to the Loan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As of December 31, 2022 and 2021, the authorized capital stock of the Company included 150,000,000 shares of common stock, $0.0001 par value, and 10,000,000 shares of undesignated preferred stock. As of December 31, 2022 and 2021, no undesignated shares of preferred stock were outstanding.</w:t>
      </w:r>
    </w:p>
    <w:p>
      <w:pPr>
        <w:spacing w:after="0" w:line="12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 December 31, 2022, no cash dividends have been declared or paid.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1" w:name="page132"/>
    <w:bookmarkEnd w:id="131"/>
    <w:p>
      <w:pPr>
        <w:ind w:left="52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In July 2019, the Company closed an underwritten public offering of 7,475,000 shares of its common stock at a public offering price of $18.50 per share (the “July 2019 Follow-on Offering”), which included 975,000 shares of the Company’s common stock resulting from the full exercise of the underwriters’ option to purchase additional shares at the public offering price, less underwriting discounts and commissions. The net proceeds to the Company from the July 2019 Follow-on Offering, after deducting underwriting discounts and commissions and other offering expenses payable by the Company, were $129,464.</w:t>
      </w:r>
    </w:p>
    <w:p>
      <w:pPr>
        <w:spacing w:after="0" w:line="18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February 2020, the Company closed an underwritten public offering of 4,350,000 shares of its common stock at a public offering price of $23.00 per share (the “February 2020 Follow-on Offering”). The net proceeds to the Company from the February 2020 Follow-on Offering, after deducting underwriting discounts and commissions and other offering expenses payable by the Company, were $93,627.</w:t>
      </w:r>
    </w:p>
    <w:p>
      <w:pPr>
        <w:spacing w:after="0" w:line="18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 June 2020, the Company sold an aggregate of 384,140 shares of common stock under its 2019 “at-the-market” facility (the “2019 ATM Facility”) for net proceeds, after deducting commissions and other offering expenses payable by the Company, of $8,130.</w:t>
      </w:r>
    </w:p>
    <w:p>
      <w:pPr>
        <w:spacing w:after="0" w:line="170" w:lineRule="exact"/>
        <w:rPr>
          <w:sz w:val="20"/>
          <w:szCs w:val="20"/>
          <w:color w:val="auto"/>
        </w:rPr>
      </w:pPr>
    </w:p>
    <w:p>
      <w:pPr>
        <w:jc w:val="both"/>
        <w:ind w:right="480" w:firstLine="554"/>
        <w:spacing w:after="0" w:line="286" w:lineRule="auto"/>
        <w:rPr>
          <w:sz w:val="20"/>
          <w:szCs w:val="20"/>
          <w:color w:val="auto"/>
        </w:rPr>
      </w:pPr>
      <w:r>
        <w:rPr>
          <w:rFonts w:ascii="Arial" w:cs="Arial" w:eastAsia="Arial" w:hAnsi="Arial"/>
          <w:sz w:val="17"/>
          <w:szCs w:val="17"/>
          <w:color w:val="auto"/>
        </w:rPr>
        <w:t>In November 2020, the Company closed an underwritten public offering of 5,000,000 shares of its common stock at a public offering price of $15.00 per share (the “November 2020 Follow-on Offering”). The net proceeds to the Company from the November 2020 Follow-on Offering, after deducting underwriting discounts and commissions and other offering expenses payable by the Company, were $70,221.</w:t>
      </w:r>
    </w:p>
    <w:p>
      <w:pPr>
        <w:spacing w:after="0" w:line="192" w:lineRule="exact"/>
        <w:rPr>
          <w:sz w:val="20"/>
          <w:szCs w:val="20"/>
          <w:color w:val="auto"/>
        </w:rPr>
      </w:pPr>
    </w:p>
    <w:p>
      <w:pPr>
        <w:ind w:right="20" w:firstLine="653"/>
        <w:spacing w:after="0" w:line="263" w:lineRule="auto"/>
        <w:rPr>
          <w:sz w:val="20"/>
          <w:szCs w:val="20"/>
          <w:color w:val="auto"/>
        </w:rPr>
      </w:pPr>
      <w:r>
        <w:rPr>
          <w:rFonts w:ascii="Arial" w:cs="Arial" w:eastAsia="Arial" w:hAnsi="Arial"/>
          <w:sz w:val="18"/>
          <w:szCs w:val="18"/>
          <w:color w:val="auto"/>
        </w:rPr>
        <w:t>In May 2021, the Company sold an aggregate of 1,829,268 shares of common stock under the 2019 ATM Facility for net proceeds, after deducting commissions and other offering expenses payable by the Company, of $14,550. As of December 31, 2022, approximately $26,549 of common stock remained available for future issuance under the 2019 ATM Facility.</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and 2021, the Company has reserved the following shares of common stock for future issuance: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30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 of outstanding</w:t>
            </w: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1"/>
                <w:szCs w:val="21"/>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9,423,271</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940,392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599,850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Stock</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1"/>
                <w:szCs w:val="21"/>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 and Incentive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5,005,295</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2,583,736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Shares reserved for issuance under the 2018 Employee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Stock Purchase Plan</w:t>
            </w:r>
          </w:p>
        </w:tc>
        <w:tc>
          <w:tcPr>
            <w:tcW w:w="1120" w:type="dxa"/>
            <w:vAlign w:val="bottom"/>
          </w:tcPr>
          <w:p>
            <w:pPr>
              <w:jc w:val="right"/>
              <w:spacing w:after="0"/>
              <w:rPr>
                <w:sz w:val="20"/>
                <w:szCs w:val="20"/>
                <w:color w:val="auto"/>
              </w:rPr>
            </w:pPr>
            <w:r>
              <w:rPr>
                <w:rFonts w:ascii="Arial" w:cs="Arial" w:eastAsia="Arial" w:hAnsi="Arial"/>
                <w:sz w:val="18"/>
                <w:szCs w:val="18"/>
                <w:color w:val="auto"/>
              </w:rPr>
              <w:t>1,467,026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1,151,010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2019</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1"/>
                <w:szCs w:val="21"/>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Inducement Plan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786,656</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412,686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Shares reserved for issuance under the 2020</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1,637,000</w:t>
            </w:r>
          </w:p>
        </w:tc>
        <w:tc>
          <w:tcPr>
            <w:tcW w:w="20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1,637,000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Inducement Plan</w:t>
            </w: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19,259,640</w:t>
            </w: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13,808,059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3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future issuance</w:t>
            </w:r>
          </w:p>
        </w:tc>
        <w:tc>
          <w:tcPr>
            <w:tcW w:w="1120" w:type="dxa"/>
            <w:vAlign w:val="bottom"/>
            <w:vMerge w:val="continue"/>
            <w:shd w:val="clear" w:color="auto" w:fill="CFF0FC"/>
          </w:tcPr>
          <w:p>
            <w:pPr>
              <w:spacing w:after="0"/>
              <w:rPr>
                <w:sz w:val="21"/>
                <w:szCs w:val="21"/>
                <w:color w:val="auto"/>
              </w:rPr>
            </w:pPr>
          </w:p>
        </w:tc>
        <w:tc>
          <w:tcPr>
            <w:tcW w:w="1300" w:type="dxa"/>
            <w:vAlign w:val="bottom"/>
            <w:gridSpan w:val="2"/>
            <w:vMerge w:val="continue"/>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5360" w:type="dxa"/>
            <w:vAlign w:val="bottom"/>
            <w:tcBorders>
              <w:top w:val="single" w:sz="8" w:color="CFF0FC"/>
            </w:tcBorders>
          </w:tcPr>
          <w:p>
            <w:pPr>
              <w:ind w:left="3760"/>
              <w:spacing w:after="0"/>
              <w:rPr>
                <w:sz w:val="20"/>
                <w:szCs w:val="20"/>
                <w:color w:val="auto"/>
              </w:rPr>
            </w:pPr>
            <w:r>
              <w:rPr>
                <w:rFonts w:ascii="Arial" w:cs="Arial" w:eastAsia="Arial" w:hAnsi="Arial"/>
                <w:sz w:val="18"/>
                <w:szCs w:val="18"/>
                <w:color w:val="auto"/>
              </w:rPr>
              <w:t>F-20</w:t>
            </w: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-521970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-504825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Following the IPO, no further grants have been made under 2015 plan.</w:t>
      </w:r>
    </w:p>
    <w:p>
      <w:pPr>
        <w:spacing w:after="0" w:line="17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w:t>
      </w:r>
    </w:p>
    <w:p>
      <w:pPr>
        <w:spacing w:after="0" w:line="188"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w:t>
      </w:r>
    </w:p>
    <w:p>
      <w:pPr>
        <w:spacing w:after="0" w:line="149" w:lineRule="exact"/>
        <w:rPr>
          <w:sz w:val="20"/>
          <w:szCs w:val="20"/>
          <w:color w:val="auto"/>
        </w:rPr>
      </w:pPr>
    </w:p>
    <w:p>
      <w:pPr>
        <w:ind w:right="420" w:firstLine="509"/>
        <w:spacing w:after="0" w:line="342" w:lineRule="auto"/>
        <w:rPr>
          <w:sz w:val="20"/>
          <w:szCs w:val="20"/>
          <w:color w:val="auto"/>
        </w:rPr>
      </w:pPr>
      <w:r>
        <w:rPr>
          <w:rFonts w:ascii="Arial" w:cs="Arial" w:eastAsia="Arial" w:hAnsi="Arial"/>
          <w:sz w:val="16"/>
          <w:szCs w:val="16"/>
          <w:color w:val="auto"/>
        </w:rPr>
        <w:t>The number of shares of common stock available for future grant under the 2018 Plan was 5,005,295 as of December 31, 2022, which does not include the shares added to the 2018 Plan reserve on January 1, 2022 as a result of the Plan Evergreen for the year ended December 31, 2022.</w:t>
      </w:r>
    </w:p>
    <w:p>
      <w:pPr>
        <w:spacing w:after="0" w:line="12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During the years ended December 31, 2022 and 2021, the Company granted options to purchase 5,369,650 and, 4,253,232 shares, respectively, of common stock to employees, nonemployees and members of the Board.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t>number of shares reserved under the ESPP is subject to adjustment in the event of a stock split, stock dividend or other change in our capitalization.</w:t>
      </w:r>
    </w:p>
    <w:p>
      <w:pPr>
        <w:spacing w:after="0" w:line="237"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During the years ended December 31, 2022 and 2021, the Company issued 120,947 and 27,580 shares, respectively of common stock. The total number of shares of common stock available for future grant was 1,467,026 as of December 31, 2022, which does not include the shares added to the ESPP reserve on January 1, 2023 as a result of the ESPP Evergreen for the year ended December 31, 2022.</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2019 Inducement Plan</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initially reserved 1,800,000 shares of its common stock for the issuance of awards under the 2019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number of shares of common stock available for future grant under the 2019 Plan was 786,656 as of December 31, 2022.</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initially reserved 1,700,000 shares of its common stock for the issuance of awards under the 2020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number of shares of common stock available for future grant under the 2020 Plan was 1,637,000 as of December 31, 2022.</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5"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7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2.47 %</w:t>
            </w:r>
          </w:p>
        </w:tc>
        <w:tc>
          <w:tcPr>
            <w:tcW w:w="2920" w:type="dxa"/>
            <w:vAlign w:val="bottom"/>
            <w:gridSpan w:val="3"/>
          </w:tcPr>
          <w:p>
            <w:pPr>
              <w:jc w:val="right"/>
              <w:ind w:right="1600"/>
              <w:spacing w:after="0"/>
              <w:rPr>
                <w:sz w:val="20"/>
                <w:szCs w:val="20"/>
                <w:color w:val="auto"/>
              </w:rPr>
            </w:pPr>
            <w:r>
              <w:rPr>
                <w:rFonts w:ascii="Arial" w:cs="Arial" w:eastAsia="Arial" w:hAnsi="Arial"/>
                <w:sz w:val="18"/>
                <w:szCs w:val="18"/>
                <w:color w:val="auto"/>
              </w:rPr>
              <w:t>0.80 %</w:t>
            </w:r>
          </w:p>
        </w:tc>
      </w:tr>
      <w:tr>
        <w:trPr>
          <w:trHeight w:val="242"/>
        </w:trPr>
        <w:tc>
          <w:tcPr>
            <w:tcW w:w="170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80.43 %</w:t>
            </w:r>
          </w:p>
        </w:tc>
        <w:tc>
          <w:tcPr>
            <w:tcW w:w="2920" w:type="dxa"/>
            <w:vAlign w:val="bottom"/>
            <w:gridSpan w:val="3"/>
          </w:tcPr>
          <w:p>
            <w:pPr>
              <w:jc w:val="right"/>
              <w:ind w:right="1600"/>
              <w:spacing w:after="0"/>
              <w:rPr>
                <w:sz w:val="20"/>
                <w:szCs w:val="20"/>
                <w:color w:val="auto"/>
              </w:rPr>
            </w:pPr>
            <w:r>
              <w:rPr>
                <w:rFonts w:ascii="Arial" w:cs="Arial" w:eastAsia="Arial" w:hAnsi="Arial"/>
                <w:sz w:val="18"/>
                <w:szCs w:val="18"/>
                <w:color w:val="auto"/>
              </w:rPr>
              <w:t>81.22 %</w:t>
            </w:r>
          </w:p>
        </w:tc>
      </w:tr>
      <w:tr>
        <w:trPr>
          <w:trHeight w:val="243"/>
        </w:trPr>
        <w:tc>
          <w:tcPr>
            <w:tcW w:w="170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2920" w:type="dxa"/>
            <w:vAlign w:val="bottom"/>
            <w:gridSpan w:val="3"/>
          </w:tcPr>
          <w:p>
            <w:pPr>
              <w:jc w:val="right"/>
              <w:ind w:right="1600"/>
              <w:spacing w:after="0"/>
              <w:rPr>
                <w:sz w:val="20"/>
                <w:szCs w:val="20"/>
                <w:color w:val="auto"/>
              </w:rPr>
            </w:pPr>
            <w:r>
              <w:rPr>
                <w:rFonts w:ascii="Arial" w:cs="Arial" w:eastAsia="Arial" w:hAnsi="Arial"/>
                <w:sz w:val="18"/>
                <w:szCs w:val="18"/>
                <w:color w:val="auto"/>
              </w:rPr>
              <w:t>— %</w:t>
            </w:r>
          </w:p>
        </w:tc>
      </w:tr>
      <w:tr>
        <w:trPr>
          <w:trHeight w:val="662"/>
        </w:trPr>
        <w:tc>
          <w:tcPr>
            <w:tcW w:w="1700" w:type="dxa"/>
            <w:vAlign w:val="bottom"/>
          </w:tcPr>
          <w:p>
            <w:pPr>
              <w:spacing w:after="0"/>
              <w:rPr>
                <w:sz w:val="24"/>
                <w:szCs w:val="24"/>
                <w:color w:val="auto"/>
              </w:rPr>
            </w:pPr>
          </w:p>
        </w:tc>
        <w:tc>
          <w:tcPr>
            <w:tcW w:w="5980" w:type="dxa"/>
            <w:vAlign w:val="bottom"/>
            <w:gridSpan w:val="2"/>
          </w:tcPr>
          <w:p>
            <w:pPr>
              <w:ind w:left="3760"/>
              <w:spacing w:after="0"/>
              <w:rPr>
                <w:sz w:val="20"/>
                <w:szCs w:val="20"/>
                <w:color w:val="auto"/>
              </w:rPr>
            </w:pPr>
            <w:r>
              <w:rPr>
                <w:rFonts w:ascii="Arial" w:cs="Arial" w:eastAsia="Arial" w:hAnsi="Arial"/>
                <w:sz w:val="18"/>
                <w:szCs w:val="18"/>
                <w:color w:val="auto"/>
              </w:rPr>
              <w:t>F-22</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-805180</wp:posOffset>
            </wp:positionV>
            <wp:extent cx="4989195"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4" w:name="page135"/>
    <w:bookmarkEnd w:id="134"/>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2022:</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0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5,369,650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(142,013 )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(3,228,143 )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9,423,271</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20" w:type="dxa"/>
            <w:vAlign w:val="bottom"/>
          </w:tcPr>
          <w:p>
            <w:pPr>
              <w:spacing w:after="0"/>
              <w:rPr>
                <w:sz w:val="20"/>
                <w:szCs w:val="20"/>
                <w:color w:val="auto"/>
              </w:rPr>
            </w:pPr>
            <w:r>
              <w:rPr>
                <w:rFonts w:ascii="Arial" w:cs="Arial" w:eastAsia="Arial" w:hAnsi="Arial"/>
                <w:sz w:val="18"/>
                <w:szCs w:val="18"/>
                <w:color w:val="auto"/>
              </w:rPr>
              <w:t>Exercisable as of December 31, 2022</w:t>
            </w:r>
          </w:p>
        </w:tc>
        <w:tc>
          <w:tcPr>
            <w:tcW w:w="1280" w:type="dxa"/>
            <w:vAlign w:val="bottom"/>
          </w:tcPr>
          <w:p>
            <w:pPr>
              <w:jc w:val="right"/>
              <w:spacing w:after="0"/>
              <w:rPr>
                <w:sz w:val="20"/>
                <w:szCs w:val="20"/>
                <w:color w:val="auto"/>
              </w:rPr>
            </w:pPr>
            <w:r>
              <w:rPr>
                <w:rFonts w:ascii="Arial" w:cs="Arial" w:eastAsia="Arial" w:hAnsi="Arial"/>
                <w:sz w:val="18"/>
                <w:szCs w:val="18"/>
                <w:color w:val="auto"/>
              </w:rPr>
              <w:t>3,068,082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-171450</wp:posOffset>
            </wp:positionV>
            <wp:extent cx="6858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aggregate intrinsic value of options exercised during the years ended December 31, 2022 and 2021 was $50 and $1,826, respectively.</w:t>
      </w:r>
    </w:p>
    <w:p>
      <w:pPr>
        <w:spacing w:after="0" w:line="23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2022 and 2021 was $0.99 and $8.70,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has granted restricted common stock (or restricted stock awards) with time-based vesting conditions to certain employees of the Company. The purchase price of the restricted stock awards are determined by the Board. Unvested shares of restricted stock awards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2022.</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Restricted stock units represent an unsecured promise to grant at no cost a set number of shares of common stock upon vesting. With respect to restricted stock units, recipients are not entitled to cash dividends and have no voting rights during the vesting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restricted stock award and restricted stock unit activity for the year ended December 31, 2022:</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6"/>
                <w:szCs w:val="16"/>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Issued and unvested as of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599,850</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920,168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(575 )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(579,051 )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940,392</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total fair value of restricted stock awards and restricted stock units vested during the years ended December 31, 2022 and 2021 was $9 and $5,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5" w:name="page136"/>
    <w:bookmarkEnd w:id="135"/>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6,996</w:t>
            </w:r>
          </w:p>
        </w:tc>
        <w:tc>
          <w:tcPr>
            <w:tcW w:w="80" w:type="dxa"/>
            <w:vAlign w:val="bottom"/>
            <w:shd w:val="clear" w:color="auto" w:fill="CFF0FC"/>
          </w:tcPr>
          <w:p>
            <w:pPr>
              <w:spacing w:after="0"/>
              <w:rPr>
                <w:sz w:val="20"/>
                <w:szCs w:val="20"/>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80" w:type="dxa"/>
            <w:vAlign w:val="bottom"/>
          </w:tcPr>
          <w:p>
            <w:pPr>
              <w:spacing w:after="0"/>
              <w:rPr>
                <w:sz w:val="20"/>
                <w:szCs w:val="20"/>
                <w:color w:val="auto"/>
              </w:rPr>
            </w:pP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11,522</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As of December 31, 2022, total unrecognized compensation cost related to unvested stock-based awards was $18,719, which is expected to be recognized over a weighted-average period of 2.3 years.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Savings Plan</w:t>
      </w:r>
    </w:p>
    <w:p>
      <w:pPr>
        <w:spacing w:after="0" w:line="12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8% of employee contributions. The Company recorded $599 and $593 of expenses related to its 401(k) match for the years ended December 31, 2022 and 2021,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6 "Leases" for discussion of the commitments associated with the Company’s lease portfolio.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Funding Commitments</w:t>
      </w:r>
    </w:p>
    <w:p>
      <w:pPr>
        <w:spacing w:after="0" w:line="117" w:lineRule="exact"/>
        <w:rPr>
          <w:sz w:val="20"/>
          <w:szCs w:val="20"/>
          <w:color w:val="auto"/>
        </w:rPr>
      </w:pPr>
    </w:p>
    <w:p>
      <w:pPr>
        <w:jc w:val="both"/>
        <w:ind w:right="140" w:firstLine="749"/>
        <w:spacing w:after="0" w:line="259" w:lineRule="auto"/>
        <w:rPr>
          <w:sz w:val="20"/>
          <w:szCs w:val="20"/>
          <w:color w:val="auto"/>
        </w:rPr>
      </w:pPr>
      <w:r>
        <w:rPr>
          <w:rFonts w:ascii="Arial" w:cs="Arial" w:eastAsia="Arial" w:hAnsi="Arial"/>
          <w:sz w:val="18"/>
          <w:szCs w:val="18"/>
          <w:color w:val="auto"/>
        </w:rPr>
        <w:t>As of December 31, 2022, the Company had several ongoing clinical and non-clinical studies for its various pipeline programs. 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2022 and 2021, and to the best of its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as of December 31, 2022 and 2021, or royalties on future sales of specified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6" w:name="page137"/>
    <w:bookmarkEnd w:id="136"/>
    <w:p>
      <w:pPr>
        <w:ind w:right="480"/>
        <w:spacing w:after="0" w:line="277" w:lineRule="auto"/>
        <w:rPr>
          <w:sz w:val="20"/>
          <w:szCs w:val="20"/>
          <w:color w:val="auto"/>
        </w:rPr>
      </w:pPr>
      <w:r>
        <w:rPr>
          <w:rFonts w:ascii="Arial" w:cs="Arial" w:eastAsia="Arial" w:hAnsi="Arial"/>
          <w:sz w:val="18"/>
          <w:szCs w:val="18"/>
          <w:color w:val="auto"/>
        </w:rPr>
        <w:t xml:space="preserve">No milestone or royalty payments under these agreements are expected to be payable in the immediate future. See Note 3 </w:t>
      </w:r>
      <w:r>
        <w:rPr>
          <w:rFonts w:ascii="Arial" w:cs="Arial" w:eastAsia="Arial" w:hAnsi="Arial"/>
          <w:sz w:val="18"/>
          <w:szCs w:val="18"/>
          <w:i w:val="1"/>
          <w:iCs w:val="1"/>
          <w:color w:val="auto"/>
        </w:rPr>
        <w:t>“Licenses Agreements”</w:t>
      </w:r>
      <w:r>
        <w:rPr>
          <w:rFonts w:ascii="Arial" w:cs="Arial" w:eastAsia="Arial" w:hAnsi="Arial"/>
          <w:sz w:val="18"/>
          <w:szCs w:val="18"/>
          <w:color w:val="auto"/>
        </w:rPr>
        <w:t xml:space="preserve"> for discussion of these arrangements.</w:t>
      </w:r>
    </w:p>
    <w:p>
      <w:pPr>
        <w:spacing w:after="0" w:line="17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 xml:space="preserve">For the years ended December 31, 2022 and 2021, the Company did not record a current or deferred income tax expense or (benefit) due to current and historical losses incurred by the Company. The Company’s operations are predominantly based in the United States and the Company’s foreign subsidiaries generated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losses for the years ended December 31, 2022 and 2021.</w:t>
      </w:r>
    </w:p>
    <w:p>
      <w:pPr>
        <w:spacing w:after="0" w:line="18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the Company’s effective tax rate as reflected in the consolidated financial statements is as follows:</w:t>
      </w:r>
    </w:p>
    <w:p>
      <w:pPr>
        <w:spacing w:after="0" w:line="17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Federal income tax expense at statutory rate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02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Research and development tax credits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0"/>
              </w:rPr>
              <w:t>-25.8 %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-27.9 %</w:t>
            </w:r>
          </w:p>
        </w:tc>
      </w:tr>
      <w:tr>
        <w:trPr>
          <w:trHeight w:val="250"/>
        </w:trPr>
        <w:tc>
          <w:tcPr>
            <w:tcW w:w="5240" w:type="dxa"/>
            <w:vAlign w:val="bottom"/>
          </w:tcPr>
          <w:p>
            <w:pPr>
              <w:spacing w:after="0"/>
              <w:rPr>
                <w:sz w:val="20"/>
                <w:szCs w:val="20"/>
                <w:color w:val="auto"/>
              </w:rPr>
            </w:pPr>
            <w:r>
              <w:rPr>
                <w:rFonts w:ascii="Arial" w:cs="Arial" w:eastAsia="Arial" w:hAnsi="Arial"/>
                <w:sz w:val="18"/>
                <w:szCs w:val="18"/>
                <w:color w:val="auto"/>
              </w:rPr>
              <w:t>Provision to Return</w:t>
            </w:r>
          </w:p>
        </w:tc>
        <w:tc>
          <w:tcPr>
            <w:tcW w:w="7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5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5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-1268095</wp:posOffset>
            </wp:positionV>
            <wp:extent cx="4989195"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-959485</wp:posOffset>
            </wp:positionV>
            <wp:extent cx="498919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-650875</wp:posOffset>
            </wp:positionV>
            <wp:extent cx="498919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-342265</wp:posOffset>
            </wp:positionV>
            <wp:extent cx="4989195" cy="3429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89195" cy="34290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91,416</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84,102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Equity based compensation</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Licensing agreements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Section 174 R&amp;D Capitalization</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16,307</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Lease Liability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 and other</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125,015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(124,695 )</w:t>
            </w: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(100,893 )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2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ROU Asset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(218 )</w:t>
            </w: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2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vMerge w:val="restart"/>
          </w:tcPr>
          <w:p>
            <w:pPr>
              <w:ind w:left="3760"/>
              <w:spacing w:after="0"/>
              <w:rPr>
                <w:sz w:val="20"/>
                <w:szCs w:val="20"/>
                <w:color w:val="auto"/>
              </w:rPr>
            </w:pPr>
            <w:r>
              <w:rPr>
                <w:rFonts w:ascii="Arial" w:cs="Arial" w:eastAsia="Arial" w:hAnsi="Arial"/>
                <w:sz w:val="18"/>
                <w:szCs w:val="18"/>
                <w:color w:val="auto"/>
              </w:rPr>
              <w:t>F-25</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-1653540</wp:posOffset>
            </wp:positionV>
            <wp:extent cx="51435"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-1653540</wp:posOffset>
            </wp:positionV>
            <wp:extent cx="4318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-1336675</wp:posOffset>
            </wp:positionV>
            <wp:extent cx="5143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-1336675</wp:posOffset>
            </wp:positionV>
            <wp:extent cx="4318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-685165</wp:posOffset>
            </wp:positionV>
            <wp:extent cx="5143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7" w:name="page138"/>
    <w:bookmarkEnd w:id="137"/>
    <w:p>
      <w:pPr>
        <w:ind w:right="100" w:firstLine="509"/>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2022 and 2021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2022 and 2021. The valuation allowance increased by $23,802 and $30,401 during the years ended December 31, 2022 and 2021, respectively, due primarily to net operating losses generated.</w:t>
      </w:r>
    </w:p>
    <w:p>
      <w:pPr>
        <w:spacing w:after="0" w:line="188" w:lineRule="exact"/>
        <w:rPr>
          <w:sz w:val="20"/>
          <w:szCs w:val="20"/>
          <w:color w:val="auto"/>
        </w:rPr>
      </w:pPr>
    </w:p>
    <w:p>
      <w:pPr>
        <w:ind w:right="200" w:firstLine="509"/>
        <w:spacing w:after="0" w:line="265" w:lineRule="auto"/>
        <w:rPr>
          <w:sz w:val="20"/>
          <w:szCs w:val="20"/>
          <w:color w:val="auto"/>
        </w:rPr>
      </w:pPr>
      <w:r>
        <w:rPr>
          <w:rFonts w:ascii="Arial" w:cs="Arial" w:eastAsia="Arial" w:hAnsi="Arial"/>
          <w:sz w:val="18"/>
          <w:szCs w:val="18"/>
          <w:color w:val="auto"/>
        </w:rPr>
        <w:t>As of December 31, 2022 and 2021, the Company had U.S. federal net operating loss carryforwards of $340,350 and $312,967, respectively, that may be available to offset future income tax liabilities. The U.S. federal tax operating loss carryforwards of approximately $17,743 will expire at various dates through 2037. Approximately $322,607 of the U.S. federal tax operating losses can be carried forward indefinitely. As of December 31, 2022 and 2021, the Company also had U.S. state net operating loss carryforwards of $316,668 and $290,500, respectively, which may be available to offset future taxable income. These losses expire at various dates beginning in 2041.</w:t>
      </w:r>
    </w:p>
    <w:p>
      <w:pPr>
        <w:spacing w:after="0" w:line="180"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As of December 31, 2022 and 2021, the Company had federal research and development tax credit carryforwards of $6,824 and $6,234, respectively. Included in the $6,824 of federal tax credit carryforwards are $2,027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2022 and 2021, the Company had state research and development tax credit carryforwards of approximately $2,084 and $1,959, respectively, available to reduce future tax liabilities which expire at various dates beginning in 2037. For all years through December 31, 2022, the Company generated research credits but has not conducted a study to document the qualified activities. This study may result in an adjustment to the Company’s research and development credit carryforwards.</w:t>
      </w:r>
    </w:p>
    <w:p>
      <w:pPr>
        <w:spacing w:after="0" w:line="16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78"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 Company files income tax returns in the United States, Australia and Canada, and in several states. The foreign, federal and state income tax returns are generally subject to tax examinations for the tax years ended December 31, 2016 through December 31, 2020.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For purposes of the diluted net loss per share calculation, stock options, unvested restricted stock awards and unvested restricted stock units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1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30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9,423,271</w:t>
            </w:r>
          </w:p>
        </w:tc>
        <w:tc>
          <w:tcPr>
            <w:tcW w:w="2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80" w:type="dxa"/>
            <w:vAlign w:val="bottom"/>
            <w:shd w:val="clear" w:color="auto" w:fill="CFF0FC"/>
          </w:tcPr>
          <w:p>
            <w:pPr>
              <w:spacing w:after="0"/>
              <w:rPr>
                <w:sz w:val="20"/>
                <w:szCs w:val="20"/>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Restricted stock awards and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940,392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599,850</w:t>
            </w:r>
          </w:p>
        </w:tc>
        <w:tc>
          <w:tcPr>
            <w:tcW w:w="80" w:type="dxa"/>
            <w:vAlign w:val="bottom"/>
          </w:tcPr>
          <w:p>
            <w:pPr>
              <w:spacing w:after="0"/>
              <w:rPr>
                <w:sz w:val="20"/>
                <w:szCs w:val="20"/>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2022 and 2021, the Company recognized $200 and $248, respectively, of research and development expense related to the license agreements with UHN. Refer to Note 3 </w:t>
      </w:r>
      <w:r>
        <w:rPr>
          <w:rFonts w:ascii="Arial" w:cs="Arial" w:eastAsia="Arial" w:hAnsi="Arial"/>
          <w:sz w:val="17"/>
          <w:szCs w:val="17"/>
          <w:i w:val="1"/>
          <w:iCs w:val="1"/>
          <w:color w:val="auto"/>
        </w:rPr>
        <w:t>“License Agreements”</w:t>
      </w:r>
      <w:r>
        <w:rPr>
          <w:rFonts w:ascii="Arial" w:cs="Arial" w:eastAsia="Arial" w:hAnsi="Arial"/>
          <w:sz w:val="17"/>
          <w:szCs w:val="17"/>
          <w:color w:val="auto"/>
        </w:rPr>
        <w:t xml:space="preserve"> for additional information regarding the UHN license agreements.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For the years ended December 31, 2022 and 2021, the Company recorded expenses of $3,200 and $1,523, respectively, related to a sublease to rent lab space, provided by an entity affiliated with a member of the board.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21"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In January 2022, the Company announced the deprioritization of AVR-RD-01, its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the Company refers to as the FAB-GT clinical trial. The emergence of such new data would have significantly extended the program’s development timeline. That development, coupled with an increasingly challenging market and regulatory environment for Fabry disease, were among the primary factors leading to the Company’s deprioritization of its Fabry program. As a result of the deprioritization, the Company has stopped enrollment of its Phase 2 FAB-GT clinical trial and has shifted focus to its other pipeline programs.</w:t>
      </w:r>
    </w:p>
    <w:p>
      <w:pPr>
        <w:spacing w:after="0" w:line="30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deprioritization of AVR-RD-01 noted above, in January 2022, the Company approved changes to the Company’s organization as well as a broader operational cost reduction plan. As part of this plan, the Company approved a reduction in the Company’s workforce by approximately 23% across different areas and functions in the Company (the “Workforce Reduction”).</w:t>
      </w:r>
    </w:p>
    <w:p>
      <w:pPr>
        <w:spacing w:after="0" w:line="29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Under the Workforce Reduction, the Company recognized total restructuring expenses for the year ended December 31, 2022 of $1,369, which are included within Research and development and General and administrative expenses. No restructuring expenses were incurred for the year ended December 31, 2021. These one-time employee termination benefits are related to affected employees, who were offered separation benefits, including severance payments. During the year ended December 31, 2022 approximately $1,369 of these payments were made. There are no remaining payments accrued at December 31, 2022.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 March 10, 2023, Silicon Valley Bank, based in Santa Clara, California, was closed by the California Department of Financial Protection and Innovation, which appointed the Federal Deposit Insurance Corporation (“FDIC”) as receiver. On March 12, 2023, the U.S. Treasury, Federal Reserve, and FDIC announced that depositors with Silicon Valley Bank or its successor bridge bank (collectively, “SVB”) will have access to all of their money starting March 13, 2023. Our agreement with SVB currently requires substantially all of our cash and cash equivalents to be deposited with SVB, and we historically have relied primarily on SVB for commercial banking services. We are pursuing actions to make alternative banking arrangements, including opening deposit accounts at one or more other financial institutions. SVB has agreed to waive covenants related to maintaining our deposits at SVB for a period of 30 days, during which time we have agreed to obtain an Account Control Agreement (“ACA”) for all accounts held outside of SVB. The Company has concluded that it is probable that it will obtain the ACA for all accounts held outside of SVB prior to the expiration of the 30-day waiver period to be compliant with its covenants.</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40" w:type="dxa"/>
            <w:vAlign w:val="bottom"/>
            <w:gridSpan w:val="24"/>
            <w:vMerge w:val="restart"/>
          </w:tcPr>
          <w:p>
            <w:pPr>
              <w:ind w:left="11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w:t>
            </w:r>
          </w:p>
        </w:tc>
        <w:tc>
          <w:tcPr>
            <w:tcW w:w="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84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Pr>
          <w:p>
            <w:pPr>
              <w:jc w:val="center"/>
              <w:ind w:right="252"/>
              <w:spacing w:after="0" w:line="182"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5"/>
                <w:szCs w:val="15"/>
                <w:color w:val="auto"/>
              </w:rPr>
            </w:pPr>
          </w:p>
        </w:tc>
        <w:tc>
          <w:tcPr>
            <w:tcW w:w="10140" w:type="dxa"/>
            <w:vAlign w:val="bottom"/>
            <w:tcBorders>
              <w:bottom w:val="single" w:sz="8" w:color="0000FF"/>
            </w:tcBorders>
            <w:gridSpan w:val="29"/>
          </w:tcPr>
          <w:p>
            <w:pPr>
              <w:spacing w:after="0" w:line="182" w:lineRule="exact"/>
              <w:rPr>
                <w:rFonts w:ascii="Arial" w:cs="Arial" w:eastAsia="Arial" w:hAnsi="Arial"/>
                <w:sz w:val="18"/>
                <w:szCs w:val="18"/>
                <w:color w:val="0000FF"/>
                <w:w w:val="91"/>
              </w:rPr>
            </w:pPr>
            <w:hyperlink r:id="rId269">
              <w:r>
                <w:rPr>
                  <w:rFonts w:ascii="Arial" w:cs="Arial" w:eastAsia="Arial" w:hAnsi="Arial"/>
                  <w:sz w:val="18"/>
                  <w:szCs w:val="18"/>
                  <w:color w:val="0000FF"/>
                  <w:w w:val="91"/>
                </w:rPr>
                <w:t>Fourth Amended and Restated Certificate of Incorporation of the Registrant (filed as Exhibit 3.1 to the Registrant’s Current Report on Form</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00" w:type="dxa"/>
            <w:vAlign w:val="bottom"/>
            <w:tcBorders>
              <w:bottom w:val="single" w:sz="8" w:color="0000EE"/>
            </w:tcBorders>
            <w:gridSpan w:val="7"/>
          </w:tcPr>
          <w:p>
            <w:pPr>
              <w:spacing w:after="0" w:line="196" w:lineRule="exact"/>
              <w:rPr>
                <w:rFonts w:ascii="Arial" w:cs="Arial" w:eastAsia="Arial" w:hAnsi="Arial"/>
                <w:sz w:val="18"/>
                <w:szCs w:val="18"/>
                <w:color w:val="0000FF"/>
                <w:w w:val="91"/>
              </w:rPr>
            </w:pPr>
            <w:hyperlink r:id="rId269">
              <w:r>
                <w:rPr>
                  <w:rFonts w:ascii="Arial" w:cs="Arial" w:eastAsia="Arial" w:hAnsi="Arial"/>
                  <w:sz w:val="18"/>
                  <w:szCs w:val="18"/>
                  <w:color w:val="0000FF"/>
                  <w:w w:val="91"/>
                </w:rPr>
                <w:t>8-K filed on June 25, 2018 (File No. 001-38537) and incorporated herein by reference)</w:t>
              </w:r>
            </w:hyperlink>
          </w:p>
        </w:tc>
        <w:tc>
          <w:tcPr>
            <w:tcW w:w="38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5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Arial" w:cs="Arial" w:eastAsia="Arial" w:hAnsi="Arial"/>
                <w:sz w:val="18"/>
                <w:szCs w:val="18"/>
                <w:color w:val="0000FF"/>
                <w:w w:val="91"/>
              </w:rPr>
            </w:pPr>
            <w:hyperlink r:id="rId270">
              <w:r>
                <w:rPr>
                  <w:rFonts w:ascii="Arial" w:cs="Arial" w:eastAsia="Arial" w:hAnsi="Arial"/>
                  <w:sz w:val="18"/>
                  <w:szCs w:val="18"/>
                  <w:color w:val="0000FF"/>
                  <w:w w:val="91"/>
                </w:rPr>
                <w:t>Certificate of Change of Registered Agent and/or Registered Office of the Registrant (filed as Exhibit 3.2 to the Registrant’s Quarterly</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FF"/>
              </w:rPr>
            </w:pPr>
            <w:hyperlink r:id="rId270">
              <w:r>
                <w:rPr>
                  <w:rFonts w:ascii="Arial" w:cs="Arial" w:eastAsia="Arial" w:hAnsi="Arial"/>
                  <w:sz w:val="18"/>
                  <w:szCs w:val="18"/>
                  <w:color w:val="0000FF"/>
                </w:rPr>
                <w:t>Report on Form 10-Q filed on November 5, 2020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jc w:val="center"/>
              <w:ind w:right="252"/>
              <w:spacing w:after="0"/>
              <w:rPr>
                <w:sz w:val="20"/>
                <w:szCs w:val="20"/>
                <w:color w:val="auto"/>
              </w:rPr>
            </w:pPr>
            <w:r>
              <w:rPr>
                <w:rFonts w:ascii="Arial" w:cs="Arial" w:eastAsia="Arial" w:hAnsi="Arial"/>
                <w:sz w:val="18"/>
                <w:szCs w:val="18"/>
                <w:color w:val="auto"/>
                <w:w w:val="87"/>
              </w:rPr>
              <w:t>3.3</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2"/>
          </w:tcPr>
          <w:p>
            <w:pPr>
              <w:spacing w:after="0"/>
              <w:rPr>
                <w:rFonts w:ascii="Arial" w:cs="Arial" w:eastAsia="Arial" w:hAnsi="Arial"/>
                <w:sz w:val="18"/>
                <w:szCs w:val="18"/>
                <w:color w:val="0000FF"/>
                <w:w w:val="91"/>
              </w:rPr>
            </w:pPr>
            <w:hyperlink r:id="rId271">
              <w:r>
                <w:rPr>
                  <w:rFonts w:ascii="Arial" w:cs="Arial" w:eastAsia="Arial" w:hAnsi="Arial"/>
                  <w:sz w:val="18"/>
                  <w:szCs w:val="18"/>
                  <w:color w:val="0000FF"/>
                  <w:w w:val="91"/>
                </w:rPr>
                <w:t>Amended and Restated By-laws (filed as Exhibit 3.2 to the Registrant’s Current Report on Form 8-K filed on June 25, 2018 (File No. 001-</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5"/>
          </w:tcPr>
          <w:p>
            <w:pPr>
              <w:spacing w:after="0" w:line="196" w:lineRule="exact"/>
              <w:rPr>
                <w:rFonts w:ascii="Arial" w:cs="Arial" w:eastAsia="Arial" w:hAnsi="Arial"/>
                <w:sz w:val="18"/>
                <w:szCs w:val="18"/>
                <w:color w:val="0000FF"/>
                <w:w w:val="90"/>
              </w:rPr>
            </w:pPr>
            <w:hyperlink r:id="rId271">
              <w:r>
                <w:rPr>
                  <w:rFonts w:ascii="Arial" w:cs="Arial" w:eastAsia="Arial" w:hAnsi="Arial"/>
                  <w:sz w:val="18"/>
                  <w:szCs w:val="18"/>
                  <w:color w:val="0000FF"/>
                  <w:w w:val="90"/>
                </w:rPr>
                <w:t>38537) and incorporated herein by reference)</w:t>
              </w:r>
            </w:hyperlink>
          </w:p>
        </w:tc>
        <w:tc>
          <w:tcPr>
            <w:tcW w:w="68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5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10080" w:type="dxa"/>
            <w:vAlign w:val="bottom"/>
            <w:tcBorders>
              <w:bottom w:val="single" w:sz="8" w:color="0000FF"/>
            </w:tcBorders>
            <w:gridSpan w:val="26"/>
          </w:tcPr>
          <w:p>
            <w:pPr>
              <w:spacing w:after="0"/>
              <w:rPr>
                <w:rFonts w:ascii="Arial" w:cs="Arial" w:eastAsia="Arial" w:hAnsi="Arial"/>
                <w:sz w:val="18"/>
                <w:szCs w:val="18"/>
                <w:color w:val="0000FF"/>
                <w:w w:val="91"/>
              </w:rPr>
            </w:pPr>
            <w:hyperlink r:id="rId272">
              <w:r>
                <w:rPr>
                  <w:rFonts w:ascii="Arial" w:cs="Arial" w:eastAsia="Arial" w:hAnsi="Arial"/>
                  <w:sz w:val="18"/>
                  <w:szCs w:val="18"/>
                  <w:color w:val="0000FF"/>
                  <w:w w:val="91"/>
                </w:rPr>
                <w:t>Form of Specimen Common Stock Certificate (filed as Exhibit 4.1 to the Registrant’s Second Amendment to the Registration Statement on</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0" w:type="dxa"/>
            <w:vAlign w:val="bottom"/>
            <w:tcBorders>
              <w:bottom w:val="single" w:sz="8" w:color="0000EE"/>
            </w:tcBorders>
            <w:gridSpan w:val="11"/>
          </w:tcPr>
          <w:p>
            <w:pPr>
              <w:spacing w:after="0" w:line="196" w:lineRule="exact"/>
              <w:rPr>
                <w:rFonts w:ascii="Arial" w:cs="Arial" w:eastAsia="Arial" w:hAnsi="Arial"/>
                <w:sz w:val="18"/>
                <w:szCs w:val="18"/>
                <w:color w:val="0000FF"/>
                <w:w w:val="91"/>
              </w:rPr>
            </w:pPr>
            <w:hyperlink r:id="rId272">
              <w:r>
                <w:rPr>
                  <w:rFonts w:ascii="Arial" w:cs="Arial" w:eastAsia="Arial" w:hAnsi="Arial"/>
                  <w:sz w:val="18"/>
                  <w:szCs w:val="18"/>
                  <w:color w:val="0000FF"/>
                  <w:w w:val="91"/>
                </w:rPr>
                <w:t>Form S-1 filed on June 11, 2018 (File No. 333-225213) and incorporated herein by reference)</w:t>
              </w:r>
            </w:hyperlink>
          </w:p>
        </w:tc>
        <w:tc>
          <w:tcPr>
            <w:tcW w:w="33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52"/>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9860" w:type="dxa"/>
            <w:vAlign w:val="bottom"/>
            <w:tcBorders>
              <w:bottom w:val="single" w:sz="8" w:color="0000FF"/>
            </w:tcBorders>
            <w:gridSpan w:val="19"/>
          </w:tcPr>
          <w:p>
            <w:pPr>
              <w:spacing w:after="0"/>
              <w:rPr>
                <w:rFonts w:ascii="Arial" w:cs="Arial" w:eastAsia="Arial" w:hAnsi="Arial"/>
                <w:sz w:val="18"/>
                <w:szCs w:val="18"/>
                <w:color w:val="0000FF"/>
                <w:w w:val="89"/>
              </w:rPr>
            </w:pPr>
            <w:hyperlink r:id="rId273">
              <w:r>
                <w:rPr>
                  <w:rFonts w:ascii="Arial" w:cs="Arial" w:eastAsia="Arial" w:hAnsi="Arial"/>
                  <w:sz w:val="18"/>
                  <w:szCs w:val="18"/>
                  <w:color w:val="0000FF"/>
                  <w:w w:val="89"/>
                </w:rPr>
                <w:t>Second Amended and Restated Investors’ Rights Agreement among the Registrant and certain of its stockholders, dated January 9, 2018</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273">
              <w:r>
                <w:rPr>
                  <w:rFonts w:ascii="Arial" w:cs="Arial" w:eastAsia="Arial" w:hAnsi="Arial"/>
                  <w:sz w:val="18"/>
                  <w:szCs w:val="18"/>
                  <w:color w:val="0000FF"/>
                  <w:w w:val="92"/>
                </w:rPr>
                <w:t>(filed as Exhibit 4.2 to the Registrant’s Registration Statement on Form S-1 filed on May 25, 2018 (File No. 333-225213) and incorporated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FF"/>
                <w:w w:val="91"/>
              </w:rPr>
            </w:pPr>
            <w:hyperlink r:id="rId273">
              <w:r>
                <w:rPr>
                  <w:rFonts w:ascii="Arial" w:cs="Arial" w:eastAsia="Arial" w:hAnsi="Arial"/>
                  <w:sz w:val="18"/>
                  <w:szCs w:val="18"/>
                  <w:color w:val="0000FF"/>
                  <w:w w:val="91"/>
                </w:rPr>
                <w:t>herein by reference)</w:t>
              </w:r>
            </w:hyperlink>
          </w:p>
        </w:tc>
        <w:tc>
          <w:tcPr>
            <w:tcW w:w="8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52"/>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5"/>
          </w:tcPr>
          <w:p>
            <w:pPr>
              <w:spacing w:after="0"/>
              <w:rPr>
                <w:rFonts w:ascii="Arial" w:cs="Arial" w:eastAsia="Arial" w:hAnsi="Arial"/>
                <w:sz w:val="18"/>
                <w:szCs w:val="18"/>
                <w:color w:val="0000FF"/>
                <w:w w:val="90"/>
              </w:rPr>
            </w:pPr>
            <w:hyperlink r:id="rId274">
              <w:r>
                <w:rPr>
                  <w:rFonts w:ascii="Arial" w:cs="Arial" w:eastAsia="Arial" w:hAnsi="Arial"/>
                  <w:sz w:val="18"/>
                  <w:szCs w:val="18"/>
                  <w:color w:val="0000FF"/>
                  <w:w w:val="90"/>
                </w:rPr>
                <w:t>Description of Securities Registered Pursuant to Section 12 of the Securities Exchange Act of 1934, as amended (filed as Exhibit 4.3 to the</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74">
              <w:r>
                <w:rPr>
                  <w:rFonts w:ascii="Arial" w:cs="Arial" w:eastAsia="Arial" w:hAnsi="Arial"/>
                  <w:sz w:val="18"/>
                  <w:szCs w:val="18"/>
                  <w:color w:val="0000FF"/>
                  <w:w w:val="91"/>
                </w:rPr>
                <w:t>to the Registrant’s Annual Report on Form 10-K filed on March 16, 2020 (File No. 001-38537) and incorporated herein by reference)</w:t>
              </w:r>
            </w:hyperlink>
          </w:p>
        </w:tc>
        <w:tc>
          <w:tcPr>
            <w:tcW w:w="20" w:type="dxa"/>
            <w:vAlign w:val="bottom"/>
            <w:tcBorders>
              <w:bottom w:val="single" w:sz="8" w:color="0000EE"/>
            </w:tcBorders>
          </w:tcPr>
          <w:p>
            <w:pPr>
              <w:spacing w:after="0"/>
              <w:rPr>
                <w:sz w:val="17"/>
                <w:szCs w:val="17"/>
                <w:color w:val="auto"/>
              </w:rPr>
            </w:pPr>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10.1#</w:t>
            </w:r>
          </w:p>
        </w:tc>
        <w:tc>
          <w:tcPr>
            <w:tcW w:w="140" w:type="dxa"/>
            <w:vAlign w:val="bottom"/>
          </w:tcPr>
          <w:p>
            <w:pPr>
              <w:spacing w:after="0"/>
              <w:rPr>
                <w:sz w:val="24"/>
                <w:szCs w:val="24"/>
                <w:color w:val="auto"/>
              </w:rPr>
            </w:pPr>
          </w:p>
        </w:tc>
        <w:tc>
          <w:tcPr>
            <w:tcW w:w="10100" w:type="dxa"/>
            <w:vAlign w:val="bottom"/>
            <w:tcBorders>
              <w:bottom w:val="single" w:sz="8" w:color="0000FF"/>
            </w:tcBorders>
            <w:gridSpan w:val="27"/>
          </w:tcPr>
          <w:p>
            <w:pPr>
              <w:spacing w:after="0"/>
              <w:rPr>
                <w:rFonts w:ascii="Arial" w:cs="Arial" w:eastAsia="Arial" w:hAnsi="Arial"/>
                <w:sz w:val="18"/>
                <w:szCs w:val="18"/>
                <w:color w:val="0000FF"/>
                <w:w w:val="89"/>
              </w:rPr>
            </w:pPr>
            <w:hyperlink r:id="rId275">
              <w:r>
                <w:rPr>
                  <w:rFonts w:ascii="Arial" w:cs="Arial" w:eastAsia="Arial" w:hAnsi="Arial"/>
                  <w:sz w:val="18"/>
                  <w:szCs w:val="18"/>
                  <w:color w:val="0000FF"/>
                  <w:w w:val="89"/>
                </w:rPr>
                <w:t>2015 Amended and Restated Stock Option and Grant Plan, as amended, and forms of award agreements thereunder (filed as Exhibit 10.1 to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20"/>
          </w:tcPr>
          <w:p>
            <w:pPr>
              <w:spacing w:after="0" w:line="196" w:lineRule="exact"/>
              <w:rPr>
                <w:rFonts w:ascii="Arial" w:cs="Arial" w:eastAsia="Arial" w:hAnsi="Arial"/>
                <w:sz w:val="18"/>
                <w:szCs w:val="18"/>
                <w:color w:val="0000FF"/>
                <w:w w:val="91"/>
              </w:rPr>
            </w:pPr>
            <w:hyperlink r:id="rId275">
              <w:r>
                <w:rPr>
                  <w:rFonts w:ascii="Arial" w:cs="Arial" w:eastAsia="Arial" w:hAnsi="Arial"/>
                  <w:sz w:val="18"/>
                  <w:szCs w:val="18"/>
                  <w:color w:val="0000FF"/>
                  <w:w w:val="91"/>
                </w:rPr>
                <w:t>the Registrant’s Registration Statement on Form S-1 filed on May 25, 2018 (File No. 333-225213) and incorporated herein by reference)</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10.2#</w:t>
            </w:r>
          </w:p>
        </w:tc>
        <w:tc>
          <w:tcPr>
            <w:tcW w:w="140" w:type="dxa"/>
            <w:vAlign w:val="bottom"/>
          </w:tcPr>
          <w:p>
            <w:pPr>
              <w:spacing w:after="0"/>
              <w:rPr>
                <w:sz w:val="24"/>
                <w:szCs w:val="24"/>
                <w:color w:val="auto"/>
              </w:rPr>
            </w:pPr>
          </w:p>
        </w:tc>
        <w:tc>
          <w:tcPr>
            <w:tcW w:w="9420" w:type="dxa"/>
            <w:vAlign w:val="bottom"/>
            <w:tcBorders>
              <w:bottom w:val="single" w:sz="8" w:color="0000FF"/>
            </w:tcBorders>
            <w:gridSpan w:val="14"/>
          </w:tcPr>
          <w:p>
            <w:pPr>
              <w:spacing w:after="0"/>
              <w:rPr>
                <w:rFonts w:ascii="Arial" w:cs="Arial" w:eastAsia="Arial" w:hAnsi="Arial"/>
                <w:sz w:val="18"/>
                <w:szCs w:val="18"/>
                <w:color w:val="0000FF"/>
                <w:w w:val="90"/>
              </w:rPr>
            </w:pPr>
            <w:hyperlink r:id="rId276">
              <w:r>
                <w:rPr>
                  <w:rFonts w:ascii="Arial" w:cs="Arial" w:eastAsia="Arial" w:hAnsi="Arial"/>
                  <w:sz w:val="18"/>
                  <w:szCs w:val="18"/>
                  <w:color w:val="0000FF"/>
                  <w:w w:val="90"/>
                </w:rPr>
                <w:t>2018 Stock Option and Incentive Plan and forms of award agreements thereunder (filed as Exhibit 10.2 to the Registrant’s Second</w:t>
              </w:r>
            </w:hyperlink>
          </w:p>
        </w:tc>
        <w:tc>
          <w:tcPr>
            <w:tcW w:w="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tcBorders>
              <w:bottom w:val="single" w:sz="8" w:color="0000EE"/>
            </w:tcBorders>
            <w:gridSpan w:val="29"/>
          </w:tcPr>
          <w:p>
            <w:pPr>
              <w:spacing w:after="0" w:line="196"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Amendment to the Registration Statement on Form S-1 filed on June 11, 2018 (File No. 333-225213) and incorporated herein by reference)</w:t>
              </w:r>
            </w:hyperlink>
          </w:p>
        </w:tc>
        <w:tc>
          <w:tcPr>
            <w:tcW w:w="0" w:type="dxa"/>
            <w:vAlign w:val="bottom"/>
          </w:tcPr>
          <w:p>
            <w:pPr>
              <w:spacing w:after="0"/>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10.3#</w:t>
            </w:r>
          </w:p>
        </w:tc>
        <w:tc>
          <w:tcPr>
            <w:tcW w:w="140" w:type="dxa"/>
            <w:vAlign w:val="bottom"/>
          </w:tcPr>
          <w:p>
            <w:pPr>
              <w:spacing w:after="0"/>
              <w:rPr>
                <w:sz w:val="24"/>
                <w:szCs w:val="24"/>
                <w:color w:val="auto"/>
              </w:rPr>
            </w:pPr>
          </w:p>
        </w:tc>
        <w:tc>
          <w:tcPr>
            <w:tcW w:w="10040" w:type="dxa"/>
            <w:vAlign w:val="bottom"/>
            <w:tcBorders>
              <w:bottom w:val="single" w:sz="8" w:color="0000FF"/>
            </w:tcBorders>
            <w:gridSpan w:val="24"/>
          </w:tcPr>
          <w:p>
            <w:pPr>
              <w:spacing w:after="0"/>
              <w:rPr>
                <w:rFonts w:ascii="Arial" w:cs="Arial" w:eastAsia="Arial" w:hAnsi="Arial"/>
                <w:sz w:val="18"/>
                <w:szCs w:val="18"/>
                <w:color w:val="0000FF"/>
                <w:w w:val="92"/>
              </w:rPr>
            </w:pPr>
            <w:hyperlink r:id="rId277">
              <w:r>
                <w:rPr>
                  <w:rFonts w:ascii="Arial" w:cs="Arial" w:eastAsia="Arial" w:hAnsi="Arial"/>
                  <w:sz w:val="18"/>
                  <w:szCs w:val="18"/>
                  <w:color w:val="0000FF"/>
                  <w:w w:val="92"/>
                </w:rPr>
                <w:t>First Amendment to the AVROBIO, Inc. 2018 Stock Option and Incentive Plan (filed as Exhibit 10.1 to the Registrant’s Current Report on</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FF"/>
              </w:rPr>
            </w:pPr>
            <w:hyperlink r:id="rId277">
              <w:r>
                <w:rPr>
                  <w:rFonts w:ascii="Arial" w:cs="Arial" w:eastAsia="Arial" w:hAnsi="Arial"/>
                  <w:sz w:val="18"/>
                  <w:szCs w:val="18"/>
                  <w:color w:val="0000FF"/>
                </w:rPr>
                <w:t>Form 8-K filed on June 9, 2020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10.4#</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2"/>
          </w:tcPr>
          <w:p>
            <w:pPr>
              <w:spacing w:after="0"/>
              <w:rPr>
                <w:rFonts w:ascii="Arial" w:cs="Arial" w:eastAsia="Arial" w:hAnsi="Arial"/>
                <w:sz w:val="18"/>
                <w:szCs w:val="18"/>
                <w:color w:val="0000FF"/>
                <w:w w:val="91"/>
              </w:rPr>
            </w:pPr>
            <w:hyperlink r:id="rId278">
              <w:r>
                <w:rPr>
                  <w:rFonts w:ascii="Arial" w:cs="Arial" w:eastAsia="Arial" w:hAnsi="Arial"/>
                  <w:sz w:val="18"/>
                  <w:szCs w:val="18"/>
                  <w:color w:val="0000FF"/>
                  <w:w w:val="91"/>
                </w:rPr>
                <w:t>Second Amendment to the AVROBIO, Inc. 2018 Stock Option and Incentive Plan (filed as Exhibit 10.1 to the Registrant’s Current Report</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FF"/>
              </w:rPr>
            </w:pPr>
            <w:hyperlink r:id="rId278">
              <w:r>
                <w:rPr>
                  <w:rFonts w:ascii="Arial" w:cs="Arial" w:eastAsia="Arial" w:hAnsi="Arial"/>
                  <w:sz w:val="18"/>
                  <w:szCs w:val="18"/>
                  <w:color w:val="0000FF"/>
                </w:rPr>
                <w:t>on Form 8-K filed on June 10, 2022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10.5#</w:t>
            </w:r>
          </w:p>
        </w:tc>
        <w:tc>
          <w:tcPr>
            <w:tcW w:w="140" w:type="dxa"/>
            <w:vAlign w:val="bottom"/>
          </w:tcPr>
          <w:p>
            <w:pPr>
              <w:spacing w:after="0"/>
              <w:rPr>
                <w:sz w:val="24"/>
                <w:szCs w:val="24"/>
                <w:color w:val="auto"/>
              </w:rPr>
            </w:pPr>
          </w:p>
        </w:tc>
        <w:tc>
          <w:tcPr>
            <w:tcW w:w="10080" w:type="dxa"/>
            <w:vAlign w:val="bottom"/>
            <w:tcBorders>
              <w:bottom w:val="single" w:sz="8" w:color="0000FF"/>
            </w:tcBorders>
            <w:gridSpan w:val="26"/>
          </w:tcPr>
          <w:p>
            <w:pPr>
              <w:spacing w:after="0"/>
              <w:rPr>
                <w:rFonts w:ascii="Arial" w:cs="Arial" w:eastAsia="Arial" w:hAnsi="Arial"/>
                <w:sz w:val="18"/>
                <w:szCs w:val="18"/>
                <w:color w:val="0000FF"/>
                <w:w w:val="91"/>
              </w:rPr>
            </w:pPr>
            <w:hyperlink r:id="rId279">
              <w:r>
                <w:rPr>
                  <w:rFonts w:ascii="Arial" w:cs="Arial" w:eastAsia="Arial" w:hAnsi="Arial"/>
                  <w:sz w:val="18"/>
                  <w:szCs w:val="18"/>
                  <w:color w:val="0000FF"/>
                  <w:w w:val="91"/>
                </w:rPr>
                <w:t>Senior Executive Cash Incentive Bonus Plan (filed as Exhibit 10.3 to the Registrant’s Second Amendment to the Registration Statement on</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79">
              <w:r>
                <w:rPr>
                  <w:rFonts w:ascii="Arial" w:cs="Arial" w:eastAsia="Arial" w:hAnsi="Arial"/>
                  <w:sz w:val="18"/>
                  <w:szCs w:val="18"/>
                  <w:color w:val="0000FF"/>
                  <w:w w:val="90"/>
                </w:rPr>
                <w:t>form S-1 filed on June 11, 2018 (File No. 333-225213) and incorporated herein by reference)</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10.6#</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5"/>
          </w:tcPr>
          <w:p>
            <w:pPr>
              <w:spacing w:after="0"/>
              <w:rPr>
                <w:rFonts w:ascii="Arial" w:cs="Arial" w:eastAsia="Arial" w:hAnsi="Arial"/>
                <w:sz w:val="18"/>
                <w:szCs w:val="18"/>
                <w:color w:val="0000FF"/>
                <w:w w:val="91"/>
              </w:rPr>
            </w:pPr>
            <w:hyperlink r:id="rId280">
              <w:r>
                <w:rPr>
                  <w:rFonts w:ascii="Arial" w:cs="Arial" w:eastAsia="Arial" w:hAnsi="Arial"/>
                  <w:sz w:val="18"/>
                  <w:szCs w:val="18"/>
                  <w:color w:val="0000FF"/>
                  <w:w w:val="91"/>
                </w:rPr>
                <w:t>Form of Indemnification Agreement (filed as Exhibit 10.4 to the Registrant’s Second Amendment to the Registration Statement on Form S-</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rFonts w:ascii="Arial" w:cs="Arial" w:eastAsia="Arial" w:hAnsi="Arial"/>
                <w:sz w:val="18"/>
                <w:szCs w:val="18"/>
                <w:color w:val="0000FF"/>
                <w:w w:val="91"/>
              </w:rPr>
            </w:pPr>
            <w:hyperlink r:id="rId280">
              <w:r>
                <w:rPr>
                  <w:rFonts w:ascii="Arial" w:cs="Arial" w:eastAsia="Arial" w:hAnsi="Arial"/>
                  <w:sz w:val="18"/>
                  <w:szCs w:val="18"/>
                  <w:color w:val="0000FF"/>
                  <w:w w:val="91"/>
                </w:rPr>
                <w:t>1 filed on June 11, 2018 (File No. 333-225213) and incorporated herein by reference)</w:t>
              </w:r>
            </w:hyperlink>
          </w:p>
        </w:tc>
        <w:tc>
          <w:tcPr>
            <w:tcW w:w="39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10.7†</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3"/>
          </w:tcPr>
          <w:p>
            <w:pPr>
              <w:spacing w:after="0"/>
              <w:rPr>
                <w:rFonts w:ascii="Arial" w:cs="Arial" w:eastAsia="Arial" w:hAnsi="Arial"/>
                <w:sz w:val="18"/>
                <w:szCs w:val="18"/>
                <w:color w:val="0000FF"/>
                <w:w w:val="91"/>
              </w:rPr>
            </w:pPr>
            <w:hyperlink r:id="rId281">
              <w:r>
                <w:rPr>
                  <w:rFonts w:ascii="Arial" w:cs="Arial" w:eastAsia="Arial" w:hAnsi="Arial"/>
                  <w:sz w:val="18"/>
                  <w:szCs w:val="18"/>
                  <w:color w:val="0000FF"/>
                  <w:w w:val="91"/>
                </w:rPr>
                <w:t>Exclusive License Agreement, by and between the Registrant and University Health Network, dated November 4, 2016, as amended (filed</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281">
              <w:r>
                <w:rPr>
                  <w:rFonts w:ascii="Arial" w:cs="Arial" w:eastAsia="Arial" w:hAnsi="Arial"/>
                  <w:sz w:val="18"/>
                  <w:szCs w:val="18"/>
                  <w:color w:val="0000FF"/>
                  <w:w w:val="91"/>
                </w:rPr>
                <w:t>as Exhibit 10.5 to the Registrant’s First Amendment to the Registration Statement on Form S-1 filed on June 1, 2018 (File No. 333-225213)</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Arial" w:cs="Arial" w:eastAsia="Arial" w:hAnsi="Arial"/>
                <w:sz w:val="18"/>
                <w:szCs w:val="18"/>
                <w:color w:val="0000FF"/>
                <w:w w:val="90"/>
              </w:rPr>
            </w:pPr>
            <w:hyperlink r:id="rId281">
              <w:r>
                <w:rPr>
                  <w:rFonts w:ascii="Arial" w:cs="Arial" w:eastAsia="Arial" w:hAnsi="Arial"/>
                  <w:sz w:val="18"/>
                  <w:szCs w:val="18"/>
                  <w:color w:val="0000FF"/>
                  <w:w w:val="90"/>
                </w:rPr>
                <w:t>and incorporated herein by reference)</w:t>
              </w:r>
            </w:hyperlink>
          </w:p>
        </w:tc>
        <w:tc>
          <w:tcPr>
            <w:tcW w:w="73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jc w:val="center"/>
              <w:ind w:right="232"/>
              <w:spacing w:after="0"/>
              <w:rPr>
                <w:sz w:val="20"/>
                <w:szCs w:val="20"/>
                <w:color w:val="auto"/>
              </w:rPr>
            </w:pPr>
            <w:r>
              <w:rPr>
                <w:rFonts w:ascii="Arial" w:cs="Arial" w:eastAsia="Arial" w:hAnsi="Arial"/>
                <w:sz w:val="18"/>
                <w:szCs w:val="18"/>
                <w:color w:val="auto"/>
                <w:w w:val="88"/>
              </w:rPr>
              <w:t>10.8†</w:t>
            </w:r>
          </w:p>
        </w:tc>
        <w:tc>
          <w:tcPr>
            <w:tcW w:w="140" w:type="dxa"/>
            <w:vAlign w:val="bottom"/>
          </w:tcPr>
          <w:p>
            <w:pPr>
              <w:spacing w:after="0"/>
              <w:rPr>
                <w:sz w:val="24"/>
                <w:szCs w:val="24"/>
                <w:color w:val="auto"/>
              </w:rPr>
            </w:pPr>
          </w:p>
        </w:tc>
        <w:tc>
          <w:tcPr>
            <w:tcW w:w="9980" w:type="dxa"/>
            <w:vAlign w:val="bottom"/>
            <w:tcBorders>
              <w:bottom w:val="single" w:sz="8" w:color="0000FF"/>
            </w:tcBorders>
            <w:gridSpan w:val="21"/>
          </w:tcPr>
          <w:p>
            <w:pPr>
              <w:spacing w:after="0"/>
              <w:rPr>
                <w:rFonts w:ascii="Arial" w:cs="Arial" w:eastAsia="Arial" w:hAnsi="Arial"/>
                <w:sz w:val="18"/>
                <w:szCs w:val="18"/>
                <w:color w:val="0000FF"/>
                <w:w w:val="91"/>
              </w:rPr>
            </w:pPr>
            <w:hyperlink r:id="rId282">
              <w:r>
                <w:rPr>
                  <w:rFonts w:ascii="Arial" w:cs="Arial" w:eastAsia="Arial" w:hAnsi="Arial"/>
                  <w:sz w:val="18"/>
                  <w:szCs w:val="18"/>
                  <w:color w:val="0000FF"/>
                  <w:w w:val="91"/>
                </w:rPr>
                <w:t>License Agreement, by and between the Registrant and BioMarin Pharmaceutical Inc., dated August 31, 2017 (filed as Exhibit 10.6 to the</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82">
              <w:r>
                <w:rPr>
                  <w:rFonts w:ascii="Arial" w:cs="Arial" w:eastAsia="Arial" w:hAnsi="Arial"/>
                  <w:sz w:val="18"/>
                  <w:szCs w:val="18"/>
                  <w:color w:val="0000FF"/>
                  <w:w w:val="91"/>
                </w:rPr>
                <w:t>Registrant’s Second Amendment to the Registration Statement on Form S-1 filed on June 11, 2018 (File No. 333-225213) and incorporated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FF"/>
                <w:w w:val="91"/>
              </w:rPr>
            </w:pPr>
            <w:hyperlink r:id="rId282">
              <w:r>
                <w:rPr>
                  <w:rFonts w:ascii="Arial" w:cs="Arial" w:eastAsia="Arial" w:hAnsi="Arial"/>
                  <w:sz w:val="18"/>
                  <w:szCs w:val="18"/>
                  <w:color w:val="0000FF"/>
                  <w:w w:val="91"/>
                </w:rPr>
                <w:t>herein by reference)</w:t>
              </w:r>
            </w:hyperlink>
          </w:p>
        </w:tc>
        <w:tc>
          <w:tcPr>
            <w:tcW w:w="8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080" w:type="dxa"/>
            <w:vAlign w:val="bottom"/>
            <w:tcBorders>
              <w:bottom w:val="single" w:sz="8" w:color="0000FF"/>
            </w:tcBorders>
            <w:gridSpan w:val="26"/>
          </w:tcPr>
          <w:p>
            <w:pPr>
              <w:spacing w:after="0"/>
              <w:rPr>
                <w:rFonts w:ascii="Arial" w:cs="Arial" w:eastAsia="Arial" w:hAnsi="Arial"/>
                <w:sz w:val="18"/>
                <w:szCs w:val="18"/>
                <w:color w:val="0000FF"/>
                <w:w w:val="91"/>
              </w:rPr>
            </w:pPr>
            <w:hyperlink r:id="rId283">
              <w:r>
                <w:rPr>
                  <w:rFonts w:ascii="Arial" w:cs="Arial" w:eastAsia="Arial" w:hAnsi="Arial"/>
                  <w:sz w:val="18"/>
                  <w:szCs w:val="18"/>
                  <w:color w:val="0000FF"/>
                  <w:w w:val="91"/>
                </w:rPr>
                <w:t>Amendment No. 1 to License Agreement, by and between the Registrant and BioMarin Pharmaceutical Inc., dated February 21, 2018 (filed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83">
              <w:r>
                <w:rPr>
                  <w:rFonts w:ascii="Arial" w:cs="Arial" w:eastAsia="Arial" w:hAnsi="Arial"/>
                  <w:sz w:val="18"/>
                  <w:szCs w:val="18"/>
                  <w:color w:val="0000FF"/>
                  <w:w w:val="91"/>
                </w:rPr>
                <w:t>as Exhibit 10.7 to the to the Registrant’s Annual Report on Form 10-K filed on March 16, 2020 (File No. 001-38537) and incorporated</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FF"/>
              </w:rPr>
            </w:pPr>
            <w:hyperlink r:id="rId283">
              <w:r>
                <w:rPr>
                  <w:rFonts w:ascii="Arial" w:cs="Arial" w:eastAsia="Arial" w:hAnsi="Arial"/>
                  <w:sz w:val="18"/>
                  <w:szCs w:val="18"/>
                  <w:color w:val="0000FF"/>
                </w:rPr>
                <w:t>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8580" w:type="dxa"/>
            <w:vAlign w:val="bottom"/>
            <w:gridSpan w:val="2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100" w:type="dxa"/>
            <w:vAlign w:val="bottom"/>
            <w:tcBorders>
              <w:bottom w:val="single" w:sz="8" w:color="0000FF"/>
            </w:tcBorders>
            <w:gridSpan w:val="27"/>
          </w:tcPr>
          <w:p>
            <w:pPr>
              <w:spacing w:after="0"/>
              <w:rPr>
                <w:rFonts w:ascii="Arial" w:cs="Arial" w:eastAsia="Arial" w:hAnsi="Arial"/>
                <w:sz w:val="18"/>
                <w:szCs w:val="18"/>
                <w:color w:val="0000FF"/>
                <w:w w:val="90"/>
              </w:rPr>
            </w:pPr>
            <w:hyperlink r:id="rId284">
              <w:r>
                <w:rPr>
                  <w:rFonts w:ascii="Arial" w:cs="Arial" w:eastAsia="Arial" w:hAnsi="Arial"/>
                  <w:sz w:val="18"/>
                  <w:szCs w:val="18"/>
                  <w:color w:val="0000FF"/>
                  <w:w w:val="90"/>
                </w:rPr>
                <w:t>Amendment No. 2 to License Agreement, by and between the Registrant and BioMarin Pharmaceutical Inc., dated January 7, 2020 (filed as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284">
              <w:r>
                <w:rPr>
                  <w:rFonts w:ascii="Arial" w:cs="Arial" w:eastAsia="Arial" w:hAnsi="Arial"/>
                  <w:sz w:val="18"/>
                  <w:szCs w:val="18"/>
                  <w:color w:val="0000FF"/>
                  <w:w w:val="92"/>
                </w:rPr>
                <w:t>Exhibit 10.8 to the to the Registrant’s Annual Report on Form 10-K filed on March 16, 2020 (File No. 001-38537) and incorporated herein</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84">
              <w:r>
                <w:rPr>
                  <w:rFonts w:ascii="Arial" w:cs="Arial" w:eastAsia="Arial" w:hAnsi="Arial"/>
                  <w:sz w:val="18"/>
                  <w:szCs w:val="18"/>
                  <w:color w:val="0000FF"/>
                  <w:w w:val="88"/>
                </w:rPr>
                <w:t>by reference)</w:t>
              </w:r>
            </w:hyperlink>
          </w:p>
        </w:tc>
        <w:tc>
          <w:tcPr>
            <w:tcW w:w="91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960" w:type="dxa"/>
            <w:vAlign w:val="bottom"/>
          </w:tcPr>
          <w:p>
            <w:pPr>
              <w:spacing w:after="0"/>
              <w:rPr>
                <w:sz w:val="24"/>
                <w:szCs w:val="24"/>
                <w:color w:val="auto"/>
              </w:rPr>
            </w:pPr>
          </w:p>
        </w:tc>
        <w:tc>
          <w:tcPr>
            <w:tcW w:w="6340" w:type="dxa"/>
            <w:vAlign w:val="bottom"/>
            <w:gridSpan w:val="7"/>
          </w:tcPr>
          <w:p>
            <w:pPr>
              <w:jc w:val="right"/>
              <w:ind w:right="1468"/>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61"/>
        </w:trPr>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740" w:type="dxa"/>
            <w:vAlign w:val="bottom"/>
            <w:gridSpan w:val="23"/>
            <w:vMerge w:val="restart"/>
          </w:tcPr>
          <w:p>
            <w:pPr>
              <w:ind w:left="10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3400" w:type="dxa"/>
            <w:vAlign w:val="bottom"/>
            <w:tcBorders>
              <w:bottom w:val="single" w:sz="8" w:color="auto"/>
            </w:tcBorders>
          </w:tcPr>
          <w:p>
            <w:pPr>
              <w:spacing w:after="0"/>
              <w:rPr>
                <w:sz w:val="16"/>
                <w:szCs w:val="16"/>
                <w:color w:val="auto"/>
              </w:rPr>
            </w:pPr>
          </w:p>
        </w:tc>
        <w:tc>
          <w:tcPr>
            <w:tcW w:w="674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Pr>
          <w:p>
            <w:pPr>
              <w:ind w:left="120"/>
              <w:spacing w:after="0" w:line="182"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5"/>
                <w:szCs w:val="15"/>
                <w:color w:val="auto"/>
              </w:rPr>
            </w:pPr>
          </w:p>
        </w:tc>
        <w:tc>
          <w:tcPr>
            <w:tcW w:w="10100" w:type="dxa"/>
            <w:vAlign w:val="bottom"/>
            <w:tcBorders>
              <w:bottom w:val="single" w:sz="8" w:color="0000FF"/>
            </w:tcBorders>
            <w:gridSpan w:val="22"/>
          </w:tcPr>
          <w:p>
            <w:pPr>
              <w:spacing w:after="0" w:line="182" w:lineRule="exact"/>
              <w:rPr>
                <w:rFonts w:ascii="Arial" w:cs="Arial" w:eastAsia="Arial" w:hAnsi="Arial"/>
                <w:sz w:val="18"/>
                <w:szCs w:val="18"/>
                <w:color w:val="0000FF"/>
                <w:w w:val="91"/>
              </w:rPr>
            </w:pPr>
            <w:hyperlink r:id="rId287">
              <w:r>
                <w:rPr>
                  <w:rFonts w:ascii="Arial" w:cs="Arial" w:eastAsia="Arial" w:hAnsi="Arial"/>
                  <w:sz w:val="18"/>
                  <w:szCs w:val="18"/>
                  <w:color w:val="0000FF"/>
                  <w:w w:val="91"/>
                </w:rPr>
                <w:t>Exclusive License Agreement, by and among the Registrant, Stefan Karlsson and Maria Dahl, dated January 30, 2017 (filed as Exhibit 10.7</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Arial" w:cs="Arial" w:eastAsia="Arial" w:hAnsi="Arial"/>
                <w:sz w:val="18"/>
                <w:szCs w:val="18"/>
                <w:color w:val="0000FF"/>
                <w:w w:val="91"/>
              </w:rPr>
            </w:pPr>
            <w:hyperlink r:id="rId287">
              <w:r>
                <w:rPr>
                  <w:rFonts w:ascii="Arial" w:cs="Arial" w:eastAsia="Arial" w:hAnsi="Arial"/>
                  <w:sz w:val="18"/>
                  <w:szCs w:val="18"/>
                  <w:color w:val="0000FF"/>
                  <w:w w:val="91"/>
                </w:rPr>
                <w:t>to the Registrant’s Registration Statement on Form S-1 filed on May 25, 2018 (File No. 333-225213)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9780" w:type="dxa"/>
            <w:vAlign w:val="bottom"/>
            <w:tcBorders>
              <w:bottom w:val="single" w:sz="8" w:color="0000FF"/>
            </w:tcBorders>
            <w:gridSpan w:val="16"/>
          </w:tcPr>
          <w:p>
            <w:pPr>
              <w:spacing w:after="0"/>
              <w:rPr>
                <w:rFonts w:ascii="Arial" w:cs="Arial" w:eastAsia="Arial" w:hAnsi="Arial"/>
                <w:sz w:val="18"/>
                <w:szCs w:val="18"/>
                <w:color w:val="0000FF"/>
                <w:w w:val="90"/>
              </w:rPr>
            </w:pPr>
            <w:hyperlink r:id="rId288">
              <w:r>
                <w:rPr>
                  <w:rFonts w:ascii="Arial" w:cs="Arial" w:eastAsia="Arial" w:hAnsi="Arial"/>
                  <w:sz w:val="18"/>
                  <w:szCs w:val="18"/>
                  <w:color w:val="0000FF"/>
                  <w:w w:val="90"/>
                </w:rPr>
                <w:t>License Agreement, by and between the Registrant and GenStem Therapeutics, Inc., dated October 2, 2017 (filed as Exhibit 10.8 to the</w:t>
              </w:r>
            </w:hyperlink>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EE"/>
            </w:tcBorders>
            <w:gridSpan w:val="15"/>
          </w:tcPr>
          <w:p>
            <w:pPr>
              <w:spacing w:after="0" w:line="196" w:lineRule="exact"/>
              <w:rPr>
                <w:rFonts w:ascii="Arial" w:cs="Arial" w:eastAsia="Arial" w:hAnsi="Arial"/>
                <w:sz w:val="18"/>
                <w:szCs w:val="18"/>
                <w:color w:val="0000FF"/>
                <w:w w:val="91"/>
              </w:rPr>
            </w:pPr>
            <w:hyperlink r:id="rId288">
              <w:r>
                <w:rPr>
                  <w:rFonts w:ascii="Arial" w:cs="Arial" w:eastAsia="Arial" w:hAnsi="Arial"/>
                  <w:sz w:val="18"/>
                  <w:szCs w:val="18"/>
                  <w:color w:val="0000FF"/>
                  <w:w w:val="91"/>
                </w:rPr>
                <w:t>Registrant’s Registration Statement on Form S-1 filed on May 25, 2018 (File No. 333-225213) and incorporated herein by reference)</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0"/>
          </w:tcPr>
          <w:p>
            <w:pPr>
              <w:spacing w:after="0"/>
              <w:rPr>
                <w:rFonts w:ascii="Arial" w:cs="Arial" w:eastAsia="Arial" w:hAnsi="Arial"/>
                <w:sz w:val="18"/>
                <w:szCs w:val="18"/>
                <w:color w:val="0000FF"/>
                <w:w w:val="90"/>
              </w:rPr>
            </w:pPr>
            <w:hyperlink r:id="rId289">
              <w:r>
                <w:rPr>
                  <w:rFonts w:ascii="Arial" w:cs="Arial" w:eastAsia="Arial" w:hAnsi="Arial"/>
                  <w:sz w:val="18"/>
                  <w:szCs w:val="18"/>
                  <w:color w:val="0000FF"/>
                  <w:w w:val="90"/>
                </w:rPr>
                <w:t>Amended and Restated Employment Agreement, by and between the Registrant and Geoff MacKay, effective as of June 25, 2018 (filed as</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w w:val="96"/>
              </w:rPr>
            </w:pPr>
            <w:hyperlink r:id="rId289">
              <w:r>
                <w:rPr>
                  <w:rFonts w:ascii="Arial" w:cs="Arial" w:eastAsia="Arial" w:hAnsi="Arial"/>
                  <w:sz w:val="18"/>
                  <w:szCs w:val="18"/>
                  <w:color w:val="0000FF"/>
                  <w:w w:val="96"/>
                </w:rPr>
                <w:t>Exhibit 10.9 to the Registrant’s Second Amendment to the Registration Statement on Form S-1 filed on June 11, 2018 (File No. 333-</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top w:val="single" w:sz="8" w:color="0000FF"/>
              <w:bottom w:val="single" w:sz="8" w:color="0000EE"/>
            </w:tcBorders>
          </w:tcPr>
          <w:p>
            <w:pPr>
              <w:spacing w:after="0" w:line="196" w:lineRule="exact"/>
              <w:rPr>
                <w:rFonts w:ascii="Arial" w:cs="Arial" w:eastAsia="Arial" w:hAnsi="Arial"/>
                <w:sz w:val="18"/>
                <w:szCs w:val="18"/>
                <w:color w:val="0000FF"/>
                <w:w w:val="90"/>
              </w:rPr>
            </w:pPr>
            <w:hyperlink r:id="rId289">
              <w:r>
                <w:rPr>
                  <w:rFonts w:ascii="Arial" w:cs="Arial" w:eastAsia="Arial" w:hAnsi="Arial"/>
                  <w:sz w:val="18"/>
                  <w:szCs w:val="18"/>
                  <w:color w:val="0000FF"/>
                  <w:w w:val="90"/>
                </w:rPr>
                <w:t>225213) and incorporated herein by reference)</w:t>
              </w:r>
            </w:hyperlink>
          </w:p>
        </w:tc>
        <w:tc>
          <w:tcPr>
            <w:tcW w:w="6200" w:type="dxa"/>
            <w:vAlign w:val="bottom"/>
            <w:tcBorders>
              <w:top w:val="single" w:sz="8" w:color="0000FF"/>
            </w:tcBorders>
            <w:gridSpan w:val="10"/>
          </w:tcPr>
          <w:p>
            <w:pPr>
              <w:spacing w:after="0"/>
              <w:rPr>
                <w:sz w:val="17"/>
                <w:szCs w:val="17"/>
                <w:color w:val="auto"/>
              </w:rPr>
            </w:pPr>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10140" w:type="dxa"/>
            <w:vAlign w:val="bottom"/>
            <w:tcBorders>
              <w:bottom w:val="single" w:sz="8" w:color="0000FF"/>
            </w:tcBorders>
            <w:gridSpan w:val="24"/>
          </w:tcPr>
          <w:p>
            <w:pPr>
              <w:spacing w:after="0"/>
              <w:rPr>
                <w:rFonts w:ascii="Arial" w:cs="Arial" w:eastAsia="Arial" w:hAnsi="Arial"/>
                <w:sz w:val="18"/>
                <w:szCs w:val="18"/>
                <w:color w:val="0000FF"/>
                <w:w w:val="91"/>
              </w:rPr>
            </w:pPr>
            <w:hyperlink r:id="rId290">
              <w:r>
                <w:rPr>
                  <w:rFonts w:ascii="Arial" w:cs="Arial" w:eastAsia="Arial" w:hAnsi="Arial"/>
                  <w:sz w:val="18"/>
                  <w:szCs w:val="18"/>
                  <w:color w:val="0000FF"/>
                  <w:w w:val="91"/>
                </w:rPr>
                <w:t>Amendment to Employment Agreement, by and between the Registrant and Geoff MacKay, dated April 5, 2021 (filed as Exhibit 10.1 to the</w:t>
              </w:r>
            </w:hyperlink>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40" w:type="dxa"/>
            <w:vAlign w:val="bottom"/>
            <w:gridSpan w:val="24"/>
          </w:tcPr>
          <w:p>
            <w:pPr>
              <w:spacing w:after="0"/>
              <w:rPr>
                <w:rFonts w:ascii="Arial" w:cs="Arial" w:eastAsia="Arial" w:hAnsi="Arial"/>
                <w:sz w:val="18"/>
                <w:szCs w:val="18"/>
                <w:color w:val="0000FF"/>
              </w:rPr>
            </w:pPr>
            <w:hyperlink r:id="rId290">
              <w:r>
                <w:rPr>
                  <w:rFonts w:ascii="Arial" w:cs="Arial" w:eastAsia="Arial" w:hAnsi="Arial"/>
                  <w:sz w:val="18"/>
                  <w:szCs w:val="18"/>
                  <w:color w:val="0000FF"/>
                </w:rPr>
                <w:t>Registrant’s Quarterly Report on Form 10-Q filed on May 13, 2021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ind w:left="1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9480" w:type="dxa"/>
            <w:vAlign w:val="bottom"/>
            <w:tcBorders>
              <w:bottom w:val="single" w:sz="8" w:color="0000FF"/>
            </w:tcBorders>
            <w:gridSpan w:val="9"/>
          </w:tcPr>
          <w:p>
            <w:pPr>
              <w:spacing w:after="0"/>
              <w:rPr>
                <w:rFonts w:ascii="Arial" w:cs="Arial" w:eastAsia="Arial" w:hAnsi="Arial"/>
                <w:sz w:val="18"/>
                <w:szCs w:val="18"/>
                <w:color w:val="0000FF"/>
                <w:w w:val="91"/>
              </w:rPr>
            </w:pPr>
            <w:hyperlink r:id="rId291">
              <w:r>
                <w:rPr>
                  <w:rFonts w:ascii="Arial" w:cs="Arial" w:eastAsia="Arial" w:hAnsi="Arial"/>
                  <w:sz w:val="18"/>
                  <w:szCs w:val="18"/>
                  <w:color w:val="0000FF"/>
                  <w:w w:val="91"/>
                </w:rPr>
                <w:t>Employment Agreement, by and between the Registrant and Erik Ostrowski, dated December 17, 2018 (filed as Exhibit 10.1 to the</w:t>
              </w:r>
            </w:hyperlink>
          </w:p>
        </w:tc>
        <w:tc>
          <w:tcPr>
            <w:tcW w:w="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bottom w:val="single" w:sz="8" w:color="0000EE"/>
            </w:tcBorders>
            <w:gridSpan w:val="7"/>
          </w:tcPr>
          <w:p>
            <w:pPr>
              <w:spacing w:after="0" w:line="196" w:lineRule="exact"/>
              <w:rPr>
                <w:rFonts w:ascii="Arial" w:cs="Arial" w:eastAsia="Arial" w:hAnsi="Arial"/>
                <w:sz w:val="18"/>
                <w:szCs w:val="18"/>
                <w:color w:val="0000FF"/>
                <w:w w:val="91"/>
              </w:rPr>
            </w:pPr>
            <w:hyperlink r:id="rId291">
              <w:r>
                <w:rPr>
                  <w:rFonts w:ascii="Arial" w:cs="Arial" w:eastAsia="Arial" w:hAnsi="Arial"/>
                  <w:sz w:val="18"/>
                  <w:szCs w:val="18"/>
                  <w:color w:val="0000FF"/>
                  <w:w w:val="91"/>
                </w:rPr>
                <w:t>Registrant’s Current Report on Form 8-K filed on December 21, 2018 (File No. 001-38537) and incorporated herein by reference)</w:t>
              </w:r>
            </w:hyperlink>
          </w:p>
        </w:tc>
        <w:tc>
          <w:tcPr>
            <w:tcW w:w="7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10140" w:type="dxa"/>
            <w:vAlign w:val="bottom"/>
            <w:tcBorders>
              <w:bottom w:val="single" w:sz="8" w:color="0000FF"/>
            </w:tcBorders>
            <w:gridSpan w:val="24"/>
          </w:tcPr>
          <w:p>
            <w:pPr>
              <w:spacing w:after="0"/>
              <w:rPr>
                <w:rFonts w:ascii="Arial" w:cs="Arial" w:eastAsia="Arial" w:hAnsi="Arial"/>
                <w:sz w:val="18"/>
                <w:szCs w:val="18"/>
                <w:color w:val="0000FF"/>
                <w:w w:val="91"/>
              </w:rPr>
            </w:pPr>
            <w:hyperlink r:id="rId292">
              <w:r>
                <w:rPr>
                  <w:rFonts w:ascii="Arial" w:cs="Arial" w:eastAsia="Arial" w:hAnsi="Arial"/>
                  <w:sz w:val="18"/>
                  <w:szCs w:val="18"/>
                  <w:color w:val="0000FF"/>
                  <w:w w:val="91"/>
                </w:rPr>
                <w:t>Amendment to Employment Agreement, by and between the Registrant and Erik Ostrowski, dated April 5, 2021 (filed as Exhibit 10.2 to the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rPr>
            </w:pPr>
            <w:hyperlink r:id="rId292">
              <w:r>
                <w:rPr>
                  <w:rFonts w:ascii="Arial" w:cs="Arial" w:eastAsia="Arial" w:hAnsi="Arial"/>
                  <w:sz w:val="18"/>
                  <w:szCs w:val="18"/>
                  <w:color w:val="0000FF"/>
                </w:rPr>
                <w:t>Registrant’s Quarterly Report on Form 10-Q filed on May 13, 2021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9540" w:type="dxa"/>
            <w:vAlign w:val="bottom"/>
            <w:tcBorders>
              <w:bottom w:val="single" w:sz="8" w:color="0000FF"/>
            </w:tcBorders>
            <w:gridSpan w:val="10"/>
          </w:tcPr>
          <w:p>
            <w:pPr>
              <w:spacing w:after="0"/>
              <w:rPr>
                <w:rFonts w:ascii="Arial" w:cs="Arial" w:eastAsia="Arial" w:hAnsi="Arial"/>
                <w:sz w:val="18"/>
                <w:szCs w:val="18"/>
                <w:color w:val="0000FF"/>
                <w:w w:val="90"/>
              </w:rPr>
            </w:pPr>
            <w:hyperlink r:id="rId293">
              <w:r>
                <w:rPr>
                  <w:rFonts w:ascii="Arial" w:cs="Arial" w:eastAsia="Arial" w:hAnsi="Arial"/>
                  <w:sz w:val="18"/>
                  <w:szCs w:val="18"/>
                  <w:color w:val="0000FF"/>
                  <w:w w:val="90"/>
                </w:rPr>
                <w:t>Employment Agreement, by and between the Registrant and Steven Avruch, dated December 17, 2018 (filed as Exhibit 10.13 to the</w:t>
              </w:r>
            </w:hyperlink>
          </w:p>
        </w:tc>
        <w:tc>
          <w:tcPr>
            <w:tcW w:w="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rPr>
            </w:pPr>
            <w:hyperlink r:id="rId293">
              <w:r>
                <w:rPr>
                  <w:rFonts w:ascii="Arial" w:cs="Arial" w:eastAsia="Arial" w:hAnsi="Arial"/>
                  <w:sz w:val="18"/>
                  <w:szCs w:val="18"/>
                  <w:color w:val="0000FF"/>
                </w:rPr>
                <w:t>Registrant’s Annual Report on Form 10-K filed on March 25, 2019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10120" w:type="dxa"/>
            <w:vAlign w:val="bottom"/>
            <w:tcBorders>
              <w:bottom w:val="single" w:sz="8" w:color="0000FF"/>
            </w:tcBorders>
            <w:gridSpan w:val="23"/>
          </w:tcPr>
          <w:p>
            <w:pPr>
              <w:spacing w:after="0"/>
              <w:rPr>
                <w:rFonts w:ascii="Arial" w:cs="Arial" w:eastAsia="Arial" w:hAnsi="Arial"/>
                <w:sz w:val="18"/>
                <w:szCs w:val="18"/>
                <w:color w:val="0000FF"/>
                <w:w w:val="91"/>
              </w:rPr>
            </w:pPr>
            <w:hyperlink r:id="rId294">
              <w:r>
                <w:rPr>
                  <w:rFonts w:ascii="Arial" w:cs="Arial" w:eastAsia="Arial" w:hAnsi="Arial"/>
                  <w:sz w:val="18"/>
                  <w:szCs w:val="18"/>
                  <w:color w:val="0000FF"/>
                  <w:w w:val="91"/>
                </w:rPr>
                <w:t>Amendment to Employment Agreement, by and between the Registrant and Steven Avruch, dated April 5, 2021 (filed as Exhibit 10.3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rPr>
            </w:pPr>
            <w:hyperlink r:id="rId294">
              <w:r>
                <w:rPr>
                  <w:rFonts w:ascii="Arial" w:cs="Arial" w:eastAsia="Arial" w:hAnsi="Arial"/>
                  <w:sz w:val="18"/>
                  <w:szCs w:val="18"/>
                  <w:color w:val="0000FF"/>
                </w:rPr>
                <w:t>Registrant’s Quarterly Report on Form 10-Q filed on May 13, 2021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89"/>
              </w:rPr>
            </w:pPr>
            <w:hyperlink r:id="rId295">
              <w:r>
                <w:rPr>
                  <w:rFonts w:ascii="Arial" w:cs="Arial" w:eastAsia="Arial" w:hAnsi="Arial"/>
                  <w:sz w:val="18"/>
                  <w:szCs w:val="18"/>
                  <w:color w:val="0000FF"/>
                  <w:w w:val="89"/>
                </w:rPr>
                <w:t>Employment Agreement, by and between the Registrant and Deanna Petersen, dated September 1, 2018 (filed as Exhibit 10.16 to the</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rPr>
            </w:pPr>
            <w:hyperlink r:id="rId295">
              <w:r>
                <w:rPr>
                  <w:rFonts w:ascii="Arial" w:cs="Arial" w:eastAsia="Arial" w:hAnsi="Arial"/>
                  <w:sz w:val="18"/>
                  <w:szCs w:val="18"/>
                  <w:color w:val="0000FF"/>
                </w:rPr>
                <w:t>Registrant’s Annual Report on Form 10-K filed on March 16, 2020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10000" w:type="dxa"/>
            <w:vAlign w:val="bottom"/>
            <w:tcBorders>
              <w:bottom w:val="single" w:sz="8" w:color="0000FF"/>
            </w:tcBorders>
            <w:gridSpan w:val="19"/>
          </w:tcPr>
          <w:p>
            <w:pPr>
              <w:spacing w:after="0"/>
              <w:rPr>
                <w:rFonts w:ascii="Arial" w:cs="Arial" w:eastAsia="Arial" w:hAnsi="Arial"/>
                <w:sz w:val="18"/>
                <w:szCs w:val="18"/>
                <w:color w:val="0000FF"/>
                <w:w w:val="90"/>
              </w:rPr>
            </w:pPr>
            <w:hyperlink r:id="rId296">
              <w:r>
                <w:rPr>
                  <w:rFonts w:ascii="Arial" w:cs="Arial" w:eastAsia="Arial" w:hAnsi="Arial"/>
                  <w:sz w:val="18"/>
                  <w:szCs w:val="18"/>
                  <w:color w:val="0000FF"/>
                  <w:w w:val="90"/>
                </w:rPr>
                <w:t>Amendment to Employment Agreement, by and between the Registrant and Deanna Petersen, dated April 5, 2021 (filed as Exhibit 10.6 to</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96">
              <w:r>
                <w:rPr>
                  <w:rFonts w:ascii="Arial" w:cs="Arial" w:eastAsia="Arial" w:hAnsi="Arial"/>
                  <w:sz w:val="18"/>
                  <w:szCs w:val="18"/>
                  <w:color w:val="0000FF"/>
                  <w:w w:val="91"/>
                </w:rPr>
                <w:t>the Registrant’s Quarterly Report on Form 10-Q filed on May 13, 2021 (File No. 001-38537) and incorporated herein by reference)</w:t>
              </w:r>
            </w:hyperlink>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9340" w:type="dxa"/>
            <w:vAlign w:val="bottom"/>
            <w:tcBorders>
              <w:bottom w:val="single" w:sz="8" w:color="0000FF"/>
            </w:tcBorders>
            <w:gridSpan w:val="6"/>
          </w:tcPr>
          <w:p>
            <w:pPr>
              <w:spacing w:after="0"/>
              <w:rPr>
                <w:rFonts w:ascii="Arial" w:cs="Arial" w:eastAsia="Arial" w:hAnsi="Arial"/>
                <w:sz w:val="18"/>
                <w:szCs w:val="18"/>
                <w:color w:val="0000FF"/>
                <w:w w:val="90"/>
              </w:rPr>
            </w:pPr>
            <w:hyperlink r:id="rId297">
              <w:r>
                <w:rPr>
                  <w:rFonts w:ascii="Arial" w:cs="Arial" w:eastAsia="Arial" w:hAnsi="Arial"/>
                  <w:sz w:val="18"/>
                  <w:szCs w:val="18"/>
                  <w:color w:val="0000FF"/>
                  <w:w w:val="90"/>
                </w:rPr>
                <w:t>Employment Agreement, by and between the Registrant and Chris Mason, dated September 1, 2018 (filed as Exhibit 10.19 to the</w:t>
              </w:r>
            </w:hyperlink>
          </w:p>
        </w:tc>
        <w:tc>
          <w:tcPr>
            <w:tcW w:w="8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rPr>
            </w:pPr>
            <w:hyperlink r:id="rId297">
              <w:r>
                <w:rPr>
                  <w:rFonts w:ascii="Arial" w:cs="Arial" w:eastAsia="Arial" w:hAnsi="Arial"/>
                  <w:sz w:val="18"/>
                  <w:szCs w:val="18"/>
                  <w:color w:val="0000FF"/>
                </w:rPr>
                <w:t>Registrant’s Annual Report on Form 10-K filed on March 18, 2021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9980" w:type="dxa"/>
            <w:vAlign w:val="bottom"/>
            <w:tcBorders>
              <w:bottom w:val="single" w:sz="8" w:color="0000FF"/>
            </w:tcBorders>
            <w:gridSpan w:val="18"/>
          </w:tcPr>
          <w:p>
            <w:pPr>
              <w:spacing w:after="0"/>
              <w:rPr>
                <w:rFonts w:ascii="Arial" w:cs="Arial" w:eastAsia="Arial" w:hAnsi="Arial"/>
                <w:sz w:val="18"/>
                <w:szCs w:val="18"/>
                <w:color w:val="0000FF"/>
                <w:w w:val="91"/>
              </w:rPr>
            </w:pPr>
            <w:hyperlink r:id="rId298">
              <w:r>
                <w:rPr>
                  <w:rFonts w:ascii="Arial" w:cs="Arial" w:eastAsia="Arial" w:hAnsi="Arial"/>
                  <w:sz w:val="18"/>
                  <w:szCs w:val="18"/>
                  <w:color w:val="0000FF"/>
                  <w:w w:val="91"/>
                </w:rPr>
                <w:t>Amendment to Employment Agreement, by and between the Registrant and Chris Mason, dated April 5, 2021 (filed as Exhibit 10.5 to the</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rPr>
            </w:pPr>
            <w:hyperlink r:id="rId298">
              <w:r>
                <w:rPr>
                  <w:rFonts w:ascii="Arial" w:cs="Arial" w:eastAsia="Arial" w:hAnsi="Arial"/>
                  <w:sz w:val="18"/>
                  <w:szCs w:val="18"/>
                  <w:color w:val="0000FF"/>
                </w:rPr>
                <w:t>Registrant’s Quarterly Report on Form 10-Q filed on May 13, 2021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10080" w:type="dxa"/>
            <w:vAlign w:val="bottom"/>
            <w:tcBorders>
              <w:bottom w:val="single" w:sz="8" w:color="0000FF"/>
            </w:tcBorders>
            <w:gridSpan w:val="21"/>
          </w:tcPr>
          <w:p>
            <w:pPr>
              <w:spacing w:after="0"/>
              <w:rPr>
                <w:rFonts w:ascii="Arial" w:cs="Arial" w:eastAsia="Arial" w:hAnsi="Arial"/>
                <w:sz w:val="18"/>
                <w:szCs w:val="18"/>
                <w:color w:val="0000FF"/>
                <w:w w:val="91"/>
              </w:rPr>
            </w:pPr>
            <w:hyperlink r:id="rId299">
              <w:r>
                <w:rPr>
                  <w:rFonts w:ascii="Arial" w:cs="Arial" w:eastAsia="Arial" w:hAnsi="Arial"/>
                  <w:sz w:val="18"/>
                  <w:szCs w:val="18"/>
                  <w:color w:val="0000FF"/>
                  <w:w w:val="91"/>
                </w:rPr>
                <w:t>Amendment No. 2 to Employment Agreement, by and between the Registrant and Chris Mason, dated April 25, 2022 (filed as Exhibit 10.1</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99">
              <w:r>
                <w:rPr>
                  <w:rFonts w:ascii="Arial" w:cs="Arial" w:eastAsia="Arial" w:hAnsi="Arial"/>
                  <w:sz w:val="18"/>
                  <w:szCs w:val="18"/>
                  <w:color w:val="0000FF"/>
                  <w:w w:val="91"/>
                </w:rPr>
                <w:t>to the Registrant’s Quarterly Report on Form 10-Q filed on May 10, 2022 (File No. 001-38537) and incorporated herein by reference)</w:t>
              </w:r>
            </w:hyperlink>
          </w:p>
        </w:tc>
        <w:tc>
          <w:tcPr>
            <w:tcW w:w="20" w:type="dxa"/>
            <w:vAlign w:val="bottom"/>
            <w:tcBorders>
              <w:bottom w:val="single" w:sz="8" w:color="0000EE"/>
            </w:tcBorders>
          </w:tcPr>
          <w:p>
            <w:pPr>
              <w:spacing w:after="0"/>
              <w:rPr>
                <w:sz w:val="17"/>
                <w:szCs w:val="17"/>
                <w:color w:val="auto"/>
              </w:rPr>
            </w:pPr>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10000" w:type="dxa"/>
            <w:vAlign w:val="bottom"/>
            <w:tcBorders>
              <w:bottom w:val="single" w:sz="8" w:color="0000FF"/>
            </w:tcBorders>
            <w:gridSpan w:val="19"/>
          </w:tcPr>
          <w:p>
            <w:pPr>
              <w:spacing w:after="0"/>
              <w:rPr>
                <w:rFonts w:ascii="Arial" w:cs="Arial" w:eastAsia="Arial" w:hAnsi="Arial"/>
                <w:sz w:val="18"/>
                <w:szCs w:val="18"/>
                <w:color w:val="0000FF"/>
                <w:w w:val="90"/>
              </w:rPr>
            </w:pPr>
            <w:hyperlink r:id="rId300">
              <w:r>
                <w:rPr>
                  <w:rFonts w:ascii="Arial" w:cs="Arial" w:eastAsia="Arial" w:hAnsi="Arial"/>
                  <w:sz w:val="18"/>
                  <w:szCs w:val="18"/>
                  <w:color w:val="0000FF"/>
                  <w:w w:val="90"/>
                </w:rPr>
                <w:t>Employment Agreement, by and between the Registrant and Essra Ridha, dated October 6, 2021 (filed as Exhibit 10.22 to the Registrant’s</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FF"/>
              </w:rPr>
            </w:pPr>
            <w:hyperlink r:id="rId300">
              <w:r>
                <w:rPr>
                  <w:rFonts w:ascii="Arial" w:cs="Arial" w:eastAsia="Arial" w:hAnsi="Arial"/>
                  <w:sz w:val="18"/>
                  <w:szCs w:val="18"/>
                  <w:color w:val="0000FF"/>
                </w:rPr>
                <w:t>Annual Report on Form 10-K filed on March 17, 2022 (File No. 001-38537)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ind w:left="120"/>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0"/>
          </w:tcPr>
          <w:p>
            <w:pPr>
              <w:spacing w:after="0"/>
              <w:rPr>
                <w:rFonts w:ascii="Arial" w:cs="Arial" w:eastAsia="Arial" w:hAnsi="Arial"/>
                <w:sz w:val="18"/>
                <w:szCs w:val="18"/>
                <w:color w:val="0000FF"/>
                <w:w w:val="90"/>
              </w:rPr>
            </w:pPr>
            <w:hyperlink r:id="rId301">
              <w:r>
                <w:rPr>
                  <w:rFonts w:ascii="Arial" w:cs="Arial" w:eastAsia="Arial" w:hAnsi="Arial"/>
                  <w:sz w:val="18"/>
                  <w:szCs w:val="18"/>
                  <w:color w:val="0000FF"/>
                  <w:w w:val="90"/>
                </w:rPr>
                <w:t>2018 Employee Stock Purchase Plan (filed as Exhibit 10.14 to the Registrant’s Second Amendment to the Registration Statement on Form</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60" w:type="dxa"/>
            <w:vAlign w:val="bottom"/>
            <w:tcBorders>
              <w:bottom w:val="single" w:sz="8" w:color="0000EE"/>
            </w:tcBorders>
            <w:gridSpan w:val="2"/>
          </w:tcPr>
          <w:p>
            <w:pPr>
              <w:spacing w:after="0" w:line="196" w:lineRule="exact"/>
              <w:rPr>
                <w:rFonts w:ascii="Arial" w:cs="Arial" w:eastAsia="Arial" w:hAnsi="Arial"/>
                <w:sz w:val="18"/>
                <w:szCs w:val="18"/>
                <w:color w:val="0000FF"/>
                <w:w w:val="91"/>
              </w:rPr>
            </w:pPr>
            <w:hyperlink r:id="rId301">
              <w:r>
                <w:rPr>
                  <w:rFonts w:ascii="Arial" w:cs="Arial" w:eastAsia="Arial" w:hAnsi="Arial"/>
                  <w:sz w:val="18"/>
                  <w:szCs w:val="18"/>
                  <w:color w:val="0000FF"/>
                  <w:w w:val="91"/>
                </w:rPr>
                <w:t>S-1 filed on June 11, 2018 (File No. 333-225213) and incorporated herein by reference)</w:t>
              </w:r>
            </w:hyperlink>
          </w:p>
        </w:tc>
        <w:tc>
          <w:tcPr>
            <w:tcW w:w="37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4"/>
                <w:szCs w:val="24"/>
                <w:color w:val="auto"/>
              </w:rPr>
            </w:pPr>
          </w:p>
        </w:tc>
        <w:tc>
          <w:tcPr>
            <w:tcW w:w="10140" w:type="dxa"/>
            <w:vAlign w:val="bottom"/>
            <w:tcBorders>
              <w:bottom w:val="single" w:sz="8" w:color="0000FF"/>
            </w:tcBorders>
            <w:gridSpan w:val="24"/>
          </w:tcPr>
          <w:p>
            <w:pPr>
              <w:spacing w:after="0"/>
              <w:rPr>
                <w:rFonts w:ascii="Arial" w:cs="Arial" w:eastAsia="Arial" w:hAnsi="Arial"/>
                <w:sz w:val="18"/>
                <w:szCs w:val="18"/>
                <w:color w:val="0000FF"/>
                <w:w w:val="91"/>
              </w:rPr>
            </w:pPr>
            <w:hyperlink r:id="rId302">
              <w:r>
                <w:rPr>
                  <w:rFonts w:ascii="Arial" w:cs="Arial" w:eastAsia="Arial" w:hAnsi="Arial"/>
                  <w:sz w:val="18"/>
                  <w:szCs w:val="18"/>
                  <w:color w:val="0000FF"/>
                  <w:w w:val="91"/>
                </w:rPr>
                <w:t>Lease Agreement, dated as of January 12, 2018, by and between the Registrant and ARE-MA Region No. 59, LLC (filed as Exhibit 10.12 to</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bottom w:val="single" w:sz="8" w:color="0000EE"/>
            </w:tcBorders>
            <w:gridSpan w:val="17"/>
          </w:tcPr>
          <w:p>
            <w:pPr>
              <w:spacing w:after="0" w:line="196" w:lineRule="exact"/>
              <w:rPr>
                <w:rFonts w:ascii="Arial" w:cs="Arial" w:eastAsia="Arial" w:hAnsi="Arial"/>
                <w:sz w:val="18"/>
                <w:szCs w:val="18"/>
                <w:color w:val="0000FF"/>
                <w:w w:val="91"/>
              </w:rPr>
            </w:pPr>
            <w:hyperlink r:id="rId302">
              <w:r>
                <w:rPr>
                  <w:rFonts w:ascii="Arial" w:cs="Arial" w:eastAsia="Arial" w:hAnsi="Arial"/>
                  <w:sz w:val="18"/>
                  <w:szCs w:val="18"/>
                  <w:color w:val="0000FF"/>
                  <w:w w:val="91"/>
                </w:rPr>
                <w:t>the Registrant’s Registration Statement on Form S-1 filed on May 25, 2018 (File No. 333-225213) and incorporated herein by reference)</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6500" w:type="dxa"/>
            <w:vAlign w:val="bottom"/>
            <w:gridSpan w:val="3"/>
          </w:tcPr>
          <w:p>
            <w:pPr>
              <w:jc w:val="right"/>
              <w:ind w:right="1628"/>
              <w:spacing w:after="0"/>
              <w:rPr>
                <w:sz w:val="20"/>
                <w:szCs w:val="20"/>
                <w:color w:val="auto"/>
              </w:rPr>
            </w:pPr>
            <w:r>
              <w:rPr>
                <w:rFonts w:ascii="Arial" w:cs="Arial" w:eastAsia="Arial" w:hAnsi="Arial"/>
                <w:sz w:val="18"/>
                <w:szCs w:val="18"/>
                <w:color w:val="auto"/>
              </w:rPr>
              <w:t>106</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1"/>
        </w:trPr>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20" w:type="dxa"/>
            <w:vAlign w:val="bottom"/>
            <w:gridSpan w:val="21"/>
            <w:vMerge w:val="restart"/>
          </w:tcPr>
          <w:p>
            <w:pPr>
              <w:ind w:left="7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2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12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4"/>
                <w:szCs w:val="24"/>
                <w:color w:val="auto"/>
              </w:rPr>
            </w:pPr>
          </w:p>
        </w:tc>
        <w:tc>
          <w:tcPr>
            <w:tcW w:w="10140" w:type="dxa"/>
            <w:vAlign w:val="bottom"/>
            <w:gridSpan w:val="26"/>
          </w:tcPr>
          <w:p>
            <w:pPr>
              <w:spacing w:after="0"/>
              <w:rPr>
                <w:rFonts w:ascii="Arial" w:cs="Arial" w:eastAsia="Arial" w:hAnsi="Arial"/>
                <w:sz w:val="18"/>
                <w:szCs w:val="18"/>
                <w:color w:val="0000FF"/>
                <w:w w:val="90"/>
              </w:rPr>
            </w:pPr>
            <w:hyperlink r:id="rId305">
              <w:r>
                <w:rPr>
                  <w:rFonts w:ascii="Arial" w:cs="Arial" w:eastAsia="Arial" w:hAnsi="Arial"/>
                  <w:sz w:val="18"/>
                  <w:szCs w:val="18"/>
                  <w:color w:val="0000FF"/>
                  <w:w w:val="90"/>
                </w:rPr>
                <w:t>2019 Inducement Plan and form of award agreement thereunder (filed as Exhibit 99.1 to the Registrant’s Registration Statement on Form S-</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305">
              <w:r>
                <w:rPr>
                  <w:rFonts w:ascii="Arial" w:cs="Arial" w:eastAsia="Arial" w:hAnsi="Arial"/>
                  <w:sz w:val="18"/>
                  <w:szCs w:val="18"/>
                  <w:color w:val="0000FF"/>
                  <w:w w:val="91"/>
                </w:rPr>
                <w:t>8 filed on December 20, 2019 (File No. 333-235643) and incorporated herein 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3440" w:type="dxa"/>
            <w:vAlign w:val="bottom"/>
            <w:tcBorders>
              <w:top w:val="single" w:sz="8" w:color="0000FF"/>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Arial" w:cs="Arial" w:eastAsia="Arial" w:hAnsi="Arial"/>
                <w:sz w:val="18"/>
                <w:szCs w:val="18"/>
                <w:color w:val="0000FF"/>
                <w:w w:val="91"/>
              </w:rPr>
            </w:pPr>
            <w:hyperlink r:id="rId306">
              <w:r>
                <w:rPr>
                  <w:rFonts w:ascii="Arial" w:cs="Arial" w:eastAsia="Arial" w:hAnsi="Arial"/>
                  <w:sz w:val="18"/>
                  <w:szCs w:val="18"/>
                  <w:color w:val="0000FF"/>
                  <w:w w:val="91"/>
                </w:rPr>
                <w:t>Form of 2019 Inducement Stock Option Award (filed as Exhibit 99.1 to the Registrant’s Registration Statement on Form S-8 filed on March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06">
              <w:r>
                <w:rPr>
                  <w:rFonts w:ascii="Arial" w:cs="Arial" w:eastAsia="Arial" w:hAnsi="Arial"/>
                  <w:sz w:val="18"/>
                  <w:szCs w:val="18"/>
                  <w:color w:val="0000FF"/>
                  <w:w w:val="90"/>
                </w:rPr>
                <w:t>25, 2019 (File No. 333-230493) and incorporated herein by reference)</w:t>
              </w:r>
            </w:hyperlink>
          </w:p>
        </w:tc>
        <w:tc>
          <w:tcPr>
            <w:tcW w:w="50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9860" w:type="dxa"/>
            <w:vAlign w:val="bottom"/>
            <w:tcBorders>
              <w:bottom w:val="single" w:sz="8" w:color="0000FF"/>
            </w:tcBorders>
            <w:gridSpan w:val="22"/>
          </w:tcPr>
          <w:p>
            <w:pPr>
              <w:spacing w:after="0"/>
              <w:rPr>
                <w:rFonts w:ascii="Arial" w:cs="Arial" w:eastAsia="Arial" w:hAnsi="Arial"/>
                <w:sz w:val="18"/>
                <w:szCs w:val="18"/>
                <w:color w:val="0000FF"/>
                <w:w w:val="91"/>
              </w:rPr>
            </w:pPr>
            <w:hyperlink r:id="rId307">
              <w:r>
                <w:rPr>
                  <w:rFonts w:ascii="Arial" w:cs="Arial" w:eastAsia="Arial" w:hAnsi="Arial"/>
                  <w:sz w:val="18"/>
                  <w:szCs w:val="18"/>
                  <w:color w:val="0000FF"/>
                  <w:w w:val="91"/>
                </w:rPr>
                <w:t>2020 Inducement Plan and form of award agreement thereunder (filed as Exhibit 10.25 to the Registrant’s Annual Report on Form 10-K</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07">
              <w:r>
                <w:rPr>
                  <w:rFonts w:ascii="Arial" w:cs="Arial" w:eastAsia="Arial" w:hAnsi="Arial"/>
                  <w:sz w:val="18"/>
                  <w:szCs w:val="18"/>
                  <w:color w:val="0000FF"/>
                  <w:w w:val="91"/>
                </w:rPr>
                <w:t>filed on March 18, 2021 (File No. 001-38537) and incorporated herein by reference)</w:t>
              </w:r>
            </w:hyperlink>
          </w:p>
        </w:tc>
        <w:tc>
          <w:tcPr>
            <w:tcW w:w="20" w:type="dxa"/>
            <w:vAlign w:val="bottom"/>
            <w:tcBorders>
              <w:bottom w:val="single" w:sz="8" w:color="0000EE"/>
            </w:tcBorders>
          </w:tcPr>
          <w:p>
            <w:pPr>
              <w:spacing w:after="0"/>
              <w:rPr>
                <w:sz w:val="17"/>
                <w:szCs w:val="17"/>
                <w:color w:val="auto"/>
              </w:rPr>
            </w:pPr>
          </w:p>
        </w:tc>
        <w:tc>
          <w:tcPr>
            <w:tcW w:w="4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9680" w:type="dxa"/>
            <w:vAlign w:val="bottom"/>
            <w:tcBorders>
              <w:bottom w:val="single" w:sz="8" w:color="0000FF"/>
            </w:tcBorders>
            <w:gridSpan w:val="19"/>
          </w:tcPr>
          <w:p>
            <w:pPr>
              <w:spacing w:after="0"/>
              <w:rPr>
                <w:rFonts w:ascii="Arial" w:cs="Arial" w:eastAsia="Arial" w:hAnsi="Arial"/>
                <w:sz w:val="18"/>
                <w:szCs w:val="18"/>
                <w:color w:val="0000FF"/>
                <w:w w:val="90"/>
              </w:rPr>
            </w:pPr>
            <w:hyperlink r:id="rId308">
              <w:r>
                <w:rPr>
                  <w:rFonts w:ascii="Arial" w:cs="Arial" w:eastAsia="Arial" w:hAnsi="Arial"/>
                  <w:sz w:val="18"/>
                  <w:szCs w:val="18"/>
                  <w:color w:val="0000FF"/>
                  <w:w w:val="90"/>
                </w:rPr>
                <w:t>Loan and Security Agreement, dated November 2, 2021, by and among the Registrant, the lenders party thereto from time to time and</w:t>
              </w:r>
            </w:hyperlink>
          </w:p>
        </w:tc>
        <w:tc>
          <w:tcPr>
            <w:tcW w:w="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308">
              <w:r>
                <w:rPr>
                  <w:rFonts w:ascii="Arial" w:cs="Arial" w:eastAsia="Arial" w:hAnsi="Arial"/>
                  <w:sz w:val="18"/>
                  <w:szCs w:val="18"/>
                  <w:color w:val="0000FF"/>
                  <w:w w:val="91"/>
                </w:rPr>
                <w:t>Silicon Valley Bank, as administrative agent and collateral agent (filed as Exhibit 10.1 to the Registrant’s Quarterly Report on Form 10-Q</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08">
              <w:r>
                <w:rPr>
                  <w:rFonts w:ascii="Arial" w:cs="Arial" w:eastAsia="Arial" w:hAnsi="Arial"/>
                  <w:sz w:val="18"/>
                  <w:szCs w:val="18"/>
                  <w:color w:val="0000FF"/>
                  <w:w w:val="91"/>
                </w:rPr>
                <w:t>filed on November 4, 2021 (File No. 001-38537) and incorporated herein by reference)</w:t>
              </w:r>
            </w:hyperlink>
          </w:p>
        </w:tc>
        <w:tc>
          <w:tcPr>
            <w:tcW w:w="20" w:type="dxa"/>
            <w:vAlign w:val="bottom"/>
            <w:tcBorders>
              <w:bottom w:val="single" w:sz="8" w:color="0000EE"/>
            </w:tcBorders>
          </w:tcPr>
          <w:p>
            <w:pPr>
              <w:spacing w:after="0"/>
              <w:rPr>
                <w:sz w:val="17"/>
                <w:szCs w:val="17"/>
                <w:color w:val="auto"/>
              </w:rPr>
            </w:pPr>
          </w:p>
        </w:tc>
        <w:tc>
          <w:tcPr>
            <w:tcW w:w="38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9840" w:type="dxa"/>
            <w:vAlign w:val="bottom"/>
            <w:tcBorders>
              <w:bottom w:val="single" w:sz="8" w:color="0000FF"/>
            </w:tcBorders>
            <w:gridSpan w:val="21"/>
          </w:tcPr>
          <w:p>
            <w:pPr>
              <w:spacing w:after="0"/>
              <w:rPr>
                <w:rFonts w:ascii="Arial" w:cs="Arial" w:eastAsia="Arial" w:hAnsi="Arial"/>
                <w:sz w:val="18"/>
                <w:szCs w:val="18"/>
                <w:color w:val="0000FF"/>
                <w:w w:val="90"/>
              </w:rPr>
            </w:pPr>
            <w:hyperlink r:id="rId309">
              <w:r>
                <w:rPr>
                  <w:rFonts w:ascii="Arial" w:cs="Arial" w:eastAsia="Arial" w:hAnsi="Arial"/>
                  <w:sz w:val="18"/>
                  <w:szCs w:val="18"/>
                  <w:color w:val="0000FF"/>
                  <w:w w:val="90"/>
                </w:rPr>
                <w:t>Amended and Restated Master Services Agreement, by and between the Registrant and Miltenyi Biotec, Inc., dated November 20, 2021</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309">
              <w:r>
                <w:rPr>
                  <w:rFonts w:ascii="Arial" w:cs="Arial" w:eastAsia="Arial" w:hAnsi="Arial"/>
                  <w:sz w:val="18"/>
                  <w:szCs w:val="18"/>
                  <w:color w:val="0000FF"/>
                  <w:w w:val="92"/>
                </w:rPr>
                <w:t>(filed as Exhibit 10.3 to the Registrant’s Quarterly Report on Form 10-Q filed on August 9, 2022 (File No. 001-38537) and incorporated</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6"/>
          </w:tcPr>
          <w:p>
            <w:pPr>
              <w:spacing w:after="0" w:line="196" w:lineRule="exact"/>
              <w:rPr>
                <w:rFonts w:ascii="Arial" w:cs="Arial" w:eastAsia="Arial" w:hAnsi="Arial"/>
                <w:sz w:val="18"/>
                <w:szCs w:val="18"/>
                <w:color w:val="0000FF"/>
              </w:rPr>
            </w:pPr>
            <w:hyperlink r:id="rId309">
              <w:r>
                <w:rPr>
                  <w:rFonts w:ascii="Arial" w:cs="Arial" w:eastAsia="Arial" w:hAnsi="Arial"/>
                  <w:sz w:val="18"/>
                  <w:szCs w:val="18"/>
                  <w:color w:val="0000FF"/>
                </w:rPr>
                <w:t>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21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FF"/>
                <w:w w:val="91"/>
              </w:rPr>
              <w:t>Subsidiaries of the Registrant</w:t>
            </w:r>
          </w:p>
        </w:tc>
        <w:tc>
          <w:tcPr>
            <w:tcW w:w="796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60" w:type="dxa"/>
            <w:vAlign w:val="bottom"/>
          </w:tcPr>
          <w:p>
            <w:pPr>
              <w:ind w:lef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5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Consent of Ernst &amp; Young LLP, Independent Registered Public Accounting Firm</w:t>
            </w:r>
          </w:p>
        </w:tc>
        <w:tc>
          <w:tcPr>
            <w:tcW w:w="43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60" w:type="dxa"/>
            <w:vAlign w:val="bottom"/>
          </w:tcPr>
          <w:p>
            <w:pPr>
              <w:ind w:lef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0000FF"/>
              </w:rPr>
              <w:t>Power of Attorney (included on the signature page)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60" w:type="dxa"/>
            <w:vAlign w:val="bottom"/>
          </w:tcPr>
          <w:p>
            <w:pPr>
              <w:ind w:left="1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6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1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6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FF"/>
                <w:w w:val="91"/>
              </w:rPr>
              <w:t>Adopted Pursuant to Section 302 of the Sarbanes-Oxley Act of 2002</w:t>
            </w:r>
          </w:p>
        </w:tc>
        <w:tc>
          <w:tcPr>
            <w:tcW w:w="51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60" w:type="dxa"/>
            <w:vAlign w:val="bottom"/>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8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Section 906 of the Sarbanes-Oxley Act of 2002</w:t>
            </w:r>
          </w:p>
        </w:tc>
        <w:tc>
          <w:tcPr>
            <w:tcW w:w="20" w:type="dxa"/>
            <w:vAlign w:val="bottom"/>
            <w:tcBorders>
              <w:bottom w:val="single" w:sz="8" w:color="0000EE"/>
            </w:tcBorders>
          </w:tcPr>
          <w:p>
            <w:pPr>
              <w:spacing w:after="0"/>
              <w:rPr>
                <w:sz w:val="17"/>
                <w:szCs w:val="17"/>
                <w:color w:val="auto"/>
              </w:rPr>
            </w:pPr>
          </w:p>
        </w:tc>
        <w:tc>
          <w:tcPr>
            <w:tcW w:w="67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auto"/>
                <w:w w:val="92"/>
              </w:rPr>
              <w:t>Interactive Data Files pursuant to Rule 405 of Regulation S-T formatted in Inline Extensible Business Reporting Language (“Inline XBRL”)</w:t>
            </w:r>
          </w:p>
        </w:tc>
        <w:tc>
          <w:tcPr>
            <w:tcW w:w="0" w:type="dxa"/>
            <w:vAlign w:val="bottom"/>
          </w:tcPr>
          <w:p>
            <w:pPr>
              <w:spacing w:after="0"/>
              <w:rPr>
                <w:sz w:val="1"/>
                <w:szCs w:val="1"/>
                <w:color w:val="auto"/>
              </w:rPr>
            </w:pPr>
          </w:p>
        </w:tc>
      </w:tr>
      <w:tr>
        <w:trPr>
          <w:trHeight w:val="418"/>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18"/>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19"/>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00" w:hanging="1079"/>
        <w:spacing w:after="0"/>
        <w:tabs>
          <w:tab w:leader="none" w:pos="11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88" w:lineRule="exact"/>
        <w:rPr>
          <w:rFonts w:ascii="Arial" w:cs="Arial" w:eastAsia="Arial" w:hAnsi="Arial"/>
          <w:sz w:val="16"/>
          <w:szCs w:val="16"/>
          <w:color w:val="auto"/>
        </w:rPr>
      </w:pPr>
    </w:p>
    <w:p>
      <w:pPr>
        <w:ind w:left="140" w:hanging="132"/>
        <w:spacing w:after="0"/>
        <w:tabs>
          <w:tab w:leader="none" w:pos="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Confidential treatment has been granted for portions of this Exhibit pursuant to Rule 406 promulgated under the Securities Act of 1933, as amended.</w:t>
      </w:r>
    </w:p>
    <w:p>
      <w:pPr>
        <w:spacing w:after="0" w:line="46" w:lineRule="exact"/>
        <w:rPr>
          <w:sz w:val="20"/>
          <w:szCs w:val="20"/>
          <w:color w:val="auto"/>
        </w:rPr>
      </w:pPr>
    </w:p>
    <w:p>
      <w:pPr>
        <w:ind w:right="40" w:firstLine="8"/>
        <w:spacing w:after="0" w:line="250" w:lineRule="auto"/>
        <w:tabs>
          <w:tab w:leader="none" w:pos="2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they are both (i) not material and (ii) would likely cause competitive harm to the registrant if publicly disclosed.</w:t>
      </w:r>
    </w:p>
    <w:p>
      <w:pPr>
        <w:ind w:right="4980"/>
        <w:spacing w:after="0" w:line="290" w:lineRule="auto"/>
        <w:rPr>
          <w:rFonts w:ascii="Arial" w:cs="Arial" w:eastAsia="Arial" w:hAnsi="Arial"/>
          <w:sz w:val="18"/>
          <w:szCs w:val="18"/>
          <w:color w:val="auto"/>
        </w:rPr>
      </w:pPr>
      <w:r>
        <w:rPr>
          <w:rFonts w:ascii="Arial" w:cs="Arial" w:eastAsia="Arial" w:hAnsi="Arial"/>
          <w:sz w:val="17"/>
          <w:szCs w:val="17"/>
          <w:color w:val="auto"/>
        </w:rPr>
        <w:t># Indicates a management contract or any compensatory plan, contract or arrangement. * Indicates the exhibit is being furnished, not filed, with this report.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09"/>
        <w:spacing w:after="0" w:line="28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day of March, 2023.</w:t>
      </w:r>
    </w:p>
    <w:p>
      <w:pPr>
        <w:spacing w:after="0" w:line="12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AVROBIO, INC.</w:t>
      </w:r>
    </w:p>
    <w:p>
      <w:pPr>
        <w:spacing w:after="0" w:line="283" w:lineRule="exact"/>
        <w:rPr>
          <w:sz w:val="20"/>
          <w:szCs w:val="20"/>
          <w:color w:val="auto"/>
        </w:rPr>
      </w:pPr>
    </w:p>
    <w:p>
      <w:pPr>
        <w:ind w:left="570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23495</wp:posOffset>
            </wp:positionV>
            <wp:extent cx="31718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Geoff MacKay</w:t>
      </w:r>
    </w:p>
    <w:p>
      <w:pPr>
        <w:spacing w:after="0" w:line="36"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ind w:right="20" w:firstLine="509"/>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Geoff MacKay and</w:t>
      </w:r>
      <w:r>
        <w:rPr>
          <w:rFonts w:ascii="Arial" w:cs="Arial" w:eastAsia="Arial" w:hAnsi="Arial"/>
          <w:sz w:val="16"/>
          <w:szCs w:val="16"/>
          <w:b w:val="1"/>
          <w:bCs w:val="1"/>
          <w:color w:val="auto"/>
        </w:rPr>
        <w:t xml:space="preserve"> </w:t>
      </w:r>
      <w:r>
        <w:rPr>
          <w:rFonts w:ascii="Arial" w:cs="Arial" w:eastAsia="Arial" w:hAnsi="Arial"/>
          <w:sz w:val="16"/>
          <w:szCs w:val="16"/>
          <w:color w:val="auto"/>
        </w:rPr>
        <w:t>Erik Ostrowski,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substitutes or substitute, may lawfully do or cause to be done by virtue hereof.</w:t>
      </w:r>
    </w:p>
    <w:p>
      <w:pPr>
        <w:spacing w:after="0" w:line="16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39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1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Geoff MacKay</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Chief Executive Officer and</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3"/>
                <w:szCs w:val="3"/>
                <w:color w:val="auto"/>
              </w:rPr>
            </w:pP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20" w:type="dxa"/>
            <w:vAlign w:val="bottom"/>
          </w:tcPr>
          <w:p>
            <w:pPr>
              <w:jc w:val="center"/>
              <w:spacing w:after="0" w:line="156" w:lineRule="exact"/>
              <w:rPr>
                <w:sz w:val="20"/>
                <w:szCs w:val="20"/>
                <w:color w:val="auto"/>
              </w:rPr>
            </w:pPr>
            <w:r>
              <w:rPr>
                <w:rFonts w:ascii="Arial" w:cs="Arial" w:eastAsia="Arial" w:hAnsi="Arial"/>
                <w:sz w:val="18"/>
                <w:szCs w:val="18"/>
                <w:color w:val="auto"/>
                <w:w w:val="94"/>
              </w:rPr>
              <w:t>Geoff MacKay</w:t>
            </w:r>
          </w:p>
        </w:tc>
        <w:tc>
          <w:tcPr>
            <w:tcW w:w="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 Erik Ostrowski</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3920" w:type="dxa"/>
            <w:vAlign w:val="bottom"/>
            <w:vMerge w:val="restart"/>
          </w:tcPr>
          <w:p>
            <w:pPr>
              <w:spacing w:after="0"/>
              <w:rPr>
                <w:sz w:val="20"/>
                <w:szCs w:val="20"/>
                <w:color w:val="auto"/>
              </w:rPr>
            </w:pPr>
            <w:r>
              <w:rPr>
                <w:rFonts w:ascii="Arial" w:cs="Arial" w:eastAsia="Arial" w:hAnsi="Arial"/>
                <w:sz w:val="18"/>
                <w:szCs w:val="18"/>
                <w:i w:val="1"/>
                <w:iCs w:val="1"/>
                <w:color w:val="auto"/>
              </w:rPr>
              <w:t>(Principal Financial Officer and Principal</w:t>
            </w:r>
          </w:p>
        </w:tc>
        <w:tc>
          <w:tcPr>
            <w:tcW w:w="100" w:type="dxa"/>
            <w:vAlign w:val="bottom"/>
          </w:tcPr>
          <w:p>
            <w:pPr>
              <w:spacing w:after="0"/>
              <w:rPr>
                <w:sz w:val="3"/>
                <w:szCs w:val="3"/>
                <w:color w:val="auto"/>
              </w:rPr>
            </w:pPr>
          </w:p>
        </w:tc>
        <w:tc>
          <w:tcPr>
            <w:tcW w:w="3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20" w:type="dxa"/>
            <w:vAlign w:val="bottom"/>
          </w:tcPr>
          <w:p>
            <w:pPr>
              <w:jc w:val="center"/>
              <w:spacing w:after="0" w:line="156" w:lineRule="exact"/>
              <w:rPr>
                <w:sz w:val="20"/>
                <w:szCs w:val="20"/>
                <w:color w:val="auto"/>
              </w:rPr>
            </w:pPr>
            <w:r>
              <w:rPr>
                <w:rFonts w:ascii="Arial" w:cs="Arial" w:eastAsia="Arial" w:hAnsi="Arial"/>
                <w:sz w:val="18"/>
                <w:szCs w:val="18"/>
                <w:color w:val="auto"/>
                <w:w w:val="93"/>
              </w:rPr>
              <w:t>Erik Ostrowski</w:t>
            </w:r>
          </w:p>
        </w:tc>
        <w:tc>
          <w:tcPr>
            <w:tcW w:w="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 Bruce Booth</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Ian T. Clark</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 Gail Farfel, Ph.D.</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6"/>
              </w:rPr>
              <w:t>Gail Farfel</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/s/ Phillip B. Donenberg</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 Annalisa Jenkins</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 Christopher Paige</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Philip J. Vickers</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140" w:type="dxa"/>
            <w:vAlign w:val="bottom"/>
          </w:tcPr>
          <w:p>
            <w:pPr>
              <w:ind w:left="1000"/>
              <w:spacing w:after="0"/>
              <w:rPr>
                <w:sz w:val="20"/>
                <w:szCs w:val="20"/>
                <w:color w:val="auto"/>
              </w:rPr>
            </w:pPr>
            <w:r>
              <w:rPr>
                <w:rFonts w:ascii="Arial" w:cs="Arial" w:eastAsia="Arial" w:hAnsi="Arial"/>
                <w:sz w:val="18"/>
                <w:szCs w:val="18"/>
                <w:color w:val="auto"/>
              </w:rPr>
              <w:t>March 23,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Philip J. Vickers, Ph.D.</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2"/>
          </w:tcPr>
          <w:p>
            <w:pPr>
              <w:jc w:val="right"/>
              <w:ind w:right="215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4" w:name="page145"/>
    <w:bookmarkEnd w:id="144"/>
    <w:p>
      <w:pPr>
        <w:ind w:left="10260"/>
        <w:spacing w:after="0"/>
        <w:rPr>
          <w:sz w:val="20"/>
          <w:szCs w:val="20"/>
          <w:color w:val="auto"/>
        </w:rPr>
      </w:pPr>
      <w:r>
        <w:rPr>
          <w:rFonts w:ascii="Arial" w:cs="Arial" w:eastAsia="Arial" w:hAnsi="Arial"/>
          <w:sz w:val="17"/>
          <w:szCs w:val="17"/>
          <w:b w:val="1"/>
          <w:bCs w:val="1"/>
          <w:color w:val="auto"/>
        </w:rPr>
        <w:t>Exhibit 21.1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List of Subsidiaries</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AVROBIO Inc.</w:t>
            </w:r>
          </w:p>
        </w:tc>
        <w:tc>
          <w:tcPr>
            <w:tcW w:w="6720" w:type="dxa"/>
            <w:vAlign w:val="bottom"/>
            <w:gridSpan w:val="4"/>
          </w:tcPr>
          <w:p>
            <w:pPr>
              <w:spacing w:after="0"/>
              <w:rPr>
                <w:sz w:val="20"/>
                <w:szCs w:val="20"/>
                <w:color w:val="auto"/>
              </w:rPr>
            </w:pPr>
            <w:r>
              <w:rPr>
                <w:rFonts w:ascii="Arial" w:cs="Arial" w:eastAsia="Arial" w:hAnsi="Arial"/>
                <w:sz w:val="18"/>
                <w:szCs w:val="18"/>
                <w:color w:val="auto"/>
              </w:rPr>
              <w:t>Ontario, Canada</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AVROBIO Australia Pty Ltd</w:t>
            </w:r>
          </w:p>
        </w:tc>
        <w:tc>
          <w:tcPr>
            <w:tcW w:w="6720" w:type="dxa"/>
            <w:vAlign w:val="bottom"/>
            <w:gridSpan w:val="4"/>
          </w:tcPr>
          <w:p>
            <w:pPr>
              <w:spacing w:after="0"/>
              <w:rPr>
                <w:sz w:val="20"/>
                <w:szCs w:val="20"/>
                <w:color w:val="auto"/>
              </w:rPr>
            </w:pPr>
            <w:r>
              <w:rPr>
                <w:rFonts w:ascii="Arial" w:cs="Arial" w:eastAsia="Arial" w:hAnsi="Arial"/>
                <w:sz w:val="18"/>
                <w:szCs w:val="18"/>
                <w:color w:val="auto"/>
              </w:rPr>
              <w:t>Australia</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AVROBIO Securities Corporation</w:t>
            </w:r>
          </w:p>
        </w:tc>
        <w:tc>
          <w:tcPr>
            <w:tcW w:w="6720" w:type="dxa"/>
            <w:vAlign w:val="bottom"/>
            <w:gridSpan w:val="4"/>
          </w:tcPr>
          <w:p>
            <w:pPr>
              <w:spacing w:after="0"/>
              <w:rPr>
                <w:sz w:val="20"/>
                <w:szCs w:val="20"/>
                <w:color w:val="auto"/>
              </w:rPr>
            </w:pPr>
            <w:r>
              <w:rPr>
                <w:rFonts w:ascii="Arial" w:cs="Arial" w:eastAsia="Arial" w:hAnsi="Arial"/>
                <w:sz w:val="18"/>
                <w:szCs w:val="18"/>
                <w:color w:val="auto"/>
              </w:rPr>
              <w:t>Massachusetts</w:t>
            </w:r>
          </w:p>
        </w:tc>
      </w:tr>
      <w:tr>
        <w:trPr>
          <w:trHeight w:val="587"/>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740" w:right="140" w:hanging="447"/>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333-225788) pertaining to the Amended and Restated 2015 Stock Option and Grant Plan, the 2018 Stock Option and Incentive Plan, and the 2018 Employee Stock Purchase Plan of AVROBIO, Inc.,</w:t>
      </w:r>
    </w:p>
    <w:p>
      <w:pPr>
        <w:spacing w:after="0" w:line="170" w:lineRule="exact"/>
        <w:rPr>
          <w:rFonts w:ascii="Arial" w:cs="Arial" w:eastAsia="Arial" w:hAnsi="Arial"/>
          <w:sz w:val="18"/>
          <w:szCs w:val="18"/>
          <w:color w:val="auto"/>
        </w:rPr>
      </w:pPr>
    </w:p>
    <w:p>
      <w:pPr>
        <w:ind w:left="740" w:hanging="44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333-230493) pertaining to the Inducement Stock Option Agreement of AVROBIO, Inc.,</w:t>
      </w:r>
    </w:p>
    <w:p>
      <w:pPr>
        <w:spacing w:after="0" w:line="225" w:lineRule="exact"/>
        <w:rPr>
          <w:rFonts w:ascii="Arial" w:cs="Arial" w:eastAsia="Arial" w:hAnsi="Arial"/>
          <w:sz w:val="18"/>
          <w:szCs w:val="18"/>
          <w:color w:val="auto"/>
        </w:rPr>
      </w:pPr>
    </w:p>
    <w:p>
      <w:pPr>
        <w:ind w:left="740" w:right="560" w:hanging="447"/>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333-230494) pertaining to the 2018 Stock Option and Incentive Plan and the 2018 Employee Stock Purchase Plan of AVROBIO, Inc.,</w:t>
      </w:r>
    </w:p>
    <w:p>
      <w:pPr>
        <w:spacing w:after="0" w:line="170" w:lineRule="exact"/>
        <w:rPr>
          <w:rFonts w:ascii="Arial" w:cs="Arial" w:eastAsia="Arial" w:hAnsi="Arial"/>
          <w:sz w:val="18"/>
          <w:szCs w:val="18"/>
          <w:color w:val="auto"/>
        </w:rPr>
      </w:pPr>
    </w:p>
    <w:p>
      <w:pPr>
        <w:ind w:left="740" w:hanging="44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333-234641) pertaining to the Inducement Stock Option Agreement of AVROBIO, Inc.,</w:t>
      </w:r>
    </w:p>
    <w:p>
      <w:pPr>
        <w:spacing w:after="0" w:line="225" w:lineRule="exact"/>
        <w:rPr>
          <w:rFonts w:ascii="Arial" w:cs="Arial" w:eastAsia="Arial" w:hAnsi="Arial"/>
          <w:sz w:val="18"/>
          <w:szCs w:val="18"/>
          <w:color w:val="auto"/>
        </w:rPr>
      </w:pPr>
    </w:p>
    <w:p>
      <w:pPr>
        <w:ind w:left="740" w:right="380" w:hanging="447"/>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333-235643) pertaining to the 2019 Inducement Plan and the Inducement Stock Option Agreement of AVROBIO, Inc.,</w:t>
      </w:r>
    </w:p>
    <w:p>
      <w:pPr>
        <w:spacing w:after="0" w:line="170" w:lineRule="exact"/>
        <w:rPr>
          <w:rFonts w:ascii="Arial" w:cs="Arial" w:eastAsia="Arial" w:hAnsi="Arial"/>
          <w:sz w:val="18"/>
          <w:szCs w:val="18"/>
          <w:color w:val="auto"/>
        </w:rPr>
      </w:pPr>
    </w:p>
    <w:p>
      <w:pPr>
        <w:ind w:left="740" w:right="560" w:hanging="447"/>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333-237203) pertaining to the 2018 Stock Option and Incentive Plan and the 2018 Employee Stock Purchase Plan of AVROBIO, Inc.,</w:t>
      </w:r>
    </w:p>
    <w:p>
      <w:pPr>
        <w:spacing w:after="0" w:line="170" w:lineRule="exact"/>
        <w:rPr>
          <w:rFonts w:ascii="Arial" w:cs="Arial" w:eastAsia="Arial" w:hAnsi="Arial"/>
          <w:sz w:val="18"/>
          <w:szCs w:val="18"/>
          <w:color w:val="auto"/>
        </w:rPr>
      </w:pPr>
    </w:p>
    <w:p>
      <w:pPr>
        <w:ind w:left="740" w:hanging="44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333-241400) pertaining to the 2018 Stock Option and Incentive Plan of AVROBIO, Inc.,</w:t>
      </w:r>
    </w:p>
    <w:p>
      <w:pPr>
        <w:spacing w:after="0" w:line="225" w:lineRule="exact"/>
        <w:rPr>
          <w:rFonts w:ascii="Arial" w:cs="Arial" w:eastAsia="Arial" w:hAnsi="Arial"/>
          <w:sz w:val="18"/>
          <w:szCs w:val="18"/>
          <w:color w:val="auto"/>
        </w:rPr>
      </w:pPr>
    </w:p>
    <w:p>
      <w:pPr>
        <w:ind w:left="740" w:right="220" w:hanging="447"/>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333-254466) pertaining to the 2020 Inducement Plan, the 2018 Stock Option and Incentive Plan and the 2018 Employee Stock Purchase Plan of AVROBIO, Inc.;</w:t>
      </w:r>
    </w:p>
    <w:p>
      <w:pPr>
        <w:spacing w:after="0" w:line="170" w:lineRule="exact"/>
        <w:rPr>
          <w:rFonts w:ascii="Arial" w:cs="Arial" w:eastAsia="Arial" w:hAnsi="Arial"/>
          <w:sz w:val="18"/>
          <w:szCs w:val="18"/>
          <w:color w:val="auto"/>
        </w:rPr>
      </w:pPr>
    </w:p>
    <w:p>
      <w:pPr>
        <w:ind w:left="740" w:right="560" w:hanging="447"/>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333-263655) pertaining to the 2018 Stock Option and Incentive Plan and the 2018 Employee Stock Purchase Plan of AVROBIO, Inc.,</w:t>
      </w:r>
    </w:p>
    <w:p>
      <w:pPr>
        <w:spacing w:after="0" w:line="170" w:lineRule="exact"/>
        <w:rPr>
          <w:rFonts w:ascii="Arial" w:cs="Arial" w:eastAsia="Arial" w:hAnsi="Arial"/>
          <w:sz w:val="18"/>
          <w:szCs w:val="18"/>
          <w:color w:val="auto"/>
        </w:rPr>
      </w:pPr>
    </w:p>
    <w:p>
      <w:pPr>
        <w:ind w:left="740" w:hanging="44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333-266710) pertaining to the 2018 Stock Option and Incentive Plan of AVROBIO, Inc., and</w:t>
      </w:r>
    </w:p>
    <w:p>
      <w:pPr>
        <w:spacing w:after="0" w:line="225" w:lineRule="exact"/>
        <w:rPr>
          <w:rFonts w:ascii="Arial" w:cs="Arial" w:eastAsia="Arial" w:hAnsi="Arial"/>
          <w:sz w:val="18"/>
          <w:szCs w:val="18"/>
          <w:color w:val="auto"/>
        </w:rPr>
      </w:pPr>
    </w:p>
    <w:p>
      <w:pPr>
        <w:ind w:left="740" w:hanging="44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S-3 No. 333-268255) of AVROBIO, Inc.;</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 dated March 23, 2023, with respect to the consolidated financial statements of AVROBIO, Inc. included in this Annual Report (Form 10-K) of AVROBIO, Inc. for the year ended 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6" w:name="page147"/>
    <w:bookmarkEnd w:id="146"/>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25" w:lineRule="exact"/>
        <w:rPr>
          <w:rFonts w:ascii="Arial" w:cs="Arial" w:eastAsia="Arial" w:hAnsi="Arial"/>
          <w:sz w:val="18"/>
          <w:szCs w:val="18"/>
          <w:color w:val="auto"/>
        </w:rPr>
      </w:pPr>
    </w:p>
    <w:p>
      <w:pPr>
        <w:ind w:left="760" w:right="40" w:hanging="752"/>
        <w:spacing w:after="0" w:line="263" w:lineRule="auto"/>
        <w:tabs>
          <w:tab w:leader="none" w:pos="3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360" w:hanging="752"/>
        <w:spacing w:after="0" w:line="342" w:lineRule="auto"/>
        <w:tabs>
          <w:tab w:leader="none" w:pos="371"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760" w:right="20" w:hanging="752"/>
        <w:spacing w:after="0" w:line="263" w:lineRule="auto"/>
        <w:tabs>
          <w:tab w:leader="none" w:pos="3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40" w:hanging="690"/>
        <w:spacing w:after="0" w:line="263" w:lineRule="auto"/>
        <w:tabs>
          <w:tab w:leader="none" w:pos="11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00" w:right="100" w:hanging="690"/>
        <w:spacing w:after="0" w:line="263" w:lineRule="auto"/>
        <w:tabs>
          <w:tab w:leader="none" w:pos="11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00" w:hanging="690"/>
        <w:spacing w:after="0" w:line="342" w:lineRule="auto"/>
        <w:tabs>
          <w:tab w:leader="none" w:pos="116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160" w:hanging="690"/>
        <w:spacing w:after="0" w:line="263" w:lineRule="auto"/>
        <w:tabs>
          <w:tab w:leader="none" w:pos="11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00" w:hanging="752"/>
        <w:spacing w:after="0" w:line="308" w:lineRule="auto"/>
        <w:tabs>
          <w:tab w:leader="none" w:pos="37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jc w:val="right"/>
        <w:ind w:left="1500" w:right="580" w:hanging="690"/>
        <w:spacing w:after="0" w:line="342" w:lineRule="auto"/>
        <w:tabs>
          <w:tab w:leader="none" w:pos="1165"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280" w:hanging="690"/>
        <w:spacing w:after="0" w:line="277" w:lineRule="auto"/>
        <w:tabs>
          <w:tab w:leader="none" w:pos="11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060" w:val="left"/>
          <w:tab w:leader="none" w:pos="820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9914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6"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Geoff MacKay</w:t>
      </w:r>
    </w:p>
    <w:p>
      <w:pPr>
        <w:spacing w:after="0" w:line="36"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25" w:lineRule="exact"/>
        <w:rPr>
          <w:rFonts w:ascii="Arial" w:cs="Arial" w:eastAsia="Arial" w:hAnsi="Arial"/>
          <w:sz w:val="18"/>
          <w:szCs w:val="18"/>
          <w:color w:val="auto"/>
        </w:rPr>
      </w:pPr>
    </w:p>
    <w:p>
      <w:pPr>
        <w:ind w:left="760" w:right="40" w:hanging="752"/>
        <w:spacing w:after="0" w:line="263" w:lineRule="auto"/>
        <w:tabs>
          <w:tab w:leader="none" w:pos="3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360" w:hanging="752"/>
        <w:spacing w:after="0" w:line="342" w:lineRule="auto"/>
        <w:tabs>
          <w:tab w:leader="none" w:pos="371"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760" w:right="20" w:hanging="752"/>
        <w:spacing w:after="0" w:line="263" w:lineRule="auto"/>
        <w:tabs>
          <w:tab w:leader="none" w:pos="3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40" w:hanging="690"/>
        <w:spacing w:after="0" w:line="263" w:lineRule="auto"/>
        <w:tabs>
          <w:tab w:leader="none" w:pos="11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00" w:right="100" w:hanging="690"/>
        <w:spacing w:after="0" w:line="263" w:lineRule="auto"/>
        <w:tabs>
          <w:tab w:leader="none" w:pos="11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00" w:hanging="690"/>
        <w:spacing w:after="0" w:line="342" w:lineRule="auto"/>
        <w:tabs>
          <w:tab w:leader="none" w:pos="1165"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160" w:hanging="690"/>
        <w:spacing w:after="0" w:line="263" w:lineRule="auto"/>
        <w:tabs>
          <w:tab w:leader="none" w:pos="11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00" w:hanging="752"/>
        <w:spacing w:after="0" w:line="308" w:lineRule="auto"/>
        <w:tabs>
          <w:tab w:leader="none" w:pos="3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jc w:val="right"/>
        <w:ind w:left="1500" w:right="580" w:hanging="690"/>
        <w:spacing w:after="0" w:line="342" w:lineRule="auto"/>
        <w:tabs>
          <w:tab w:leader="none" w:pos="1165"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280" w:hanging="690"/>
        <w:spacing w:after="0" w:line="277" w:lineRule="auto"/>
        <w:tabs>
          <w:tab w:leader="none" w:pos="11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060" w:val="left"/>
          <w:tab w:leader="none" w:pos="818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9914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6"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Erik Ostrowski</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Annual Report of AVROBIO, Inc. (the “Company”) on Form 10-K for the year ended December 31,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84"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20"/>
        <w:spacing w:after="0"/>
        <w:tabs>
          <w:tab w:leader="none" w:pos="5840" w:val="left"/>
          <w:tab w:leader="none" w:pos="820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151765</wp:posOffset>
            </wp:positionV>
            <wp:extent cx="29914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Geoff MacKay</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Executive Officer)</w:t>
      </w:r>
    </w:p>
    <w:p>
      <w:pPr>
        <w:spacing w:after="0" w:line="278" w:lineRule="exact"/>
        <w:rPr>
          <w:sz w:val="20"/>
          <w:szCs w:val="20"/>
          <w:color w:val="auto"/>
        </w:rPr>
      </w:pPr>
    </w:p>
    <w:p>
      <w:pPr>
        <w:ind w:left="20"/>
        <w:spacing w:after="0"/>
        <w:tabs>
          <w:tab w:leader="none" w:pos="5840" w:val="left"/>
          <w:tab w:leader="none" w:pos="818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151765</wp:posOffset>
            </wp:positionV>
            <wp:extent cx="29914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Erik Ostrowski</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49" w:name="page150"/>
    <w:bookmarkEnd w:id="1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lowerRoman"/>
      <w:start w:val="4"/>
    </w:lvl>
    <w:lvl w:ilvl="1">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lowerLetter"/>
      <w:start w:val="1"/>
    </w:lvl>
    <w:lvl w:ilvl="1">
      <w:lvlJc w:val="left"/>
      <w:lvlText w:val="%2."/>
      <w:numFmt w:val="decimal"/>
      <w:start w:val="1"/>
    </w:lvl>
  </w:abstractNum>
  <w:abstractNum w:abstractNumId="65">
    <w:nsid w:val="15014ACB"/>
    <w:multiLevelType w:val="hybridMultilevel"/>
    <w:lvl w:ilvl="0">
      <w:lvlJc w:val="left"/>
      <w:lvlText w:val="%1."/>
      <w:numFmt w:val="decimal"/>
      <w:start w:val="2"/>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lvl w:ilvl="1">
      <w:lvlJc w:val="left"/>
      <w:lvlText w:val="%2"/>
      <w:numFmt w:val="decimal"/>
      <w:start w:val="104"/>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269" Type="http://schemas.openxmlformats.org/officeDocument/2006/relationships/hyperlink" Target="https://www.sec.gov/Archives/edgar/data/1681087/000119312518202460/d153924dex31.htm" TargetMode="External"/><Relationship Id="rId270" Type="http://schemas.openxmlformats.org/officeDocument/2006/relationships/hyperlink" Target="https://www.sec.gov/Archives/edgar/data/0001681087/000156459020051456/avro-ex32_90.htm" TargetMode="External"/><Relationship Id="rId271" Type="http://schemas.openxmlformats.org/officeDocument/2006/relationships/hyperlink" Target="https://www.sec.gov/Archives/edgar/data/1681087/000119312518202460/d153924dex32.htm" TargetMode="External"/><Relationship Id="rId272" Type="http://schemas.openxmlformats.org/officeDocument/2006/relationships/hyperlink" Target="https://www.sec.gov/Archives/edgar/data/1681087/000119312518188630/d562006dex41.htm" TargetMode="External"/><Relationship Id="rId273" Type="http://schemas.openxmlformats.org/officeDocument/2006/relationships/hyperlink" Target="https://www.sec.gov/Archives/edgar/data/1681087/000119312518175024/d562006dex42.htm" TargetMode="External"/><Relationship Id="rId274" Type="http://schemas.openxmlformats.org/officeDocument/2006/relationships/hyperlink" Target="https://www.sec.gov/Archives/edgar/data/0001681087/000156459020011144/avro-ex43_591.htm" TargetMode="External"/><Relationship Id="rId275" Type="http://schemas.openxmlformats.org/officeDocument/2006/relationships/hyperlink" Target="https://www.sec.gov/Archives/edgar/data/1681087/000119312518175024/d562006dex101.htm" TargetMode="External"/><Relationship Id="rId276" Type="http://schemas.openxmlformats.org/officeDocument/2006/relationships/hyperlink" Target="https://www.sec.gov/Archives/edgar/data/1681087/000119312518188630/d562006dex102.htm" TargetMode="External"/><Relationship Id="rId277" Type="http://schemas.openxmlformats.org/officeDocument/2006/relationships/hyperlink" Target="https://www.sec.gov/Archives/edgar/data/0001681087/000156459020028774/avro-ex101_30.htm" TargetMode="External"/><Relationship Id="rId278" Type="http://schemas.openxmlformats.org/officeDocument/2006/relationships/hyperlink" Target="https://www.sec.gov/Archives/edgar/data/1681087/000156459022022999/avro-ex101_6.htm" TargetMode="External"/><Relationship Id="rId279" Type="http://schemas.openxmlformats.org/officeDocument/2006/relationships/hyperlink" Target="https://www.sec.gov/Archives/edgar/data/1681087/000119312518188630/d562006dex103.htm" TargetMode="External"/><Relationship Id="rId280" Type="http://schemas.openxmlformats.org/officeDocument/2006/relationships/hyperlink" Target="https://www.sec.gov/Archives/edgar/data/1681087/000119312518188630/d562006dex104.htm" TargetMode="External"/><Relationship Id="rId281" Type="http://schemas.openxmlformats.org/officeDocument/2006/relationships/hyperlink" Target="https://www.sec.gov/Archives/edgar/data/1681087/000119312518181102/d562006dex105.htm" TargetMode="External"/><Relationship Id="rId282" Type="http://schemas.openxmlformats.org/officeDocument/2006/relationships/hyperlink" Target="https://www.sec.gov/Archives/edgar/data/1681087/000119312518188630/d562006dex106.htm" TargetMode="External"/><Relationship Id="rId283" Type="http://schemas.openxmlformats.org/officeDocument/2006/relationships/hyperlink" Target="https://www.sec.gov/Archives/edgar/data/0001681087/000156459020011144/avro-ex107_544.htm" TargetMode="External"/><Relationship Id="rId284" Type="http://schemas.openxmlformats.org/officeDocument/2006/relationships/hyperlink" Target="https://www.sec.gov/Archives/edgar/data/0001681087/000156459020011144/avro-ex108_543.htm" TargetMode="External"/><Relationship Id="rId287" Type="http://schemas.openxmlformats.org/officeDocument/2006/relationships/hyperlink" Target="https://www.sec.gov/Archives/edgar/data/1681087/000119312518175024/d562006dex107.htm" TargetMode="External"/><Relationship Id="rId288" Type="http://schemas.openxmlformats.org/officeDocument/2006/relationships/hyperlink" Target="https://www.sec.gov/Archives/edgar/data/1681087/000119312518175024/d562006dex108.htm" TargetMode="External"/><Relationship Id="rId289" Type="http://schemas.openxmlformats.org/officeDocument/2006/relationships/hyperlink" Target="https://www.sec.gov/Archives/edgar/data/1681087/000119312518188630/d562006dex109.htm" TargetMode="External"/><Relationship Id="rId290" Type="http://schemas.openxmlformats.org/officeDocument/2006/relationships/hyperlink" Target="https://www.sec.gov/Archives/edgar/data/1681087/000156459021027619/avro-ex101_113.htm" TargetMode="External"/><Relationship Id="rId291" Type="http://schemas.openxmlformats.org/officeDocument/2006/relationships/hyperlink" Target="https://www.sec.gov/Archives/edgar/data/1681087/000119312518356370/d676576dex101.htm" TargetMode="External"/><Relationship Id="rId292" Type="http://schemas.openxmlformats.org/officeDocument/2006/relationships/hyperlink" Target="https://www.sec.gov/Archives/edgar/data/1681087/000156459021027619/avro-ex102_112.htm" TargetMode="External"/><Relationship Id="rId293" Type="http://schemas.openxmlformats.org/officeDocument/2006/relationships/hyperlink" Target="https://www.sec.gov/Archives/edgar/data/1681087/000119312519085321/d677215dex1013.htm" TargetMode="External"/><Relationship Id="rId294" Type="http://schemas.openxmlformats.org/officeDocument/2006/relationships/hyperlink" Target="https://www.sec.gov/Archives/edgar/data/1681087/000156459021027619/avro-ex103_111.htm" TargetMode="External"/><Relationship Id="rId295" Type="http://schemas.openxmlformats.org/officeDocument/2006/relationships/hyperlink" Target="https://www.sec.gov/Archives/edgar/data/0001681087/000156459020011144/avro-ex1016_545.htm" TargetMode="External"/><Relationship Id="rId296" Type="http://schemas.openxmlformats.org/officeDocument/2006/relationships/hyperlink" Target="https://www.sec.gov/Archives/edgar/data/1681087/000156459021027619/avro-ex106_108.htm" TargetMode="External"/><Relationship Id="rId297" Type="http://schemas.openxmlformats.org/officeDocument/2006/relationships/hyperlink" Target="https://www.sec.gov/Archives/edgar/data/1681087/000156459021014190/avro-ex1019_283.htm" TargetMode="External"/><Relationship Id="rId298" Type="http://schemas.openxmlformats.org/officeDocument/2006/relationships/hyperlink" Target="https://www.sec.gov/Archives/edgar/data/1681087/000156459021027619/avro-ex105_109.htm" TargetMode="External"/><Relationship Id="rId299" Type="http://schemas.openxmlformats.org/officeDocument/2006/relationships/hyperlink" Target="https://www.sec.gov/Archives/edgar/data/1681087/000156459022019306/avro-ex101_29.htm" TargetMode="External"/><Relationship Id="rId300" Type="http://schemas.openxmlformats.org/officeDocument/2006/relationships/hyperlink" Target="https://www.sec.gov/Archives/edgar/data/1681087/000156459022010895/avro-ex1022_34.htm" TargetMode="External"/><Relationship Id="rId301" Type="http://schemas.openxmlformats.org/officeDocument/2006/relationships/hyperlink" Target="https://www.sec.gov/Archives/edgar/data/1681087/000119312518188630/d562006dex1014.htm" TargetMode="External"/><Relationship Id="rId302" Type="http://schemas.openxmlformats.org/officeDocument/2006/relationships/hyperlink" Target="https://www.sec.gov/Archives/edgar/data/1681087/000119312518175024/d562006dex1012.htm" TargetMode="External"/><Relationship Id="rId305" Type="http://schemas.openxmlformats.org/officeDocument/2006/relationships/hyperlink" Target="https://www.sec.gov/Archives/edgar/data/1681087/000119312519320938/d842233dex991.htm" TargetMode="External"/><Relationship Id="rId306" Type="http://schemas.openxmlformats.org/officeDocument/2006/relationships/hyperlink" Target="https://www.sec.gov/Archives/edgar/data/1681087/000119312519085335/d724212dex991.htm" TargetMode="External"/><Relationship Id="rId307" Type="http://schemas.openxmlformats.org/officeDocument/2006/relationships/hyperlink" Target="https://www.sec.gov/Archives/edgar/data/1681087/000156459021014190/avro-ex1025_465.htm" TargetMode="External"/><Relationship Id="rId308" Type="http://schemas.openxmlformats.org/officeDocument/2006/relationships/hyperlink" Target="https://www.sec.gov/Archives/edgar/data/1681087/000156459021054522/avro-ex101_41.htm" TargetMode="External"/><Relationship Id="rId309" Type="http://schemas.openxmlformats.org/officeDocument/2006/relationships/hyperlink" Target="https://www.sec.gov/Archives/edgar/data/1681087/000095017022016117/avro-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2023-03-23T20:16:48Z</dcterms:created>
  <dcterms:modified xsi:type="dcterms:W3CDTF">2023-03-23T20:16:48Z</dcterms:modified>
</cp:coreProperties>
</file>