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81-0710585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One Kendall Square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AVRO</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May 18, 2022, AVROBIO, Inc. (the “Company”) issued a press release titled “AVROBIO Announces Preclinical Gene Therapy Data for Pompe Disease at American Society of Gene and Cell Therapy (ASGCT) annual meeting.” A copy of the press release is furnished as Exhibit 99.1 to this Current Report on Form 8-K.</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attached hereto,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AVROBIO, Inc. press release, dated May 18, 2022.</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w:t>
      </w:r>
    </w:p>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Geoff MacKay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Announces Preclinical Gene Therapy Data for Pompe Disease at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Society of Gene and Cell Therapy (ASGCT) annual meeting</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Genetically modified hematopoietic stem cells lead to supraphysiological levels of therapeutic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protein in a mouse model of Pompe disease sustained at eight months after administration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Substantial reduction in glycogen observed across cardiac and skeletal muscles, as well as CNS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Data support plans to initiate clinical trial in 2023</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Cambridge, Mass. – May 18, 2022 – AVROBIO, Inc. (Nasdaq: AVRO), a leading clinical-stage gene therapy company with a shared purpose to free people from a lifetime of genetic disease, today announced preclinical data demonstrating the efficacy and safety of AVR-RD-03 gene therapy in a mouse model of infantile onset Pompe disease. The results, which will be presented today during the “Disease models and Clinical Applications: Musculo-skeletal Diseases” poster session at the American Society of Gene and Cell Therapy (ASGCT) annual meeting in Washington, D.C., demonstrate that a gene therapy using hematopoietic stem cells (HSC) significantly reduced toxic accumulation of glycogen in a mouse model of Pompe disease, including in cardiac and skeletal muscle as well as the central nervous system (CNS). Eight months post infusion, substrate levels in multiple treated tissues were nearly indistinguishable from normal mice.</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AVR-RD-03, AVROBIO’s gene therapy for Pompe disease, includes a proprietary Glycosylation-Independent Lysosomal Targeting (GILT)-tag which consists of a short peptide sequence linked to the therapeutic protein and is designed to enhance uptake in targeted tissues.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“Pompe disease is a progressive, life-limiting neuromuscular disorder caused by the accumulation of lysosomal glycogen in cardiac and skeletal muscle as well as the CNS. As glycogen accumulates, patients experience severe and progressive myopathy, leading to muscle weakness, loss of motor function and ultimately cardiorespiratory failure,” said AVROBIO Chief Medical Officer, Essra Ridha, M.D., MRCP, FFPM. “We believe there is an urgent need for new treatment options that can address the systemic impact of Pompe disease and our preclinical data suggest that one dose of HSC-based gene therapy can potentially normalize glycogen levels in key tissues and halt or potentially reverse the head-to-toe impact of Pompe disease.”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collected from six gene therapy study groups in mice show:</w:t>
      </w:r>
    </w:p>
    <w:p>
      <w:pPr>
        <w:spacing w:after="0" w:line="131" w:lineRule="exact"/>
        <w:rPr>
          <w:sz w:val="20"/>
          <w:szCs w:val="20"/>
          <w:color w:val="auto"/>
        </w:rPr>
      </w:pPr>
    </w:p>
    <w:p>
      <w:pPr>
        <w:ind w:left="960" w:right="5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Stable engraftment up to eight months after gene therapy, with median vector copy numbers (VCN) between 1.9 and 3.6 per diploid genome (</w:t>
      </w:r>
      <w:r>
        <w:rPr>
          <w:rFonts w:ascii="Times New Roman" w:cs="Times New Roman" w:eastAsia="Times New Roman" w:hAnsi="Times New Roman"/>
          <w:sz w:val="18"/>
          <w:szCs w:val="18"/>
          <w:i w:val="1"/>
          <w:iCs w:val="1"/>
          <w:color w:val="auto"/>
        </w:rPr>
        <w:t>n=9-13 per group</w:t>
      </w:r>
      <w:r>
        <w:rPr>
          <w:rFonts w:ascii="Times New Roman" w:cs="Times New Roman" w:eastAsia="Times New Roman" w:hAnsi="Times New Roman"/>
          <w:sz w:val="18"/>
          <w:szCs w:val="18"/>
          <w:color w:val="auto"/>
        </w:rPr>
        <w:t>) in bone marrow among all study groups.</w:t>
      </w:r>
    </w:p>
    <w:p>
      <w:pPr>
        <w:spacing w:after="0" w:line="67" w:lineRule="exact"/>
        <w:rPr>
          <w:rFonts w:ascii="Times New Roman" w:cs="Times New Roman" w:eastAsia="Times New Roman" w:hAnsi="Times New Roman"/>
          <w:sz w:val="18"/>
          <w:szCs w:val="18"/>
          <w:color w:val="auto"/>
        </w:rPr>
      </w:pPr>
    </w:p>
    <w:p>
      <w:pPr>
        <w:ind w:left="960" w:right="34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GAA enzyme activity measured in the bone marrow eight months after gene therapy. The supraphysiological GAA enzyme activity levels in bone marrow ranged from a median 300 to 534 nmol/h/mg (</w:t>
      </w:r>
      <w:r>
        <w:rPr>
          <w:rFonts w:ascii="Times New Roman" w:cs="Times New Roman" w:eastAsia="Times New Roman" w:hAnsi="Times New Roman"/>
          <w:sz w:val="18"/>
          <w:szCs w:val="18"/>
          <w:i w:val="1"/>
          <w:iCs w:val="1"/>
          <w:color w:val="auto"/>
        </w:rPr>
        <w:t>p value</w:t>
      </w:r>
      <w:r>
        <w:rPr>
          <w:rFonts w:ascii="Times New Roman" w:cs="Times New Roman" w:eastAsia="Times New Roman" w:hAnsi="Times New Roman"/>
          <w:sz w:val="18"/>
          <w:szCs w:val="18"/>
          <w:color w:val="auto"/>
        </w:rPr>
        <w:t xml:space="preserve"> &lt;0.005, </w:t>
      </w:r>
      <w:r>
        <w:rPr>
          <w:rFonts w:ascii="Times New Roman" w:cs="Times New Roman" w:eastAsia="Times New Roman" w:hAnsi="Times New Roman"/>
          <w:sz w:val="18"/>
          <w:szCs w:val="18"/>
          <w:i w:val="1"/>
          <w:iCs w:val="1"/>
          <w:color w:val="auto"/>
        </w:rPr>
        <w:t>n=9-13 per group</w:t>
      </w:r>
      <w:r>
        <w:rPr>
          <w:rFonts w:ascii="Times New Roman" w:cs="Times New Roman" w:eastAsia="Times New Roman" w:hAnsi="Times New Roman"/>
          <w:sz w:val="18"/>
          <w:szCs w:val="18"/>
          <w:color w:val="auto"/>
        </w:rPr>
        <w:t>), compared to ± 4-6 nmol/h/mg in normal mice.</w:t>
      </w:r>
    </w:p>
    <w:p>
      <w:pPr>
        <w:spacing w:after="0" w:line="81"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Glucose levels in mice infused with genetically modified HSCs were similar to those of controls. Significant reductions of glycogen observed in key tissues, including:</w:t>
      </w:r>
    </w:p>
    <w:p>
      <w:pPr>
        <w:sectPr>
          <w:pgSz w:w="11900" w:h="16838" w:orient="portrait"/>
          <w:cols w:equalWidth="0" w:num="1">
            <w:col w:w="11020"/>
          </w:cols>
          <w:pgMar w:left="440" w:top="117" w:right="439" w:bottom="1440" w:gutter="0" w:footer="0" w:header="0"/>
        </w:sectPr>
      </w:pPr>
    </w:p>
    <w:bookmarkStart w:id="4" w:name="page5"/>
    <w:bookmarkEnd w:id="4"/>
    <w:p>
      <w:pPr>
        <w:ind w:left="1420" w:right="6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&gt;99% reduction of glycogen in the heart, with reversal of cardiac hypertrophy (thickening of the heart muscle) and normalization of the left ventricular mass index, observed seven months post gene therapy</w:t>
      </w:r>
    </w:p>
    <w:p>
      <w:pPr>
        <w:spacing w:after="0" w:line="67" w:lineRule="exact"/>
        <w:rPr>
          <w:rFonts w:ascii="Times New Roman" w:cs="Times New Roman" w:eastAsia="Times New Roman" w:hAnsi="Times New Roman"/>
          <w:sz w:val="18"/>
          <w:szCs w:val="18"/>
          <w:color w:val="auto"/>
        </w:rPr>
      </w:pPr>
    </w:p>
    <w:p>
      <w:pPr>
        <w:ind w:left="1420" w:right="34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&gt;97% reduction of glycogen in the diaphragm and &gt;85% reduction in the quadriceps. Significant improvements in gait and wire hang functions after gene therapy were also observed seven months post gene therapy</w:t>
      </w:r>
    </w:p>
    <w:p>
      <w:pPr>
        <w:spacing w:after="0" w:line="67" w:lineRule="exact"/>
        <w:rPr>
          <w:rFonts w:ascii="Times New Roman" w:cs="Times New Roman" w:eastAsia="Times New Roman" w:hAnsi="Times New Roman"/>
          <w:sz w:val="18"/>
          <w:szCs w:val="18"/>
          <w:color w:val="auto"/>
        </w:rPr>
      </w:pPr>
    </w:p>
    <w:p>
      <w:pPr>
        <w:ind w:left="1420" w:right="1000" w:hanging="331"/>
        <w:spacing w:after="0" w:line="312" w:lineRule="auto"/>
        <w:tabs>
          <w:tab w:leader="none" w:pos="14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glycogen was reduced &gt;95% in the brain and &gt;99% in the spinal cord, improving locomotor function and demonstrating that modified HSCs crossed the blood-brain barrier where their offspring produced functional protein</w:t>
      </w:r>
    </w:p>
    <w:p>
      <w:pPr>
        <w:spacing w:after="0" w:line="45" w:lineRule="exact"/>
        <w:rPr>
          <w:rFonts w:ascii="Times New Roman" w:cs="Times New Roman" w:eastAsia="Times New Roman" w:hAnsi="Times New Roman"/>
          <w:sz w:val="17"/>
          <w:szCs w:val="17"/>
          <w:color w:val="auto"/>
        </w:rPr>
      </w:pPr>
    </w:p>
    <w:p>
      <w:pPr>
        <w:ind w:left="960" w:right="60" w:hanging="424"/>
        <w:spacing w:after="0" w:line="312" w:lineRule="auto"/>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Importantly, the data show a typical lentiviral vector (the vector used by AVROBIO to deliver the therapeutic gene to the HSC) preference to integrate into genes, with no indications of proto-oncogene selection or clonal dominance, reinforcing the safety of the vector.</w:t>
      </w:r>
    </w:p>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Additionally, new data from a separate study show that human HSCs were efficiently transduced, producing robust quantities of transgene product and GAA enzyme activity.</w:t>
      </w:r>
    </w:p>
    <w:p>
      <w:pPr>
        <w:spacing w:after="0" w:line="162"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“These data show a substantial reduction of substrate in key tissues, muscle and CNS, reduced tissue pathology and correction on a functional level, which are all very relevant for potential future translation into Pompe patients,” said Niek P. van Til, Ph.D., assistant professor, Child Neurology, Amsterdam University Medical Centers and consultant to AVROBIO, who led the research and will present it at ASGCT this afternoon.</w:t>
      </w:r>
    </w:p>
    <w:p>
      <w:pPr>
        <w:spacing w:after="0" w:line="1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AVROBIO plans to engage with regulatory agencies on the clinical development strategy for AVR-RD-03 in 2022 and plans to initiate a clinical trial in 2023, subject to regulatory alignment.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Pompe disease</w:t>
      </w:r>
    </w:p>
    <w:p>
      <w:pPr>
        <w:spacing w:after="0" w:line="1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Pompe disease is a lysosomal disorder caused by a mutation in the </w:t>
      </w:r>
      <w:r>
        <w:rPr>
          <w:rFonts w:ascii="Times New Roman" w:cs="Times New Roman" w:eastAsia="Times New Roman" w:hAnsi="Times New Roman"/>
          <w:sz w:val="18"/>
          <w:szCs w:val="18"/>
          <w:i w:val="1"/>
          <w:iCs w:val="1"/>
          <w:color w:val="auto"/>
        </w:rPr>
        <w:t>GAA</w:t>
      </w:r>
      <w:r>
        <w:rPr>
          <w:rFonts w:ascii="Times New Roman" w:cs="Times New Roman" w:eastAsia="Times New Roman" w:hAnsi="Times New Roman"/>
          <w:sz w:val="18"/>
          <w:szCs w:val="18"/>
          <w:color w:val="auto"/>
        </w:rPr>
        <w:t xml:space="preserve"> gene. The lack of the enzyme encoded by GAA results in a toxic buildup of glycogen throughout the body and central nervous system, causing a wide range of symptoms including progressive weakness and loss of motor function. Pompe disease ranges from a rapidly fatal infantile form with significant impacts on heart function to a more slowly progressive, late-onset form primarily affecting skeletal muscle.</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Pompe disease affects about 1 in 58,000 Americans and is treated with enzyme replacement therapy, or ERT, which is typically given as a biweekly infusion for life. ERT slows but does not halt the overall progression of disease and does not cross the blood-brain barrier to address neurological pathologies. Even with treatment, people with Pompe disease continue to be burdened by their disease and experience debilitating symptoms that reduce their quality of life.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AVROBIO</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vision is to bring personalized gene therapy to the world. We aim to prevent, halt or reverse disease throughout the body with a single dose of gene therapy designed to drive durable expression of therapeutic protein, even in hard-to-reach tissues and organs including brain, muscle and bone. AVROBIO’s pipeline is powered by our industry-leading plato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 therapy platform, our foundation designed to deliver gene therapy worldwide. It includes clinical programs in cystinosis and Gaucher disease type 1, as well as preclinical programs in Gaucher disease type 3, Hunter syndrome and Pompe disease. We are headquartered in Cambridge, Mass. For additional information, visit </w:t>
      </w:r>
      <w:r>
        <w:rPr>
          <w:rFonts w:ascii="Times New Roman" w:cs="Times New Roman" w:eastAsia="Times New Roman" w:hAnsi="Times New Roman"/>
          <w:sz w:val="18"/>
          <w:szCs w:val="18"/>
          <w:u w:val="single" w:color="auto"/>
          <w:color w:val="auto"/>
        </w:rPr>
        <w:t>avrobio.com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preclinical and clinical product candidates, including AVR-RD-03 for the treatment of Pompe disease, including systemic and CNS manifestations, preclinical trial results and the potential therapeutic benefits of our optimized lentiviral vector with proprietary GILT-tag technology for the treatment of Pompe disease, the design, commencement, enrollment and timing of planned clinical trials, preclinical or clinical trial results, product approvals and regulatory pathways, our plans and expectations with respect to interactions with regulatory agencies, anticipated benefits of our gene therapy platform including potential impact on our commercialization activities, timing and likelihood of success, the expected benefits and results of our implementation of the plato platform in our clinical trials and gene therapy programs, and the expected safety profile of our preclinical and investigational gene therapies.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ectPr>
          <w:pgSz w:w="11900" w:h="16838" w:orient="portrait"/>
          <w:cols w:equalWidth="0" w:num="1">
            <w:col w:w="11020"/>
          </w:cols>
          <w:pgMar w:left="440"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chris.brinzey@westwicke.com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Kit Rodophele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617-999-9620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krodophele@tenbridgecommunications.com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2022-05-18T07:32:26Z</dcterms:created>
  <dcterms:modified xsi:type="dcterms:W3CDTF">2022-05-18T07:32:26Z</dcterms:modified>
</cp:coreProperties>
</file>