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239"/>
        <w:spacing w:after="0"/>
        <w:rPr>
          <w:sz w:val="20"/>
          <w:szCs w:val="20"/>
          <w:color w:val="auto"/>
        </w:rPr>
      </w:pPr>
      <w:r>
        <w:rPr>
          <w:rFonts w:ascii="Arial" w:cs="Arial" w:eastAsia="Arial" w:hAnsi="Arial"/>
          <w:sz w:val="16"/>
          <w:szCs w:val="16"/>
          <w:b w:val="1"/>
          <w:bCs w:val="1"/>
          <w:color w:val="auto"/>
        </w:rPr>
        <w:t>As filed with the Securities and Exchange Commission on December 20, 2019.</w:t>
      </w:r>
    </w:p>
    <w:p>
      <w:pPr>
        <w:spacing w:after="0" w:line="26" w:lineRule="exact"/>
        <w:rPr>
          <w:sz w:val="24"/>
          <w:szCs w:val="24"/>
          <w:color w:val="auto"/>
        </w:rPr>
      </w:pPr>
    </w:p>
    <w:p>
      <w:pPr>
        <w:ind w:left="9260"/>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75565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118745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0"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116205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REGISTRATION STATEMENT</w:t>
      </w:r>
    </w:p>
    <w:p>
      <w:pPr>
        <w:jc w:val="center"/>
        <w:ind w:right="-2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116205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4"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AVROBIO, INC.</w:t>
      </w:r>
    </w:p>
    <w:p>
      <w:pPr>
        <w:spacing w:after="0" w:line="53" w:lineRule="exact"/>
        <w:rPr>
          <w:sz w:val="24"/>
          <w:szCs w:val="24"/>
          <w:color w:val="auto"/>
        </w:rPr>
      </w:pPr>
    </w:p>
    <w:p>
      <w:pPr>
        <w:jc w:val="center"/>
        <w:ind w:right="-23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129540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05" w:lineRule="exact"/>
        <w:rPr>
          <w:sz w:val="24"/>
          <w:szCs w:val="24"/>
          <w:color w:val="auto"/>
        </w:rPr>
      </w:pPr>
    </w:p>
    <w:tbl>
      <w:tblPr>
        <w:tblLayout w:type="fixed"/>
        <w:tblInd w:w="2020" w:type="dxa"/>
        <w:tblCellMar>
          <w:top w:w="0" w:type="dxa"/>
          <w:left w:w="0" w:type="dxa"/>
          <w:bottom w:w="0" w:type="dxa"/>
          <w:right w:w="0" w:type="dxa"/>
        </w:tblCellMar>
      </w:tblPr>
      <w:tr>
        <w:trPr>
          <w:trHeight w:val="194"/>
        </w:trPr>
        <w:tc>
          <w:tcPr>
            <w:tcW w:w="1980" w:type="dxa"/>
            <w:vAlign w:val="bottom"/>
          </w:tcPr>
          <w:p>
            <w:pPr>
              <w:jc w:val="center"/>
              <w:ind w:right="5"/>
              <w:spacing w:after="0"/>
              <w:rPr>
                <w:sz w:val="20"/>
                <w:szCs w:val="20"/>
                <w:color w:val="auto"/>
              </w:rPr>
            </w:pPr>
            <w:r>
              <w:rPr>
                <w:rFonts w:ascii="Arial" w:cs="Arial" w:eastAsia="Arial" w:hAnsi="Arial"/>
                <w:sz w:val="16"/>
                <w:szCs w:val="16"/>
                <w:b w:val="1"/>
                <w:bCs w:val="1"/>
                <w:color w:val="auto"/>
                <w:w w:val="93"/>
              </w:rPr>
              <w:t>Delaware</w:t>
            </w:r>
          </w:p>
        </w:tc>
        <w:tc>
          <w:tcPr>
            <w:tcW w:w="5220" w:type="dxa"/>
            <w:vAlign w:val="bottom"/>
            <w:gridSpan w:val="3"/>
          </w:tcPr>
          <w:p>
            <w:pPr>
              <w:jc w:val="center"/>
              <w:ind w:left="3763"/>
              <w:spacing w:after="0"/>
              <w:rPr>
                <w:sz w:val="20"/>
                <w:szCs w:val="20"/>
                <w:color w:val="auto"/>
              </w:rPr>
            </w:pPr>
            <w:r>
              <w:rPr>
                <w:rFonts w:ascii="Arial" w:cs="Arial" w:eastAsia="Arial" w:hAnsi="Arial"/>
                <w:sz w:val="16"/>
                <w:szCs w:val="16"/>
                <w:b w:val="1"/>
                <w:bCs w:val="1"/>
                <w:color w:val="auto"/>
                <w:w w:val="91"/>
              </w:rPr>
              <w:t>81-0710585</w:t>
            </w:r>
          </w:p>
        </w:tc>
      </w:tr>
      <w:tr>
        <w:trPr>
          <w:trHeight w:val="149"/>
        </w:trPr>
        <w:tc>
          <w:tcPr>
            <w:tcW w:w="198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360" w:type="dxa"/>
            <w:vAlign w:val="bottom"/>
          </w:tcPr>
          <w:p>
            <w:pPr>
              <w:jc w:val="center"/>
              <w:ind w:left="908"/>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1980" w:type="dxa"/>
            <w:vAlign w:val="bottom"/>
          </w:tcPr>
          <w:p>
            <w:pPr>
              <w:jc w:val="center"/>
              <w:ind w:right="25"/>
              <w:spacing w:after="0"/>
              <w:rPr>
                <w:sz w:val="20"/>
                <w:szCs w:val="20"/>
                <w:color w:val="auto"/>
              </w:rPr>
            </w:pPr>
            <w:r>
              <w:rPr>
                <w:rFonts w:ascii="Arial" w:cs="Arial" w:eastAsia="Arial" w:hAnsi="Arial"/>
                <w:sz w:val="14"/>
                <w:szCs w:val="14"/>
                <w:b w:val="1"/>
                <w:bCs w:val="1"/>
                <w:color w:val="auto"/>
                <w:w w:val="94"/>
              </w:rPr>
              <w:t>incorporation or organization)</w:t>
            </w:r>
          </w:p>
        </w:tc>
        <w:tc>
          <w:tcPr>
            <w:tcW w:w="5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360" w:type="dxa"/>
            <w:vAlign w:val="bottom"/>
          </w:tcPr>
          <w:p>
            <w:pPr>
              <w:jc w:val="center"/>
              <w:ind w:left="908"/>
              <w:spacing w:after="0"/>
              <w:rPr>
                <w:sz w:val="20"/>
                <w:szCs w:val="20"/>
                <w:color w:val="auto"/>
              </w:rPr>
            </w:pPr>
            <w:r>
              <w:rPr>
                <w:rFonts w:ascii="Arial" w:cs="Arial" w:eastAsia="Arial" w:hAnsi="Arial"/>
                <w:sz w:val="14"/>
                <w:szCs w:val="14"/>
                <w:b w:val="1"/>
                <w:bCs w:val="1"/>
                <w:color w:val="auto"/>
                <w:w w:val="95"/>
              </w:rPr>
              <w:t>Identification Number</w:t>
            </w:r>
          </w:p>
        </w:tc>
      </w:tr>
      <w:tr>
        <w:trPr>
          <w:trHeight w:val="255"/>
        </w:trPr>
        <w:tc>
          <w:tcPr>
            <w:tcW w:w="19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660" w:type="dxa"/>
            <w:vAlign w:val="bottom"/>
            <w:gridSpan w:val="2"/>
          </w:tcPr>
          <w:p>
            <w:pPr>
              <w:jc w:val="center"/>
              <w:ind w:right="2288"/>
              <w:spacing w:after="0"/>
              <w:rPr>
                <w:sz w:val="20"/>
                <w:szCs w:val="20"/>
                <w:color w:val="auto"/>
              </w:rPr>
            </w:pPr>
            <w:r>
              <w:rPr>
                <w:rFonts w:ascii="Arial" w:cs="Arial" w:eastAsia="Arial" w:hAnsi="Arial"/>
                <w:sz w:val="16"/>
                <w:szCs w:val="16"/>
                <w:b w:val="1"/>
                <w:bCs w:val="1"/>
                <w:color w:val="auto"/>
                <w:w w:val="93"/>
              </w:rPr>
              <w:t>One Kendall Square</w:t>
            </w:r>
          </w:p>
        </w:tc>
      </w:tr>
      <w:tr>
        <w:trPr>
          <w:trHeight w:val="203"/>
        </w:trPr>
        <w:tc>
          <w:tcPr>
            <w:tcW w:w="1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60" w:type="dxa"/>
            <w:vAlign w:val="bottom"/>
            <w:gridSpan w:val="2"/>
          </w:tcPr>
          <w:p>
            <w:pPr>
              <w:jc w:val="center"/>
              <w:ind w:right="2268"/>
              <w:spacing w:after="0"/>
              <w:rPr>
                <w:sz w:val="20"/>
                <w:szCs w:val="20"/>
                <w:color w:val="auto"/>
              </w:rPr>
            </w:pPr>
            <w:r>
              <w:rPr>
                <w:rFonts w:ascii="Arial" w:cs="Arial" w:eastAsia="Arial" w:hAnsi="Arial"/>
                <w:sz w:val="16"/>
                <w:szCs w:val="16"/>
                <w:b w:val="1"/>
                <w:bCs w:val="1"/>
                <w:color w:val="auto"/>
                <w:w w:val="91"/>
              </w:rPr>
              <w:t>Building 300, Suite 201</w:t>
            </w:r>
          </w:p>
        </w:tc>
      </w:tr>
      <w:tr>
        <w:trPr>
          <w:trHeight w:val="194"/>
        </w:trPr>
        <w:tc>
          <w:tcPr>
            <w:tcW w:w="1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60" w:type="dxa"/>
            <w:vAlign w:val="bottom"/>
            <w:gridSpan w:val="2"/>
          </w:tcPr>
          <w:p>
            <w:pPr>
              <w:jc w:val="center"/>
              <w:ind w:right="2288"/>
              <w:spacing w:after="0"/>
              <w:rPr>
                <w:sz w:val="20"/>
                <w:szCs w:val="20"/>
                <w:color w:val="auto"/>
              </w:rPr>
            </w:pPr>
            <w:r>
              <w:rPr>
                <w:rFonts w:ascii="Arial" w:cs="Arial" w:eastAsia="Arial" w:hAnsi="Arial"/>
                <w:sz w:val="16"/>
                <w:szCs w:val="16"/>
                <w:b w:val="1"/>
                <w:bCs w:val="1"/>
                <w:color w:val="auto"/>
                <w:w w:val="94"/>
              </w:rPr>
              <w:t>Cambridge, MA 02139</w:t>
            </w:r>
          </w:p>
        </w:tc>
      </w:tr>
      <w:tr>
        <w:trPr>
          <w:trHeight w:val="186"/>
        </w:trPr>
        <w:tc>
          <w:tcPr>
            <w:tcW w:w="1980" w:type="dxa"/>
            <w:vAlign w:val="bottom"/>
          </w:tcPr>
          <w:p>
            <w:pPr>
              <w:spacing w:after="0"/>
              <w:rPr>
                <w:sz w:val="16"/>
                <w:szCs w:val="16"/>
                <w:color w:val="auto"/>
              </w:rPr>
            </w:pPr>
          </w:p>
        </w:tc>
        <w:tc>
          <w:tcPr>
            <w:tcW w:w="5220" w:type="dxa"/>
            <w:vAlign w:val="bottom"/>
            <w:gridSpan w:val="3"/>
          </w:tcPr>
          <w:p>
            <w:pPr>
              <w:jc w:val="center"/>
              <w:ind w:right="1728"/>
              <w:spacing w:after="0"/>
              <w:rPr>
                <w:sz w:val="20"/>
                <w:szCs w:val="20"/>
                <w:color w:val="auto"/>
              </w:rPr>
            </w:pPr>
            <w:r>
              <w:rPr>
                <w:rFonts w:ascii="Arial" w:cs="Arial" w:eastAsia="Arial" w:hAnsi="Arial"/>
                <w:sz w:val="14"/>
                <w:szCs w:val="14"/>
                <w:b w:val="1"/>
                <w:bCs w:val="1"/>
                <w:color w:val="auto"/>
                <w:w w:val="91"/>
              </w:rPr>
              <w:t>(Address of principal executive offices)</w:t>
            </w:r>
          </w:p>
        </w:tc>
      </w:tr>
      <w:tr>
        <w:trPr>
          <w:trHeight w:val="174"/>
        </w:trPr>
        <w:tc>
          <w:tcPr>
            <w:tcW w:w="1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2360" w:type="dxa"/>
            <w:vAlign w:val="bottom"/>
          </w:tcPr>
          <w:p>
            <w:pPr>
              <w:spacing w:after="0"/>
              <w:rPr>
                <w:sz w:val="15"/>
                <w:szCs w:val="15"/>
                <w:color w:val="auto"/>
              </w:rPr>
            </w:pPr>
          </w:p>
        </w:tc>
      </w:tr>
      <w:tr>
        <w:trPr>
          <w:trHeight w:val="254"/>
        </w:trPr>
        <w:tc>
          <w:tcPr>
            <w:tcW w:w="1980" w:type="dxa"/>
            <w:vAlign w:val="bottom"/>
          </w:tcPr>
          <w:p>
            <w:pPr>
              <w:spacing w:after="0"/>
              <w:rPr>
                <w:sz w:val="22"/>
                <w:szCs w:val="22"/>
                <w:color w:val="auto"/>
              </w:rPr>
            </w:pPr>
          </w:p>
        </w:tc>
        <w:tc>
          <w:tcPr>
            <w:tcW w:w="2860" w:type="dxa"/>
            <w:vAlign w:val="bottom"/>
            <w:gridSpan w:val="2"/>
          </w:tcPr>
          <w:p>
            <w:pPr>
              <w:jc w:val="center"/>
              <w:ind w:left="483"/>
              <w:spacing w:after="0"/>
              <w:rPr>
                <w:sz w:val="20"/>
                <w:szCs w:val="20"/>
                <w:color w:val="auto"/>
              </w:rPr>
            </w:pPr>
            <w:r>
              <w:rPr>
                <w:rFonts w:ascii="Arial" w:cs="Arial" w:eastAsia="Arial" w:hAnsi="Arial"/>
                <w:sz w:val="16"/>
                <w:szCs w:val="16"/>
                <w:b w:val="1"/>
                <w:bCs w:val="1"/>
                <w:color w:val="auto"/>
                <w:w w:val="93"/>
              </w:rPr>
              <w:t>(617) 914-8420</w:t>
            </w:r>
          </w:p>
        </w:tc>
        <w:tc>
          <w:tcPr>
            <w:tcW w:w="2360" w:type="dxa"/>
            <w:vAlign w:val="bottom"/>
          </w:tcPr>
          <w:p>
            <w:pPr>
              <w:spacing w:after="0"/>
              <w:rPr>
                <w:sz w:val="22"/>
                <w:szCs w:val="22"/>
                <w:color w:val="auto"/>
              </w:rPr>
            </w:pPr>
          </w:p>
        </w:tc>
      </w:tr>
      <w:tr>
        <w:trPr>
          <w:trHeight w:val="186"/>
        </w:trPr>
        <w:tc>
          <w:tcPr>
            <w:tcW w:w="1980" w:type="dxa"/>
            <w:vAlign w:val="bottom"/>
          </w:tcPr>
          <w:p>
            <w:pPr>
              <w:spacing w:after="0"/>
              <w:rPr>
                <w:sz w:val="16"/>
                <w:szCs w:val="16"/>
                <w:color w:val="auto"/>
              </w:rPr>
            </w:pPr>
          </w:p>
        </w:tc>
        <w:tc>
          <w:tcPr>
            <w:tcW w:w="5220" w:type="dxa"/>
            <w:vAlign w:val="bottom"/>
            <w:gridSpan w:val="3"/>
          </w:tcPr>
          <w:p>
            <w:pPr>
              <w:jc w:val="center"/>
              <w:ind w:right="1728"/>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110490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1" w:lineRule="exact"/>
        <w:rPr>
          <w:sz w:val="24"/>
          <w:szCs w:val="24"/>
          <w:color w:val="auto"/>
        </w:rPr>
      </w:pPr>
    </w:p>
    <w:p>
      <w:pPr>
        <w:jc w:val="center"/>
        <w:ind w:right="-239"/>
        <w:spacing w:after="0"/>
        <w:rPr>
          <w:sz w:val="20"/>
          <w:szCs w:val="20"/>
          <w:color w:val="auto"/>
        </w:rPr>
      </w:pPr>
      <w:r>
        <w:rPr>
          <w:rFonts w:ascii="Arial" w:cs="Arial" w:eastAsia="Arial" w:hAnsi="Arial"/>
          <w:sz w:val="16"/>
          <w:szCs w:val="16"/>
          <w:b w:val="1"/>
          <w:bCs w:val="1"/>
          <w:color w:val="auto"/>
        </w:rPr>
        <w:t>Geoff MacKay</w:t>
      </w:r>
    </w:p>
    <w:p>
      <w:pPr>
        <w:spacing w:after="0" w:line="26" w:lineRule="exact"/>
        <w:rPr>
          <w:sz w:val="24"/>
          <w:szCs w:val="24"/>
          <w:color w:val="auto"/>
        </w:rPr>
      </w:pPr>
    </w:p>
    <w:p>
      <w:pPr>
        <w:jc w:val="center"/>
        <w:ind w:right="-239"/>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19" w:lineRule="exact"/>
        <w:rPr>
          <w:sz w:val="24"/>
          <w:szCs w:val="24"/>
          <w:color w:val="auto"/>
        </w:rPr>
      </w:pPr>
    </w:p>
    <w:p>
      <w:pPr>
        <w:jc w:val="center"/>
        <w:ind w:right="-239"/>
        <w:spacing w:after="0"/>
        <w:rPr>
          <w:sz w:val="20"/>
          <w:szCs w:val="20"/>
          <w:color w:val="auto"/>
        </w:rPr>
      </w:pPr>
      <w:r>
        <w:rPr>
          <w:rFonts w:ascii="Arial" w:cs="Arial" w:eastAsia="Arial" w:hAnsi="Arial"/>
          <w:sz w:val="16"/>
          <w:szCs w:val="16"/>
          <w:b w:val="1"/>
          <w:bCs w:val="1"/>
          <w:color w:val="auto"/>
        </w:rPr>
        <w:t>One Kendall Square</w:t>
      </w:r>
    </w:p>
    <w:p>
      <w:pPr>
        <w:spacing w:after="0" w:line="19" w:lineRule="exact"/>
        <w:rPr>
          <w:sz w:val="24"/>
          <w:szCs w:val="24"/>
          <w:color w:val="auto"/>
        </w:rPr>
      </w:pPr>
    </w:p>
    <w:p>
      <w:pPr>
        <w:jc w:val="center"/>
        <w:ind w:right="-239"/>
        <w:spacing w:after="0"/>
        <w:rPr>
          <w:sz w:val="20"/>
          <w:szCs w:val="20"/>
          <w:color w:val="auto"/>
        </w:rPr>
      </w:pPr>
      <w:r>
        <w:rPr>
          <w:rFonts w:ascii="Arial" w:cs="Arial" w:eastAsia="Arial" w:hAnsi="Arial"/>
          <w:sz w:val="16"/>
          <w:szCs w:val="16"/>
          <w:b w:val="1"/>
          <w:bCs w:val="1"/>
          <w:color w:val="auto"/>
        </w:rPr>
        <w:t>Building 300, Suite 201</w:t>
      </w:r>
    </w:p>
    <w:p>
      <w:pPr>
        <w:spacing w:after="0" w:line="19" w:lineRule="exact"/>
        <w:rPr>
          <w:sz w:val="24"/>
          <w:szCs w:val="24"/>
          <w:color w:val="auto"/>
        </w:rPr>
      </w:pPr>
    </w:p>
    <w:p>
      <w:pPr>
        <w:jc w:val="center"/>
        <w:ind w:right="-239"/>
        <w:spacing w:after="0"/>
        <w:rPr>
          <w:sz w:val="20"/>
          <w:szCs w:val="20"/>
          <w:color w:val="auto"/>
        </w:rPr>
      </w:pPr>
      <w:r>
        <w:rPr>
          <w:rFonts w:ascii="Arial" w:cs="Arial" w:eastAsia="Arial" w:hAnsi="Arial"/>
          <w:sz w:val="16"/>
          <w:szCs w:val="16"/>
          <w:b w:val="1"/>
          <w:bCs w:val="1"/>
          <w:color w:val="auto"/>
        </w:rPr>
        <w:t>Cambridge, MA 02139</w:t>
      </w:r>
    </w:p>
    <w:p>
      <w:pPr>
        <w:spacing w:after="0" w:line="19" w:lineRule="exact"/>
        <w:rPr>
          <w:sz w:val="24"/>
          <w:szCs w:val="24"/>
          <w:color w:val="auto"/>
        </w:rPr>
      </w:pPr>
    </w:p>
    <w:p>
      <w:pPr>
        <w:jc w:val="center"/>
        <w:ind w:right="-239"/>
        <w:spacing w:after="0"/>
        <w:rPr>
          <w:sz w:val="20"/>
          <w:szCs w:val="20"/>
          <w:color w:val="auto"/>
        </w:rPr>
      </w:pPr>
      <w:r>
        <w:rPr>
          <w:rFonts w:ascii="Arial" w:cs="Arial" w:eastAsia="Arial" w:hAnsi="Arial"/>
          <w:sz w:val="16"/>
          <w:szCs w:val="16"/>
          <w:b w:val="1"/>
          <w:bCs w:val="1"/>
          <w:color w:val="auto"/>
        </w:rPr>
        <w:t>(617) 914-8420</w:t>
      </w:r>
    </w:p>
    <w:p>
      <w:pPr>
        <w:spacing w:after="0" w:line="18"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125095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48" w:lineRule="exact"/>
        <w:rPr>
          <w:sz w:val="24"/>
          <w:szCs w:val="24"/>
          <w:color w:val="auto"/>
        </w:rPr>
      </w:pPr>
    </w:p>
    <w:tbl>
      <w:tblPr>
        <w:tblLayout w:type="fixed"/>
        <w:tblInd w:w="1960" w:type="dxa"/>
        <w:tblCellMar>
          <w:top w:w="0" w:type="dxa"/>
          <w:left w:w="0" w:type="dxa"/>
          <w:bottom w:w="0" w:type="dxa"/>
          <w:right w:w="0" w:type="dxa"/>
        </w:tblCellMar>
      </w:tblPr>
      <w:tr>
        <w:trPr>
          <w:trHeight w:val="206"/>
        </w:trPr>
        <w:tc>
          <w:tcPr>
            <w:tcW w:w="2640" w:type="dxa"/>
            <w:vAlign w:val="bottom"/>
          </w:tcPr>
          <w:p>
            <w:pPr>
              <w:spacing w:after="0"/>
              <w:rPr>
                <w:sz w:val="17"/>
                <w:szCs w:val="17"/>
                <w:color w:val="auto"/>
              </w:rPr>
            </w:pPr>
          </w:p>
        </w:tc>
        <w:tc>
          <w:tcPr>
            <w:tcW w:w="5080" w:type="dxa"/>
            <w:vAlign w:val="bottom"/>
          </w:tcPr>
          <w:p>
            <w:pPr>
              <w:ind w:left="620"/>
              <w:spacing w:after="0"/>
              <w:rPr>
                <w:sz w:val="20"/>
                <w:szCs w:val="20"/>
                <w:color w:val="auto"/>
              </w:rPr>
            </w:pPr>
            <w:r>
              <w:rPr>
                <w:rFonts w:ascii="Arial" w:cs="Arial" w:eastAsia="Arial" w:hAnsi="Arial"/>
                <w:sz w:val="16"/>
                <w:szCs w:val="16"/>
                <w:b w:val="1"/>
                <w:bCs w:val="1"/>
                <w:i w:val="1"/>
                <w:iCs w:val="1"/>
                <w:color w:val="auto"/>
              </w:rPr>
              <w:t>With copies to:</w:t>
            </w:r>
          </w:p>
        </w:tc>
      </w:tr>
      <w:tr>
        <w:trPr>
          <w:trHeight w:val="276"/>
        </w:trPr>
        <w:tc>
          <w:tcPr>
            <w:tcW w:w="2640" w:type="dxa"/>
            <w:vAlign w:val="bottom"/>
          </w:tcPr>
          <w:p>
            <w:pPr>
              <w:jc w:val="center"/>
              <w:ind w:right="539"/>
              <w:spacing w:after="0"/>
              <w:rPr>
                <w:sz w:val="20"/>
                <w:szCs w:val="20"/>
                <w:color w:val="auto"/>
              </w:rPr>
            </w:pPr>
            <w:r>
              <w:rPr>
                <w:rFonts w:ascii="Arial" w:cs="Arial" w:eastAsia="Arial" w:hAnsi="Arial"/>
                <w:sz w:val="16"/>
                <w:szCs w:val="16"/>
                <w:b w:val="1"/>
                <w:bCs w:val="1"/>
                <w:color w:val="auto"/>
                <w:w w:val="95"/>
              </w:rPr>
              <w:t>Arthur McGivern, Esq.</w:t>
            </w:r>
          </w:p>
        </w:tc>
        <w:tc>
          <w:tcPr>
            <w:tcW w:w="5080" w:type="dxa"/>
            <w:vAlign w:val="bottom"/>
          </w:tcPr>
          <w:p>
            <w:pPr>
              <w:jc w:val="center"/>
              <w:ind w:left="2699"/>
              <w:spacing w:after="0"/>
              <w:rPr>
                <w:sz w:val="20"/>
                <w:szCs w:val="20"/>
                <w:color w:val="auto"/>
              </w:rPr>
            </w:pPr>
            <w:r>
              <w:rPr>
                <w:rFonts w:ascii="Arial" w:cs="Arial" w:eastAsia="Arial" w:hAnsi="Arial"/>
                <w:sz w:val="16"/>
                <w:szCs w:val="16"/>
                <w:b w:val="1"/>
                <w:bCs w:val="1"/>
                <w:color w:val="auto"/>
                <w:w w:val="94"/>
              </w:rPr>
              <w:t>Erik Ostrowski</w:t>
            </w:r>
          </w:p>
        </w:tc>
      </w:tr>
      <w:tr>
        <w:trPr>
          <w:trHeight w:val="203"/>
        </w:trPr>
        <w:tc>
          <w:tcPr>
            <w:tcW w:w="2640" w:type="dxa"/>
            <w:vAlign w:val="bottom"/>
          </w:tcPr>
          <w:p>
            <w:pPr>
              <w:jc w:val="center"/>
              <w:ind w:right="539"/>
              <w:spacing w:after="0"/>
              <w:rPr>
                <w:sz w:val="20"/>
                <w:szCs w:val="20"/>
                <w:color w:val="auto"/>
              </w:rPr>
            </w:pPr>
            <w:r>
              <w:rPr>
                <w:rFonts w:ascii="Arial" w:cs="Arial" w:eastAsia="Arial" w:hAnsi="Arial"/>
                <w:sz w:val="16"/>
                <w:szCs w:val="16"/>
                <w:b w:val="1"/>
                <w:bCs w:val="1"/>
                <w:color w:val="auto"/>
                <w:w w:val="90"/>
              </w:rPr>
              <w:t>James Xu, Esq.</w:t>
            </w:r>
          </w:p>
        </w:tc>
        <w:tc>
          <w:tcPr>
            <w:tcW w:w="5080" w:type="dxa"/>
            <w:vAlign w:val="bottom"/>
          </w:tcPr>
          <w:p>
            <w:pPr>
              <w:jc w:val="center"/>
              <w:ind w:left="2699"/>
              <w:spacing w:after="0"/>
              <w:rPr>
                <w:sz w:val="20"/>
                <w:szCs w:val="20"/>
                <w:color w:val="auto"/>
              </w:rPr>
            </w:pPr>
            <w:r>
              <w:rPr>
                <w:rFonts w:ascii="Arial" w:cs="Arial" w:eastAsia="Arial" w:hAnsi="Arial"/>
                <w:sz w:val="16"/>
                <w:szCs w:val="16"/>
                <w:b w:val="1"/>
                <w:bCs w:val="1"/>
                <w:color w:val="auto"/>
                <w:w w:val="98"/>
              </w:rPr>
              <w:t>AVROBIO, Inc.</w:t>
            </w:r>
          </w:p>
        </w:tc>
      </w:tr>
      <w:tr>
        <w:trPr>
          <w:trHeight w:val="203"/>
        </w:trPr>
        <w:tc>
          <w:tcPr>
            <w:tcW w:w="2640" w:type="dxa"/>
            <w:vAlign w:val="bottom"/>
          </w:tcPr>
          <w:p>
            <w:pPr>
              <w:jc w:val="center"/>
              <w:ind w:right="539"/>
              <w:spacing w:after="0"/>
              <w:rPr>
                <w:sz w:val="20"/>
                <w:szCs w:val="20"/>
                <w:color w:val="auto"/>
              </w:rPr>
            </w:pPr>
            <w:r>
              <w:rPr>
                <w:rFonts w:ascii="Arial" w:cs="Arial" w:eastAsia="Arial" w:hAnsi="Arial"/>
                <w:sz w:val="16"/>
                <w:szCs w:val="16"/>
                <w:b w:val="1"/>
                <w:bCs w:val="1"/>
                <w:color w:val="auto"/>
                <w:w w:val="94"/>
              </w:rPr>
              <w:t>Goodwin Procter LLP</w:t>
            </w:r>
          </w:p>
        </w:tc>
        <w:tc>
          <w:tcPr>
            <w:tcW w:w="5080" w:type="dxa"/>
            <w:vAlign w:val="bottom"/>
          </w:tcPr>
          <w:p>
            <w:pPr>
              <w:jc w:val="center"/>
              <w:ind w:left="2699"/>
              <w:spacing w:after="0"/>
              <w:rPr>
                <w:sz w:val="20"/>
                <w:szCs w:val="20"/>
                <w:color w:val="auto"/>
              </w:rPr>
            </w:pPr>
            <w:r>
              <w:rPr>
                <w:rFonts w:ascii="Arial" w:cs="Arial" w:eastAsia="Arial" w:hAnsi="Arial"/>
                <w:sz w:val="16"/>
                <w:szCs w:val="16"/>
                <w:b w:val="1"/>
                <w:bCs w:val="1"/>
                <w:color w:val="auto"/>
                <w:w w:val="93"/>
              </w:rPr>
              <w:t>One Kendall Square</w:t>
            </w:r>
          </w:p>
        </w:tc>
      </w:tr>
      <w:tr>
        <w:trPr>
          <w:trHeight w:val="203"/>
        </w:trPr>
        <w:tc>
          <w:tcPr>
            <w:tcW w:w="2640" w:type="dxa"/>
            <w:vAlign w:val="bottom"/>
          </w:tcPr>
          <w:p>
            <w:pPr>
              <w:jc w:val="center"/>
              <w:ind w:right="559"/>
              <w:spacing w:after="0"/>
              <w:rPr>
                <w:sz w:val="20"/>
                <w:szCs w:val="20"/>
                <w:color w:val="auto"/>
              </w:rPr>
            </w:pPr>
            <w:r>
              <w:rPr>
                <w:rFonts w:ascii="Arial" w:cs="Arial" w:eastAsia="Arial" w:hAnsi="Arial"/>
                <w:sz w:val="16"/>
                <w:szCs w:val="16"/>
                <w:b w:val="1"/>
                <w:bCs w:val="1"/>
                <w:color w:val="auto"/>
                <w:w w:val="91"/>
              </w:rPr>
              <w:t>100 Northern Avenue</w:t>
            </w:r>
          </w:p>
        </w:tc>
        <w:tc>
          <w:tcPr>
            <w:tcW w:w="5080" w:type="dxa"/>
            <w:vAlign w:val="bottom"/>
          </w:tcPr>
          <w:p>
            <w:pPr>
              <w:jc w:val="center"/>
              <w:ind w:left="2699"/>
              <w:spacing w:after="0"/>
              <w:rPr>
                <w:sz w:val="20"/>
                <w:szCs w:val="20"/>
                <w:color w:val="auto"/>
              </w:rPr>
            </w:pPr>
            <w:r>
              <w:rPr>
                <w:rFonts w:ascii="Arial" w:cs="Arial" w:eastAsia="Arial" w:hAnsi="Arial"/>
                <w:sz w:val="16"/>
                <w:szCs w:val="16"/>
                <w:b w:val="1"/>
                <w:bCs w:val="1"/>
                <w:color w:val="auto"/>
                <w:w w:val="90"/>
              </w:rPr>
              <w:t>Building 300, Suite 201</w:t>
            </w:r>
          </w:p>
        </w:tc>
      </w:tr>
      <w:tr>
        <w:trPr>
          <w:trHeight w:val="203"/>
        </w:trPr>
        <w:tc>
          <w:tcPr>
            <w:tcW w:w="2640" w:type="dxa"/>
            <w:vAlign w:val="bottom"/>
          </w:tcPr>
          <w:p>
            <w:pPr>
              <w:jc w:val="center"/>
              <w:ind w:right="559"/>
              <w:spacing w:after="0"/>
              <w:rPr>
                <w:sz w:val="20"/>
                <w:szCs w:val="20"/>
                <w:color w:val="auto"/>
              </w:rPr>
            </w:pPr>
            <w:r>
              <w:rPr>
                <w:rFonts w:ascii="Arial" w:cs="Arial" w:eastAsia="Arial" w:hAnsi="Arial"/>
                <w:sz w:val="16"/>
                <w:szCs w:val="16"/>
                <w:b w:val="1"/>
                <w:bCs w:val="1"/>
                <w:color w:val="auto"/>
                <w:w w:val="87"/>
              </w:rPr>
              <w:t>Boston, Massachusetts 02210</w:t>
            </w:r>
          </w:p>
        </w:tc>
        <w:tc>
          <w:tcPr>
            <w:tcW w:w="5080" w:type="dxa"/>
            <w:vAlign w:val="bottom"/>
          </w:tcPr>
          <w:p>
            <w:pPr>
              <w:jc w:val="center"/>
              <w:ind w:left="2699"/>
              <w:spacing w:after="0"/>
              <w:rPr>
                <w:sz w:val="20"/>
                <w:szCs w:val="20"/>
                <w:color w:val="auto"/>
              </w:rPr>
            </w:pPr>
            <w:r>
              <w:rPr>
                <w:rFonts w:ascii="Arial" w:cs="Arial" w:eastAsia="Arial" w:hAnsi="Arial"/>
                <w:sz w:val="16"/>
                <w:szCs w:val="16"/>
                <w:b w:val="1"/>
                <w:bCs w:val="1"/>
                <w:color w:val="auto"/>
                <w:w w:val="89"/>
              </w:rPr>
              <w:t>Cambridge, Massachusetts 02139</w:t>
            </w:r>
          </w:p>
        </w:tc>
      </w:tr>
      <w:tr>
        <w:trPr>
          <w:trHeight w:val="210"/>
        </w:trPr>
        <w:tc>
          <w:tcPr>
            <w:tcW w:w="2640" w:type="dxa"/>
            <w:vAlign w:val="bottom"/>
          </w:tcPr>
          <w:p>
            <w:pPr>
              <w:jc w:val="center"/>
              <w:ind w:right="539"/>
              <w:spacing w:after="0"/>
              <w:rPr>
                <w:sz w:val="20"/>
                <w:szCs w:val="20"/>
                <w:color w:val="auto"/>
              </w:rPr>
            </w:pPr>
            <w:r>
              <w:rPr>
                <w:rFonts w:ascii="Arial" w:cs="Arial" w:eastAsia="Arial" w:hAnsi="Arial"/>
                <w:sz w:val="16"/>
                <w:szCs w:val="16"/>
                <w:b w:val="1"/>
                <w:bCs w:val="1"/>
                <w:color w:val="auto"/>
                <w:w w:val="93"/>
              </w:rPr>
              <w:t>(617) 570-1000</w:t>
            </w:r>
          </w:p>
        </w:tc>
        <w:tc>
          <w:tcPr>
            <w:tcW w:w="5080" w:type="dxa"/>
            <w:vAlign w:val="bottom"/>
          </w:tcPr>
          <w:p>
            <w:pPr>
              <w:jc w:val="center"/>
              <w:ind w:left="2699"/>
              <w:spacing w:after="0"/>
              <w:rPr>
                <w:sz w:val="20"/>
                <w:szCs w:val="20"/>
                <w:color w:val="auto"/>
              </w:rPr>
            </w:pPr>
            <w:r>
              <w:rPr>
                <w:rFonts w:ascii="Arial" w:cs="Arial" w:eastAsia="Arial" w:hAnsi="Arial"/>
                <w:sz w:val="16"/>
                <w:szCs w:val="16"/>
                <w:b w:val="1"/>
                <w:bCs w:val="1"/>
                <w:color w:val="auto"/>
                <w:w w:val="93"/>
              </w:rPr>
              <w:t>(617) 914-8420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132715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69" w:lineRule="exact"/>
        <w:rPr>
          <w:sz w:val="24"/>
          <w:szCs w:val="24"/>
          <w:color w:val="auto"/>
        </w:rPr>
      </w:pPr>
    </w:p>
    <w:p>
      <w:pPr>
        <w:ind w:left="200"/>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From time to time after this Registration Statement becomes effective.</w:t>
      </w:r>
    </w:p>
    <w:p>
      <w:pPr>
        <w:spacing w:after="0" w:line="60" w:lineRule="exact"/>
        <w:rPr>
          <w:sz w:val="24"/>
          <w:szCs w:val="24"/>
          <w:color w:val="auto"/>
        </w:rPr>
      </w:pPr>
    </w:p>
    <w:p>
      <w:pPr>
        <w:ind w:left="200"/>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6"/>
          <w:szCs w:val="16"/>
          <w:color w:val="auto"/>
        </w:rPr>
        <w:t>☐</w:t>
      </w:r>
    </w:p>
    <w:p>
      <w:pPr>
        <w:spacing w:after="0" w:line="116" w:lineRule="exact"/>
        <w:rPr>
          <w:sz w:val="24"/>
          <w:szCs w:val="24"/>
          <w:color w:val="auto"/>
        </w:rPr>
      </w:pPr>
    </w:p>
    <w:p>
      <w:pPr>
        <w:ind w:left="200" w:right="580"/>
        <w:spacing w:after="0" w:line="214"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60" w:lineRule="exact"/>
        <w:rPr>
          <w:sz w:val="24"/>
          <w:szCs w:val="24"/>
          <w:color w:val="auto"/>
        </w:rPr>
      </w:pPr>
    </w:p>
    <w:p>
      <w:pPr>
        <w:ind w:left="200"/>
        <w:spacing w:after="0" w:line="21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6" w:lineRule="exact"/>
        <w:rPr>
          <w:sz w:val="24"/>
          <w:szCs w:val="24"/>
          <w:color w:val="auto"/>
        </w:rPr>
      </w:pPr>
    </w:p>
    <w:p>
      <w:pPr>
        <w:ind w:left="200" w:right="580"/>
        <w:spacing w:after="0" w:line="214"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46" w:lineRule="exact"/>
        <w:rPr>
          <w:sz w:val="24"/>
          <w:szCs w:val="24"/>
          <w:color w:val="auto"/>
        </w:rPr>
      </w:pPr>
    </w:p>
    <w:p>
      <w:pPr>
        <w:ind w:left="200" w:right="560"/>
        <w:spacing w:after="0" w:line="214" w:lineRule="exact"/>
        <w:rPr>
          <w:sz w:val="20"/>
          <w:szCs w:val="20"/>
          <w:color w:val="auto"/>
        </w:rPr>
      </w:pPr>
      <w:r>
        <w:rPr>
          <w:rFonts w:ascii="Arial" w:cs="Arial" w:eastAsia="Arial" w:hAnsi="Arial"/>
          <w:sz w:val="16"/>
          <w:szCs w:val="16"/>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6"/>
          <w:szCs w:val="16"/>
          <w:color w:val="auto"/>
        </w:rPr>
        <w:t>☐</w:t>
      </w:r>
    </w:p>
    <w:p>
      <w:pPr>
        <w:sectPr>
          <w:pgSz w:w="11900" w:h="16838" w:orient="portrait"/>
          <w:cols w:equalWidth="0" w:num="1">
            <w:col w:w="11200"/>
          </w:cols>
          <w:pgMar w:left="240" w:top="230" w:right="4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200" w:right="140"/>
        <w:spacing w:after="0" w:line="214" w:lineRule="exact"/>
        <w:rPr>
          <w:sz w:val="20"/>
          <w:szCs w:val="20"/>
          <w:color w:val="auto"/>
        </w:rPr>
      </w:pPr>
      <w:r>
        <w:rPr>
          <w:rFonts w:ascii="Arial" w:cs="Arial" w:eastAsia="Arial" w:hAnsi="Arial"/>
          <w:sz w:val="16"/>
          <w:szCs w:val="16"/>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6"/>
          <w:szCs w:val="16"/>
          <w:color w:val="auto"/>
        </w:rPr>
        <w:t>☐</w:t>
      </w:r>
    </w:p>
    <w:p>
      <w:pPr>
        <w:spacing w:after="0" w:line="60" w:lineRule="exact"/>
        <w:rPr>
          <w:sz w:val="20"/>
          <w:szCs w:val="20"/>
          <w:color w:val="auto"/>
        </w:rPr>
      </w:pPr>
    </w:p>
    <w:p>
      <w:pPr>
        <w:ind w:left="200" w:right="16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0"/>
          <w:szCs w:val="20"/>
          <w:color w:val="auto"/>
        </w:rPr>
      </w:pPr>
    </w:p>
    <w:tbl>
      <w:tblPr>
        <w:tblLayout w:type="fixed"/>
        <w:tblInd w:w="200" w:type="dxa"/>
        <w:tblCellMar>
          <w:top w:w="0" w:type="dxa"/>
          <w:left w:w="0" w:type="dxa"/>
          <w:bottom w:w="0" w:type="dxa"/>
          <w:right w:w="0" w:type="dxa"/>
        </w:tblCellMar>
      </w:tblPr>
      <w:tr>
        <w:trPr>
          <w:trHeight w:val="254"/>
        </w:trPr>
        <w:tc>
          <w:tcPr>
            <w:tcW w:w="1800" w:type="dxa"/>
            <w:vAlign w:val="bottom"/>
          </w:tcPr>
          <w:p>
            <w:pPr>
              <w:spacing w:after="0"/>
              <w:rPr>
                <w:sz w:val="20"/>
                <w:szCs w:val="20"/>
                <w:color w:val="auto"/>
              </w:rPr>
            </w:pPr>
            <w:r>
              <w:rPr>
                <w:rFonts w:ascii="Arial" w:cs="Arial" w:eastAsia="Arial" w:hAnsi="Arial"/>
                <w:sz w:val="16"/>
                <w:szCs w:val="16"/>
                <w:color w:val="auto"/>
              </w:rPr>
              <w:t>Large accelerated filter</w:t>
            </w:r>
          </w:p>
        </w:tc>
        <w:tc>
          <w:tcPr>
            <w:tcW w:w="3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020"/>
              <w:spacing w:after="0"/>
              <w:rPr>
                <w:sz w:val="20"/>
                <w:szCs w:val="20"/>
                <w:color w:val="auto"/>
              </w:rPr>
            </w:pPr>
            <w:r>
              <w:rPr>
                <w:rFonts w:ascii="Arial" w:cs="Arial" w:eastAsia="Arial" w:hAnsi="Arial"/>
                <w:sz w:val="16"/>
                <w:szCs w:val="16"/>
                <w:color w:val="auto"/>
              </w:rPr>
              <w:t>Accelerated filter</w:t>
            </w:r>
          </w:p>
        </w:tc>
        <w:tc>
          <w:tcPr>
            <w:tcW w:w="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11"/>
        </w:trPr>
        <w:tc>
          <w:tcPr>
            <w:tcW w:w="1800" w:type="dxa"/>
            <w:vAlign w:val="bottom"/>
          </w:tcPr>
          <w:p>
            <w:pPr>
              <w:spacing w:after="0"/>
              <w:rPr>
                <w:sz w:val="20"/>
                <w:szCs w:val="20"/>
                <w:color w:val="auto"/>
              </w:rPr>
            </w:pPr>
            <w:r>
              <w:rPr>
                <w:rFonts w:ascii="Arial" w:cs="Arial" w:eastAsia="Arial" w:hAnsi="Arial"/>
                <w:sz w:val="16"/>
                <w:szCs w:val="16"/>
                <w:color w:val="auto"/>
              </w:rPr>
              <w:t>Non-accelerated filter</w:t>
            </w:r>
          </w:p>
        </w:tc>
        <w:tc>
          <w:tcPr>
            <w:tcW w:w="3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020"/>
              <w:spacing w:after="0"/>
              <w:rPr>
                <w:sz w:val="20"/>
                <w:szCs w:val="20"/>
                <w:color w:val="auto"/>
              </w:rPr>
            </w:pPr>
            <w:r>
              <w:rPr>
                <w:rFonts w:ascii="Arial" w:cs="Arial" w:eastAsia="Arial" w:hAnsi="Arial"/>
                <w:sz w:val="16"/>
                <w:szCs w:val="16"/>
                <w:color w:val="auto"/>
              </w:rPr>
              <w:t>Smaller reporting company</w:t>
            </w:r>
          </w:p>
        </w:tc>
        <w:tc>
          <w:tcPr>
            <w:tcW w:w="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11"/>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180" w:type="dxa"/>
            <w:vAlign w:val="bottom"/>
          </w:tcPr>
          <w:p>
            <w:pPr>
              <w:ind w:left="3020"/>
              <w:spacing w:after="0"/>
              <w:rPr>
                <w:sz w:val="20"/>
                <w:szCs w:val="20"/>
                <w:color w:val="auto"/>
              </w:rPr>
            </w:pPr>
            <w:r>
              <w:rPr>
                <w:rFonts w:ascii="Arial" w:cs="Arial" w:eastAsia="Arial" w:hAnsi="Arial"/>
                <w:sz w:val="16"/>
                <w:szCs w:val="16"/>
                <w:color w:val="auto"/>
              </w:rPr>
              <w:t>Emerging growth company</w:t>
            </w:r>
          </w:p>
        </w:tc>
        <w:tc>
          <w:tcPr>
            <w:tcW w:w="5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46" w:lineRule="exact"/>
        <w:rPr>
          <w:sz w:val="20"/>
          <w:szCs w:val="20"/>
          <w:color w:val="auto"/>
        </w:rPr>
      </w:pPr>
    </w:p>
    <w:p>
      <w:pPr>
        <w:ind w:left="200" w:right="3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113030</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CALCULATION OF REGISTRATION FEE</w:t>
      </w:r>
    </w:p>
    <w:p>
      <w:pPr>
        <w:spacing w:after="0" w:line="93" w:lineRule="exact"/>
        <w:rPr>
          <w:sz w:val="20"/>
          <w:szCs w:val="20"/>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540" w:type="dxa"/>
            <w:vAlign w:val="bottom"/>
            <w:tcBorders>
              <w:top w:val="single" w:sz="8" w:color="auto"/>
              <w:bottom w:val="single" w:sz="8" w:color="auto"/>
            </w:tcBorders>
          </w:tcPr>
          <w:p>
            <w:pPr>
              <w:spacing w:after="0"/>
              <w:rPr>
                <w:sz w:val="3"/>
                <w:szCs w:val="3"/>
                <w:color w:val="auto"/>
              </w:rPr>
            </w:pPr>
          </w:p>
        </w:tc>
        <w:tc>
          <w:tcPr>
            <w:tcW w:w="190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54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vMerge w:val="restart"/>
          </w:tcPr>
          <w:p>
            <w:pPr>
              <w:jc w:val="center"/>
              <w:ind w:left="6"/>
              <w:spacing w:after="0"/>
              <w:rPr>
                <w:sz w:val="20"/>
                <w:szCs w:val="20"/>
                <w:color w:val="auto"/>
              </w:rPr>
            </w:pPr>
            <w:r>
              <w:rPr>
                <w:rFonts w:ascii="Arial" w:cs="Arial" w:eastAsia="Arial" w:hAnsi="Arial"/>
                <w:sz w:val="14"/>
                <w:szCs w:val="14"/>
                <w:b w:val="1"/>
                <w:bCs w:val="1"/>
                <w:color w:val="auto"/>
                <w:w w:val="94"/>
              </w:rPr>
              <w:t>Amount</w:t>
            </w:r>
          </w:p>
        </w:tc>
        <w:tc>
          <w:tcPr>
            <w:tcW w:w="18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8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Borders>
              <w:right w:val="single" w:sz="8" w:color="auto"/>
            </w:tcBorders>
            <w:vMerge w:val="restart"/>
          </w:tcPr>
          <w:p>
            <w:pPr>
              <w:ind w:left="1100"/>
              <w:spacing w:after="0"/>
              <w:rPr>
                <w:sz w:val="20"/>
                <w:szCs w:val="20"/>
                <w:color w:val="auto"/>
              </w:rPr>
            </w:pPr>
            <w:r>
              <w:rPr>
                <w:rFonts w:ascii="Arial" w:cs="Arial" w:eastAsia="Arial" w:hAnsi="Arial"/>
                <w:sz w:val="14"/>
                <w:szCs w:val="14"/>
                <w:b w:val="1"/>
                <w:bCs w:val="1"/>
                <w:color w:val="auto"/>
              </w:rPr>
              <w:t>Title of Each Class of</w:t>
            </w:r>
          </w:p>
        </w:tc>
        <w:tc>
          <w:tcPr>
            <w:tcW w:w="1900" w:type="dxa"/>
            <w:vAlign w:val="bottom"/>
            <w:tcBorders>
              <w:right w:val="single" w:sz="8" w:color="auto"/>
            </w:tcBorders>
            <w:vMerge w:val="continue"/>
          </w:tcPr>
          <w:p>
            <w:pPr>
              <w:spacing w:after="0"/>
              <w:rPr>
                <w:sz w:val="12"/>
                <w:szCs w:val="12"/>
                <w:color w:val="auto"/>
              </w:rPr>
            </w:pPr>
          </w:p>
        </w:tc>
        <w:tc>
          <w:tcPr>
            <w:tcW w:w="1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860" w:type="dxa"/>
            <w:vAlign w:val="bottom"/>
            <w:vMerge w:val="restart"/>
          </w:tcPr>
          <w:p>
            <w:pPr>
              <w:jc w:val="center"/>
              <w:ind w:left="3"/>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Borders>
              <w:right w:val="single" w:sz="8" w:color="auto"/>
            </w:tcBorders>
            <w:vMerge w:val="continue"/>
          </w:tcPr>
          <w:p>
            <w:pPr>
              <w:spacing w:after="0"/>
              <w:rPr>
                <w:sz w:val="12"/>
                <w:szCs w:val="12"/>
                <w:color w:val="auto"/>
              </w:rPr>
            </w:pPr>
          </w:p>
        </w:tc>
        <w:tc>
          <w:tcPr>
            <w:tcW w:w="19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89"/>
              </w:rPr>
              <w:t>to be</w:t>
            </w:r>
          </w:p>
        </w:tc>
        <w:tc>
          <w:tcPr>
            <w:tcW w:w="1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540" w:type="dxa"/>
            <w:vAlign w:val="bottom"/>
            <w:tcBorders>
              <w:bottom w:val="single" w:sz="8" w:color="auto"/>
              <w:right w:val="single" w:sz="8" w:color="auto"/>
            </w:tcBorders>
          </w:tcPr>
          <w:p>
            <w:pPr>
              <w:ind w:left="940"/>
              <w:spacing w:after="0"/>
              <w:rPr>
                <w:sz w:val="20"/>
                <w:szCs w:val="20"/>
                <w:color w:val="auto"/>
              </w:rPr>
            </w:pPr>
            <w:r>
              <w:rPr>
                <w:rFonts w:ascii="Arial" w:cs="Arial" w:eastAsia="Arial" w:hAnsi="Arial"/>
                <w:sz w:val="14"/>
                <w:szCs w:val="14"/>
                <w:b w:val="1"/>
                <w:bCs w:val="1"/>
                <w:color w:val="auto"/>
              </w:rPr>
              <w:t>Securities to be Registered</w:t>
            </w:r>
          </w:p>
        </w:tc>
        <w:tc>
          <w:tcPr>
            <w:tcW w:w="19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1"/>
              </w:rPr>
              <w:t>Registered(1)</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Per Unit(2)</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Price(3)</w:t>
            </w:r>
          </w:p>
        </w:tc>
        <w:tc>
          <w:tcPr>
            <w:tcW w:w="1860" w:type="dxa"/>
            <w:vAlign w:val="bottom"/>
            <w:tcBorders>
              <w:bottom w:val="single" w:sz="8" w:color="auto"/>
            </w:tcBorders>
          </w:tcPr>
          <w:p>
            <w:pPr>
              <w:jc w:val="center"/>
              <w:ind w:left="3"/>
              <w:spacing w:after="0"/>
              <w:rPr>
                <w:sz w:val="20"/>
                <w:szCs w:val="20"/>
                <w:color w:val="auto"/>
              </w:rPr>
            </w:pPr>
            <w:r>
              <w:rPr>
                <w:rFonts w:ascii="Arial" w:cs="Arial" w:eastAsia="Arial" w:hAnsi="Arial"/>
                <w:sz w:val="14"/>
                <w:szCs w:val="14"/>
                <w:b w:val="1"/>
                <w:bCs w:val="1"/>
                <w:color w:val="auto"/>
                <w:w w:val="93"/>
              </w:rPr>
              <w:t>Registration Fee(4)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Common Stock(5)</w:t>
            </w:r>
          </w:p>
        </w:tc>
        <w:tc>
          <w:tcPr>
            <w:tcW w:w="1900" w:type="dxa"/>
            <w:vAlign w:val="bottom"/>
            <w:tcBorders>
              <w:bottom w:val="single" w:sz="8" w:color="auto"/>
              <w:right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Preferred Stock(6)</w:t>
            </w:r>
          </w:p>
        </w:tc>
        <w:tc>
          <w:tcPr>
            <w:tcW w:w="1900" w:type="dxa"/>
            <w:vAlign w:val="bottom"/>
            <w:tcBorders>
              <w:bottom w:val="single" w:sz="8" w:color="auto"/>
              <w:right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Debt Securities(7)</w:t>
            </w:r>
          </w:p>
        </w:tc>
        <w:tc>
          <w:tcPr>
            <w:tcW w:w="1900" w:type="dxa"/>
            <w:vAlign w:val="bottom"/>
            <w:tcBorders>
              <w:bottom w:val="single" w:sz="8" w:color="auto"/>
              <w:right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Warrants(8)</w:t>
            </w:r>
          </w:p>
        </w:tc>
        <w:tc>
          <w:tcPr>
            <w:tcW w:w="1900" w:type="dxa"/>
            <w:vAlign w:val="bottom"/>
            <w:tcBorders>
              <w:bottom w:val="single" w:sz="8" w:color="auto"/>
              <w:right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Units(9)</w:t>
            </w:r>
          </w:p>
        </w:tc>
        <w:tc>
          <w:tcPr>
            <w:tcW w:w="1900" w:type="dxa"/>
            <w:vAlign w:val="bottom"/>
            <w:tcBorders>
              <w:bottom w:val="single" w:sz="8" w:color="auto"/>
              <w:right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5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Total Offering</w:t>
            </w:r>
          </w:p>
        </w:tc>
        <w:tc>
          <w:tcPr>
            <w:tcW w:w="1900" w:type="dxa"/>
            <w:vAlign w:val="bottom"/>
            <w:tcBorders>
              <w:bottom w:val="single" w:sz="8" w:color="auto"/>
              <w:right w:val="single" w:sz="8" w:color="auto"/>
            </w:tcBorders>
          </w:tcPr>
          <w:p>
            <w:pPr>
              <w:jc w:val="right"/>
              <w:ind w:right="386"/>
              <w:spacing w:after="0"/>
              <w:rPr>
                <w:sz w:val="20"/>
                <w:szCs w:val="20"/>
                <w:color w:val="auto"/>
              </w:rPr>
            </w:pPr>
            <w:r>
              <w:rPr>
                <w:rFonts w:ascii="Arial" w:cs="Arial" w:eastAsia="Arial" w:hAnsi="Arial"/>
                <w:sz w:val="16"/>
                <w:szCs w:val="16"/>
                <w:b w:val="1"/>
                <w:bCs w:val="1"/>
                <w:color w:val="auto"/>
              </w:rPr>
              <w:t>$250,000,000</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$250,000,000</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$32,450</w:t>
            </w:r>
          </w:p>
        </w:tc>
        <w:tc>
          <w:tcPr>
            <w:tcW w:w="0" w:type="dxa"/>
            <w:vAlign w:val="bottom"/>
          </w:tcPr>
          <w:p>
            <w:pPr>
              <w:spacing w:after="0"/>
              <w:rPr>
                <w:sz w:val="1"/>
                <w:szCs w:val="1"/>
                <w:color w:val="auto"/>
              </w:rPr>
            </w:pPr>
          </w:p>
        </w:tc>
      </w:tr>
      <w:tr>
        <w:trPr>
          <w:trHeight w:val="196"/>
        </w:trPr>
        <w:tc>
          <w:tcPr>
            <w:tcW w:w="35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Total Registration Fee</w:t>
            </w:r>
          </w:p>
        </w:tc>
        <w:tc>
          <w:tcPr>
            <w:tcW w:w="1900" w:type="dxa"/>
            <w:vAlign w:val="bottom"/>
            <w:tcBorders>
              <w:bottom w:val="single" w:sz="8" w:color="auto"/>
              <w:right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$250,000,000</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$32,450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ind w:left="640" w:right="120" w:hanging="436"/>
        <w:spacing w:after="0" w:line="265" w:lineRule="auto"/>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amount to be registered consists of up to $250,000,000 of an indeterminate amount of common stock, preferred stock, debt securities, warrants and/or units. There is also being registered hereunder such currently indeterminate number of (i) shares of common stock or other securities of the registrant as may be issued upon conversion of, or in exchange for, convertible or exchangeable debt securities and/or preferred stock registered hereby, or (ii) shares of preferred stock, common stock, debt securities or units as may be issued upon exercise of warrants registered hereby, as the case may be. Any securities registered hereunder may be sold separately or as units with the other securities registered hereunder.</w:t>
      </w:r>
    </w:p>
    <w:p>
      <w:pPr>
        <w:ind w:left="640" w:right="180" w:hanging="436"/>
        <w:spacing w:after="0" w:line="301" w:lineRule="auto"/>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proposed maximum aggregate offering price per unit will be determined from time to time by the registrant in connection with the issuance by the registrant of the securities registered hereunder and is not specified as to each class of security pursuant to General Instruction II.D. of Form S-3 under the Securities Act.</w:t>
      </w:r>
    </w:p>
    <w:p>
      <w:pPr>
        <w:spacing w:after="0" w:line="1" w:lineRule="exact"/>
        <w:rPr>
          <w:rFonts w:ascii="Arial" w:cs="Arial" w:eastAsia="Arial" w:hAnsi="Arial"/>
          <w:sz w:val="14"/>
          <w:szCs w:val="14"/>
          <w:color w:val="auto"/>
        </w:rPr>
      </w:pPr>
    </w:p>
    <w:p>
      <w:pPr>
        <w:ind w:left="640" w:right="480" w:hanging="436"/>
        <w:spacing w:after="0" w:line="301" w:lineRule="auto"/>
        <w:tabs>
          <w:tab w:leader="none" w:pos="6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purposes of computing the registration fee. No separate consideration will be received for (i) common stock or other securities of the registrant that may be issued upon conversion of, or in exchange for, convertible or exchangeable debt securities and/or preferred stock registered hereby, or (ii) preferred stock, common stock, debt securities or units that may be issued upon exercise of warrants registered hereby, as the case may be.</w:t>
      </w:r>
    </w:p>
    <w:p>
      <w:pPr>
        <w:spacing w:after="0" w:line="1" w:lineRule="exact"/>
        <w:rPr>
          <w:rFonts w:ascii="Arial" w:cs="Arial" w:eastAsia="Arial" w:hAnsi="Arial"/>
          <w:sz w:val="14"/>
          <w:szCs w:val="14"/>
          <w:color w:val="auto"/>
        </w:rPr>
      </w:pPr>
    </w:p>
    <w:p>
      <w:pPr>
        <w:ind w:left="640" w:hanging="436"/>
        <w:spacing w:after="0"/>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registration fee has been calculated in accordance with Rule 457(o) under the Securities Act.</w:t>
      </w:r>
    </w:p>
    <w:p>
      <w:pPr>
        <w:spacing w:after="0" w:line="18" w:lineRule="exact"/>
        <w:rPr>
          <w:rFonts w:ascii="Arial" w:cs="Arial" w:eastAsia="Arial" w:hAnsi="Arial"/>
          <w:sz w:val="16"/>
          <w:szCs w:val="16"/>
          <w:color w:val="auto"/>
        </w:rPr>
      </w:pPr>
    </w:p>
    <w:p>
      <w:pPr>
        <w:ind w:left="640" w:right="300" w:hanging="436"/>
        <w:spacing w:after="0" w:line="264" w:lineRule="auto"/>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Including such indeterminate amount of common stock as may be issued from time to time at indeterminate prices or upon conversion of debt securities and/or preferred stock registered hereby, or upon exercise of warrants registered hereby, as the case may be.</w:t>
      </w:r>
    </w:p>
    <w:p>
      <w:pPr>
        <w:ind w:left="640" w:right="260" w:hanging="436"/>
        <w:spacing w:after="0" w:line="264" w:lineRule="auto"/>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Including such indeterminate amount of preferred stock as may be issued from time to time at indeterminate prices or upon conversion of debt securities and/or preferred stock registered hereby, or upon exercise of warrants registered hereby, as the case may be.</w:t>
      </w:r>
    </w:p>
    <w:p>
      <w:pPr>
        <w:ind w:left="640" w:right="20" w:hanging="436"/>
        <w:spacing w:after="0" w:line="264" w:lineRule="auto"/>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Including such indeterminate principal amount of debt securities as may be issued from time to time at indeterminate prices or upon exercise of warrants registered hereby, as the case may be.</w:t>
      </w:r>
    </w:p>
    <w:p>
      <w:pPr>
        <w:ind w:left="640" w:right="100" w:hanging="436"/>
        <w:spacing w:after="0" w:line="264" w:lineRule="auto"/>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Including such indeterminate number of warrants or other rights, including without limitation share purchase or subscription rights, as may be issued from time to time at indeterminate prices.</w:t>
      </w:r>
    </w:p>
    <w:p>
      <w:pPr>
        <w:ind w:left="640" w:hanging="436"/>
        <w:spacing w:after="0"/>
        <w:tabs>
          <w:tab w:leader="none" w:pos="640" w:val="left"/>
        </w:tabs>
        <w:numPr>
          <w:ilvl w:val="0"/>
          <w:numId w:val="1"/>
        </w:numPr>
        <w:rPr>
          <w:rFonts w:ascii="Arial" w:cs="Arial" w:eastAsia="Arial" w:hAnsi="Arial"/>
          <w:sz w:val="15"/>
          <w:szCs w:val="15"/>
          <w:color w:val="auto"/>
        </w:rPr>
      </w:pPr>
      <w:r>
        <w:rPr>
          <w:rFonts w:ascii="Arial" w:cs="Arial" w:eastAsia="Arial" w:hAnsi="Arial"/>
          <w:sz w:val="15"/>
          <w:szCs w:val="15"/>
          <w:color w:val="auto"/>
        </w:rPr>
        <w:t>Each unit will be issued under a unit agreement and will represent an interest in two or more securities, which may or may not be separable from one another.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142875</wp:posOffset>
            </wp:positionV>
            <wp:extent cx="1466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72" w:lineRule="exact"/>
        <w:rPr>
          <w:sz w:val="20"/>
          <w:szCs w:val="20"/>
          <w:color w:val="auto"/>
        </w:rPr>
      </w:pPr>
    </w:p>
    <w:p>
      <w:pPr>
        <w:ind w:left="200" w:right="160"/>
        <w:spacing w:after="0" w:line="272"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50165</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92710</wp:posOffset>
            </wp:positionV>
            <wp:extent cx="6997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200" w:right="120"/>
        <w:spacing w:after="0" w:line="266" w:lineRule="auto"/>
        <w:rPr>
          <w:sz w:val="20"/>
          <w:szCs w:val="20"/>
          <w:color w:val="auto"/>
        </w:rPr>
      </w:pPr>
      <w:r>
        <w:rPr>
          <w:rFonts w:ascii="Arial" w:cs="Arial" w:eastAsia="Arial" w:hAnsi="Arial"/>
          <w:sz w:val="18"/>
          <w:szCs w:val="18"/>
          <w:b w:val="1"/>
          <w:bCs w:val="1"/>
          <w:color w:val="FF4338"/>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p>
    <w:p>
      <w:pPr>
        <w:spacing w:after="0" w:line="109" w:lineRule="exact"/>
        <w:rPr>
          <w:sz w:val="20"/>
          <w:szCs w:val="20"/>
          <w:color w:val="auto"/>
        </w:rPr>
      </w:pPr>
    </w:p>
    <w:p>
      <w:pPr>
        <w:ind w:left="200"/>
        <w:spacing w:after="0"/>
        <w:tabs>
          <w:tab w:leader="none" w:pos="9240" w:val="left"/>
        </w:tabs>
        <w:rPr>
          <w:sz w:val="20"/>
          <w:szCs w:val="20"/>
          <w:color w:val="auto"/>
        </w:rPr>
      </w:pPr>
      <w:r>
        <w:rPr>
          <w:rFonts w:ascii="Arial" w:cs="Arial" w:eastAsia="Arial" w:hAnsi="Arial"/>
          <w:sz w:val="18"/>
          <w:szCs w:val="18"/>
          <w:b w:val="1"/>
          <w:bCs w:val="1"/>
          <w:color w:val="FF4338"/>
        </w:rPr>
        <w:t>Subject to Completion</w:t>
      </w:r>
      <w:r>
        <w:rPr>
          <w:sz w:val="20"/>
          <w:szCs w:val="20"/>
          <w:color w:val="auto"/>
        </w:rPr>
        <w:tab/>
      </w:r>
      <w:r>
        <w:rPr>
          <w:rFonts w:ascii="Arial" w:cs="Arial" w:eastAsia="Arial" w:hAnsi="Arial"/>
          <w:sz w:val="16"/>
          <w:szCs w:val="16"/>
          <w:b w:val="1"/>
          <w:bCs w:val="1"/>
          <w:color w:val="FF4338"/>
        </w:rPr>
        <w:t>Dated December 20, 2019</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248920</wp:posOffset>
            </wp:positionV>
            <wp:extent cx="1440815" cy="3346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81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color w:val="auto"/>
        </w:rPr>
        <w:t>$250,000,000</w:t>
      </w:r>
    </w:p>
    <w:p>
      <w:pPr>
        <w:spacing w:after="0" w:line="339"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311785</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0" w:right="220"/>
        <w:spacing w:after="0" w:line="312" w:lineRule="auto"/>
        <w:rPr>
          <w:sz w:val="20"/>
          <w:szCs w:val="20"/>
          <w:color w:val="auto"/>
        </w:rPr>
      </w:pPr>
      <w:r>
        <w:rPr>
          <w:rFonts w:ascii="Arial" w:cs="Arial" w:eastAsia="Arial" w:hAnsi="Arial"/>
          <w:sz w:val="16"/>
          <w:szCs w:val="16"/>
          <w:color w:val="auto"/>
        </w:rPr>
        <w:t>We may from time to time issue, in one or more series or classes, up to $250,000,000 in aggregate principal amount of our common stock, preferred stock, debt securities, warrants and/or units, in any combination, together or separately, in one or more offerings in amounts at prices and on the terms that we will determine at the time of the offering and which will be set forth in a prospectus supplement and any related free writing prospectus.</w:t>
      </w:r>
    </w:p>
    <w:p>
      <w:pPr>
        <w:spacing w:after="0" w:line="255" w:lineRule="exact"/>
        <w:rPr>
          <w:sz w:val="20"/>
          <w:szCs w:val="20"/>
          <w:color w:val="auto"/>
        </w:rPr>
      </w:pPr>
    </w:p>
    <w:p>
      <w:pPr>
        <w:ind w:left="200" w:right="100"/>
        <w:spacing w:after="0" w:line="297" w:lineRule="auto"/>
        <w:rPr>
          <w:sz w:val="20"/>
          <w:szCs w:val="20"/>
          <w:color w:val="auto"/>
        </w:rPr>
      </w:pPr>
      <w:r>
        <w:rPr>
          <w:rFonts w:ascii="Arial" w:cs="Arial" w:eastAsia="Arial" w:hAnsi="Arial"/>
          <w:sz w:val="16"/>
          <w:szCs w:val="16"/>
          <w:color w:val="auto"/>
        </w:rPr>
        <w:t>We may offer these securities separately or together in units. Each time we sell securities described herein, we will provide prospective investors with a supplement to this prospectus that will specify the terms of the securities being offered. We may sell these securities to or through underwriters or dealers and also to other purchasers or through agents. We will set forth the names of any underwriters or agents, and any fees, conversions, or discount arrangements, in the accompanying prospectus supplement. We may not sell any securities under this prospectus without delivery of the applicable prospectus supplement. You should read this document and any prospectus supplement or amendment carefully before you invest in our securities.</w:t>
      </w:r>
    </w:p>
    <w:p>
      <w:pPr>
        <w:spacing w:after="0" w:line="266"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Our common stock is listed on The Nasdaq Global Select Market under the symbol “AVRO.” On December 19, 2019, the closing price for our common stock, as reported on The Nasdaq Global Select Market, was $20.08 per share. Our principal executive offices are located at One Kendall Square, Building 300, Suite 201, Cambridge, Massachusetts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287020</wp:posOffset>
            </wp:positionV>
            <wp:extent cx="1466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0" w:right="60"/>
        <w:spacing w:after="0" w:line="239"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a high degree of risk. You should review carefully the risks and uncertainties described under the heading “</w:t>
      </w:r>
      <w:hyperlink w:anchor="page6">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contained in this prospectus beginning on page 2 and any applicable prospectus supplement, and under similar headings in the other documents that are incorporated by reference into this prospectus.</w:t>
      </w:r>
    </w:p>
    <w:p>
      <w:pPr>
        <w:spacing w:after="0" w:line="302"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75"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 2019</w:t>
            </w:r>
          </w:p>
        </w:tc>
      </w:tr>
    </w:tbl>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86"/>
        </w:trPr>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4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28"/>
        </w:trPr>
        <w:tc>
          <w:tcPr>
            <w:tcW w:w="224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ABOUT THIS PROSPECTUS</w:t>
              </w:r>
            </w:hyperlink>
          </w:p>
        </w:tc>
        <w:tc>
          <w:tcPr>
            <w:tcW w:w="6260" w:type="dxa"/>
            <w:vAlign w:val="bottom"/>
            <w:gridSpan w:val="8"/>
          </w:tcPr>
          <w:p>
            <w:pPr>
              <w:spacing w:after="0"/>
              <w:rPr>
                <w:sz w:val="19"/>
                <w:szCs w:val="19"/>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126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RISK FACTORS</w:t>
              </w:r>
            </w:hyperlink>
          </w:p>
        </w:tc>
        <w:tc>
          <w:tcPr>
            <w:tcW w:w="7240" w:type="dxa"/>
            <w:vAlign w:val="bottom"/>
            <w:gridSpan w:val="14"/>
          </w:tcPr>
          <w:p>
            <w:pPr>
              <w:spacing w:after="0"/>
              <w:rPr>
                <w:sz w:val="22"/>
                <w:szCs w:val="22"/>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4"/>
        </w:trPr>
        <w:tc>
          <w:tcPr>
            <w:tcW w:w="850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CAUTIONARY STATEMENT REGARDING FORWARD-LOOKING STATEMENTS</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64"/>
        </w:trPr>
        <w:tc>
          <w:tcPr>
            <w:tcW w:w="6340" w:type="dxa"/>
            <w:vAlign w:val="bottom"/>
            <w:tcBorders>
              <w:top w:val="single" w:sz="8" w:color="0000EE"/>
            </w:tcBorders>
            <w:gridSpan w:val="15"/>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THE COMPANY</w:t>
              </w:r>
            </w:hyperlink>
          </w:p>
        </w:tc>
        <w:tc>
          <w:tcPr>
            <w:tcW w:w="2160" w:type="dxa"/>
            <w:vAlign w:val="bottom"/>
          </w:tcPr>
          <w:p>
            <w:pPr>
              <w:spacing w:after="0"/>
              <w:rPr>
                <w:sz w:val="22"/>
                <w:szCs w:val="22"/>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64"/>
        </w:trPr>
        <w:tc>
          <w:tcPr>
            <w:tcW w:w="8500" w:type="dxa"/>
            <w:vAlign w:val="bottom"/>
            <w:gridSpan w:val="16"/>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USE OF PROCEEDS</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64"/>
        </w:trPr>
        <w:tc>
          <w:tcPr>
            <w:tcW w:w="8500" w:type="dxa"/>
            <w:vAlign w:val="bottom"/>
            <w:gridSpan w:val="16"/>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SECURITIES WE MAY OFFER</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64"/>
        </w:trPr>
        <w:tc>
          <w:tcPr>
            <w:tcW w:w="2880" w:type="dxa"/>
            <w:vAlign w:val="bottom"/>
            <w:tcBorders>
              <w:bottom w:val="single" w:sz="8" w:color="0000EE"/>
            </w:tcBorders>
            <w:gridSpan w:val="12"/>
          </w:tcPr>
          <w:p>
            <w:pPr>
              <w:spacing w:after="0"/>
              <w:rPr>
                <w:rFonts w:ascii="Arial" w:cs="Arial" w:eastAsia="Arial" w:hAnsi="Arial"/>
                <w:sz w:val="18"/>
                <w:szCs w:val="18"/>
                <w:color w:val="0000EE"/>
                <w:w w:val="95"/>
              </w:rPr>
            </w:pPr>
            <w:hyperlink w:anchor="page14">
              <w:r>
                <w:rPr>
                  <w:rFonts w:ascii="Arial" w:cs="Arial" w:eastAsia="Arial" w:hAnsi="Arial"/>
                  <w:sz w:val="18"/>
                  <w:szCs w:val="18"/>
                  <w:color w:val="0000EE"/>
                  <w:w w:val="95"/>
                </w:rPr>
                <w:t>DESCRIPTION OF CAPITAL STOCK</w:t>
              </w:r>
            </w:hyperlink>
          </w:p>
        </w:tc>
        <w:tc>
          <w:tcPr>
            <w:tcW w:w="5620" w:type="dxa"/>
            <w:vAlign w:val="bottom"/>
            <w:gridSpan w:val="4"/>
          </w:tcPr>
          <w:p>
            <w:pPr>
              <w:spacing w:after="0"/>
              <w:rPr>
                <w:sz w:val="22"/>
                <w:szCs w:val="22"/>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64"/>
        </w:trPr>
        <w:tc>
          <w:tcPr>
            <w:tcW w:w="8500" w:type="dxa"/>
            <w:vAlign w:val="bottom"/>
            <w:gridSpan w:val="16"/>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DESCRIPTION OF DEBT SECURITIES</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64"/>
        </w:trPr>
        <w:tc>
          <w:tcPr>
            <w:tcW w:w="3020" w:type="dxa"/>
            <w:vAlign w:val="bottom"/>
            <w:tcBorders>
              <w:top w:val="single" w:sz="8" w:color="0000EE"/>
            </w:tcBorders>
            <w:gridSpan w:val="1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DESCRIPTION OF WARRANTS</w:t>
              </w:r>
            </w:hyperlink>
          </w:p>
        </w:tc>
        <w:tc>
          <w:tcPr>
            <w:tcW w:w="5480" w:type="dxa"/>
            <w:vAlign w:val="bottom"/>
            <w:gridSpan w:val="3"/>
          </w:tcPr>
          <w:p>
            <w:pPr>
              <w:spacing w:after="0"/>
              <w:rPr>
                <w:sz w:val="22"/>
                <w:szCs w:val="22"/>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64"/>
        </w:trPr>
        <w:tc>
          <w:tcPr>
            <w:tcW w:w="2480" w:type="dxa"/>
            <w:vAlign w:val="bottom"/>
            <w:tcBorders>
              <w:top w:val="single" w:sz="8" w:color="0000EE"/>
            </w:tcBorders>
            <w:gridSpan w:val="10"/>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DESCRIPTION OF UNITS</w:t>
              </w:r>
            </w:hyperlink>
          </w:p>
        </w:tc>
        <w:tc>
          <w:tcPr>
            <w:tcW w:w="6020" w:type="dxa"/>
            <w:vAlign w:val="bottom"/>
            <w:gridSpan w:val="6"/>
          </w:tcPr>
          <w:p>
            <w:pPr>
              <w:spacing w:after="0"/>
              <w:rPr>
                <w:sz w:val="22"/>
                <w:szCs w:val="22"/>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78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64"/>
        </w:trPr>
        <w:tc>
          <w:tcPr>
            <w:tcW w:w="206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32">
              <w:r>
                <w:rPr>
                  <w:rFonts w:ascii="Arial" w:cs="Arial" w:eastAsia="Arial" w:hAnsi="Arial"/>
                  <w:sz w:val="18"/>
                  <w:szCs w:val="18"/>
                  <w:color w:val="0000EE"/>
                  <w:w w:val="97"/>
                </w:rPr>
                <w:t>PLAN OF DISTRIBUTION</w:t>
              </w:r>
            </w:hyperlink>
          </w:p>
        </w:tc>
        <w:tc>
          <w:tcPr>
            <w:tcW w:w="6440" w:type="dxa"/>
            <w:vAlign w:val="bottom"/>
            <w:gridSpan w:val="9"/>
          </w:tcPr>
          <w:p>
            <w:pPr>
              <w:spacing w:after="0"/>
              <w:rPr>
                <w:sz w:val="22"/>
                <w:szCs w:val="22"/>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64"/>
        </w:trPr>
        <w:tc>
          <w:tcPr>
            <w:tcW w:w="1460" w:type="dxa"/>
            <w:vAlign w:val="bottom"/>
            <w:tcBorders>
              <w:bottom w:val="single" w:sz="8" w:color="0000EE"/>
            </w:tcBorders>
            <w:gridSpan w:val="4"/>
          </w:tcPr>
          <w:p>
            <w:pPr>
              <w:spacing w:after="0"/>
              <w:rPr>
                <w:rFonts w:ascii="Arial" w:cs="Arial" w:eastAsia="Arial" w:hAnsi="Arial"/>
                <w:sz w:val="18"/>
                <w:szCs w:val="18"/>
                <w:color w:val="0000EE"/>
                <w:w w:val="96"/>
              </w:rPr>
            </w:pPr>
            <w:hyperlink w:anchor="page35">
              <w:r>
                <w:rPr>
                  <w:rFonts w:ascii="Arial" w:cs="Arial" w:eastAsia="Arial" w:hAnsi="Arial"/>
                  <w:sz w:val="18"/>
                  <w:szCs w:val="18"/>
                  <w:color w:val="0000EE"/>
                  <w:w w:val="96"/>
                </w:rPr>
                <w:t>LEGAL MATTERS</w:t>
              </w:r>
            </w:hyperlink>
          </w:p>
        </w:tc>
        <w:tc>
          <w:tcPr>
            <w:tcW w:w="7040" w:type="dxa"/>
            <w:vAlign w:val="bottom"/>
            <w:gridSpan w:val="12"/>
          </w:tcPr>
          <w:p>
            <w:pPr>
              <w:spacing w:after="0"/>
              <w:rPr>
                <w:sz w:val="22"/>
                <w:szCs w:val="22"/>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64"/>
        </w:trPr>
        <w:tc>
          <w:tcPr>
            <w:tcW w:w="780" w:type="dxa"/>
            <w:vAlign w:val="bottom"/>
            <w:tcBorders>
              <w:bottom w:val="single" w:sz="8" w:color="0000EE"/>
            </w:tcBorders>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EXPERTS</w:t>
              </w:r>
            </w:hyperlink>
          </w:p>
        </w:tc>
        <w:tc>
          <w:tcPr>
            <w:tcW w:w="7720" w:type="dxa"/>
            <w:vAlign w:val="bottom"/>
            <w:gridSpan w:val="15"/>
          </w:tcPr>
          <w:p>
            <w:pPr>
              <w:spacing w:after="0"/>
              <w:rPr>
                <w:sz w:val="22"/>
                <w:szCs w:val="22"/>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64"/>
        </w:trPr>
        <w:tc>
          <w:tcPr>
            <w:tcW w:w="3820" w:type="dxa"/>
            <w:vAlign w:val="bottom"/>
            <w:tcBorders>
              <w:bottom w:val="single" w:sz="8" w:color="0000EE"/>
            </w:tcBorders>
            <w:gridSpan w:val="14"/>
          </w:tcPr>
          <w:p>
            <w:pPr>
              <w:spacing w:after="0"/>
              <w:rPr>
                <w:rFonts w:ascii="Arial" w:cs="Arial" w:eastAsia="Arial" w:hAnsi="Arial"/>
                <w:sz w:val="18"/>
                <w:szCs w:val="18"/>
                <w:color w:val="0000EE"/>
                <w:w w:val="97"/>
              </w:rPr>
            </w:pPr>
            <w:hyperlink w:anchor="page35">
              <w:r>
                <w:rPr>
                  <w:rFonts w:ascii="Arial" w:cs="Arial" w:eastAsia="Arial" w:hAnsi="Arial"/>
                  <w:sz w:val="18"/>
                  <w:szCs w:val="18"/>
                  <w:color w:val="0000EE"/>
                  <w:w w:val="97"/>
                </w:rPr>
                <w:t>WHERE YOU CAN FIND MORE INFORMATION</w:t>
              </w:r>
            </w:hyperlink>
          </w:p>
        </w:tc>
        <w:tc>
          <w:tcPr>
            <w:tcW w:w="4680" w:type="dxa"/>
            <w:vAlign w:val="bottom"/>
            <w:gridSpan w:val="2"/>
          </w:tcPr>
          <w:p>
            <w:pPr>
              <w:spacing w:after="0"/>
              <w:rPr>
                <w:sz w:val="22"/>
                <w:szCs w:val="22"/>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64"/>
        </w:trPr>
        <w:tc>
          <w:tcPr>
            <w:tcW w:w="8500" w:type="dxa"/>
            <w:vAlign w:val="bottom"/>
            <w:gridSpan w:val="1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INCORPORATION BY REFERENCE</w:t>
              </w:r>
            </w:hyperlink>
          </w:p>
        </w:tc>
        <w:tc>
          <w:tcPr>
            <w:tcW w:w="24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7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sectPr>
          <w:pgSz w:w="11900" w:h="16838" w:orient="portrait"/>
          <w:cols w:equalWidth="0" w:num="1">
            <w:col w:w="11180"/>
          </w:cols>
          <w:pgMar w:left="24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or the SEC, using a “shelf” registration process. Under this shelf registration process, we may from time to time sell any combination of the securities described in this prospectus in one or more offerings for an aggregate initial offering price of up to $250,000,000.</w:t>
      </w:r>
    </w:p>
    <w:p>
      <w:pPr>
        <w:spacing w:after="0" w:line="181"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sell securities described herein,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31 of this prospectus.</w:t>
      </w:r>
    </w:p>
    <w:p>
      <w:pPr>
        <w:spacing w:after="0" w:line="154"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the accompanying prospectus supplement do not constitute an offer to sell or the solicitation of an offer to buy any securities other than the securities described in the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74" w:lineRule="exact"/>
        <w:rPr>
          <w:sz w:val="20"/>
          <w:szCs w:val="20"/>
          <w:color w:val="auto"/>
        </w:rPr>
      </w:pPr>
    </w:p>
    <w:p>
      <w:pPr>
        <w:ind w:left="200" w:right="960" w:firstLine="441"/>
        <w:spacing w:after="0" w:line="282" w:lineRule="auto"/>
        <w:rPr>
          <w:sz w:val="20"/>
          <w:szCs w:val="20"/>
          <w:color w:val="auto"/>
        </w:rPr>
      </w:pPr>
      <w:r>
        <w:rPr>
          <w:rFonts w:ascii="Arial" w:cs="Arial" w:eastAsia="Arial" w:hAnsi="Arial"/>
          <w:sz w:val="18"/>
          <w:szCs w:val="18"/>
          <w:b w:val="1"/>
          <w:bCs w:val="1"/>
          <w:color w:val="auto"/>
        </w:rPr>
        <w:t>THIS PROSPECTUS MAY NOT BE USED TO OFFER AND SELL SECURITIES UNLESS IT IS ACCOMPANIED BY AN ADDITIONAL PROSPECTUS OR A PROSPECTUS SUPPLEMENT.</w:t>
      </w:r>
    </w:p>
    <w:p>
      <w:pPr>
        <w:spacing w:after="0" w:line="166"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As used in this prospectus, unless the context otherwise requires, references to the “company,” “we,” “us” and “our” refer to AVROBIO, Inc. and, where appropriate, our subsidiaries.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Investing in our securities involves a high degree of risk. You should carefully consider the risks referenced below and described in the documents incorporated by reference in this prospectus and any applicable prospectus supplement, as well as other information we include or incorporate by reference into this prospectus and any applicable prospectus supplement, before making an investment decision. Our business, financial condition or results of operations could be materially adversely affected by the materialization of any of these risks, or by other risks that are not currently known to us.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below and in the documents incorporated herein by reference, including (i) our Annual Report on Form 10-K for the fiscal year ended December 31, 2018, which is on file with the SEC and is incorporated herein by reference, (ii) our Quarterly Reports on Form 10-Q for the quarters ended March 31, 2019, June 30, 2019 and September 30, 2019, which are on file with the SEC and are incorporated herein by reference and (iii) other documents we file with the SEC that are deemed incorporated by reference into this prospectus.</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This prospectus, including the documents that we incorporate by reference, contains forward-looking statements within the meaning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Section 27A of the Securities Act of 1933, as amended, or the Securities Act, and Section 21E of the Securities Exchange Act of 1934, as amended, 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Exchange Act. Any statements about our expectations, beliefs, plans, objectives, assumptions or future events or performance are not historical facts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may be forward-looking. These statements are often, but are not always, made through the use of words or phrases such as “may,” “will,” “could,”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“should,” “expects,” “intends,” “plans,” “anticipates,” “believes,” “estimates,” “predicts,” “projects,” “potential,” “continue,” and similar expressions, or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negative of these terms, or similar expressions. Accordingly, these statements involve estimates, assumptions, risks and uncertainties which could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cause actual results to differ materially from those expressed in them. Any forward-looking statements are qualified in their entirety by reference to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factors discussed throughout this prospectus, and in particular those factors referenced in the section “Risk Factors.”</w:t>
      </w:r>
    </w:p>
    <w:p>
      <w:pPr>
        <w:spacing w:after="0" w:line="211" w:lineRule="exact"/>
        <w:rPr>
          <w:sz w:val="20"/>
          <w:szCs w:val="20"/>
          <w:color w:val="auto"/>
        </w:rPr>
      </w:pPr>
    </w:p>
    <w:p>
      <w:pPr>
        <w:ind w:left="200" w:right="240" w:firstLine="441"/>
        <w:spacing w:after="0" w:line="257" w:lineRule="auto"/>
        <w:rPr>
          <w:sz w:val="20"/>
          <w:szCs w:val="20"/>
          <w:color w:val="auto"/>
        </w:rPr>
      </w:pPr>
      <w:r>
        <w:rPr>
          <w:rFonts w:ascii="Arial" w:cs="Arial" w:eastAsia="Arial" w:hAnsi="Arial"/>
          <w:sz w:val="18"/>
          <w:szCs w:val="18"/>
          <w:color w:val="auto"/>
        </w:rPr>
        <w:t>This prospectus contains forward-looking statements that are based on our management’s belief and assumptions and on information currently available to our management.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w:t>
      </w:r>
    </w:p>
    <w:p>
      <w:pPr>
        <w:spacing w:after="0" w:line="94" w:lineRule="exact"/>
        <w:rPr>
          <w:sz w:val="20"/>
          <w:szCs w:val="20"/>
          <w:color w:val="auto"/>
        </w:rPr>
      </w:pPr>
    </w:p>
    <w:p>
      <w:pPr>
        <w:ind w:left="1180" w:hanging="436"/>
        <w:spacing w:after="0" w:line="264"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86" w:lineRule="exact"/>
        <w:rPr>
          <w:rFonts w:ascii="Arial" w:cs="Arial" w:eastAsia="Arial" w:hAnsi="Arial"/>
          <w:sz w:val="18"/>
          <w:szCs w:val="18"/>
          <w:color w:val="auto"/>
        </w:rPr>
      </w:pPr>
    </w:p>
    <w:p>
      <w:pPr>
        <w:ind w:left="1180" w:right="100" w:hanging="436"/>
        <w:spacing w:after="0" w:line="342" w:lineRule="auto"/>
        <w:tabs>
          <w:tab w:leader="none" w:pos="11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existence or absence of side effects or other properties relating to our product candidates which could delay or prevent their regulatory approval, limit their commercial potential, or result in significant negative consequences following any potential marketing approval;</w:t>
      </w:r>
    </w:p>
    <w:p>
      <w:pPr>
        <w:spacing w:after="0" w:line="29" w:lineRule="exact"/>
        <w:rPr>
          <w:rFonts w:ascii="Arial" w:cs="Arial" w:eastAsia="Arial" w:hAnsi="Arial"/>
          <w:sz w:val="16"/>
          <w:szCs w:val="16"/>
          <w:color w:val="auto"/>
        </w:rPr>
      </w:pPr>
    </w:p>
    <w:p>
      <w:pPr>
        <w:ind w:left="1180" w:hanging="436"/>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30" w:lineRule="exact"/>
        <w:rPr>
          <w:rFonts w:ascii="Arial" w:cs="Arial" w:eastAsia="Arial" w:hAnsi="Arial"/>
          <w:sz w:val="18"/>
          <w:szCs w:val="18"/>
          <w:color w:val="auto"/>
        </w:rPr>
      </w:pPr>
    </w:p>
    <w:p>
      <w:pPr>
        <w:ind w:left="1180" w:right="20" w:hanging="436"/>
        <w:spacing w:after="0" w:line="264"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implementation of our business model and our strategic plans for our business, product candidates, technology and plato platform, including our transition to a proprietary four-plasmid-produced lentiviral vector, or LV2, and our use of busulfan as a conditioning regimen administered through therapeutic drug monitoring, or TDM;</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30" w:lineRule="exact"/>
        <w:rPr>
          <w:rFonts w:ascii="Arial" w:cs="Arial" w:eastAsia="Arial" w:hAnsi="Arial"/>
          <w:sz w:val="18"/>
          <w:szCs w:val="18"/>
          <w:color w:val="auto"/>
        </w:rPr>
      </w:pPr>
    </w:p>
    <w:p>
      <w:pPr>
        <w:ind w:left="1180" w:right="840" w:hanging="436"/>
        <w:spacing w:after="0" w:line="277"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scalability and commercial viability of our manufacturing methods and processes, including our use of cryopreservation and implementation of a closed, automated manufacturing system;</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rate and degree of market acceptance and clinical utility of our product candidates, in particular, and gene therapy, in general;</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30" w:lineRule="exact"/>
        <w:rPr>
          <w:rFonts w:ascii="Arial" w:cs="Arial" w:eastAsia="Arial" w:hAnsi="Arial"/>
          <w:sz w:val="18"/>
          <w:szCs w:val="18"/>
          <w:color w:val="auto"/>
        </w:rPr>
      </w:pPr>
    </w:p>
    <w:p>
      <w:pPr>
        <w:ind w:left="1180" w:right="460" w:hanging="436"/>
        <w:spacing w:after="0" w:line="277"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scope of protection we and/or our licensors are able to establish and maintain for intellectual property rights covering our product candidates;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retain the continued service of our key professionals and to identify, hire and retain additional qualified professionals;</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the use of our cash reserves;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30" w:lineRule="exact"/>
        <w:rPr>
          <w:rFonts w:ascii="Arial" w:cs="Arial" w:eastAsia="Arial" w:hAnsi="Arial"/>
          <w:sz w:val="18"/>
          <w:szCs w:val="18"/>
          <w:color w:val="auto"/>
        </w:rPr>
      </w:pPr>
    </w:p>
    <w:p>
      <w:pPr>
        <w:ind w:left="1180" w:right="200" w:hanging="436"/>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remediate the material weaknesses that we and our independent registered public accounting firm identified and avoid any findings of material weaknesses or significant deficiencies in the future;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laws and regulations, including without limitation recently enacted tax reform legislation;</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are an emerging growth company under the Jumpstart Our Business Startups Act of 2012, as amended, or the JOBS Act;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25"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This prospectus and the documents incorporated by reference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6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You should read this prospectus and the documents that we incorporate by reference in this prospectus completely and with the understanding that our actual future results may be materially different from what we expect. The forward-looking statements in this prospectus and the documents we incorporate by reference herein represent our views as of their respective dates.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60"/>
          </w:cols>
          <w:pgMar w:left="240" w:top="459" w:right="4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 xml:space="preserve">We are a clinical stage gene therapy company focused on developing potentially curative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lentiviral-based gene therapies to treat rare diseases following a single dose treatment regimen. Our gene therapies employ hematopoietic stem cells that are harvested from the patient and then modified with lentiviral vectors to insert a functional copy of the gene that is defective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storage diseases, which today are primarily managed with enzyme replacement therapies, or ERTs. These lysosomal storage diseases have well-understood biologies, identified patient populations, established standards of care yet with significant unmet needs, and represent large market opportunities with approximately $4.0 billion in worldwide net sales in 2018.</w:t>
      </w:r>
    </w:p>
    <w:p>
      <w:pPr>
        <w:spacing w:after="0" w:line="16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 xml:space="preserve">Since its first clinical use in 2003, lentiviral-based gene therapy has been observed to be well-tolerated in third parties’ clinical trials for rare diseases such as beta thalassemia, adrenoleukodystrophy, or ALD, metachromatic leukodystrophy, or MLD, and ADA-SCID. The use of ex vivo lentiviral-based gene therapies was initially restricted primarily to the most acutely severe diseases where the risks of the typical requirement for ablating the patients’ bone marrow, which significantly impairs those patients’ immune systems, had a clinically justifiable risk/benefit profile due to the novelty of the approach and the severity of the diseases. To date, over 200 patients have been treated with lentiviral-based gene therapies in third parties’ and our rare disease clinical trials, and we believe the technology can be developed for other serious conditions based on a rigorous risk/benefit assessment. The ablation procedure, also known as the conditioning regimen, is typically an inherent part of the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gene therapy treatment procedure and is administered prior to the gene therapy. The conditioning regimen creates a risk of toxicity, which we believe can be managed through utilization of therapeutic drug monitoring, or TDM. We are refining our approach to conditioning to use a single-agent, myeloablative conditioning regimen administered in conjunction with TDM, which is designed to permit patients to receive appropriate levels of conditioning to promote long-term engraftment while seeking to lessen toxicity. Such an approach could potentially allow the conditioning regimen to be performed during a limited hospital stay or potentially through an outpatient procedure, on a case-by-case basis as may be directed by the patient’s physician. We believe our approach, utilizing a single myeloablative conditioning agent, coupled with TDM, has the potential to extend the reach of our gene therapies to a broad range of diseases as first-line therapies. Our goal is to broaden the applicability of lentiviral-based gene therapy by initially targeting diseases with tractable gene mutations, well-understood biology and that benefit from the sustained systemic delivery of an active protein.</w:t>
      </w:r>
    </w:p>
    <w:p>
      <w:pPr>
        <w:spacing w:after="0" w:line="16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initially targeting rare diseases in which the current standard of care provides the mechanistic proof that the enzymes or proteins produced endogenously following treatment with our gene therapies can offer benefit to patients. Typically, in lysosomal storage diseases, a gene mutation results in the deficiency or malfunctioning of an enzyme or other protein. This results in the inability of lysosomes to properly process cellular byproducts. As a result, these byproducts accumulate to toxic levels in the body’s cells and, in turn, disrupt the function of multiple tissues and organs. Fabry disease, Gaucher disease and Pompe disease are primarily managed by bi-weekly, multi-hour infusions with ERTs that seek to exogenously replace the missing enzyme. However, given their characteristics, most ERTs typically remain in the plasma only for a short period of time and thus are not ideal because they are only dosed every two weeks. These existing therapies manage, rather than cure, the underlying diseases and, as a result, patients continue to have disease progression. Further, the frequent, periodic and life-long dosing schedule required for ERTs results in significant costs for the healthcare system and is burdensome for the patient.</w:t>
      </w:r>
    </w:p>
    <w:p>
      <w:pPr>
        <w:spacing w:after="0" w:line="18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believe our gene therapies leverage the well-understood mechanism of ERTs by transforming a patient’s own cells into a drug product that enables the patient to express functional enzyme or other protein and mirror the biology seen in an otherwise healthy individual. We believe that a single dose of our gene therapies may provide meaningful life-long benefit to these patients and potentially halt the progression of these diseases while also providing significant health economic advantages.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plato: Our Commercial-Scale Platform</w:t>
      </w:r>
    </w:p>
    <w:p>
      <w:pPr>
        <w:spacing w:after="0" w:line="121"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Since forming our company, we have centered our efforts on developing first-line gene therapies, based on preceding academic approaches. While we believe these approaches have been adequate for our development programs to date, key to our strategy is to continuously improve our technology and production processes and to leverage these improvements across our gene therapies. We have designed plato</w:t>
      </w:r>
      <w:r>
        <w:rPr>
          <w:rFonts w:ascii="Arial" w:cs="Arial" w:eastAsia="Arial" w:hAnsi="Arial"/>
          <w:sz w:val="14"/>
          <w:szCs w:val="14"/>
          <w:color w:val="auto"/>
        </w:rPr>
        <w:t>™</w:t>
      </w:r>
      <w:r>
        <w:rPr>
          <w:rFonts w:ascii="Arial" w:cs="Arial" w:eastAsia="Arial" w:hAnsi="Arial"/>
          <w:sz w:val="17"/>
          <w:szCs w:val="17"/>
          <w:color w:val="auto"/>
        </w:rPr>
        <w:t xml:space="preserve"> to serve as our commercial-scale platform for our anticipated future worldwide commercialization activities, and our platform improvements already include differentiated features such as cryopreserved end-product and streamlined three-day manufacturing. We are continuing our transition towards implementing our plato platform, including moving our cell processing to an automated, closed system, transitioning to utilizing our proprietary four-plasmid-produced lentiviral vector, which we refer to as LV2, and a refined approach to conditioning utilizing busulfan that is administered with TDM. If successfully implemented, we believe our plato platform will represent a significant advance in our industry towards achieving the quality and scale required for global commercialization of gene therapies. In December 2019, we announced that we dosed the first patient in our ongoing Fabry Phase 2 clinical trial using our plato platform.</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History</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were formed as a corporation under the laws of the State of Delaware in November 2015 under the name AvroBio, Inc. Our corporate name was changed to AVROBIO, Inc. in June 2017. We completed our initial public offering in June 2018. Our executive offices are located at One Kendall Square, Building 300, Suite 201, Cambridge, MA 02139 and our telephone number is (617) 914-8420. Our website address is www.avrobio.com. We do not incorporate the information on or accessible through our website into this prospectus, and you should not consider any information on, or that can be accessed through, our website as part of this prospectus.</w:t>
      </w:r>
    </w:p>
    <w:p>
      <w:pPr>
        <w:spacing w:after="0" w:line="188"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 xml:space="preserve">The trademarks, trade names and service marks appearing in this prospectus are the property of their respective owners. Solely for convenience, the trademarks and trade names in this prospectus are referred to without the symbols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but such references should not be construed as any indicator that their respective owners will not assert, to the fullest extent under applicable law, their rights thereto. Our common stock trades on The Nasdaq Global Select Market under the symbol “AVRO”.</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as amended, or the JOBS Act. As an emerging growth company, we may take advantage of specified reduced disclosure and other requirements that are otherwise applicable generally to public companies. These provisions include:</w:t>
      </w:r>
    </w:p>
    <w:p>
      <w:pPr>
        <w:spacing w:after="0" w:line="87" w:lineRule="exact"/>
        <w:rPr>
          <w:sz w:val="20"/>
          <w:szCs w:val="20"/>
          <w:color w:val="auto"/>
        </w:rPr>
      </w:pPr>
    </w:p>
    <w:p>
      <w:pPr>
        <w:ind w:left="1180" w:right="360" w:hanging="436"/>
        <w:spacing w:after="0" w:line="308" w:lineRule="auto"/>
        <w:tabs>
          <w:tab w:leader="none" w:pos="1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51" w:lineRule="exact"/>
        <w:rPr>
          <w:rFonts w:ascii="Arial" w:cs="Arial" w:eastAsia="Arial" w:hAnsi="Arial"/>
          <w:sz w:val="17"/>
          <w:szCs w:val="17"/>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advisory votes on executive compensation or golden parachute arrangements;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 over financial reporting; and</w:t>
      </w:r>
    </w:p>
    <w:p>
      <w:pPr>
        <w:spacing w:after="0" w:line="130" w:lineRule="exact"/>
        <w:rPr>
          <w:rFonts w:ascii="Arial" w:cs="Arial" w:eastAsia="Arial" w:hAnsi="Arial"/>
          <w:sz w:val="18"/>
          <w:szCs w:val="18"/>
          <w:color w:val="auto"/>
        </w:rPr>
      </w:pPr>
    </w:p>
    <w:p>
      <w:pPr>
        <w:ind w:left="1180" w:right="140" w:hanging="436"/>
        <w:spacing w:after="0" w:line="308" w:lineRule="auto"/>
        <w:tabs>
          <w:tab w:leader="none" w:pos="1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147"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We may take advantage of these exemptions for up to five years or such earlier time that we are no longer an emerging growth company. We would cease to be an emerging growth company on the date that is the earliest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of (i) the last day of the fiscal year in which we have total annual gross revenues of $1.07 billion or more; (ii) the last day of our fiscal year following the fifth anniversary of our initial public offering in June 2018;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We have elected to avail ourselves of the exemption for the delayed adoption of certain accounting standards and, therefore, are not subject to the same new or revised accounting standards as other public companies that are not emerging growth companies.</w:t>
      </w:r>
    </w:p>
    <w:p>
      <w:pPr>
        <w:spacing w:after="0" w:line="17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intend to use the net proceeds from the sale of any securities offered under this prospectus for general corporate purposes unless otherwise indicated in the applicable prospectus supplement. General corporate purposes may include research and development costs, including the conduct of one or more clinical trials and process development and manufacturing of our product candidates, potential strategic acquisitions of complementary businesses, services or technologies, expansion of our technology infrastructure and capabilities, working capital, capital expenditures and other general corporate purposes. We may temporarily invest the net proceeds in a variety of capital preservation instruments, including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net proceeds.</w:t>
      </w:r>
    </w:p>
    <w:p>
      <w:pPr>
        <w:spacing w:after="0" w:line="10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60"/>
          </w:cols>
          <w:pgMar w:left="240" w:top="459"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WE MAY OFFER</w:t>
      </w:r>
    </w:p>
    <w:p>
      <w:pPr>
        <w:spacing w:after="0" w:line="229"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This prospectus contains summary descriptions of the securities we may offer from time to time. These summary descriptions are not meant to be complete descriptions of each security. The particular terms of any security will be described in the applicable prospectus supplement. This prospectus provides you with a general description of the securities we may offer. Each time we sell securities described herein, we will provide prospective investors with a supplement to this prospectus that will contain specific information about the terms of that offering, including the specific amounts, prices and terms of the securities offered.</w:t>
      </w:r>
    </w:p>
    <w:p>
      <w:pPr>
        <w:spacing w:after="0" w:line="18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may sell the securities to or through underwriters, dealers or agents, directly to purchasers or through a combination of any of these methods of sale or as otherwise set forth below under “Plan of Distribution.” We, as well as any agents acting on our behalf, reserve the sole right to accept and to reject in whole or in part any proposed purchase of securities. Any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i w:val="1"/>
          <w:iCs w:val="1"/>
          <w:color w:val="auto"/>
        </w:rPr>
        <w:t>The following description of our common stock and preferred stock, together with the additional information we include in any applicable prospectus supplements, summarizes the material terms and provisions of the common stock and preferred stock that we may offer under this prospectus. The following description of our capital stock does not purport to be complete and is subject to, and qualified in its entirety by, our certificate of incorporation and bylaws, which are exhibits to the registration statement of which this prospectus forms a part, and by applicable law. The terms of our common stock and preferred stock may also be affected by Delaware law.</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Our authorized capital stock consists of 150,000,000 shares of common stock, par value $0.0001 per share, and 10,000,000 shares of preferred stock, par value $0.0001 per share, all of which shares of preferred stock are undesignated.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September 30, 2019, 31,667,661 shares of our common stock were outstanding and held by 12 stockholders of record.</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54"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All outstanding shares are fully paid and non-assessable.</w:t>
      </w:r>
    </w:p>
    <w:p>
      <w:pPr>
        <w:spacing w:after="0" w:line="18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When we issue shares of common stock under this prospectus, the shares will be fully paid and non-assessable and will not have, or be subject to, any preemptive or similar rights.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The purpose of authorizing our board of directors to issue preferred stock in one or more series and determine the number of shares in the series and its rights and preferences is to eliminate delays associated with a stockholder vote on specific issuances. In addition, the issuance of preferred stock could have the effect of delaying, deferring or preventing a change in control of our company or other corporate action. When we issue shares of preferred stock under this prospectus, the shares will be fully paid and non-assessable and will not be subject to any preemptive or similar rights.</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September 30, 2019, there were outstanding options to purchase an aggregate of 3,145,428 shares of our common stock.</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As of September 30, 2019, the holders of 5,567,289 shares of our common stock are entitled to rights with respect to the registration of these securities under the Securities Act. These rights are provided under the terms of an investors’ rights agreement between us and holders of our preferred stock, which was subsequently converted into common stock in connection with our initial public offering in June 2018, or our IPO. The investors’ rights agreement includes demand registration rights, short-form 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 holders of 5,567,289 shares of our common stock are entitled to demand registration rights. Under the terms of the investors’ rights agreement, we will be required, upon the written request of holders of at least 50% of these securities that would result in an aggregate offering price of at least $10.0 million, to file a registration statement and use commercially reasonable efforts to effect the registration of all or a portion of these shares for public resale. We are required to effect only two registrations pursuant to this provision of the investors’ rights agreement.</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Short-Form Registration Rights</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Pursuant to the investors’ rights agreement, if we are eligible to file a registration statement on Form S-3, upon the written request of holders of at least 25% of these securities at an aggregate offer price of at least $3.0 million, we will be required to use commercially reasonable efforts to effect a registration of such shares. We are required to effect only two registrations in any twelve month period pursuant to this provision of the investors’ rights agreement. The right to have such shares registered on Form S-3 is further subject to other specified conditions and limitations.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Pursuant to the investors’ rights agreement, if we register any of our securities either for our own account or for the account of other security holders, the holders of these shares are entitled to include their shares in the registration. Subject to certain exceptions contained in the investors’ rights agreement, we and the underwriters may limit the number of shares included in the underwritten offering to the number of shares which we and the underwriters determine in our sole discretion will not jeopardize the success of the offering.</w:t>
      </w:r>
    </w:p>
    <w:p>
      <w:pPr>
        <w:spacing w:after="0" w:line="1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60"/>
          </w:cols>
          <w:pgMar w:left="240" w:top="459" w:right="4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Our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demand registration rights and short form registration rights granted under the investors’ rights agreement will terminate on the earliest of</w:t>
      </w:r>
    </w:p>
    <w:p>
      <w:pPr>
        <w:spacing w:after="0" w:line="46" w:lineRule="exact"/>
        <w:rPr>
          <w:sz w:val="20"/>
          <w:szCs w:val="20"/>
          <w:color w:val="auto"/>
        </w:rPr>
      </w:pPr>
    </w:p>
    <w:p>
      <w:pPr>
        <w:ind w:left="200" w:right="300" w:firstLine="4"/>
        <w:spacing w:after="0" w:line="261" w:lineRule="auto"/>
        <w:tabs>
          <w:tab w:leader="none" w:pos="415"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deemed liquidation event, as defined in the investors’ rights agreement, (ii) the fifth anniversary of the completion of our IPO and (iii) when the holders’ shares may be sold without restriction pursuant to Rule 144 within a three month period.</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Effects of our Certificate of Incorporation and Bylaws and Delaware Law</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includes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Board Composition and Filling Vacancies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amended and restated certificate of incorporation provides for the division of our board of directors into three classes serving staggered three-year terms, with one class being elected each year. Our amended and restated certificate of incorporation also provides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 Written Consent of Stockholders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Our amended and restated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Meetings of Stockholders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only a majority of the members of our board of directors then in office may call special meetings of stockholders and only those matters set forth in the notice of the special meeting may be considered or acted upon at a special meeting of stockholders. Our amended and restated bylaws limits the business that may be conducted at an annual meeting of stockholders to those matters properly brought before the meeting.</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Advance Notice Requirements</w:t>
      </w:r>
    </w:p>
    <w:p>
      <w:pPr>
        <w:spacing w:after="0" w:line="117"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Our amended and restated bylaws establishes advance notice procedures with regard to stockholder proposals relating to the nomination of candidates for election as directors or new business to be brought before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Amendment to Certificate of Incorporation and Bylaws</w:t>
      </w:r>
    </w:p>
    <w:p>
      <w:pPr>
        <w:spacing w:after="0" w:line="117"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Any amendment of our amended and restated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bylaws and certificate of incorporation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two-thirds of the outstanding shares entitled to vote on the amendment, or, if our board of directors recommends that the stockholders approve the amendment, by the affirmative vote of the majority of the outstanding shares entitled to vote on the amendment, in each case voting together as a single class.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17"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Our amended and restated certificate of incorporation provides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Our amended and restated bylaws provides that, unless we consent in writing to the selection of an alternative forum, the Court of Chancery of the State of Delaware will be the sole and exclusive forum for any state law claim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Delaware General Corporation Law or our certificate of incorporation or bylaws; or (4) any action asserting a claim governed by the internal affairs doctrine. Our amended and restated bylaws also provide that any person or entity purchasing or otherwise acquiring any interest in shares of our capital stock will be deemed to have notice of and to have consented to this choice of forum provision.</w:t>
      </w:r>
    </w:p>
    <w:p>
      <w:pPr>
        <w:spacing w:after="0" w:line="167" w:lineRule="exact"/>
        <w:rPr>
          <w:sz w:val="20"/>
          <w:szCs w:val="20"/>
          <w:color w:val="auto"/>
        </w:rPr>
      </w:pPr>
    </w:p>
    <w:p>
      <w:pPr>
        <w:ind w:left="200" w:right="780" w:firstLine="441"/>
        <w:spacing w:after="0" w:line="277" w:lineRule="auto"/>
        <w:rPr>
          <w:sz w:val="20"/>
          <w:szCs w:val="20"/>
          <w:color w:val="auto"/>
        </w:rPr>
      </w:pPr>
      <w:r>
        <w:rPr>
          <w:rFonts w:ascii="Arial" w:cs="Arial" w:eastAsia="Arial" w:hAnsi="Arial"/>
          <w:sz w:val="18"/>
          <w:szCs w:val="18"/>
          <w:color w:val="auto"/>
        </w:rPr>
        <w:t>In addition, our amended and restated bylaws contains a provision by virtue of which unless we consent in writing to the selection of an alternative forum, the United States District Court for the District of Massachusetts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85" w:lineRule="auto"/>
        <w:rPr>
          <w:sz w:val="20"/>
          <w:szCs w:val="20"/>
          <w:color w:val="auto"/>
        </w:rPr>
      </w:pPr>
      <w:r>
        <w:rPr>
          <w:rFonts w:ascii="Arial" w:cs="Arial" w:eastAsia="Arial" w:hAnsi="Arial"/>
          <w:sz w:val="16"/>
          <w:szCs w:val="16"/>
          <w:color w:val="auto"/>
        </w:rPr>
        <w:t>will be the exclusive forum for resolving any complaint asserting a cause of action arising under the Securities Act. If any action the subject matter of which is within the scope of the preceding sentence is filed in a court other than the United States District Court for the District of Massachusetts, the plaintiff or plaintiffs shall be deemed by this provision of our amended and restated bylaws (i) to have consented to removal of the action by us to the United States District Court for the District of Massachusetts, in the case of an action filed in a state court, and (ii) to have consented to transfer of the action to the United States District Court for the District of Massachusetts. We have chosen the United States Court for the District of Massachusetts as the exclusive forum for such causes of action because our principal executive offices are located in Cambridge, Massachusetts. Some companies that have adopted similar federal district court forum selection provisions are currently subject to a suit in the Court of Chancery of the State of Delaware by stockholders who assert that the federal district court forum selection provision is not enforceable. On December 19, 2018, the Court of Chancery of the State of Delaware issued a decision declaring that such federal forum selection provisions purporting to require claims under the Securities Act be brought in federal court are ineffective and invalid under Delaware law. In August 2019, the decision was appealed to the Delaware Supreme Court, and the appeal remains pending before the Delaware Supreme Court. Unless and until the Court of Chancery’s decision is reversed by the Delaware Supreme Court or otherwise abrogated, we do not intend to enforce our federal forum selection provision designating the District of Massachusetts as the exclusive forum for Securities Act claims. In the event that the Delaware Supreme Court affirms the Court of Chancery’s decision or otherwise determines that federal forum selection provisions are invalid, the Company’s Board of Directors intends to amend promptly our amended and restated bylaws to remove our federal forum selection bylaw provision. As a result of the Court of Chancery’s decision or a decision by the Supreme Court of Delaware affirming the Court of Chancery’s decision, we may incur additional costs associated with our federal forum selection bylaw provision, which could have an adverse effect on our business, financial condition and results of operations.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Section 203 of the Delaware General Corporation Law</w:t>
      </w:r>
    </w:p>
    <w:p>
      <w:pPr>
        <w:spacing w:after="0" w:line="121"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color w:val="auto"/>
        </w:rPr>
        <w:t>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60" w:lineRule="exact"/>
        <w:rPr>
          <w:sz w:val="20"/>
          <w:szCs w:val="20"/>
          <w:color w:val="auto"/>
        </w:rPr>
      </w:pPr>
    </w:p>
    <w:p>
      <w:pPr>
        <w:ind w:left="1180" w:hanging="436"/>
        <w:spacing w:after="0" w:line="277"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before the stockholder became interested, our board of directors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1180" w:right="60" w:hanging="436"/>
        <w:spacing w:after="0" w:line="279" w:lineRule="auto"/>
        <w:tabs>
          <w:tab w:leader="none" w:pos="1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76" w:lineRule="exact"/>
        <w:rPr>
          <w:rFonts w:ascii="Arial" w:cs="Arial" w:eastAsia="Arial" w:hAnsi="Arial"/>
          <w:sz w:val="17"/>
          <w:szCs w:val="17"/>
          <w:color w:val="auto"/>
        </w:rPr>
      </w:pPr>
    </w:p>
    <w:p>
      <w:pPr>
        <w:jc w:val="both"/>
        <w:ind w:left="1180" w:right="140" w:hanging="436"/>
        <w:spacing w:after="0" w:line="264" w:lineRule="auto"/>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203 defines a business combination to include:</w:t>
      </w:r>
    </w:p>
    <w:p>
      <w:pPr>
        <w:spacing w:after="0" w:line="131" w:lineRule="exact"/>
        <w:rPr>
          <w:sz w:val="20"/>
          <w:szCs w:val="20"/>
          <w:color w:val="auto"/>
        </w:rPr>
      </w:pPr>
    </w:p>
    <w:p>
      <w:pPr>
        <w:ind w:left="1180" w:hanging="436"/>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sale, transfer, lease, pledge or other disposition involving the interested stockholder of 10% or more of the assets of the corporation;</w:t>
      </w:r>
    </w:p>
    <w:p>
      <w:pPr>
        <w:spacing w:after="0" w:line="153" w:lineRule="exact"/>
        <w:rPr>
          <w:rFonts w:ascii="Arial" w:cs="Arial" w:eastAsia="Arial" w:hAnsi="Arial"/>
          <w:sz w:val="16"/>
          <w:szCs w:val="16"/>
          <w:color w:val="auto"/>
        </w:rPr>
      </w:pPr>
    </w:p>
    <w:p>
      <w:pPr>
        <w:ind w:left="1180" w:right="540" w:hanging="436"/>
        <w:spacing w:after="0" w:line="277"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20" w:hanging="436"/>
        <w:spacing w:after="0" w:line="277"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75"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Nasdaq Global Select Market Listing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common stock is listed on The Nasdaq Global Select Market under the trading symbol “AVRO.”</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 and registrar’s address is 250 Royall Street, Canton, Massachusetts 02021, and its telephone number is (800) 962-4284.</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240" w:top="459" w:right="5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may offer debt securities which may be senior or subordinated. We refer to senior debt securities and subordinated debt securities collectively as debt securities. Each series of debt securities may have different terms.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w:t>
      </w:r>
    </w:p>
    <w:p>
      <w:pPr>
        <w:spacing w:after="0" w:line="188"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As used in this prospectus, the term “debt securities” includes the debt securities being offered by this prospectus and all other debt securities issued by us under the indentures.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indentures:</w:t>
      </w:r>
    </w:p>
    <w:p>
      <w:pPr>
        <w:spacing w:after="0" w:line="131" w:lineRule="exact"/>
        <w:rPr>
          <w:sz w:val="20"/>
          <w:szCs w:val="20"/>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 not limit the amount of debt securities that we may issue;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allow us to issue debt securities in one or more series;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 not require us to issue all of the debt securities of a series at the same time;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allow us to reopen a series to issue additional debt securities without the consent of the holders of the debt securities of such series.</w:t>
      </w:r>
    </w:p>
    <w:p>
      <w:pPr>
        <w:spacing w:after="0" w:line="237"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Unless otherwise provided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w:t>
      </w:r>
    </w:p>
    <w:p>
      <w:pPr>
        <w:spacing w:after="0" w:line="14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prospectus supplement for each offering will provide the following terms, where applicable:</w:t>
      </w:r>
    </w:p>
    <w:p>
      <w:pPr>
        <w:spacing w:after="0" w:line="131" w:lineRule="exact"/>
        <w:rPr>
          <w:sz w:val="20"/>
          <w:szCs w:val="20"/>
          <w:color w:val="auto"/>
        </w:rPr>
      </w:pPr>
    </w:p>
    <w:p>
      <w:pPr>
        <w:ind w:left="5620" w:right="4680" w:hanging="4876"/>
        <w:spacing w:after="0" w:line="536" w:lineRule="auto"/>
        <w:tabs>
          <w:tab w:leader="none" w:pos="1172"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title of the debt securities and whether they are senior or subordinated; 16</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20" w:hanging="436"/>
        <w:spacing w:after="0" w:line="264"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86" w:lineRule="exact"/>
        <w:rPr>
          <w:rFonts w:ascii="Arial" w:cs="Arial" w:eastAsia="Arial" w:hAnsi="Arial"/>
          <w:sz w:val="18"/>
          <w:szCs w:val="18"/>
          <w:color w:val="auto"/>
        </w:rPr>
      </w:pPr>
    </w:p>
    <w:p>
      <w:pPr>
        <w:ind w:left="1180" w:right="240" w:hanging="436"/>
        <w:spacing w:after="0" w:line="259"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other securities of ours or the method by which any such portion shall be determined;</w:t>
      </w:r>
    </w:p>
    <w:p>
      <w:pPr>
        <w:spacing w:after="0" w:line="92" w:lineRule="exact"/>
        <w:rPr>
          <w:rFonts w:ascii="Arial" w:cs="Arial" w:eastAsia="Arial" w:hAnsi="Arial"/>
          <w:sz w:val="18"/>
          <w:szCs w:val="18"/>
          <w:color w:val="auto"/>
        </w:rPr>
      </w:pPr>
    </w:p>
    <w:p>
      <w:pPr>
        <w:ind w:left="1180" w:right="380" w:hanging="436"/>
        <w:spacing w:after="0" w:line="264"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convertible, the terms on which such debt securities are convertible, including the initial conversion price or rate and the conversion period and any applicable limitations on the ownership or transferability of common stock or other securities of ours received on conversion;</w:t>
      </w:r>
    </w:p>
    <w:p>
      <w:pPr>
        <w:spacing w:after="0" w:line="86" w:lineRule="exact"/>
        <w:rPr>
          <w:rFonts w:ascii="Arial" w:cs="Arial" w:eastAsia="Arial" w:hAnsi="Arial"/>
          <w:sz w:val="18"/>
          <w:szCs w:val="18"/>
          <w:color w:val="auto"/>
        </w:rPr>
      </w:pPr>
    </w:p>
    <w:p>
      <w:pPr>
        <w:jc w:val="both"/>
        <w:ind w:left="1180" w:right="80" w:hanging="436"/>
        <w:spacing w:after="0" w:line="264"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on which the principal of the debt securities will be payable; the fixed or variable interest rate or rates of the debt securities, or the method by which the interest rate or rates is determined; the date or dates, or the method for determining the date or dates, from which interest will accrue;</w:t>
      </w:r>
    </w:p>
    <w:p>
      <w:pPr>
        <w:spacing w:after="0" w:line="86"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dates on which interest will be payable;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record dates for interest payment dates, or the method by which such dates will be determined;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persons to whom interest will be payable;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place or places where the principal of, and any premium or make-whole amount, and interest on, the debt securities will be payable;</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where the debt securities may be surrendered for registration of transfer or conversion or exchange;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times, prices and other terms and conditions upon which we may redeem the debt securities;</w:t>
      </w:r>
    </w:p>
    <w:p>
      <w:pPr>
        <w:spacing w:after="0" w:line="130" w:lineRule="exact"/>
        <w:rPr>
          <w:rFonts w:ascii="Arial" w:cs="Arial" w:eastAsia="Arial" w:hAnsi="Arial"/>
          <w:sz w:val="18"/>
          <w:szCs w:val="18"/>
          <w:color w:val="auto"/>
        </w:rPr>
      </w:pPr>
    </w:p>
    <w:p>
      <w:pPr>
        <w:ind w:left="1180" w:right="320" w:hanging="436"/>
        <w:spacing w:after="0" w:line="264"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obligation we have to redeem, repay or repurchase the debt securities pursuant to any sinking fund or analogous provision or at the option of holders of the debt securities, and the times and prices at which we must redeem, repay or repurchase the debt securities as a result of such obligation;</w:t>
      </w:r>
    </w:p>
    <w:p>
      <w:pPr>
        <w:spacing w:after="0" w:line="86" w:lineRule="exact"/>
        <w:rPr>
          <w:rFonts w:ascii="Arial" w:cs="Arial" w:eastAsia="Arial" w:hAnsi="Arial"/>
          <w:sz w:val="18"/>
          <w:szCs w:val="18"/>
          <w:color w:val="auto"/>
        </w:rPr>
      </w:pPr>
    </w:p>
    <w:p>
      <w:pPr>
        <w:ind w:left="1180" w:right="160" w:hanging="436"/>
        <w:spacing w:after="0" w:line="255"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 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98" w:lineRule="exact"/>
        <w:rPr>
          <w:rFonts w:ascii="Arial" w:cs="Arial" w:eastAsia="Arial" w:hAnsi="Arial"/>
          <w:sz w:val="18"/>
          <w:szCs w:val="18"/>
          <w:color w:val="auto"/>
        </w:rPr>
      </w:pPr>
    </w:p>
    <w:p>
      <w:pPr>
        <w:ind w:left="1180" w:hanging="436"/>
        <w:spacing w:after="0" w:line="259"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debt securities will be in registered form, bearer form, or both, and (i) if in registered form, the person to whom any interest shall be payable, if other than the person in whose name the security is registered at the close of business on the regular record date for such interest, or (ii) if in bearer form, the manner in which, or the person to whom, any interest on the security shall be payable if otherwise than upon presentation and surrender upon maturity;</w:t>
      </w:r>
    </w:p>
    <w:p>
      <w:pPr>
        <w:spacing w:after="0" w:line="92" w:lineRule="exact"/>
        <w:rPr>
          <w:rFonts w:ascii="Arial" w:cs="Arial" w:eastAsia="Arial" w:hAnsi="Arial"/>
          <w:sz w:val="18"/>
          <w:szCs w:val="18"/>
          <w:color w:val="auto"/>
        </w:rPr>
      </w:pPr>
    </w:p>
    <w:p>
      <w:pPr>
        <w:ind w:left="1180" w:right="160" w:hanging="436"/>
        <w:spacing w:after="0" w:line="342" w:lineRule="auto"/>
        <w:tabs>
          <w:tab w:leader="none" w:pos="1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restrictions applicable to the offer, sale or delivery of securities in bearer form and the terms upon which securities in bearer form of the series may be exchanged for securities in registered form of the series and vice versa, if permitted by applicable laws and regulations;</w:t>
      </w:r>
    </w:p>
    <w:p>
      <w:pPr>
        <w:spacing w:after="0" w:line="29" w:lineRule="exact"/>
        <w:rPr>
          <w:rFonts w:ascii="Arial" w:cs="Arial" w:eastAsia="Arial" w:hAnsi="Arial"/>
          <w:sz w:val="16"/>
          <w:szCs w:val="16"/>
          <w:color w:val="auto"/>
        </w:rPr>
      </w:pPr>
    </w:p>
    <w:p>
      <w:pPr>
        <w:ind w:left="1180" w:right="180" w:hanging="436"/>
        <w:spacing w:after="0" w:line="259"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identity of the depositary for securities in registered form, if such series are to be issuable as a global security;</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applicability, if any, of the defeasance and covenant defeasance provisions described in this prospectus or in the applicable indenture;</w:t>
      </w:r>
    </w:p>
    <w:p>
      <w:pPr>
        <w:spacing w:after="0" w:line="153" w:lineRule="exact"/>
        <w:rPr>
          <w:rFonts w:ascii="Arial" w:cs="Arial" w:eastAsia="Arial" w:hAnsi="Arial"/>
          <w:sz w:val="16"/>
          <w:szCs w:val="16"/>
          <w:color w:val="auto"/>
        </w:rPr>
      </w:pPr>
    </w:p>
    <w:p>
      <w:pPr>
        <w:ind w:left="1180" w:right="480" w:hanging="436"/>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and under what circumstances we will pay any additional amounts on the debt securities in respect of any tax, assessment or governmental charge;</w:t>
      </w:r>
    </w:p>
    <w:p>
      <w:pPr>
        <w:spacing w:after="0" w:line="75" w:lineRule="exact"/>
        <w:rPr>
          <w:rFonts w:ascii="Arial" w:cs="Arial" w:eastAsia="Arial" w:hAnsi="Arial"/>
          <w:sz w:val="18"/>
          <w:szCs w:val="18"/>
          <w:color w:val="auto"/>
        </w:rPr>
      </w:pPr>
    </w:p>
    <w:p>
      <w:pPr>
        <w:ind w:left="1180" w:right="220" w:hanging="436"/>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and under what circumstances the debt securities being offered are convertible into common stock or other securities of ours, as the case may be, including the conversion price or rate and the manner or calculation thereof;</w:t>
      </w:r>
    </w:p>
    <w:p>
      <w:pPr>
        <w:spacing w:after="0" w:line="75"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name of the applicable trustee and the nature of any material relationship with us or any of our affiliates, and the percentage of debt securities of the class necessary to require the trustee to take action;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terms of such debt securities not inconsistent with the provisions of the applicable indenture.</w:t>
      </w:r>
    </w:p>
    <w:p>
      <w:pPr>
        <w:spacing w:after="0" w:line="225" w:lineRule="exact"/>
        <w:rPr>
          <w:sz w:val="20"/>
          <w:szCs w:val="20"/>
          <w:color w:val="auto"/>
        </w:rPr>
      </w:pPr>
    </w:p>
    <w:p>
      <w:pPr>
        <w:jc w:val="both"/>
        <w:ind w:left="200" w:right="300" w:firstLine="441"/>
        <w:spacing w:after="0" w:line="259" w:lineRule="auto"/>
        <w:rPr>
          <w:sz w:val="20"/>
          <w:szCs w:val="20"/>
          <w:color w:val="auto"/>
        </w:rPr>
      </w:pPr>
      <w:r>
        <w:rPr>
          <w:rFonts w:ascii="Arial" w:cs="Arial" w:eastAsia="Arial" w:hAnsi="Arial"/>
          <w:sz w:val="18"/>
          <w:szCs w:val="18"/>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18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Except as described under “—Merger, Consolidation or Sale of Assets” or as may be set forth in any prospectus supplement, the debt securities will not contain any provisions that (i) would limit our ability to incur indebtedness or (ii)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178"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Our governing instruments do not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14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Unless otherwise provided in the applicable prospectus supplement, the principal of, and any premium or make-whole amount, and interest on, any series of the debt securities will be payable by mailing a check to the address of the person entitled to it as it appears in the applicable register for the debt securities or by wire transfer of funds to that person at an account maintained within the United States.</w:t>
      </w:r>
    </w:p>
    <w:p>
      <w:pPr>
        <w:spacing w:after="0" w:line="18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Denomination, Interest, Registration and Transfer</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Unless otherwise provided in the applicable prospectus supplement, the debt securities of any series will be issuable in denominations of $1,000 and integral multiples of $1,000.</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on the debt securities shall be computed on the basis of a 360-day year composed of twelve 30-day months.</w:t>
      </w:r>
    </w:p>
    <w:p>
      <w:pPr>
        <w:spacing w:after="0" w:line="22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76" w:lineRule="exact"/>
        <w:rPr>
          <w:sz w:val="20"/>
          <w:szCs w:val="20"/>
          <w:color w:val="auto"/>
        </w:rPr>
      </w:pPr>
    </w:p>
    <w:p>
      <w:pPr>
        <w:jc w:val="both"/>
        <w:ind w:left="1180" w:right="220" w:hanging="436"/>
        <w:spacing w:after="0" w:line="264" w:lineRule="auto"/>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86"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surrender them for registration of transfer or exchange at the corporate trust office of the applicable trustee or at the office of any transfer agent that we designate for such purpose.</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Every debt security surrendered for registration of transfer or exchange must be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We may at any time designate additional transfer agents for any series of debt securities.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Neither we, nor any trustee, will be required to:</w:t>
      </w:r>
    </w:p>
    <w:p>
      <w:pPr>
        <w:spacing w:after="0" w:line="131" w:lineRule="exact"/>
        <w:rPr>
          <w:sz w:val="20"/>
          <w:szCs w:val="20"/>
          <w:color w:val="auto"/>
        </w:rPr>
      </w:pPr>
    </w:p>
    <w:p>
      <w:pPr>
        <w:ind w:left="1180" w:right="20" w:hanging="436"/>
        <w:spacing w:after="0" w:line="264"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w:t>
      </w:r>
    </w:p>
    <w:p>
      <w:pPr>
        <w:spacing w:after="0" w:line="86" w:lineRule="exact"/>
        <w:rPr>
          <w:rFonts w:ascii="Arial" w:cs="Arial" w:eastAsia="Arial" w:hAnsi="Arial"/>
          <w:sz w:val="18"/>
          <w:szCs w:val="18"/>
          <w:color w:val="auto"/>
        </w:rPr>
      </w:pPr>
    </w:p>
    <w:p>
      <w:pPr>
        <w:ind w:left="1180" w:right="640" w:hanging="436"/>
        <w:spacing w:after="0" w:line="277"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or portion thereof, so selected for redemption, in whole or in part, except the unredeemed portion of any debt security being redeemed in part; and</w:t>
      </w:r>
    </w:p>
    <w:p>
      <w:pPr>
        <w:spacing w:after="0" w:line="75"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that has been surrendered for repayment at the option of the holder, except the portion, if any, of such debt security not to be so repaid.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Merger, Consolidation or Sale of Assets</w:t>
      </w:r>
    </w:p>
    <w:p>
      <w:pPr>
        <w:spacing w:after="0" w:line="12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76" w:lineRule="exact"/>
        <w:rPr>
          <w:sz w:val="20"/>
          <w:szCs w:val="20"/>
          <w:color w:val="auto"/>
        </w:rPr>
      </w:pPr>
    </w:p>
    <w:p>
      <w:pPr>
        <w:ind w:left="1180" w:right="300" w:hanging="436"/>
        <w:spacing w:after="0" w:line="264"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either we are the continuing entity, or the successor entity, if other than us, assumes the obligations (a) to pay the principal of, and any premium or make-whole amount, and interest on, all of the debt securities and (b) to duly perform and observe all of the covenants and conditions contained in the applicable indenture;</w:t>
      </w:r>
    </w:p>
    <w:p>
      <w:pPr>
        <w:spacing w:after="0" w:line="86"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after giving effect to the transaction, there is no event of default under the applicable indentures and no event which, after notice or the lapse of time, or both, would become such an event of default, occurs and continues;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officers’ certificate and legal opinion covering such conditions are delivered to each applicable trustee.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of Default, Notice and Waiver</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Unless the applicable prospectus supplement states otherwise, when we refer to “events of default” as defined in the indentures with respect to any series of debt securities, we mean:</w:t>
      </w:r>
    </w:p>
    <w:p>
      <w:pPr>
        <w:spacing w:after="0" w:line="76" w:lineRule="exact"/>
        <w:rPr>
          <w:sz w:val="20"/>
          <w:szCs w:val="20"/>
          <w:color w:val="auto"/>
        </w:rPr>
      </w:pPr>
    </w:p>
    <w:p>
      <w:pPr>
        <w:ind w:left="1180" w:right="220" w:hanging="436"/>
        <w:spacing w:after="0" w:line="277"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on any debt security of such series continuing for 90 days unless such date has been extended or deferred;</w:t>
      </w:r>
    </w:p>
    <w:p>
      <w:pPr>
        <w:spacing w:after="0" w:line="75"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default in the payment of principal of, or any premium or make-whole amount on, any debt security of such series when due and payable unless such date has been extended or deferred;</w:t>
      </w:r>
    </w:p>
    <w:p>
      <w:pPr>
        <w:spacing w:after="0" w:line="75"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in the debt securities or in the indenture by us continuing for 90 days after written notice described below;</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bankruptcy, insolvency or reorganization, or court appointment of a receiver, liquidator or trustee of us;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a particular series of debt securities.</w:t>
      </w:r>
    </w:p>
    <w:p>
      <w:pPr>
        <w:spacing w:after="0" w:line="225"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98" w:lineRule="exact"/>
        <w:rPr>
          <w:sz w:val="20"/>
          <w:szCs w:val="20"/>
          <w:color w:val="auto"/>
        </w:rPr>
      </w:pPr>
    </w:p>
    <w:p>
      <w:pPr>
        <w:jc w:val="both"/>
        <w:ind w:left="1180" w:right="100" w:hanging="436"/>
        <w:spacing w:after="0" w:line="264"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86"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accelerated principal, or a specified portion thereof, and any premium or make-whole amount, have been cured or waived.</w:t>
      </w:r>
    </w:p>
    <w:p>
      <w:pPr>
        <w:spacing w:after="0" w:line="170"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The indentures require each trustee to give notice to the holders of debt securities within the later of 90 days after an event of default and 30 days after the event of default is actually known to a responsible officer of such trustee, unless such default has been cured or waived. However, the trustee may withhold notice if specified persons of such trustee consider such withholding to be in the interest of the holders of debt securities.</w:t>
      </w:r>
    </w:p>
    <w:p>
      <w:pPr>
        <w:spacing w:after="0" w:line="14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indentures provide that holders of debt securities of any series may not institute any proceedings, judicial or otherwise, with respect to such indenture or for any remedy under the indenture, unless the trustee fails to act for a period of 90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193"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the time, method and place of conducting any proceeding for any remedy available to the applicable trustee, or of exercising any trust or power conferred upon such trustee. However, a trustee may refuse to follow any direction which:</w:t>
      </w:r>
    </w:p>
    <w:p>
      <w:pPr>
        <w:spacing w:after="0" w:line="76" w:lineRule="exact"/>
        <w:rPr>
          <w:sz w:val="20"/>
          <w:szCs w:val="20"/>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 in conflict with any law or the applicable indenture;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may involve the trustee in personal liability;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may be unduly prejudicial to the holders of debt securities of the series not joining the proceeding.</w:t>
      </w:r>
    </w:p>
    <w:p>
      <w:pPr>
        <w:spacing w:after="0" w:line="225"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Modification of the Indentures</w:t>
      </w:r>
    </w:p>
    <w:p>
      <w:pPr>
        <w:spacing w:after="0" w:line="12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indentures provide that modifications and amendments may be made only with the consent of the affected holders of a majority in principal amount of all outstanding debt securities issued under that indenture:</w:t>
      </w:r>
    </w:p>
    <w:p>
      <w:pPr>
        <w:spacing w:after="0" w:line="17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We and our respective trustee may make modifications and amendments of an indenture without the consent of any holder of debt securities for any of the following purposes:</w:t>
      </w:r>
    </w:p>
    <w:p>
      <w:pPr>
        <w:spacing w:after="0" w:line="76" w:lineRule="exact"/>
        <w:rPr>
          <w:sz w:val="20"/>
          <w:szCs w:val="20"/>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as obligor under such indenture;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w:t>
      </w:r>
    </w:p>
    <w:p>
      <w:pPr>
        <w:spacing w:after="0" w:line="130" w:lineRule="exact"/>
        <w:rPr>
          <w:rFonts w:ascii="Arial" w:cs="Arial" w:eastAsia="Arial" w:hAnsi="Arial"/>
          <w:sz w:val="18"/>
          <w:szCs w:val="18"/>
          <w:color w:val="auto"/>
        </w:rPr>
      </w:pPr>
    </w:p>
    <w:p>
      <w:pPr>
        <w:ind w:left="1180" w:right="340" w:hanging="436"/>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add to our covenants for the benefit of the holders of all or any series of debt securities or to surrender any right or power conferred upon us in such indenture;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add events of default for the benefit of the holders of all or any series of debt securities;</w:t>
      </w:r>
    </w:p>
    <w:p>
      <w:pPr>
        <w:spacing w:after="0" w:line="130" w:lineRule="exact"/>
        <w:rPr>
          <w:rFonts w:ascii="Arial" w:cs="Arial" w:eastAsia="Arial" w:hAnsi="Arial"/>
          <w:sz w:val="18"/>
          <w:szCs w:val="18"/>
          <w:color w:val="auto"/>
        </w:rPr>
      </w:pPr>
    </w:p>
    <w:p>
      <w:pPr>
        <w:ind w:left="1180" w:right="680" w:hanging="436"/>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debt securities;</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 in any material respect;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establish the form or terms of debt securities of any series;</w:t>
      </w:r>
    </w:p>
    <w:p>
      <w:pPr>
        <w:spacing w:after="0" w:line="130" w:lineRule="exact"/>
        <w:rPr>
          <w:rFonts w:ascii="Arial" w:cs="Arial" w:eastAsia="Arial" w:hAnsi="Arial"/>
          <w:sz w:val="18"/>
          <w:szCs w:val="18"/>
          <w:color w:val="auto"/>
        </w:rPr>
      </w:pPr>
    </w:p>
    <w:p>
      <w:pPr>
        <w:ind w:left="1180" w:hanging="436"/>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provide for the acceptance of appointment by a successor trustee or facilitate the administration of the trusts under an indenture by more than one trustee; or</w:t>
      </w:r>
    </w:p>
    <w:p>
      <w:pPr>
        <w:spacing w:after="0" w:line="75" w:lineRule="exact"/>
        <w:rPr>
          <w:rFonts w:ascii="Arial" w:cs="Arial" w:eastAsia="Arial" w:hAnsi="Arial"/>
          <w:sz w:val="18"/>
          <w:szCs w:val="18"/>
          <w:color w:val="auto"/>
        </w:rPr>
      </w:pPr>
    </w:p>
    <w:p>
      <w:pPr>
        <w:ind w:left="1180" w:right="120" w:hanging="436"/>
        <w:spacing w:after="0" w:line="277"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cure any ambiguity, defect or inconsistency in an indenture, provided that such action shall not adversely affect the interests of holders of debt securities of any series issued under such indenture.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 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Subordination</w:t>
      </w:r>
    </w:p>
    <w:p>
      <w:pPr>
        <w:spacing w:after="0" w:line="12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Unless otherwise provided in the applicable prospectus supplement, subordinated debt securities will be subject to the following subordination provisions.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60"/>
          </w:cols>
          <w:pgMar w:left="24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ours. As a result of these subordination provisions, in the event of a distribution of assets upon insolvency, holders of subordinated debt securities may recover less, ratably, than our general creditors.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restrictions will be included in any indenture relating to subordinated debt securities upon the creation of additional senior debt.</w:t>
      </w:r>
    </w:p>
    <w:p>
      <w:pPr>
        <w:spacing w:after="0" w:line="225"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Unless otherwise provided in the applicable prospectus supplement, the indentures allow us to discharge our obligations to holders of any series of debt securities issued under any indenture when:</w:t>
      </w:r>
    </w:p>
    <w:p>
      <w:pPr>
        <w:spacing w:after="0" w:line="76" w:lineRule="exact"/>
        <w:rPr>
          <w:sz w:val="20"/>
          <w:szCs w:val="20"/>
          <w:color w:val="auto"/>
        </w:rPr>
      </w:pPr>
    </w:p>
    <w:p>
      <w:pPr>
        <w:ind w:left="1180" w:hanging="436"/>
        <w:spacing w:after="0" w:line="272" w:lineRule="auto"/>
        <w:tabs>
          <w:tab w:leader="none" w:pos="11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spacing w:after="0" w:line="83" w:lineRule="exact"/>
        <w:rPr>
          <w:rFonts w:ascii="Arial" w:cs="Arial" w:eastAsia="Arial" w:hAnsi="Arial"/>
          <w:sz w:val="17"/>
          <w:szCs w:val="17"/>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and</w:t>
      </w:r>
    </w:p>
    <w:p>
      <w:pPr>
        <w:spacing w:after="0" w:line="130" w:lineRule="exact"/>
        <w:rPr>
          <w:rFonts w:ascii="Arial" w:cs="Arial" w:eastAsia="Arial" w:hAnsi="Arial"/>
          <w:sz w:val="18"/>
          <w:szCs w:val="18"/>
          <w:color w:val="auto"/>
        </w:rPr>
      </w:pPr>
    </w:p>
    <w:p>
      <w:pPr>
        <w:ind w:left="1180" w:right="460" w:hanging="436"/>
        <w:spacing w:after="0" w:line="277" w:lineRule="auto"/>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officers’ certificate and an opinion of counsel stating the conditions to discharging the debt securities have been satisfied has been delivered to the trustee.</w:t>
      </w:r>
    </w:p>
    <w:p>
      <w:pPr>
        <w:spacing w:after="0" w:line="170"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Unless otherwise provided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shall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79"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Notwithstanding the above, we may not elect to defease and be discharged from the obligation to pay any additional amounts upon the occurrence of particular events of tax, assessment or governmental charge with</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181"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Conversion Rights</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terms and conditions, if any, upon which the debt securities are convertible into common stock or other securities of ours will be set forth in the applicable prospectus supplement. The terms will include whether the debt securities are convertible into shares of common stock or other securities of ours, the conversion price, or manner of calculation thereof, the conversion period, provisions as to whether conversion will be at the issuing company’s option or the option of the holders, the events requiring an adjustment of the conversion price and provisions affecting conversion in the event of the redemption of the debt securities and any restrictions on conversion.</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 Recourse</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No recourse shall be had under any obligation, covenant or agreement of ours in the senior indenture or any supplemental indenture, or in any of the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debt securities, waives and releases all such liability.</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60"/>
          </w:cols>
          <w:pgMar w:left="240" w:top="459"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18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will describe in the applicable prospectus supplement the terms of the series of warrants, including:</w:t>
      </w:r>
    </w:p>
    <w:p>
      <w:pPr>
        <w:spacing w:after="0" w:line="131" w:lineRule="exact"/>
        <w:rPr>
          <w:sz w:val="20"/>
          <w:szCs w:val="20"/>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offering price and aggregate number of warrants offered;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currency for which the warrants may be purchased;</w:t>
      </w:r>
    </w:p>
    <w:p>
      <w:pPr>
        <w:spacing w:after="0" w:line="130" w:lineRule="exact"/>
        <w:rPr>
          <w:rFonts w:ascii="Arial" w:cs="Arial" w:eastAsia="Arial" w:hAnsi="Arial"/>
          <w:sz w:val="18"/>
          <w:szCs w:val="18"/>
          <w:color w:val="auto"/>
        </w:rPr>
      </w:pPr>
    </w:p>
    <w:p>
      <w:pPr>
        <w:ind w:left="1180" w:right="220" w:hanging="436"/>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applicable, the date on and after which the warrants and the related securities will be separately transferable;</w:t>
      </w:r>
    </w:p>
    <w:p>
      <w:pPr>
        <w:spacing w:after="0" w:line="130" w:lineRule="exact"/>
        <w:rPr>
          <w:rFonts w:ascii="Arial" w:cs="Arial" w:eastAsia="Arial" w:hAnsi="Arial"/>
          <w:sz w:val="18"/>
          <w:szCs w:val="18"/>
          <w:color w:val="auto"/>
        </w:rPr>
      </w:pPr>
    </w:p>
    <w:p>
      <w:pPr>
        <w:ind w:left="1180" w:hanging="436"/>
        <w:spacing w:after="0" w:line="279" w:lineRule="auto"/>
        <w:tabs>
          <w:tab w:leader="none" w:pos="11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 the case of warrants to purchase debt securities, the principal amount of debt securities purchasable upon exercise of one warrant and the price at, and currency in which, this principal amount of debt securities may be purchased upon such exercise; 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76" w:lineRule="exact"/>
        <w:rPr>
          <w:rFonts w:ascii="Arial" w:cs="Arial" w:eastAsia="Arial" w:hAnsi="Arial"/>
          <w:sz w:val="17"/>
          <w:szCs w:val="17"/>
          <w:color w:val="auto"/>
        </w:rPr>
      </w:pPr>
    </w:p>
    <w:p>
      <w:pPr>
        <w:ind w:left="1180" w:right="240" w:hanging="436"/>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any merger, consolidation, sale or other disposition of our business on the warrant agreement and the warrants; the terms of any rights to redeem or call the warrants;</w:t>
      </w:r>
    </w:p>
    <w:p>
      <w:pPr>
        <w:spacing w:after="0" w:line="75" w:lineRule="exact"/>
        <w:rPr>
          <w:rFonts w:ascii="Arial" w:cs="Arial" w:eastAsia="Arial" w:hAnsi="Arial"/>
          <w:sz w:val="18"/>
          <w:szCs w:val="18"/>
          <w:color w:val="auto"/>
        </w:rPr>
      </w:pPr>
    </w:p>
    <w:p>
      <w:pPr>
        <w:ind w:left="1180" w:right="500" w:hanging="436"/>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provisions for changes to or adjustments in the exercise price or number of securities issuable upon exercise of the warrants; the periods during which, and places at which, the warrants are exercisable;</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manner of exercise;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dates on which the right to exercise the warrants will commence and expire;</w:t>
      </w:r>
    </w:p>
    <w:p>
      <w:pPr>
        <w:spacing w:after="0" w:line="130" w:lineRule="exact"/>
        <w:rPr>
          <w:rFonts w:ascii="Arial" w:cs="Arial" w:eastAsia="Arial" w:hAnsi="Arial"/>
          <w:sz w:val="18"/>
          <w:szCs w:val="18"/>
          <w:color w:val="auto"/>
        </w:rPr>
      </w:pPr>
    </w:p>
    <w:p>
      <w:pPr>
        <w:ind w:left="1180" w:right="160" w:hanging="436"/>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manner in which the warrant agreement and warrants may be modified; federal income tax consequences of holding or exercising the warrants;</w:t>
      </w:r>
    </w:p>
    <w:p>
      <w:pPr>
        <w:spacing w:after="0" w:line="75" w:lineRule="exact"/>
        <w:rPr>
          <w:rFonts w:ascii="Arial" w:cs="Arial" w:eastAsia="Arial" w:hAnsi="Arial"/>
          <w:sz w:val="18"/>
          <w:szCs w:val="18"/>
          <w:color w:val="auto"/>
        </w:rPr>
      </w:pPr>
    </w:p>
    <w:p>
      <w:pPr>
        <w:ind w:left="1180" w:right="440" w:hanging="436"/>
        <w:spacing w:after="0" w:line="277"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 and any other specific terms, preferences, rights or limitations of or restrictions on the warrants.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8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92" w:lineRule="exact"/>
        <w:rPr>
          <w:sz w:val="20"/>
          <w:szCs w:val="20"/>
          <w:color w:val="auto"/>
        </w:rPr>
      </w:pPr>
    </w:p>
    <w:p>
      <w:pPr>
        <w:ind w:left="1180" w:right="260" w:hanging="436"/>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provisions of the governing unit agreement;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price or prices at which such units will be issued;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applicable United States federal income tax considerations relating to the units;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provisions for the issuance, payment, settlement, transfer or exchange of the units or of the securities comprising the units; and</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terms of the units and of the securities comprising the units.</w:t>
      </w:r>
    </w:p>
    <w:p>
      <w:pPr>
        <w:spacing w:after="0" w:line="225"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The provisions described in this section, as well as those described under “Description of Capital Stock,” “Description of Debt Securities” and “Description of Warrants” will apply to the securities included in each unit, to the extent relevant and as may be updated in any prospectus supplements.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Issuance in Series</w:t>
      </w:r>
    </w:p>
    <w:p>
      <w:pPr>
        <w:spacing w:after="0" w:line="121"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Unit Agreements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24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provisions will generally apply to all unit agreements unless otherwise stated in the applicable prospectus supplement: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Modification without Consent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and the applicable unit agent may amend any unit or unit agreement without the consent of any holder:</w:t>
      </w:r>
    </w:p>
    <w:p>
      <w:pPr>
        <w:spacing w:after="0" w:line="131" w:lineRule="exact"/>
        <w:rPr>
          <w:sz w:val="20"/>
          <w:szCs w:val="20"/>
          <w:color w:val="auto"/>
        </w:rPr>
      </w:pPr>
    </w:p>
    <w:p>
      <w:pPr>
        <w:ind w:left="1180" w:hanging="436"/>
        <w:spacing w:after="0"/>
        <w:tabs>
          <w:tab w:leader="none" w:pos="11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to cure any ambiguity, including modifying any provisions of the governing unit agreement that differ from those described below;</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correct or supplement any defective or inconsistent provision; or</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make any other change that we believe is necessary or desirable and will not adversely affect the interests of the affected holders in any material respect.</w:t>
      </w:r>
    </w:p>
    <w:p>
      <w:pPr>
        <w:spacing w:after="0" w:line="170"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Modification with Consent</w:t>
      </w:r>
    </w:p>
    <w:p>
      <w:pPr>
        <w:spacing w:after="0" w:line="11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We may not amend any particular unit or a unit agreement with respect to any particular unit unless we obtain the consent of the holder of that unit, if the amendment would:</w:t>
      </w:r>
    </w:p>
    <w:p>
      <w:pPr>
        <w:spacing w:after="0" w:line="76" w:lineRule="exact"/>
        <w:rPr>
          <w:sz w:val="20"/>
          <w:szCs w:val="20"/>
          <w:color w:val="auto"/>
        </w:rPr>
      </w:pPr>
    </w:p>
    <w:p>
      <w:pPr>
        <w:ind w:left="1180" w:right="160" w:hanging="436"/>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75" w:lineRule="exact"/>
        <w:rPr>
          <w:rFonts w:ascii="Arial" w:cs="Arial" w:eastAsia="Arial" w:hAnsi="Arial"/>
          <w:sz w:val="18"/>
          <w:szCs w:val="18"/>
          <w:color w:val="auto"/>
        </w:rPr>
      </w:pPr>
    </w:p>
    <w:p>
      <w:pPr>
        <w:ind w:left="1180" w:right="180" w:hanging="436"/>
        <w:spacing w:after="0" w:line="277"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other change to a particular unit agreement and the units issued under that agreement would require the following approval:</w:t>
      </w:r>
    </w:p>
    <w:p>
      <w:pPr>
        <w:spacing w:after="0" w:line="131" w:lineRule="exact"/>
        <w:rPr>
          <w:sz w:val="20"/>
          <w:szCs w:val="20"/>
          <w:color w:val="auto"/>
        </w:rPr>
      </w:pPr>
    </w:p>
    <w:p>
      <w:pPr>
        <w:ind w:left="1180" w:right="400" w:hanging="436"/>
        <w:spacing w:after="0" w:line="277" w:lineRule="auto"/>
        <w:tabs>
          <w:tab w:leader="none" w:pos="1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change affects only the units of a particular series issued under that agreement, the change must be approved by the holders of a majority of the outstanding units of that series; or</w:t>
      </w:r>
    </w:p>
    <w:p>
      <w:pPr>
        <w:spacing w:after="0" w:line="75" w:lineRule="exact"/>
        <w:rPr>
          <w:rFonts w:ascii="Arial" w:cs="Arial" w:eastAsia="Arial" w:hAnsi="Arial"/>
          <w:sz w:val="18"/>
          <w:szCs w:val="18"/>
          <w:color w:val="auto"/>
        </w:rPr>
      </w:pPr>
    </w:p>
    <w:p>
      <w:pPr>
        <w:jc w:val="both"/>
        <w:ind w:left="1180" w:right="140" w:hanging="436"/>
        <w:spacing w:after="0" w:line="342" w:lineRule="auto"/>
        <w:tabs>
          <w:tab w:leader="none" w:pos="1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24"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These provisions regarding changes with majority approval also apply to changes affecting any securities issued under a unit agreement, as the governing document.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Unit Agreements Will Not Be Qualified under Trust Indenture Act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No unit agreement will be qualified as an indenture, and no unit agent will be required to qualify as a trustee, under the Trust Indenture Act.</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Therefore, holders of units issued under unit agreements will not have the protections of the Trust Indenture Act with respect to their units.</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Mergers and Similar Transactions Permitted; No Restrictive Covenants or Events of Default</w:t>
      </w:r>
    </w:p>
    <w:p>
      <w:pPr>
        <w:spacing w:after="0" w:line="11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unit agreements will not restrict our ability to merge or consolidate with, or sell our assets to, another corporation or other entity or to engage in any other transactions. If at any time we merge or consolidate with, or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Governing Law</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unit agreements and the units will be governed by Delaware law.</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Form, Exchange and Transfer</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We will issue each unit in global—i.e., book-entry—form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unit and all securities comprising the unit will be issued in the same form.</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we issue any units in registered, non-global form, the following will apply to them.</w:t>
      </w:r>
    </w:p>
    <w:p>
      <w:pPr>
        <w:spacing w:after="0" w:line="225" w:lineRule="exact"/>
        <w:rPr>
          <w:sz w:val="20"/>
          <w:szCs w:val="20"/>
          <w:color w:val="auto"/>
        </w:rPr>
      </w:pPr>
    </w:p>
    <w:p>
      <w:pPr>
        <w:ind w:left="200" w:right="560" w:firstLine="441"/>
        <w:spacing w:after="0" w:line="308" w:lineRule="auto"/>
        <w:rPr>
          <w:sz w:val="20"/>
          <w:szCs w:val="20"/>
          <w:color w:val="auto"/>
        </w:rPr>
      </w:pPr>
      <w:r>
        <w:rPr>
          <w:rFonts w:ascii="Arial" w:cs="Arial" w:eastAsia="Arial" w:hAnsi="Arial"/>
          <w:sz w:val="17"/>
          <w:szCs w:val="17"/>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52" w:lineRule="exact"/>
        <w:rPr>
          <w:sz w:val="20"/>
          <w:szCs w:val="20"/>
          <w:color w:val="auto"/>
        </w:rPr>
      </w:pPr>
    </w:p>
    <w:p>
      <w:pPr>
        <w:ind w:left="1180" w:right="260" w:hanging="436"/>
        <w:spacing w:after="0" w:line="308" w:lineRule="auto"/>
        <w:tabs>
          <w:tab w:leader="none" w:pos="1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51" w:lineRule="exact"/>
        <w:rPr>
          <w:rFonts w:ascii="Arial" w:cs="Arial" w:eastAsia="Arial" w:hAnsi="Arial"/>
          <w:sz w:val="17"/>
          <w:szCs w:val="17"/>
          <w:color w:val="auto"/>
        </w:rPr>
      </w:pPr>
    </w:p>
    <w:p>
      <w:pPr>
        <w:ind w:left="1180" w:right="20" w:hanging="436"/>
        <w:spacing w:after="0" w:line="259" w:lineRule="auto"/>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92" w:lineRule="exact"/>
        <w:rPr>
          <w:rFonts w:ascii="Arial" w:cs="Arial" w:eastAsia="Arial" w:hAnsi="Arial"/>
          <w:sz w:val="18"/>
          <w:szCs w:val="18"/>
          <w:color w:val="auto"/>
        </w:rPr>
      </w:pPr>
    </w:p>
    <w:p>
      <w:pPr>
        <w:ind w:left="1180" w:right="20" w:hanging="436"/>
        <w:spacing w:after="0" w:line="273" w:lineRule="auto"/>
        <w:tabs>
          <w:tab w:leader="none" w:pos="11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Only the depositary will be entitled to transfer or exchange a unit in global form, since it will be the sole holder of the unit.</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Payments and Notices</w:t>
      </w:r>
    </w:p>
    <w:p>
      <w:pPr>
        <w:spacing w:after="0" w:line="117"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In making payments and giving notices with respect to our units, we will follow the procedures as described in the applicable prospectus supplement.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420" w:firstLine="441"/>
        <w:spacing w:after="0" w:line="291" w:lineRule="auto"/>
        <w:rPr>
          <w:sz w:val="20"/>
          <w:szCs w:val="20"/>
          <w:color w:val="auto"/>
        </w:rPr>
      </w:pPr>
      <w:r>
        <w:rPr>
          <w:rFonts w:ascii="Arial" w:cs="Arial" w:eastAsia="Arial" w:hAnsi="Arial"/>
          <w:sz w:val="16"/>
          <w:szCs w:val="16"/>
          <w:color w:val="auto"/>
        </w:rPr>
        <w:t>We may sell the securities offered through this prospectus and any accompanying prospectus supplement, if required, in any of the following ways: (1) to or through underwriters or dealers, (2) directly to purchasers, including our affiliates, or to a single purchaser (3) through agents, or</w:t>
      </w:r>
    </w:p>
    <w:p>
      <w:pPr>
        <w:ind w:left="200" w:right="460" w:firstLine="4"/>
        <w:spacing w:after="0" w:line="261" w:lineRule="auto"/>
        <w:tabs>
          <w:tab w:leader="none" w:pos="4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through a combination of any these methods. The securities may be distributed at a fixed price or prices, which may be changed, market prices prevailing at the time of sale, prices related to the prevailing market prices, or negotiated prices, either:</w:t>
      </w:r>
    </w:p>
    <w:p>
      <w:pPr>
        <w:spacing w:after="0" w:line="89" w:lineRule="exact"/>
        <w:rPr>
          <w:rFonts w:ascii="Arial" w:cs="Arial" w:eastAsia="Arial" w:hAnsi="Arial"/>
          <w:sz w:val="18"/>
          <w:szCs w:val="18"/>
          <w:color w:val="auto"/>
        </w:rPr>
      </w:pPr>
    </w:p>
    <w:p>
      <w:pPr>
        <w:ind w:left="1180" w:right="120" w:hanging="436"/>
        <w:spacing w:after="0" w:line="277" w:lineRule="auto"/>
        <w:tabs>
          <w:tab w:leader="none" w:pos="11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on or through the facilities of The Nasdaq Global Select Market or any other securities exchange or quotation or trading service on which such securities may be listed, quoted or traded at the time of sale; and/or</w:t>
      </w:r>
    </w:p>
    <w:p>
      <w:pPr>
        <w:spacing w:after="0" w:line="75" w:lineRule="exact"/>
        <w:rPr>
          <w:rFonts w:ascii="Arial" w:cs="Arial" w:eastAsia="Arial" w:hAnsi="Arial"/>
          <w:sz w:val="18"/>
          <w:szCs w:val="18"/>
          <w:color w:val="auto"/>
        </w:rPr>
      </w:pPr>
    </w:p>
    <w:p>
      <w:pPr>
        <w:ind w:left="1180" w:right="480" w:hanging="436"/>
        <w:spacing w:after="0" w:line="277" w:lineRule="auto"/>
        <w:tabs>
          <w:tab w:leader="none" w:pos="11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to or through a market maker otherwise than on The Nasdaq Global Select Market or such other securities exchanges or quotation or trading services.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addition, we may issue the securities as a dividend or distribution or in a subscription rights offering to our existing security holders.</w:t>
      </w:r>
    </w:p>
    <w:p>
      <w:pPr>
        <w:spacing w:after="0" w:line="23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76" w:lineRule="exact"/>
        <w:rPr>
          <w:sz w:val="20"/>
          <w:szCs w:val="20"/>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type and amount of securities we are offering;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public offering or purchase price;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any discounts and commissions to be allowed or paid to the agent or underwriters; all other items constituting underwriting compensation;</w:t>
      </w:r>
    </w:p>
    <w:p>
      <w:pPr>
        <w:spacing w:after="0" w:line="153" w:lineRule="exact"/>
        <w:rPr>
          <w:rFonts w:ascii="Arial" w:cs="Arial" w:eastAsia="Arial" w:hAnsi="Arial"/>
          <w:sz w:val="16"/>
          <w:szCs w:val="16"/>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dealers;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225"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auto"/>
        </w:rPr>
        <w:t>If any underwriters or agents are used in the sale of the securities in respect of which this prospectus is delivered, we will enter into an underwriting agreement, sales agreement or other agreement with them at the time of sale to them, and we will set forth in the prospectus supplement relating to such offering the names of the underwriters or agents and the terms of the related agreement with them.</w:t>
      </w:r>
    </w:p>
    <w:p>
      <w:pPr>
        <w:spacing w:after="0" w:line="166"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In connection with the offering of securities, we may grant to the underwriters an option to purchase additional securities with an additional underwriting commission, as may be set forth in the accompanying prospectus supplement. If we grant any such option, the terms of such option will be set forth in the prospectus supplement for such securities.</w:t>
      </w:r>
    </w:p>
    <w:p>
      <w:pPr>
        <w:spacing w:after="0" w:line="18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If a dealer is used in the sale of the securities in respect of which the prospectus is delivered, we will sell such securities to the dealer, as principal. The dealer, who may be deemed to be an “underwriter” as that term is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defined in the Securities Act, may then resell such securities to the public at varying prices to be determined by such dealer at the time of resale.</w:t>
      </w:r>
    </w:p>
    <w:p>
      <w:pPr>
        <w:spacing w:after="0" w:line="237"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4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81" w:lineRule="exact"/>
        <w:rPr>
          <w:sz w:val="20"/>
          <w:szCs w:val="20"/>
          <w:color w:val="auto"/>
        </w:rPr>
      </w:pPr>
    </w:p>
    <w:p>
      <w:pPr>
        <w:ind w:left="200" w:right="220" w:firstLine="441"/>
        <w:spacing w:after="0" w:line="293"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70" w:lineRule="exact"/>
        <w:rPr>
          <w:sz w:val="20"/>
          <w:szCs w:val="20"/>
          <w:color w:val="auto"/>
        </w:rPr>
      </w:pPr>
    </w:p>
    <w:p>
      <w:pPr>
        <w:ind w:left="1180" w:right="120" w:hanging="436"/>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75" w:lineRule="exact"/>
        <w:rPr>
          <w:rFonts w:ascii="Arial" w:cs="Arial" w:eastAsia="Arial" w:hAnsi="Arial"/>
          <w:sz w:val="18"/>
          <w:szCs w:val="18"/>
          <w:color w:val="auto"/>
        </w:rPr>
      </w:pPr>
    </w:p>
    <w:p>
      <w:pPr>
        <w:ind w:left="1180" w:right="80" w:hanging="436"/>
        <w:spacing w:after="0" w:line="264"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w:t>
      </w:r>
    </w:p>
    <w:p>
      <w:pPr>
        <w:spacing w:after="0" w:line="188"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8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 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spacing w:after="0" w:line="193"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The securities may be new issues of securities and may have no established trading market. The securities may or may not be listed on a national securities exchange. We can make no assurance as to the liquidity of or the existence of trading market for any of the securities.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specific terms of any lock-up provisions in respect of any given offering will be described in the applicable prospectus supplement.</w:t>
      </w:r>
    </w:p>
    <w:p>
      <w:pPr>
        <w:spacing w:after="0" w:line="23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anticipated date of delivery of offered securities will be set forth in the applicable prospectus supplement relating to each offer.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Certain legal matters in connection with this offering will be passed upon for us by Goodwin Procter LLP, Boston, Massachusetts. Any underwriters will also be advised about the validity of the securities and other legal matters by their own counsel, which will be named in the prospectus supplement.</w:t>
      </w:r>
    </w:p>
    <w:p>
      <w:pPr>
        <w:spacing w:after="0" w:line="3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240" w:firstLine="441"/>
        <w:spacing w:after="0" w:line="297" w:lineRule="auto"/>
        <w:rPr>
          <w:sz w:val="20"/>
          <w:szCs w:val="20"/>
          <w:color w:val="auto"/>
        </w:rPr>
      </w:pPr>
      <w:r>
        <w:rPr>
          <w:rFonts w:ascii="Arial" w:cs="Arial" w:eastAsia="Arial" w:hAnsi="Arial"/>
          <w:sz w:val="16"/>
          <w:szCs w:val="16"/>
          <w:color w:val="auto"/>
        </w:rPr>
        <w:t>The consolidated financial statements of AVROBIO, Inc. appearing in AVROBIO, Inc.’s Annual Report (Form 10-K) for the year ended December 31, 2018,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(to the extent covered by consents filed with the Securities and Exchange Commission) given on the authority of such firm as experts in accounting and auditing.</w:t>
      </w:r>
    </w:p>
    <w:p>
      <w:pPr>
        <w:spacing w:after="0" w:line="37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This prospectus is part of a registration statement that we have filed with the SEC. Certain information in the registration statement has been omitted from this prospectus in accordance with the rules of the SEC. We are subject to the information requirements of the Exchange Act and, in accordance therewith, file annual, quarterly and special reports, proxy statements and other information with the SEC. These documents may be accessed through the SEC’s electronic data gathering, analysis and retrieval system, or EDGAR, via electronic means, including the SEC’s home page on the Internet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We will furnish a full statement of the relative rights and preferences of each class or series of our stock which has been so designated and any restrictions on the ownership or transfer of our stock to any shareholder upon request and without charge. Written requests for such copies should be directed to Investor Relations, AVROBIO, Inc., One Kendall Square, Building 300, Suite 201, Cambridge, Massachusetts 02139, and our website is located at </w:t>
      </w:r>
      <w:r>
        <w:rPr>
          <w:rFonts w:ascii="Arial" w:cs="Arial" w:eastAsia="Arial" w:hAnsi="Arial"/>
          <w:sz w:val="18"/>
          <w:szCs w:val="18"/>
          <w:i w:val="1"/>
          <w:iCs w:val="1"/>
          <w:color w:val="auto"/>
        </w:rPr>
        <w:t xml:space="preserve">www.avrobio.com. </w:t>
      </w:r>
      <w:r>
        <w:rPr>
          <w:rFonts w:ascii="Arial" w:cs="Arial" w:eastAsia="Arial" w:hAnsi="Arial"/>
          <w:sz w:val="18"/>
          <w:szCs w:val="18"/>
          <w:color w:val="auto"/>
        </w:rPr>
        <w:t>Information contained on our website is not incorporated by reference into this prospectus and, therefore, is not part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or any accompanying prospectus supplement.</w:t>
      </w:r>
    </w:p>
    <w:p>
      <w:pPr>
        <w:spacing w:after="0" w:line="12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80"/>
          </w:cols>
          <w:pgMar w:left="24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SEC allows us to incorporate by reference the information and reports we file with it, which means that we can disclose important information to you by referring you to these documents. The information incorporated by reference is an important part of this prospectus, and information that we file later with the SEC will automatically update and supersede the information already incorporated by reference. We are incorporating by reference the documents listed below, which we have already filed with the SEC, and any future filings we make with the SEC under Sections 13(a), 13(c), 14 or 15(d) of the Exchange Act, including all filings made after the date of the filing of this registration statement and prior to the effectiveness of this registration statement, except as to any portion of any future report or document that is not deemed filed under such provisions, until we sell all of the securities:</w:t>
      </w:r>
    </w:p>
    <w:p>
      <w:pPr>
        <w:spacing w:after="0" w:line="95" w:lineRule="exact"/>
        <w:rPr>
          <w:sz w:val="20"/>
          <w:szCs w:val="20"/>
          <w:color w:val="auto"/>
        </w:rPr>
      </w:pPr>
    </w:p>
    <w:p>
      <w:pPr>
        <w:ind w:left="1180" w:hanging="436"/>
        <w:spacing w:after="0"/>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5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2018, filed with the SEC on March 25, 2019;</w:t>
      </w:r>
    </w:p>
    <w:p>
      <w:pPr>
        <w:spacing w:after="0" w:line="130" w:lineRule="exact"/>
        <w:rPr>
          <w:rFonts w:ascii="Arial" w:cs="Arial" w:eastAsia="Arial" w:hAnsi="Arial"/>
          <w:sz w:val="18"/>
          <w:szCs w:val="18"/>
          <w:color w:val="auto"/>
        </w:rPr>
      </w:pPr>
    </w:p>
    <w:p>
      <w:pPr>
        <w:ind w:left="1180" w:right="140" w:hanging="436"/>
        <w:spacing w:after="0" w:line="264"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Form 10-K for the year ended December 31, 2018 from our definitive proxy statement on </w:t>
      </w:r>
      <w:hyperlink r:id="rId59">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(other than information furnished rather than filed), which was filed with the SEC on April 26, 2019;</w:t>
      </w:r>
    </w:p>
    <w:p>
      <w:pPr>
        <w:spacing w:after="0" w:line="86" w:lineRule="exact"/>
        <w:rPr>
          <w:rFonts w:ascii="Arial" w:cs="Arial" w:eastAsia="Arial" w:hAnsi="Arial"/>
          <w:sz w:val="18"/>
          <w:szCs w:val="18"/>
          <w:color w:val="auto"/>
        </w:rPr>
      </w:pPr>
    </w:p>
    <w:p>
      <w:pPr>
        <w:ind w:left="1180" w:right="60" w:hanging="436"/>
        <w:spacing w:after="0" w:line="264"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our Quarterly Report on Form 10-Q for the quarter ended March 31, 2019, filed with the SEC on </w:t>
      </w:r>
      <w:hyperlink r:id="rId60">
        <w:r>
          <w:rPr>
            <w:rFonts w:ascii="Arial" w:cs="Arial" w:eastAsia="Arial" w:hAnsi="Arial"/>
            <w:sz w:val="18"/>
            <w:szCs w:val="18"/>
            <w:u w:val="single" w:color="auto"/>
            <w:color w:val="0000EE"/>
          </w:rPr>
          <w:t>May 13, 2019</w:t>
        </w:r>
      </w:hyperlink>
      <w:r>
        <w:rPr>
          <w:rFonts w:ascii="Arial" w:cs="Arial" w:eastAsia="Arial" w:hAnsi="Arial"/>
          <w:sz w:val="18"/>
          <w:szCs w:val="18"/>
          <w:color w:val="auto"/>
        </w:rPr>
        <w:t xml:space="preserve">; our Quarterly Report on Form 10-Q for the quarter ended June 30, 2019, filed with the SEC on </w:t>
      </w:r>
      <w:hyperlink r:id="rId61">
        <w:r>
          <w:rPr>
            <w:rFonts w:ascii="Arial" w:cs="Arial" w:eastAsia="Arial" w:hAnsi="Arial"/>
            <w:sz w:val="18"/>
            <w:szCs w:val="18"/>
            <w:u w:val="single" w:color="auto"/>
            <w:color w:val="0000EE"/>
          </w:rPr>
          <w:t>August 8, 2019</w:t>
        </w:r>
      </w:hyperlink>
      <w:r>
        <w:rPr>
          <w:rFonts w:ascii="Arial" w:cs="Arial" w:eastAsia="Arial" w:hAnsi="Arial"/>
          <w:sz w:val="18"/>
          <w:szCs w:val="18"/>
          <w:color w:val="auto"/>
        </w:rPr>
        <w:t xml:space="preserve">; our Quarterly Report on Form 10-Q for the quarter ended September 30, 2019, filed with the SEC on </w:t>
      </w:r>
      <w:hyperlink r:id="rId62">
        <w:r>
          <w:rPr>
            <w:rFonts w:ascii="Arial" w:cs="Arial" w:eastAsia="Arial" w:hAnsi="Arial"/>
            <w:sz w:val="18"/>
            <w:szCs w:val="18"/>
            <w:u w:val="single" w:color="auto"/>
            <w:color w:val="0000EE"/>
          </w:rPr>
          <w:t>November 7, 2019</w:t>
        </w:r>
      </w:hyperlink>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180" w:right="380" w:hanging="436"/>
        <w:spacing w:after="0" w:line="259" w:lineRule="auto"/>
        <w:tabs>
          <w:tab w:leader="none" w:pos="1180" w:val="left"/>
        </w:tabs>
        <w:numPr>
          <w:ilvl w:val="0"/>
          <w:numId w:val="30"/>
        </w:numPr>
        <w:rPr>
          <w:rFonts w:ascii="Arial" w:cs="Arial" w:eastAsia="Arial" w:hAnsi="Arial"/>
          <w:sz w:val="18"/>
          <w:szCs w:val="18"/>
          <w:color w:val="0000EE"/>
        </w:rPr>
      </w:pPr>
      <w:r>
        <w:rPr>
          <w:rFonts w:ascii="Arial" w:cs="Arial" w:eastAsia="Arial" w:hAnsi="Arial"/>
          <w:sz w:val="18"/>
          <w:szCs w:val="18"/>
          <w:color w:val="auto"/>
        </w:rPr>
        <w:t xml:space="preserve">our Current Report on Form 8-K filed with the SEC on </w:t>
      </w:r>
      <w:hyperlink r:id="rId63">
        <w:r>
          <w:rPr>
            <w:rFonts w:ascii="Arial" w:cs="Arial" w:eastAsia="Arial" w:hAnsi="Arial"/>
            <w:sz w:val="18"/>
            <w:szCs w:val="18"/>
            <w:u w:val="single" w:color="auto"/>
            <w:color w:val="0000EE"/>
          </w:rPr>
          <w:t>January 7, 2019</w:t>
        </w:r>
      </w:hyperlink>
      <w:r>
        <w:rPr>
          <w:rFonts w:ascii="Arial" w:cs="Arial" w:eastAsia="Arial" w:hAnsi="Arial"/>
          <w:sz w:val="18"/>
          <w:szCs w:val="18"/>
          <w:color w:val="auto"/>
        </w:rPr>
        <w:t xml:space="preserve">, our Current Report on Form 8-K/A filed with the SEC on </w:t>
      </w:r>
      <w:hyperlink r:id="rId64">
        <w:r>
          <w:rPr>
            <w:rFonts w:ascii="Arial" w:cs="Arial" w:eastAsia="Arial" w:hAnsi="Arial"/>
            <w:sz w:val="18"/>
            <w:szCs w:val="18"/>
            <w:u w:val="single" w:color="auto"/>
            <w:color w:val="0000EE"/>
          </w:rPr>
          <w:t>January 11, 2019</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r>
        <w:rPr>
          <w:rFonts w:ascii="Arial" w:cs="Arial" w:eastAsia="Arial" w:hAnsi="Arial"/>
          <w:sz w:val="18"/>
          <w:szCs w:val="18"/>
          <w:color w:val="000000"/>
        </w:rPr>
        <w:t>our Current Reports on Form 8-K filed with the SEC on</w:t>
      </w:r>
      <w:r>
        <w:rPr>
          <w:rFonts w:ascii="Arial" w:cs="Arial" w:eastAsia="Arial" w:hAnsi="Arial"/>
          <w:sz w:val="18"/>
          <w:szCs w:val="18"/>
          <w:color w:val="0000EE"/>
        </w:rPr>
        <w:t xml:space="preserve"> </w:t>
      </w:r>
      <w:hyperlink r:id="rId65">
        <w:r>
          <w:rPr>
            <w:rFonts w:ascii="Arial" w:cs="Arial" w:eastAsia="Arial" w:hAnsi="Arial"/>
            <w:sz w:val="18"/>
            <w:szCs w:val="18"/>
            <w:u w:val="single" w:color="auto"/>
            <w:color w:val="0000EE"/>
          </w:rPr>
          <w:t>January 22,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66">
        <w:r>
          <w:rPr>
            <w:rFonts w:ascii="Arial" w:cs="Arial" w:eastAsia="Arial" w:hAnsi="Arial"/>
            <w:sz w:val="18"/>
            <w:szCs w:val="18"/>
            <w:u w:val="single" w:color="auto"/>
            <w:color w:val="0000EE"/>
          </w:rPr>
          <w:t>February 6,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67">
        <w:r>
          <w:rPr>
            <w:rFonts w:ascii="Arial" w:cs="Arial" w:eastAsia="Arial" w:hAnsi="Arial"/>
            <w:sz w:val="18"/>
            <w:szCs w:val="18"/>
            <w:u w:val="single" w:color="auto"/>
            <w:color w:val="0000EE"/>
          </w:rPr>
          <w:t>April 29,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68">
        <w:r>
          <w:rPr>
            <w:rFonts w:ascii="Arial" w:cs="Arial" w:eastAsia="Arial" w:hAnsi="Arial"/>
            <w:sz w:val="18"/>
            <w:szCs w:val="18"/>
            <w:u w:val="single" w:color="auto"/>
            <w:color w:val="0000EE"/>
          </w:rPr>
          <w:t>June 12,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69">
        <w:r>
          <w:rPr>
            <w:rFonts w:ascii="Arial" w:cs="Arial" w:eastAsia="Arial" w:hAnsi="Arial"/>
            <w:sz w:val="18"/>
            <w:szCs w:val="18"/>
            <w:u w:val="single" w:color="auto"/>
            <w:color w:val="0000EE"/>
          </w:rPr>
          <w:t xml:space="preserve">July 15, 2019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70">
        <w:r>
          <w:rPr>
            <w:rFonts w:ascii="Arial" w:cs="Arial" w:eastAsia="Arial" w:hAnsi="Arial"/>
            <w:sz w:val="18"/>
            <w:szCs w:val="18"/>
            <w:u w:val="single" w:color="auto"/>
            <w:color w:val="0000EE"/>
          </w:rPr>
          <w:t>July 17, 2019</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(in each case, except for information contained therein which is furnished rather than</w:t>
      </w:r>
      <w:r>
        <w:rPr>
          <w:rFonts w:ascii="Arial" w:cs="Arial" w:eastAsia="Arial" w:hAnsi="Arial"/>
          <w:sz w:val="18"/>
          <w:szCs w:val="18"/>
          <w:color w:val="0000EE"/>
        </w:rPr>
        <w:t xml:space="preserve"> </w:t>
      </w:r>
      <w:r>
        <w:rPr>
          <w:rFonts w:ascii="Arial" w:cs="Arial" w:eastAsia="Arial" w:hAnsi="Arial"/>
          <w:sz w:val="18"/>
          <w:szCs w:val="18"/>
          <w:color w:val="000000"/>
        </w:rPr>
        <w:t>filed); and</w:t>
      </w:r>
    </w:p>
    <w:p>
      <w:pPr>
        <w:spacing w:after="0" w:line="92" w:lineRule="exact"/>
        <w:rPr>
          <w:rFonts w:ascii="Arial" w:cs="Arial" w:eastAsia="Arial" w:hAnsi="Arial"/>
          <w:sz w:val="18"/>
          <w:szCs w:val="18"/>
          <w:color w:val="0000EE"/>
        </w:rPr>
      </w:pPr>
    </w:p>
    <w:p>
      <w:pPr>
        <w:ind w:left="1180" w:right="160" w:hanging="436"/>
        <w:spacing w:after="0" w:line="277" w:lineRule="auto"/>
        <w:tabs>
          <w:tab w:leader="none" w:pos="1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71">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June 18, 2018, including any amendments or reports filed for the purposes of updating this description.</w:t>
      </w:r>
    </w:p>
    <w:p>
      <w:pPr>
        <w:spacing w:after="0" w:line="170" w:lineRule="exact"/>
        <w:rPr>
          <w:rFonts w:ascii="Arial" w:cs="Arial" w:eastAsia="Arial" w:hAnsi="Arial"/>
          <w:sz w:val="18"/>
          <w:szCs w:val="18"/>
          <w:color w:val="0000EE"/>
        </w:rPr>
      </w:pPr>
    </w:p>
    <w:p>
      <w:pPr>
        <w:ind w:left="200" w:right="20" w:firstLine="441"/>
        <w:spacing w:after="0" w:line="257" w:lineRule="auto"/>
        <w:rPr>
          <w:sz w:val="20"/>
          <w:szCs w:val="20"/>
          <w:color w:val="auto"/>
        </w:rPr>
      </w:pPr>
      <w:r>
        <w:rPr>
          <w:rFonts w:ascii="Arial" w:cs="Arial" w:eastAsia="Arial" w:hAnsi="Arial"/>
          <w:sz w:val="18"/>
          <w:szCs w:val="18"/>
          <w:color w:val="auto"/>
        </w:rPr>
        <w:t>Upon request, either orally or in writing, we will provide, without charge, to each person, including any beneficial owner, to whom a copy of this prospectus is delivered, a copy of the documents incorporated by reference into this prospectus but not delivered with the prospectus. You may request a copy of these filings, and any exhibits we have specifically incorporated by reference as an exhibit in this prospectus, at no cost by writing us at the following address: Investor Relations, AVROBIO, Inc., One Kendall Square, Building 300, Suite 201, Cambridge, Massachusetts 02139, or via telephone at (617) 914-8420.</w:t>
      </w:r>
    </w:p>
    <w:p>
      <w:pPr>
        <w:spacing w:after="0" w:line="188" w:lineRule="exact"/>
        <w:rPr>
          <w:rFonts w:ascii="Arial" w:cs="Arial" w:eastAsia="Arial" w:hAnsi="Arial"/>
          <w:sz w:val="18"/>
          <w:szCs w:val="18"/>
          <w:color w:val="0000EE"/>
        </w:rPr>
      </w:pPr>
    </w:p>
    <w:p>
      <w:pPr>
        <w:ind w:left="200" w:right="480" w:firstLine="441"/>
        <w:spacing w:after="0" w:line="277" w:lineRule="auto"/>
        <w:rPr>
          <w:sz w:val="20"/>
          <w:szCs w:val="20"/>
          <w:color w:val="auto"/>
        </w:rPr>
      </w:pPr>
      <w:r>
        <w:rPr>
          <w:rFonts w:ascii="Arial" w:cs="Arial" w:eastAsia="Arial" w:hAnsi="Arial"/>
          <w:sz w:val="18"/>
          <w:szCs w:val="18"/>
          <w:color w:val="auto"/>
        </w:rPr>
        <w:t>This prospectus is part of a registration statement we filed with the SEC. We have incorporated exhibits into this registration statement. You should read the exhibits carefully for provisions that may be important to you.</w:t>
      </w:r>
    </w:p>
    <w:p>
      <w:pPr>
        <w:spacing w:after="0" w:line="170" w:lineRule="exact"/>
        <w:rPr>
          <w:rFonts w:ascii="Arial" w:cs="Arial" w:eastAsia="Arial" w:hAnsi="Arial"/>
          <w:sz w:val="18"/>
          <w:szCs w:val="18"/>
          <w:color w:val="0000EE"/>
        </w:rPr>
      </w:pPr>
    </w:p>
    <w:p>
      <w:pPr>
        <w:ind w:left="200" w:right="40" w:firstLine="441"/>
        <w:spacing w:after="0" w:line="259"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119" w:lineRule="exact"/>
        <w:rPr>
          <w:rFonts w:ascii="Arial" w:cs="Arial" w:eastAsia="Arial" w:hAnsi="Arial"/>
          <w:sz w:val="18"/>
          <w:szCs w:val="18"/>
          <w:color w:val="0000EE"/>
        </w:rPr>
      </w:pPr>
    </w:p>
    <w:p>
      <w:pPr>
        <w:jc w:val="center"/>
        <w:ind w:right="-2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699770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3">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297180</wp:posOffset>
            </wp:positionV>
            <wp:extent cx="6997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648970</wp:posOffset>
            </wp:positionV>
            <wp:extent cx="1440815" cy="3346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5">
                      <a:extLst>
                        <a:ext uri="{28A0092B-C50C-407E-A947-70E740481C1C}"/>
                      </a:extLst>
                    </a:blip>
                    <a:srcRect/>
                    <a:stretch>
                      <a:fillRect/>
                    </a:stretch>
                  </pic:blipFill>
                  <pic:spPr bwMode="auto">
                    <a:xfrm>
                      <a:off x="0" y="0"/>
                      <a:ext cx="1440815" cy="334645"/>
                    </a:xfrm>
                    <a:prstGeom prst="rect">
                      <a:avLst/>
                    </a:prstGeom>
                    <a:noFill/>
                  </pic:spPr>
                </pic:pic>
              </a:graphicData>
            </a:graphic>
          </wp:anchor>
        </w:drawing>
      </w:r>
    </w:p>
    <w:p>
      <w:pPr>
        <w:sectPr>
          <w:pgSz w:w="11900" w:h="16838" w:orient="portrait"/>
          <w:cols w:equalWidth="0" w:num="1">
            <w:col w:w="11160"/>
          </w:cols>
          <w:pgMar w:left="24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79"/>
        <w:spacing w:after="0"/>
        <w:rPr>
          <w:sz w:val="20"/>
          <w:szCs w:val="20"/>
          <w:color w:val="auto"/>
        </w:rPr>
      </w:pPr>
      <w:r>
        <w:rPr>
          <w:rFonts w:ascii="Arial" w:cs="Arial" w:eastAsia="Arial" w:hAnsi="Arial"/>
          <w:sz w:val="29"/>
          <w:szCs w:val="29"/>
          <w:b w:val="1"/>
          <w:bCs w:val="1"/>
          <w:color w:val="auto"/>
        </w:rPr>
        <w:t>$250,000,000</w:t>
      </w:r>
    </w:p>
    <w:p>
      <w:pPr>
        <w:spacing w:after="0" w:line="229" w:lineRule="exact"/>
        <w:rPr>
          <w:sz w:val="20"/>
          <w:szCs w:val="20"/>
          <w:color w:val="auto"/>
        </w:rPr>
      </w:pPr>
    </w:p>
    <w:p>
      <w:pPr>
        <w:jc w:val="center"/>
        <w:ind w:right="-27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27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279"/>
        <w:spacing w:after="0"/>
        <w:rPr>
          <w:sz w:val="20"/>
          <w:szCs w:val="20"/>
          <w:color w:val="auto"/>
        </w:rPr>
      </w:pPr>
      <w:r>
        <w:rPr>
          <w:rFonts w:ascii="Arial" w:cs="Arial" w:eastAsia="Arial" w:hAnsi="Arial"/>
          <w:sz w:val="25"/>
          <w:szCs w:val="25"/>
          <w:b w:val="1"/>
          <w:bCs w:val="1"/>
          <w:color w:val="auto"/>
        </w:rPr>
        <w:t>Debt Securities</w:t>
      </w:r>
    </w:p>
    <w:p>
      <w:pPr>
        <w:spacing w:after="0" w:line="10" w:lineRule="exact"/>
        <w:rPr>
          <w:sz w:val="20"/>
          <w:szCs w:val="20"/>
          <w:color w:val="auto"/>
        </w:rPr>
      </w:pPr>
    </w:p>
    <w:p>
      <w:pPr>
        <w:jc w:val="center"/>
        <w:ind w:right="-27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27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723265</wp:posOffset>
            </wp:positionV>
            <wp:extent cx="14662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234315</wp:posOffset>
            </wp:positionV>
            <wp:extent cx="14662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We have not authorized any dealer, salesperson or other person to give any information or represent anything not contained in this prospectus. You must not rely on any unauthorized information. If anyone provides you with different or inconsistent information, you should not rely on it. This prospectus does not offer to sell any securities in any jurisdiction where it is unlawful. Neither the delivery of this prospectus, nor any sale made hereunder, shall create any implication that the information in this prospectus is correct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392430</wp:posOffset>
            </wp:positionV>
            <wp:extent cx="6997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443865</wp:posOffset>
            </wp:positionV>
            <wp:extent cx="699770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9">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p>
      <w:pPr>
        <w:sectPr>
          <w:pgSz w:w="11900" w:h="16838" w:orient="portrait"/>
          <w:cols w:equalWidth="0" w:num="1">
            <w:col w:w="11160"/>
          </w:cols>
          <w:pgMar w:left="240" w:top="459" w:right="49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Part II-INFORMATION NOT REQUIRED IN PROSPECTUS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21" w:lineRule="exact"/>
        <w:rPr>
          <w:sz w:val="20"/>
          <w:szCs w:val="20"/>
          <w:color w:val="auto"/>
        </w:rPr>
      </w:pPr>
    </w:p>
    <w:p>
      <w:pPr>
        <w:jc w:val="both"/>
        <w:ind w:left="200" w:right="140"/>
        <w:spacing w:after="0" w:line="264" w:lineRule="auto"/>
        <w:rPr>
          <w:sz w:val="20"/>
          <w:szCs w:val="20"/>
          <w:color w:val="auto"/>
        </w:rPr>
      </w:pPr>
      <w:r>
        <w:rPr>
          <w:rFonts w:ascii="Arial" w:cs="Arial" w:eastAsia="Arial" w:hAnsi="Arial"/>
          <w:sz w:val="18"/>
          <w:szCs w:val="18"/>
          <w:color w:val="auto"/>
        </w:rPr>
        <w:t>The expenses payable by AVROBIO, Inc. (the “Registrant” or the “Company”) in connection with the issuance and distribution of the securities being registered (other than underwriting discounts and commissions, if any) are set forth below. Each item listed is estimated, except for the Securities and Exchange Commission (the “SEC”) registration fee.</w:t>
      </w:r>
    </w:p>
    <w:p>
      <w:pPr>
        <w:spacing w:after="0" w:line="223"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32,450</w:t>
            </w:r>
          </w:p>
        </w:tc>
        <w:tc>
          <w:tcPr>
            <w:tcW w:w="140" w:type="dxa"/>
            <w:vAlign w:val="bottom"/>
            <w:shd w:val="clear" w:color="auto" w:fill="CCEEFF"/>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FINRA filing fee</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38,000</w:t>
            </w:r>
          </w:p>
        </w:tc>
        <w:tc>
          <w:tcPr>
            <w:tcW w:w="140" w:type="dxa"/>
            <w:vAlign w:val="bottom"/>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7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78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Printing fees and expenses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7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Transfer agent and trustee fees</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78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6260" w:type="dxa"/>
            <w:vAlign w:val="bottom"/>
            <w:gridSpan w:val="2"/>
          </w:tcPr>
          <w:p>
            <w:pPr>
              <w:ind w:left="1780"/>
              <w:spacing w:after="0"/>
              <w:rPr>
                <w:sz w:val="20"/>
                <w:szCs w:val="20"/>
                <w:color w:val="auto"/>
              </w:rPr>
            </w:pPr>
            <w:r>
              <w:rPr>
                <w:rFonts w:ascii="Arial" w:cs="Arial" w:eastAsia="Arial" w:hAnsi="Arial"/>
                <w:sz w:val="18"/>
                <w:szCs w:val="18"/>
                <w:color w:val="auto"/>
              </w:rPr>
              <w:t>Total</w:t>
            </w:r>
          </w:p>
        </w:tc>
        <w:tc>
          <w:tcPr>
            <w:tcW w:w="22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8"/>
        </w:trPr>
        <w:tc>
          <w:tcPr>
            <w:tcW w:w="6260" w:type="dxa"/>
            <w:vAlign w:val="bottom"/>
            <w:gridSpan w:val="2"/>
          </w:tcPr>
          <w:p>
            <w:pPr>
              <w:spacing w:after="0"/>
              <w:rPr>
                <w:sz w:val="20"/>
                <w:szCs w:val="20"/>
                <w:color w:val="auto"/>
              </w:rPr>
            </w:pPr>
            <w:r>
              <w:rPr>
                <w:rFonts w:ascii="Arial" w:cs="Arial" w:eastAsia="Arial" w:hAnsi="Arial"/>
                <w:sz w:val="18"/>
                <w:szCs w:val="18"/>
                <w:color w:val="auto"/>
              </w:rPr>
              <w:t>*  Estimated expenses not presently known</w:t>
            </w: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21"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Section 145 of the Delaware General Corporation Law, or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66" w:lineRule="exact"/>
        <w:rPr>
          <w:sz w:val="20"/>
          <w:szCs w:val="20"/>
          <w:color w:val="auto"/>
        </w:rPr>
      </w:pPr>
    </w:p>
    <w:p>
      <w:pPr>
        <w:jc w:val="both"/>
        <w:ind w:left="200" w:right="380"/>
        <w:spacing w:after="0" w:line="264" w:lineRule="auto"/>
        <w:rPr>
          <w:sz w:val="20"/>
          <w:szCs w:val="20"/>
          <w:color w:val="auto"/>
        </w:rPr>
      </w:pPr>
      <w:r>
        <w:rPr>
          <w:rFonts w:ascii="Arial" w:cs="Arial" w:eastAsia="Arial" w:hAnsi="Arial"/>
          <w:sz w:val="18"/>
          <w:szCs w:val="18"/>
          <w:color w:val="auto"/>
        </w:rPr>
        <w:t>We have adopted provisions in our certificate of incorporation and bylaws that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w:t>
      </w:r>
    </w:p>
    <w:p>
      <w:pPr>
        <w:spacing w:after="0" w:line="87" w:lineRule="exact"/>
        <w:rPr>
          <w:sz w:val="20"/>
          <w:szCs w:val="20"/>
          <w:color w:val="auto"/>
        </w:rPr>
      </w:pPr>
    </w:p>
    <w:p>
      <w:pPr>
        <w:ind w:left="1180" w:hanging="436"/>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unlawful payments related to dividends or unlawful stock purchases, redemptions or other distributions; or</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These limitations of liability do not alter director liability under the federal securities laws and do not affect the availability of equitable remedies such as an injunction or rescission.</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60"/>
          </w:cols>
          <w:pgMar w:left="240" w:top="459" w:right="4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our bylaws provide that:</w:t>
      </w:r>
    </w:p>
    <w:p>
      <w:pPr>
        <w:spacing w:after="0" w:line="131" w:lineRule="exact"/>
        <w:rPr>
          <w:sz w:val="20"/>
          <w:szCs w:val="20"/>
          <w:color w:val="auto"/>
        </w:rPr>
      </w:pPr>
    </w:p>
    <w:p>
      <w:pPr>
        <w:ind w:left="1180" w:right="220" w:hanging="436"/>
        <w:spacing w:after="0" w:line="277"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will indemnify our directors, officers and, in the discretion of our board of directors, certain employees to the fullest extent permitted by the DGCL, as it now exists or may in the future be amended; and</w:t>
      </w:r>
    </w:p>
    <w:p>
      <w:pPr>
        <w:spacing w:after="0" w:line="75" w:lineRule="exact"/>
        <w:rPr>
          <w:rFonts w:ascii="Arial" w:cs="Arial" w:eastAsia="Arial" w:hAnsi="Arial"/>
          <w:sz w:val="18"/>
          <w:szCs w:val="18"/>
          <w:color w:val="auto"/>
        </w:rPr>
      </w:pPr>
    </w:p>
    <w:p>
      <w:pPr>
        <w:jc w:val="both"/>
        <w:ind w:left="1180" w:right="440" w:hanging="436"/>
        <w:spacing w:after="0" w:line="264" w:lineRule="auto"/>
        <w:tabs>
          <w:tab w:leader="none" w:pos="11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181" w:lineRule="exact"/>
        <w:rPr>
          <w:sz w:val="20"/>
          <w:szCs w:val="20"/>
          <w:color w:val="auto"/>
        </w:rPr>
      </w:pPr>
    </w:p>
    <w:p>
      <w:pPr>
        <w:ind w:left="200"/>
        <w:spacing w:after="0" w:line="253" w:lineRule="auto"/>
        <w:rPr>
          <w:sz w:val="20"/>
          <w:szCs w:val="20"/>
          <w:color w:val="auto"/>
        </w:rPr>
      </w:pPr>
      <w:r>
        <w:rPr>
          <w:rFonts w:ascii="Arial" w:cs="Arial" w:eastAsia="Arial" w:hAnsi="Arial"/>
          <w:sz w:val="18"/>
          <w:szCs w:val="18"/>
          <w:color w:val="auto"/>
        </w:rPr>
        <w:t>We have entered into indemnification agreements with each of our directors and our executive officers. These agreements provide that we will indemnify each of our directors and our executive officers and, at times, their affiliates to the fullest extent permitted by Delaware law. We will advance expenses, including attorneys’ fees (but excluding judgments, fines and settlement amounts), to each indemnified director or executive officer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spacing w:after="0" w:line="195" w:lineRule="exact"/>
        <w:rPr>
          <w:sz w:val="20"/>
          <w:szCs w:val="20"/>
          <w:color w:val="auto"/>
        </w:rPr>
      </w:pPr>
    </w:p>
    <w:p>
      <w:pPr>
        <w:ind w:left="200" w:right="80"/>
        <w:spacing w:after="0" w:line="308" w:lineRule="auto"/>
        <w:rPr>
          <w:sz w:val="20"/>
          <w:szCs w:val="20"/>
          <w:color w:val="auto"/>
        </w:rPr>
      </w:pPr>
      <w:r>
        <w:rPr>
          <w:rFonts w:ascii="Arial" w:cs="Arial" w:eastAsia="Arial" w:hAnsi="Arial"/>
          <w:sz w:val="17"/>
          <w:szCs w:val="17"/>
          <w:color w:val="auto"/>
        </w:rPr>
        <w:t>We also maintain general liability insurance which covers certain liabilities of our directors and officers arising out of claims based on acts or omissions in their capacities as directors or officers, including liabilities under the Securities Act of 1933, as amended (the “Securities Act”).</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 Exhibits</w:t>
      </w:r>
    </w:p>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360" w:type="dxa"/>
            <w:vAlign w:val="bottom"/>
            <w:gridSpan w:val="13"/>
          </w:tcPr>
          <w:p>
            <w:pPr>
              <w:ind w:left="12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4"/>
              </w:rPr>
              <w:t>Exhibit</w:t>
            </w: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480" w:type="dxa"/>
            <w:vAlign w:val="bottom"/>
            <w:gridSpan w:val="10"/>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No.</w:t>
            </w:r>
          </w:p>
        </w:tc>
        <w:tc>
          <w:tcPr>
            <w:tcW w:w="6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480" w:type="dxa"/>
            <w:vAlign w:val="bottom"/>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480" w:type="dxa"/>
            <w:vAlign w:val="bottom"/>
            <w:gridSpan w:val="2"/>
          </w:tcPr>
          <w:p>
            <w:pPr>
              <w:jc w:val="right"/>
              <w:ind w:right="8"/>
              <w:spacing w:after="0"/>
              <w:rPr>
                <w:sz w:val="20"/>
                <w:szCs w:val="20"/>
                <w:color w:val="auto"/>
              </w:rPr>
            </w:pPr>
            <w:r>
              <w:rPr>
                <w:rFonts w:ascii="Arial" w:cs="Arial" w:eastAsia="Arial" w:hAnsi="Arial"/>
                <w:sz w:val="18"/>
                <w:szCs w:val="18"/>
                <w:color w:val="auto"/>
              </w:rPr>
              <w:t>1.1*</w:t>
            </w:r>
          </w:p>
        </w:tc>
        <w:tc>
          <w:tcPr>
            <w:tcW w:w="660" w:type="dxa"/>
            <w:vAlign w:val="bottom"/>
          </w:tcPr>
          <w:p>
            <w:pPr>
              <w:spacing w:after="0"/>
              <w:rPr>
                <w:sz w:val="24"/>
                <w:szCs w:val="24"/>
                <w:color w:val="auto"/>
              </w:rPr>
            </w:pPr>
          </w:p>
        </w:tc>
        <w:tc>
          <w:tcPr>
            <w:tcW w:w="9780" w:type="dxa"/>
            <w:vAlign w:val="bottom"/>
            <w:gridSpan w:val="15"/>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284"/>
        </w:trPr>
        <w:tc>
          <w:tcPr>
            <w:tcW w:w="480" w:type="dxa"/>
            <w:vAlign w:val="bottom"/>
            <w:gridSpan w:val="2"/>
          </w:tcPr>
          <w:p>
            <w:pPr>
              <w:jc w:val="right"/>
              <w:ind w:right="88"/>
              <w:spacing w:after="0"/>
              <w:rPr>
                <w:sz w:val="20"/>
                <w:szCs w:val="20"/>
                <w:color w:val="auto"/>
              </w:rPr>
            </w:pPr>
            <w:r>
              <w:rPr>
                <w:rFonts w:ascii="Arial" w:cs="Arial" w:eastAsia="Arial" w:hAnsi="Arial"/>
                <w:sz w:val="18"/>
                <w:szCs w:val="18"/>
                <w:color w:val="auto"/>
              </w:rPr>
              <w:t>3.1</w:t>
            </w:r>
          </w:p>
        </w:tc>
        <w:tc>
          <w:tcPr>
            <w:tcW w:w="660" w:type="dxa"/>
            <w:vAlign w:val="bottom"/>
          </w:tcPr>
          <w:p>
            <w:pPr>
              <w:spacing w:after="0"/>
              <w:rPr>
                <w:sz w:val="24"/>
                <w:szCs w:val="24"/>
                <w:color w:val="auto"/>
              </w:rPr>
            </w:pPr>
          </w:p>
        </w:tc>
        <w:tc>
          <w:tcPr>
            <w:tcW w:w="9780" w:type="dxa"/>
            <w:vAlign w:val="bottom"/>
            <w:tcBorders>
              <w:bottom w:val="single" w:sz="8" w:color="0000EE"/>
            </w:tcBorders>
            <w:gridSpan w:val="15"/>
          </w:tcPr>
          <w:p>
            <w:pPr>
              <w:spacing w:after="0"/>
              <w:rPr>
                <w:rFonts w:ascii="Arial" w:cs="Arial" w:eastAsia="Arial" w:hAnsi="Arial"/>
                <w:sz w:val="18"/>
                <w:szCs w:val="18"/>
                <w:color w:val="0000EE"/>
                <w:w w:val="90"/>
              </w:rPr>
            </w:pPr>
            <w:hyperlink r:id="rId83">
              <w:r>
                <w:rPr>
                  <w:rFonts w:ascii="Arial" w:cs="Arial" w:eastAsia="Arial" w:hAnsi="Arial"/>
                  <w:sz w:val="18"/>
                  <w:szCs w:val="18"/>
                  <w:color w:val="0000EE"/>
                  <w:w w:val="90"/>
                </w:rPr>
                <w:t>Fourth Amended and Restated Certificate of Incorporation of the Registrant, filed as Exhibit 3.3 to the Registrant’s Second Amendment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83">
              <w:r>
                <w:rPr>
                  <w:rFonts w:ascii="Arial" w:cs="Arial" w:eastAsia="Arial" w:hAnsi="Arial"/>
                  <w:sz w:val="18"/>
                  <w:szCs w:val="18"/>
                  <w:color w:val="0000EE"/>
                  <w:w w:val="90"/>
                </w:rPr>
                <w:t>to the Registration Statement on Form S-1 filed on June 11, 2018 (File No. 333-225213) and incorporated herein by reference</w:t>
              </w:r>
            </w:hyperlink>
          </w:p>
        </w:tc>
        <w:tc>
          <w:tcPr>
            <w:tcW w:w="7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80" w:type="dxa"/>
            <w:vAlign w:val="bottom"/>
            <w:gridSpan w:val="2"/>
          </w:tcPr>
          <w:p>
            <w:pPr>
              <w:jc w:val="right"/>
              <w:ind w:right="88"/>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24"/>
                <w:szCs w:val="24"/>
                <w:color w:val="auto"/>
              </w:rPr>
            </w:pPr>
          </w:p>
        </w:tc>
        <w:tc>
          <w:tcPr>
            <w:tcW w:w="9740" w:type="dxa"/>
            <w:vAlign w:val="bottom"/>
            <w:tcBorders>
              <w:bottom w:val="single" w:sz="8" w:color="0000EE"/>
            </w:tcBorders>
            <w:gridSpan w:val="14"/>
          </w:tcPr>
          <w:p>
            <w:pPr>
              <w:spacing w:after="0"/>
              <w:rPr>
                <w:rFonts w:ascii="Arial" w:cs="Arial" w:eastAsia="Arial" w:hAnsi="Arial"/>
                <w:sz w:val="18"/>
                <w:szCs w:val="18"/>
                <w:color w:val="0000EE"/>
                <w:w w:val="90"/>
              </w:rPr>
            </w:pPr>
            <w:hyperlink r:id="rId84">
              <w:r>
                <w:rPr>
                  <w:rFonts w:ascii="Arial" w:cs="Arial" w:eastAsia="Arial" w:hAnsi="Arial"/>
                  <w:sz w:val="18"/>
                  <w:szCs w:val="18"/>
                  <w:color w:val="0000EE"/>
                  <w:w w:val="90"/>
                </w:rPr>
                <w:t>Amended and Restated By-laws, filed as Exhibit 3.5 to the Registrant’s Second Amendment to the Registration Statement on Form S-1</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96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84">
              <w:r>
                <w:rPr>
                  <w:rFonts w:ascii="Arial" w:cs="Arial" w:eastAsia="Arial" w:hAnsi="Arial"/>
                  <w:sz w:val="18"/>
                  <w:szCs w:val="18"/>
                  <w:color w:val="0000EE"/>
                  <w:w w:val="90"/>
                </w:rPr>
                <w:t>filed on June 11, 2018 (File No. 333-225213) and incorporated herein by reference</w:t>
              </w:r>
            </w:hyperlink>
          </w:p>
        </w:tc>
        <w:tc>
          <w:tcPr>
            <w:tcW w:w="38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80" w:type="dxa"/>
            <w:vAlign w:val="bottom"/>
            <w:gridSpan w:val="2"/>
          </w:tcPr>
          <w:p>
            <w:pPr>
              <w:jc w:val="right"/>
              <w:ind w:right="88"/>
              <w:spacing w:after="0"/>
              <w:rPr>
                <w:sz w:val="20"/>
                <w:szCs w:val="20"/>
                <w:color w:val="auto"/>
              </w:rPr>
            </w:pPr>
            <w:r>
              <w:rPr>
                <w:rFonts w:ascii="Arial" w:cs="Arial" w:eastAsia="Arial" w:hAnsi="Arial"/>
                <w:sz w:val="18"/>
                <w:szCs w:val="18"/>
                <w:color w:val="auto"/>
              </w:rPr>
              <w:t>4.1</w:t>
            </w:r>
          </w:p>
        </w:tc>
        <w:tc>
          <w:tcPr>
            <w:tcW w:w="660" w:type="dxa"/>
            <w:vAlign w:val="bottom"/>
          </w:tcPr>
          <w:p>
            <w:pPr>
              <w:spacing w:after="0"/>
              <w:rPr>
                <w:sz w:val="24"/>
                <w:szCs w:val="24"/>
                <w:color w:val="auto"/>
              </w:rPr>
            </w:pPr>
          </w:p>
        </w:tc>
        <w:tc>
          <w:tcPr>
            <w:tcW w:w="9780" w:type="dxa"/>
            <w:vAlign w:val="bottom"/>
            <w:tcBorders>
              <w:bottom w:val="single" w:sz="8" w:color="0000EE"/>
            </w:tcBorders>
            <w:gridSpan w:val="15"/>
          </w:tcPr>
          <w:p>
            <w:pPr>
              <w:spacing w:after="0"/>
              <w:rPr>
                <w:rFonts w:ascii="Arial" w:cs="Arial" w:eastAsia="Arial" w:hAnsi="Arial"/>
                <w:sz w:val="18"/>
                <w:szCs w:val="18"/>
                <w:color w:val="0000EE"/>
                <w:w w:val="90"/>
              </w:rPr>
            </w:pPr>
            <w:hyperlink r:id="rId85">
              <w:r>
                <w:rPr>
                  <w:rFonts w:ascii="Arial" w:cs="Arial" w:eastAsia="Arial" w:hAnsi="Arial"/>
                  <w:sz w:val="18"/>
                  <w:szCs w:val="18"/>
                  <w:color w:val="0000EE"/>
                  <w:w w:val="90"/>
                </w:rPr>
                <w:t>Form of Specimen Common Stock Certificate. filed as Exhibit 4.1 to the Registrant’s Second Amendment to the Registration Statement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9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85">
              <w:r>
                <w:rPr>
                  <w:rFonts w:ascii="Arial" w:cs="Arial" w:eastAsia="Arial" w:hAnsi="Arial"/>
                  <w:sz w:val="18"/>
                  <w:szCs w:val="18"/>
                  <w:color w:val="0000EE"/>
                  <w:w w:val="90"/>
                </w:rPr>
                <w:t>on Form S-1 filed on June 11, 2018 (File No. 333-225213) and incorporated herein by reference</w:t>
              </w:r>
            </w:hyperlink>
          </w:p>
        </w:tc>
        <w:tc>
          <w:tcPr>
            <w:tcW w:w="28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80" w:type="dxa"/>
            <w:vAlign w:val="bottom"/>
            <w:gridSpan w:val="2"/>
          </w:tcPr>
          <w:p>
            <w:pPr>
              <w:jc w:val="right"/>
              <w:ind w:right="88"/>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24"/>
                <w:szCs w:val="24"/>
                <w:color w:val="auto"/>
              </w:rPr>
            </w:pPr>
          </w:p>
        </w:tc>
        <w:tc>
          <w:tcPr>
            <w:tcW w:w="9780" w:type="dxa"/>
            <w:vAlign w:val="bottom"/>
            <w:gridSpan w:val="15"/>
          </w:tcPr>
          <w:p>
            <w:pPr>
              <w:spacing w:after="0"/>
              <w:rPr>
                <w:rFonts w:ascii="Arial" w:cs="Arial" w:eastAsia="Arial" w:hAnsi="Arial"/>
                <w:sz w:val="18"/>
                <w:szCs w:val="18"/>
                <w:color w:val="0000EE"/>
                <w:w w:val="92"/>
              </w:rPr>
            </w:pPr>
            <w:hyperlink r:id="rId86">
              <w:r>
                <w:rPr>
                  <w:rFonts w:ascii="Arial" w:cs="Arial" w:eastAsia="Arial" w:hAnsi="Arial"/>
                  <w:sz w:val="18"/>
                  <w:szCs w:val="18"/>
                  <w:color w:val="0000EE"/>
                  <w:w w:val="92"/>
                </w:rPr>
                <w:t>Second Amended and Restated Investors’ Rights Agreement among the Registrant and certain of its stockholders. dated January 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780" w:type="dxa"/>
            <w:vAlign w:val="bottom"/>
            <w:gridSpan w:val="15"/>
          </w:tcPr>
          <w:p>
            <w:pPr>
              <w:spacing w:after="0" w:line="196" w:lineRule="exact"/>
              <w:rPr>
                <w:rFonts w:ascii="Arial" w:cs="Arial" w:eastAsia="Arial" w:hAnsi="Arial"/>
                <w:sz w:val="18"/>
                <w:szCs w:val="18"/>
                <w:color w:val="0000EE"/>
                <w:w w:val="94"/>
              </w:rPr>
            </w:pPr>
            <w:hyperlink r:id="rId86">
              <w:r>
                <w:rPr>
                  <w:rFonts w:ascii="Arial" w:cs="Arial" w:eastAsia="Arial" w:hAnsi="Arial"/>
                  <w:sz w:val="18"/>
                  <w:szCs w:val="18"/>
                  <w:color w:val="0000EE"/>
                  <w:w w:val="94"/>
                </w:rPr>
                <w:t>2018, filed as Exhibit 4.2 to the Registrant’s Registration Statement on Form S-1 filed on May 25, 2018 (File No. 333-225213) and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incorporated herein by reference</w:t>
              </w:r>
            </w:hyperlink>
          </w:p>
        </w:tc>
        <w:tc>
          <w:tcPr>
            <w:tcW w:w="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80" w:type="dxa"/>
            <w:vAlign w:val="bottom"/>
            <w:gridSpan w:val="2"/>
          </w:tcPr>
          <w:p>
            <w:pPr>
              <w:jc w:val="right"/>
              <w:ind w:right="88"/>
              <w:spacing w:after="0"/>
              <w:rPr>
                <w:sz w:val="20"/>
                <w:szCs w:val="20"/>
                <w:color w:val="auto"/>
              </w:rPr>
            </w:pPr>
            <w:r>
              <w:rPr>
                <w:rFonts w:ascii="Arial" w:cs="Arial" w:eastAsia="Arial" w:hAnsi="Arial"/>
                <w:sz w:val="18"/>
                <w:szCs w:val="18"/>
                <w:color w:val="auto"/>
              </w:rPr>
              <w:t>4.3</w:t>
            </w:r>
          </w:p>
        </w:tc>
        <w:tc>
          <w:tcPr>
            <w:tcW w:w="660" w:type="dxa"/>
            <w:vAlign w:val="bottom"/>
          </w:tcPr>
          <w:p>
            <w:pPr>
              <w:spacing w:after="0"/>
              <w:rPr>
                <w:sz w:val="24"/>
                <w:szCs w:val="24"/>
                <w:color w:val="auto"/>
              </w:rPr>
            </w:pPr>
          </w:p>
        </w:tc>
        <w:tc>
          <w:tcPr>
            <w:tcW w:w="9780" w:type="dxa"/>
            <w:vAlign w:val="bottom"/>
            <w:gridSpan w:val="15"/>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Form of Senior Indenture between the Registrant and one or more trustees to be named</w:t>
              </w:r>
            </w:hyperlink>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80" w:type="dxa"/>
            <w:vAlign w:val="bottom"/>
            <w:gridSpan w:val="2"/>
          </w:tcPr>
          <w:p>
            <w:pPr>
              <w:jc w:val="right"/>
              <w:ind w:right="88"/>
              <w:spacing w:after="0"/>
              <w:rPr>
                <w:sz w:val="20"/>
                <w:szCs w:val="20"/>
                <w:color w:val="auto"/>
              </w:rPr>
            </w:pPr>
            <w:r>
              <w:rPr>
                <w:rFonts w:ascii="Arial" w:cs="Arial" w:eastAsia="Arial" w:hAnsi="Arial"/>
                <w:sz w:val="18"/>
                <w:szCs w:val="18"/>
                <w:color w:val="auto"/>
              </w:rPr>
              <w:t>4.4</w:t>
            </w:r>
          </w:p>
        </w:tc>
        <w:tc>
          <w:tcPr>
            <w:tcW w:w="660" w:type="dxa"/>
            <w:vAlign w:val="bottom"/>
          </w:tcPr>
          <w:p>
            <w:pPr>
              <w:spacing w:after="0"/>
              <w:rPr>
                <w:sz w:val="24"/>
                <w:szCs w:val="24"/>
                <w:color w:val="auto"/>
              </w:rPr>
            </w:pPr>
          </w:p>
        </w:tc>
        <w:tc>
          <w:tcPr>
            <w:tcW w:w="67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96">
              <w:r>
                <w:rPr>
                  <w:rFonts w:ascii="Arial" w:cs="Arial" w:eastAsia="Arial" w:hAnsi="Arial"/>
                  <w:sz w:val="18"/>
                  <w:szCs w:val="18"/>
                  <w:color w:val="0000EE"/>
                  <w:w w:val="89"/>
                </w:rPr>
                <w:t>Form of Subordinated Indenture between the Registrant and one or more trustees to be named</w:t>
              </w:r>
            </w:hyperlink>
          </w:p>
        </w:tc>
        <w:tc>
          <w:tcPr>
            <w:tcW w:w="30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80" w:type="dxa"/>
            <w:vAlign w:val="bottom"/>
            <w:gridSpan w:val="2"/>
          </w:tcPr>
          <w:p>
            <w:pPr>
              <w:jc w:val="right"/>
              <w:ind w:right="8"/>
              <w:spacing w:after="0"/>
              <w:rPr>
                <w:sz w:val="20"/>
                <w:szCs w:val="20"/>
                <w:color w:val="auto"/>
              </w:rPr>
            </w:pPr>
            <w:r>
              <w:rPr>
                <w:rFonts w:ascii="Arial" w:cs="Arial" w:eastAsia="Arial" w:hAnsi="Arial"/>
                <w:sz w:val="18"/>
                <w:szCs w:val="18"/>
                <w:color w:val="auto"/>
              </w:rPr>
              <w:t>4.5*</w:t>
            </w:r>
          </w:p>
        </w:tc>
        <w:tc>
          <w:tcPr>
            <w:tcW w:w="660" w:type="dxa"/>
            <w:vAlign w:val="bottom"/>
          </w:tcPr>
          <w:p>
            <w:pPr>
              <w:spacing w:after="0"/>
              <w:rPr>
                <w:sz w:val="24"/>
                <w:szCs w:val="24"/>
                <w:color w:val="auto"/>
              </w:rPr>
            </w:pPr>
          </w:p>
        </w:tc>
        <w:tc>
          <w:tcPr>
            <w:tcW w:w="9780" w:type="dxa"/>
            <w:vAlign w:val="bottom"/>
            <w:gridSpan w:val="15"/>
          </w:tcPr>
          <w:p>
            <w:pPr>
              <w:spacing w:after="0"/>
              <w:rPr>
                <w:sz w:val="20"/>
                <w:szCs w:val="20"/>
                <w:color w:val="auto"/>
              </w:rPr>
            </w:pPr>
            <w:r>
              <w:rPr>
                <w:rFonts w:ascii="Arial" w:cs="Arial" w:eastAsia="Arial" w:hAnsi="Arial"/>
                <w:sz w:val="18"/>
                <w:szCs w:val="18"/>
                <w:color w:val="auto"/>
              </w:rPr>
              <w:t>Form of Certificate of Designations</w:t>
            </w:r>
          </w:p>
        </w:tc>
        <w:tc>
          <w:tcPr>
            <w:tcW w:w="0" w:type="dxa"/>
            <w:vAlign w:val="bottom"/>
          </w:tcPr>
          <w:p>
            <w:pPr>
              <w:spacing w:after="0"/>
              <w:rPr>
                <w:sz w:val="1"/>
                <w:szCs w:val="1"/>
                <w:color w:val="auto"/>
              </w:rPr>
            </w:pPr>
          </w:p>
        </w:tc>
      </w:tr>
      <w:tr>
        <w:trPr>
          <w:trHeight w:val="324"/>
        </w:trPr>
        <w:tc>
          <w:tcPr>
            <w:tcW w:w="480" w:type="dxa"/>
            <w:vAlign w:val="bottom"/>
            <w:gridSpan w:val="2"/>
          </w:tcPr>
          <w:p>
            <w:pPr>
              <w:jc w:val="right"/>
              <w:ind w:right="8"/>
              <w:spacing w:after="0"/>
              <w:rPr>
                <w:sz w:val="20"/>
                <w:szCs w:val="20"/>
                <w:color w:val="auto"/>
              </w:rPr>
            </w:pPr>
            <w:r>
              <w:rPr>
                <w:rFonts w:ascii="Arial" w:cs="Arial" w:eastAsia="Arial" w:hAnsi="Arial"/>
                <w:sz w:val="18"/>
                <w:szCs w:val="18"/>
                <w:color w:val="auto"/>
              </w:rPr>
              <w:t>4.6*</w:t>
            </w:r>
          </w:p>
        </w:tc>
        <w:tc>
          <w:tcPr>
            <w:tcW w:w="660" w:type="dxa"/>
            <w:vAlign w:val="bottom"/>
          </w:tcPr>
          <w:p>
            <w:pPr>
              <w:spacing w:after="0"/>
              <w:rPr>
                <w:sz w:val="24"/>
                <w:szCs w:val="24"/>
                <w:color w:val="auto"/>
              </w:rPr>
            </w:pPr>
          </w:p>
        </w:tc>
        <w:tc>
          <w:tcPr>
            <w:tcW w:w="9780" w:type="dxa"/>
            <w:vAlign w:val="bottom"/>
            <w:gridSpan w:val="15"/>
          </w:tcPr>
          <w:p>
            <w:pPr>
              <w:spacing w:after="0"/>
              <w:rPr>
                <w:sz w:val="20"/>
                <w:szCs w:val="20"/>
                <w:color w:val="auto"/>
              </w:rPr>
            </w:pPr>
            <w:r>
              <w:rPr>
                <w:rFonts w:ascii="Arial" w:cs="Arial" w:eastAsia="Arial" w:hAnsi="Arial"/>
                <w:sz w:val="18"/>
                <w:szCs w:val="18"/>
                <w:color w:val="auto"/>
              </w:rPr>
              <w:t>Form of Warrant Agreements</w:t>
            </w:r>
          </w:p>
        </w:tc>
        <w:tc>
          <w:tcPr>
            <w:tcW w:w="0" w:type="dxa"/>
            <w:vAlign w:val="bottom"/>
          </w:tcPr>
          <w:p>
            <w:pPr>
              <w:spacing w:after="0"/>
              <w:rPr>
                <w:sz w:val="1"/>
                <w:szCs w:val="1"/>
                <w:color w:val="auto"/>
              </w:rPr>
            </w:pPr>
          </w:p>
        </w:tc>
      </w:tr>
      <w:tr>
        <w:trPr>
          <w:trHeight w:val="324"/>
        </w:trPr>
        <w:tc>
          <w:tcPr>
            <w:tcW w:w="480" w:type="dxa"/>
            <w:vAlign w:val="bottom"/>
            <w:gridSpan w:val="2"/>
          </w:tcPr>
          <w:p>
            <w:pPr>
              <w:jc w:val="right"/>
              <w:ind w:right="8"/>
              <w:spacing w:after="0"/>
              <w:rPr>
                <w:sz w:val="20"/>
                <w:szCs w:val="20"/>
                <w:color w:val="auto"/>
              </w:rPr>
            </w:pPr>
            <w:r>
              <w:rPr>
                <w:rFonts w:ascii="Arial" w:cs="Arial" w:eastAsia="Arial" w:hAnsi="Arial"/>
                <w:sz w:val="18"/>
                <w:szCs w:val="18"/>
                <w:color w:val="auto"/>
              </w:rPr>
              <w:t>4.7*</w:t>
            </w:r>
          </w:p>
        </w:tc>
        <w:tc>
          <w:tcPr>
            <w:tcW w:w="660" w:type="dxa"/>
            <w:vAlign w:val="bottom"/>
          </w:tcPr>
          <w:p>
            <w:pPr>
              <w:spacing w:after="0"/>
              <w:rPr>
                <w:sz w:val="24"/>
                <w:szCs w:val="24"/>
                <w:color w:val="auto"/>
              </w:rPr>
            </w:pPr>
          </w:p>
        </w:tc>
        <w:tc>
          <w:tcPr>
            <w:tcW w:w="9780" w:type="dxa"/>
            <w:vAlign w:val="bottom"/>
            <w:gridSpan w:val="15"/>
          </w:tcPr>
          <w:p>
            <w:pPr>
              <w:spacing w:after="0"/>
              <w:rPr>
                <w:sz w:val="20"/>
                <w:szCs w:val="20"/>
                <w:color w:val="auto"/>
              </w:rPr>
            </w:pPr>
            <w:r>
              <w:rPr>
                <w:rFonts w:ascii="Arial" w:cs="Arial" w:eastAsia="Arial" w:hAnsi="Arial"/>
                <w:sz w:val="18"/>
                <w:szCs w:val="18"/>
                <w:color w:val="auto"/>
              </w:rPr>
              <w:t>Form of Unit Agreement and Unit Certificate</w:t>
            </w:r>
          </w:p>
        </w:tc>
        <w:tc>
          <w:tcPr>
            <w:tcW w:w="0" w:type="dxa"/>
            <w:vAlign w:val="bottom"/>
          </w:tcPr>
          <w:p>
            <w:pPr>
              <w:spacing w:after="0"/>
              <w:rPr>
                <w:sz w:val="1"/>
                <w:szCs w:val="1"/>
                <w:color w:val="auto"/>
              </w:rPr>
            </w:pPr>
          </w:p>
        </w:tc>
      </w:tr>
      <w:tr>
        <w:trPr>
          <w:trHeight w:val="324"/>
        </w:trPr>
        <w:tc>
          <w:tcPr>
            <w:tcW w:w="480" w:type="dxa"/>
            <w:vAlign w:val="bottom"/>
            <w:gridSpan w:val="2"/>
          </w:tcPr>
          <w:p>
            <w:pPr>
              <w:jc w:val="right"/>
              <w:ind w:right="8"/>
              <w:spacing w:after="0"/>
              <w:rPr>
                <w:sz w:val="20"/>
                <w:szCs w:val="20"/>
                <w:color w:val="auto"/>
              </w:rPr>
            </w:pPr>
            <w:r>
              <w:rPr>
                <w:rFonts w:ascii="Arial" w:cs="Arial" w:eastAsia="Arial" w:hAnsi="Arial"/>
                <w:sz w:val="18"/>
                <w:szCs w:val="18"/>
                <w:color w:val="auto"/>
              </w:rPr>
              <w:t>4.8*</w:t>
            </w:r>
          </w:p>
        </w:tc>
        <w:tc>
          <w:tcPr>
            <w:tcW w:w="660" w:type="dxa"/>
            <w:vAlign w:val="bottom"/>
          </w:tcPr>
          <w:p>
            <w:pPr>
              <w:spacing w:after="0"/>
              <w:rPr>
                <w:sz w:val="24"/>
                <w:szCs w:val="24"/>
                <w:color w:val="auto"/>
              </w:rPr>
            </w:pPr>
          </w:p>
        </w:tc>
        <w:tc>
          <w:tcPr>
            <w:tcW w:w="9780" w:type="dxa"/>
            <w:vAlign w:val="bottom"/>
            <w:gridSpan w:val="15"/>
          </w:tcPr>
          <w:p>
            <w:pPr>
              <w:spacing w:after="0"/>
              <w:rPr>
                <w:sz w:val="20"/>
                <w:szCs w:val="20"/>
                <w:color w:val="auto"/>
              </w:rPr>
            </w:pPr>
            <w:r>
              <w:rPr>
                <w:rFonts w:ascii="Arial" w:cs="Arial" w:eastAsia="Arial" w:hAnsi="Arial"/>
                <w:sz w:val="18"/>
                <w:szCs w:val="18"/>
                <w:color w:val="auto"/>
              </w:rPr>
              <w:t>Form of Preferred Stock Certificate</w:t>
            </w:r>
          </w:p>
        </w:tc>
        <w:tc>
          <w:tcPr>
            <w:tcW w:w="0" w:type="dxa"/>
            <w:vAlign w:val="bottom"/>
          </w:tcPr>
          <w:p>
            <w:pPr>
              <w:spacing w:after="0"/>
              <w:rPr>
                <w:sz w:val="1"/>
                <w:szCs w:val="1"/>
                <w:color w:val="auto"/>
              </w:rPr>
            </w:pPr>
          </w:p>
        </w:tc>
      </w:tr>
      <w:tr>
        <w:trPr>
          <w:trHeight w:val="324"/>
        </w:trPr>
        <w:tc>
          <w:tcPr>
            <w:tcW w:w="480" w:type="dxa"/>
            <w:vAlign w:val="bottom"/>
            <w:gridSpan w:val="2"/>
          </w:tcPr>
          <w:p>
            <w:pPr>
              <w:jc w:val="right"/>
              <w:ind w:right="88"/>
              <w:spacing w:after="0"/>
              <w:rPr>
                <w:sz w:val="20"/>
                <w:szCs w:val="20"/>
                <w:color w:val="auto"/>
              </w:rPr>
            </w:pPr>
            <w:r>
              <w:rPr>
                <w:rFonts w:ascii="Arial" w:cs="Arial" w:eastAsia="Arial" w:hAnsi="Arial"/>
                <w:sz w:val="18"/>
                <w:szCs w:val="18"/>
                <w:color w:val="auto"/>
              </w:rPr>
              <w:t>4.9</w:t>
            </w:r>
          </w:p>
        </w:tc>
        <w:tc>
          <w:tcPr>
            <w:tcW w:w="660" w:type="dxa"/>
            <w:vAlign w:val="bottom"/>
          </w:tcPr>
          <w:p>
            <w:pPr>
              <w:spacing w:after="0"/>
              <w:rPr>
                <w:sz w:val="24"/>
                <w:szCs w:val="24"/>
                <w:color w:val="auto"/>
              </w:rPr>
            </w:pPr>
          </w:p>
        </w:tc>
        <w:tc>
          <w:tcPr>
            <w:tcW w:w="9780" w:type="dxa"/>
            <w:vAlign w:val="bottom"/>
            <w:gridSpan w:val="15"/>
          </w:tcPr>
          <w:p>
            <w:pPr>
              <w:spacing w:after="0"/>
              <w:rPr>
                <w:sz w:val="20"/>
                <w:szCs w:val="20"/>
                <w:color w:val="auto"/>
              </w:rPr>
            </w:pPr>
            <w:r>
              <w:rPr>
                <w:rFonts w:ascii="Arial" w:cs="Arial" w:eastAsia="Arial" w:hAnsi="Arial"/>
                <w:sz w:val="18"/>
                <w:szCs w:val="18"/>
                <w:color w:val="auto"/>
              </w:rPr>
              <w:t>Reference is made to Exhibits 3.1 and 3.2</w:t>
            </w:r>
          </w:p>
        </w:tc>
        <w:tc>
          <w:tcPr>
            <w:tcW w:w="0" w:type="dxa"/>
            <w:vAlign w:val="bottom"/>
          </w:tcPr>
          <w:p>
            <w:pPr>
              <w:spacing w:after="0"/>
              <w:rPr>
                <w:sz w:val="1"/>
                <w:szCs w:val="1"/>
                <w:color w:val="auto"/>
              </w:rPr>
            </w:pPr>
          </w:p>
        </w:tc>
      </w:tr>
      <w:tr>
        <w:trPr>
          <w:trHeight w:val="284"/>
        </w:trPr>
        <w:tc>
          <w:tcPr>
            <w:tcW w:w="480" w:type="dxa"/>
            <w:vAlign w:val="bottom"/>
            <w:gridSpan w:val="2"/>
          </w:tcPr>
          <w:p>
            <w:pPr>
              <w:jc w:val="right"/>
              <w:ind w:right="88"/>
              <w:spacing w:after="0"/>
              <w:rPr>
                <w:sz w:val="20"/>
                <w:szCs w:val="20"/>
                <w:color w:val="auto"/>
              </w:rPr>
            </w:pPr>
            <w:r>
              <w:rPr>
                <w:rFonts w:ascii="Arial" w:cs="Arial" w:eastAsia="Arial" w:hAnsi="Arial"/>
                <w:sz w:val="18"/>
                <w:szCs w:val="18"/>
                <w:color w:val="auto"/>
              </w:rPr>
              <w:t>5.1</w:t>
            </w:r>
          </w:p>
        </w:tc>
        <w:tc>
          <w:tcPr>
            <w:tcW w:w="660" w:type="dxa"/>
            <w:vAlign w:val="bottom"/>
          </w:tcPr>
          <w:p>
            <w:pPr>
              <w:spacing w:after="0"/>
              <w:rPr>
                <w:sz w:val="24"/>
                <w:szCs w:val="24"/>
                <w:color w:val="auto"/>
              </w:rPr>
            </w:pPr>
          </w:p>
        </w:tc>
        <w:tc>
          <w:tcPr>
            <w:tcW w:w="9780" w:type="dxa"/>
            <w:vAlign w:val="bottom"/>
            <w:gridSpan w:val="15"/>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Opinion of Goodwin Procter LLP</w:t>
              </w:r>
            </w:hyperlink>
          </w:p>
        </w:tc>
        <w:tc>
          <w:tcPr>
            <w:tcW w:w="0" w:type="dxa"/>
            <w:vAlign w:val="bottom"/>
          </w:tcPr>
          <w:p>
            <w:pPr>
              <w:spacing w:after="0"/>
              <w:rPr>
                <w:sz w:val="1"/>
                <w:szCs w:val="1"/>
                <w:color w:val="auto"/>
              </w:rPr>
            </w:pPr>
          </w:p>
        </w:tc>
      </w:tr>
      <w:tr>
        <w:trPr>
          <w:trHeight w:val="304"/>
        </w:trPr>
        <w:tc>
          <w:tcPr>
            <w:tcW w:w="480" w:type="dxa"/>
            <w:vAlign w:val="bottom"/>
            <w:gridSpan w:val="2"/>
          </w:tcPr>
          <w:p>
            <w:pPr>
              <w:jc w:val="right"/>
              <w:ind w:right="88"/>
              <w:spacing w:after="0"/>
              <w:rPr>
                <w:sz w:val="20"/>
                <w:szCs w:val="20"/>
                <w:color w:val="auto"/>
              </w:rPr>
            </w:pPr>
            <w:r>
              <w:rPr>
                <w:rFonts w:ascii="Arial" w:cs="Arial" w:eastAsia="Arial" w:hAnsi="Arial"/>
                <w:sz w:val="18"/>
                <w:szCs w:val="18"/>
                <w:color w:val="auto"/>
                <w:w w:val="85"/>
              </w:rPr>
              <w:t>23.1</w:t>
            </w:r>
          </w:p>
        </w:tc>
        <w:tc>
          <w:tcPr>
            <w:tcW w:w="660" w:type="dxa"/>
            <w:vAlign w:val="bottom"/>
          </w:tcPr>
          <w:p>
            <w:pPr>
              <w:spacing w:after="0"/>
              <w:rPr>
                <w:sz w:val="24"/>
                <w:szCs w:val="24"/>
                <w:color w:val="auto"/>
              </w:rPr>
            </w:pPr>
          </w:p>
        </w:tc>
        <w:tc>
          <w:tcPr>
            <w:tcW w:w="2340" w:type="dxa"/>
            <w:vAlign w:val="bottom"/>
            <w:tcBorders>
              <w:top w:val="single" w:sz="8" w:color="0000EE"/>
              <w:bottom w:val="single" w:sz="8" w:color="0000EE"/>
            </w:tcBorders>
          </w:tcPr>
          <w:p>
            <w:pPr>
              <w:spacing w:after="0"/>
              <w:rPr>
                <w:rFonts w:ascii="Arial" w:cs="Arial" w:eastAsia="Arial" w:hAnsi="Arial"/>
                <w:sz w:val="18"/>
                <w:szCs w:val="18"/>
                <w:color w:val="0000EE"/>
                <w:w w:val="93"/>
              </w:rPr>
            </w:pPr>
            <w:hyperlink w:anchor="page152">
              <w:r>
                <w:rPr>
                  <w:rFonts w:ascii="Arial" w:cs="Arial" w:eastAsia="Arial" w:hAnsi="Arial"/>
                  <w:sz w:val="18"/>
                  <w:szCs w:val="18"/>
                  <w:color w:val="0000EE"/>
                  <w:w w:val="93"/>
                </w:rPr>
                <w:t>Consent of Ernst &amp; Young LLP</w:t>
              </w:r>
            </w:hyperlink>
          </w:p>
        </w:tc>
        <w:tc>
          <w:tcPr>
            <w:tcW w:w="80" w:type="dxa"/>
            <w:vAlign w:val="bottom"/>
            <w:tcBorders>
              <w:top w:val="single" w:sz="8" w:color="0000EE"/>
            </w:tcBorders>
          </w:tcPr>
          <w:p>
            <w:pPr>
              <w:spacing w:after="0"/>
              <w:rPr>
                <w:sz w:val="24"/>
                <w:szCs w:val="24"/>
                <w:color w:val="auto"/>
              </w:rPr>
            </w:pPr>
          </w:p>
        </w:tc>
        <w:tc>
          <w:tcPr>
            <w:tcW w:w="73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80" w:type="dxa"/>
            <w:vAlign w:val="bottom"/>
            <w:gridSpan w:val="2"/>
          </w:tcPr>
          <w:p>
            <w:pPr>
              <w:jc w:val="right"/>
              <w:ind w:right="88"/>
              <w:spacing w:after="0"/>
              <w:rPr>
                <w:sz w:val="20"/>
                <w:szCs w:val="20"/>
                <w:color w:val="auto"/>
              </w:rPr>
            </w:pPr>
            <w:r>
              <w:rPr>
                <w:rFonts w:ascii="Arial" w:cs="Arial" w:eastAsia="Arial" w:hAnsi="Arial"/>
                <w:sz w:val="18"/>
                <w:szCs w:val="18"/>
                <w:color w:val="auto"/>
                <w:w w:val="85"/>
              </w:rPr>
              <w:t>23.2</w:t>
            </w:r>
          </w:p>
        </w:tc>
        <w:tc>
          <w:tcPr>
            <w:tcW w:w="660" w:type="dxa"/>
            <w:vAlign w:val="bottom"/>
          </w:tcPr>
          <w:p>
            <w:pPr>
              <w:spacing w:after="0"/>
              <w:rPr>
                <w:sz w:val="24"/>
                <w:szCs w:val="24"/>
                <w:color w:val="auto"/>
              </w:rPr>
            </w:pPr>
          </w:p>
        </w:tc>
        <w:tc>
          <w:tcPr>
            <w:tcW w:w="9780" w:type="dxa"/>
            <w:vAlign w:val="bottom"/>
            <w:gridSpan w:val="15"/>
          </w:tcPr>
          <w:p>
            <w:pPr>
              <w:spacing w:after="0"/>
              <w:rPr>
                <w:rFonts w:ascii="Arial" w:cs="Arial" w:eastAsia="Arial" w:hAnsi="Arial"/>
                <w:sz w:val="18"/>
                <w:szCs w:val="18"/>
                <w:color w:val="0000EE"/>
              </w:rPr>
            </w:pPr>
            <w:hyperlink w:anchor="page149">
              <w:r>
                <w:rPr>
                  <w:rFonts w:ascii="Arial" w:cs="Arial" w:eastAsia="Arial" w:hAnsi="Arial"/>
                  <w:sz w:val="18"/>
                  <w:szCs w:val="18"/>
                  <w:color w:val="0000EE"/>
                </w:rPr>
                <w:t>Consent of Goodwin Procter LLP (included in Exhibit 5.1)</w:t>
              </w:r>
            </w:hyperlink>
          </w:p>
        </w:tc>
        <w:tc>
          <w:tcPr>
            <w:tcW w:w="0" w:type="dxa"/>
            <w:vAlign w:val="bottom"/>
          </w:tcPr>
          <w:p>
            <w:pPr>
              <w:spacing w:after="0"/>
              <w:rPr>
                <w:sz w:val="1"/>
                <w:szCs w:val="1"/>
                <w:color w:val="auto"/>
              </w:rPr>
            </w:pPr>
          </w:p>
        </w:tc>
      </w:tr>
      <w:tr>
        <w:trPr>
          <w:trHeight w:val="20"/>
        </w:trPr>
        <w:tc>
          <w:tcPr>
            <w:tcW w:w="4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40" w:type="dxa"/>
            <w:vAlign w:val="bottom"/>
            <w:gridSpan w:val="3"/>
            <w:shd w:val="clear" w:color="auto" w:fill="0000EE"/>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39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80" w:type="dxa"/>
            <w:vAlign w:val="bottom"/>
            <w:gridSpan w:val="2"/>
          </w:tcPr>
          <w:p>
            <w:pPr>
              <w:jc w:val="right"/>
              <w:ind w:right="88"/>
              <w:spacing w:after="0"/>
              <w:rPr>
                <w:sz w:val="20"/>
                <w:szCs w:val="20"/>
                <w:color w:val="auto"/>
              </w:rPr>
            </w:pPr>
            <w:r>
              <w:rPr>
                <w:rFonts w:ascii="Arial" w:cs="Arial" w:eastAsia="Arial" w:hAnsi="Arial"/>
                <w:sz w:val="18"/>
                <w:szCs w:val="18"/>
                <w:color w:val="auto"/>
                <w:w w:val="85"/>
              </w:rPr>
              <w:t>24.1</w:t>
            </w:r>
          </w:p>
        </w:tc>
        <w:tc>
          <w:tcPr>
            <w:tcW w:w="660" w:type="dxa"/>
            <w:vAlign w:val="bottom"/>
          </w:tcPr>
          <w:p>
            <w:pPr>
              <w:spacing w:after="0"/>
              <w:rPr>
                <w:sz w:val="24"/>
                <w:szCs w:val="24"/>
                <w:color w:val="auto"/>
              </w:rPr>
            </w:pPr>
          </w:p>
        </w:tc>
        <w:tc>
          <w:tcPr>
            <w:tcW w:w="580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Power of Attorney (included on the signature page to this registration statement)</w:t>
              </w:r>
            </w:hyperlink>
          </w:p>
        </w:tc>
        <w:tc>
          <w:tcPr>
            <w:tcW w:w="39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140" w:type="dxa"/>
            <w:vAlign w:val="bottom"/>
            <w:gridSpan w:val="3"/>
          </w:tcPr>
          <w:p>
            <w:pPr>
              <w:jc w:val="right"/>
              <w:ind w:right="640"/>
              <w:spacing w:after="0"/>
              <w:rPr>
                <w:sz w:val="20"/>
                <w:szCs w:val="20"/>
                <w:color w:val="auto"/>
              </w:rPr>
            </w:pPr>
            <w:r>
              <w:rPr>
                <w:rFonts w:ascii="Arial" w:cs="Arial" w:eastAsia="Arial" w:hAnsi="Arial"/>
                <w:sz w:val="18"/>
                <w:szCs w:val="18"/>
                <w:color w:val="auto"/>
                <w:w w:val="97"/>
              </w:rPr>
              <w:t>25.1**</w:t>
            </w:r>
          </w:p>
        </w:tc>
        <w:tc>
          <w:tcPr>
            <w:tcW w:w="9780" w:type="dxa"/>
            <w:vAlign w:val="bottom"/>
            <w:gridSpan w:val="15"/>
          </w:tcPr>
          <w:p>
            <w:pPr>
              <w:spacing w:after="0"/>
              <w:rPr>
                <w:sz w:val="20"/>
                <w:szCs w:val="20"/>
                <w:color w:val="auto"/>
              </w:rPr>
            </w:pPr>
            <w:r>
              <w:rPr>
                <w:rFonts w:ascii="Arial" w:cs="Arial" w:eastAsia="Arial" w:hAnsi="Arial"/>
                <w:sz w:val="18"/>
                <w:szCs w:val="18"/>
                <w:color w:val="auto"/>
              </w:rPr>
              <w:t>Form T-1 Statement of Eligibility of Trustee for Senior Indenture under the Trust Indenture Act of 1939</w:t>
            </w:r>
          </w:p>
        </w:tc>
        <w:tc>
          <w:tcPr>
            <w:tcW w:w="0" w:type="dxa"/>
            <w:vAlign w:val="bottom"/>
          </w:tcPr>
          <w:p>
            <w:pPr>
              <w:spacing w:after="0"/>
              <w:rPr>
                <w:sz w:val="1"/>
                <w:szCs w:val="1"/>
                <w:color w:val="auto"/>
              </w:rPr>
            </w:pPr>
          </w:p>
        </w:tc>
      </w:tr>
      <w:tr>
        <w:trPr>
          <w:trHeight w:val="324"/>
        </w:trPr>
        <w:tc>
          <w:tcPr>
            <w:tcW w:w="1140" w:type="dxa"/>
            <w:vAlign w:val="bottom"/>
            <w:gridSpan w:val="3"/>
          </w:tcPr>
          <w:p>
            <w:pPr>
              <w:jc w:val="right"/>
              <w:ind w:right="640"/>
              <w:spacing w:after="0"/>
              <w:rPr>
                <w:sz w:val="20"/>
                <w:szCs w:val="20"/>
                <w:color w:val="auto"/>
              </w:rPr>
            </w:pPr>
            <w:r>
              <w:rPr>
                <w:rFonts w:ascii="Arial" w:cs="Arial" w:eastAsia="Arial" w:hAnsi="Arial"/>
                <w:sz w:val="18"/>
                <w:szCs w:val="18"/>
                <w:color w:val="auto"/>
                <w:w w:val="97"/>
              </w:rPr>
              <w:t>25.2**</w:t>
            </w:r>
          </w:p>
        </w:tc>
        <w:tc>
          <w:tcPr>
            <w:tcW w:w="9780" w:type="dxa"/>
            <w:vAlign w:val="bottom"/>
            <w:gridSpan w:val="15"/>
          </w:tcPr>
          <w:p>
            <w:pPr>
              <w:spacing w:after="0"/>
              <w:rPr>
                <w:sz w:val="20"/>
                <w:szCs w:val="20"/>
                <w:color w:val="auto"/>
              </w:rPr>
            </w:pPr>
            <w:r>
              <w:rPr>
                <w:rFonts w:ascii="Arial" w:cs="Arial" w:eastAsia="Arial" w:hAnsi="Arial"/>
                <w:sz w:val="18"/>
                <w:szCs w:val="18"/>
                <w:color w:val="auto"/>
              </w:rPr>
              <w:t>Form T-1 Statement of Eligibility of Trustee for Subordinated Indenture under the Trust Indenture Act of 1939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460" w:hanging="436"/>
        <w:spacing w:after="0" w:line="258"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be filed, if necessary, by amendment or as an exhibit to a document to be incorporated or deemed to be incorporated by reference in this registration statement, including a Current Report on Form 8-K.</w:t>
      </w:r>
    </w:p>
    <w:p>
      <w:pPr>
        <w:spacing w:after="0" w:line="1" w:lineRule="exact"/>
        <w:rPr>
          <w:sz w:val="20"/>
          <w:szCs w:val="20"/>
          <w:color w:val="auto"/>
        </w:rPr>
      </w:pPr>
    </w:p>
    <w:p>
      <w:pPr>
        <w:ind w:left="5580" w:right="3860" w:hanging="5376"/>
        <w:spacing w:after="0" w:line="433" w:lineRule="auto"/>
        <w:tabs>
          <w:tab w:leader="none" w:pos="637"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be filed by amendment pursuant to Section 305(b)(2) of the Trust Indenture Act of 1939. II-3</w:t>
      </w:r>
    </w:p>
    <w:p>
      <w:pPr>
        <w:sectPr>
          <w:pgSz w:w="11900" w:h="16838" w:orient="portrait"/>
          <w:cols w:equalWidth="0" w:num="1">
            <w:col w:w="11120"/>
          </w:cols>
          <w:pgMar w:left="240" w:top="459" w:right="5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undersigned registrant hereby undertakes:</w:t>
      </w:r>
    </w:p>
    <w:p>
      <w:pPr>
        <w:spacing w:after="0" w:line="117" w:lineRule="exact"/>
        <w:rPr>
          <w:sz w:val="20"/>
          <w:szCs w:val="20"/>
          <w:color w:val="auto"/>
        </w:rPr>
      </w:pPr>
    </w:p>
    <w:p>
      <w:pPr>
        <w:ind w:left="460" w:hanging="256"/>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 of 1933;</w:t>
      </w:r>
    </w:p>
    <w:p>
      <w:pPr>
        <w:spacing w:after="0" w:line="225" w:lineRule="exact"/>
        <w:rPr>
          <w:sz w:val="20"/>
          <w:szCs w:val="20"/>
          <w:color w:val="auto"/>
        </w:rPr>
      </w:pPr>
    </w:p>
    <w:p>
      <w:pPr>
        <w:ind w:left="200" w:right="180" w:firstLine="4"/>
        <w:spacing w:after="0" w:line="255" w:lineRule="auto"/>
        <w:tabs>
          <w:tab w:leader="none" w:pos="4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9" w:lineRule="exact"/>
        <w:rPr>
          <w:rFonts w:ascii="Arial" w:cs="Arial" w:eastAsia="Arial" w:hAnsi="Arial"/>
          <w:sz w:val="18"/>
          <w:szCs w:val="18"/>
          <w:color w:val="auto"/>
        </w:rPr>
      </w:pPr>
    </w:p>
    <w:p>
      <w:pPr>
        <w:ind w:left="200" w:right="240" w:firstLine="4"/>
        <w:spacing w:after="0" w:line="297" w:lineRule="auto"/>
        <w:tabs>
          <w:tab w:leader="none" w:pos="515"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To include any material information with respect to the plan of distribution not previously disclosed in the registration statement or any material change to such information in the registration statement;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paragraphs (l)(i), (l)(ii) and (l)(iii) of this section do not apply if the information required to be included in a post-effective amendment by those paragraphs is contained in reports filed with or furnished to the Securities and Exchange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58" w:lineRule="exact"/>
        <w:rPr>
          <w:sz w:val="20"/>
          <w:szCs w:val="20"/>
          <w:color w:val="auto"/>
        </w:rPr>
      </w:pPr>
    </w:p>
    <w:p>
      <w:pPr>
        <w:ind w:left="200" w:right="60" w:firstLine="4"/>
        <w:spacing w:after="0" w:line="264" w:lineRule="auto"/>
        <w:tabs>
          <w:tab w:leader="none" w:pos="4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left="200" w:right="20" w:firstLine="4"/>
        <w:spacing w:after="0" w:line="277" w:lineRule="auto"/>
        <w:tabs>
          <w:tab w:leader="none" w:pos="4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460" w:hanging="256"/>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117" w:lineRule="exact"/>
        <w:rPr>
          <w:sz w:val="20"/>
          <w:szCs w:val="20"/>
          <w:color w:val="auto"/>
        </w:rPr>
      </w:pPr>
    </w:p>
    <w:p>
      <w:pPr>
        <w:ind w:left="200" w:right="440" w:firstLine="4"/>
        <w:spacing w:after="0" w:line="277" w:lineRule="auto"/>
        <w:tabs>
          <w:tab w:leader="none" w:pos="4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left="200" w:firstLine="4"/>
        <w:spacing w:after="0" w:line="269" w:lineRule="auto"/>
        <w:tabs>
          <w:tab w:leader="none" w:pos="465"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Each prospectus required to be filed pursuant to Rule 424(b)(2), (b)(5), or (b)(7) as part of a registration statement in reliance on Rule 430B relating to an offering made pursuant to Rule 415(a)(l)(i),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4"/>
        <w:spacing w:after="0" w:line="257" w:lineRule="auto"/>
        <w:tabs>
          <w:tab w:leader="none" w:pos="4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0" w:lineRule="exact"/>
        <w:rPr>
          <w:sz w:val="20"/>
          <w:szCs w:val="20"/>
          <w:color w:val="auto"/>
        </w:rPr>
      </w:pPr>
    </w:p>
    <w:p>
      <w:pPr>
        <w:ind w:left="420" w:hanging="216"/>
        <w:spacing w:after="0"/>
        <w:tabs>
          <w:tab w:leader="none" w:pos="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225" w:lineRule="exact"/>
        <w:rPr>
          <w:rFonts w:ascii="Arial" w:cs="Arial" w:eastAsia="Arial" w:hAnsi="Arial"/>
          <w:sz w:val="18"/>
          <w:szCs w:val="18"/>
          <w:color w:val="auto"/>
        </w:rPr>
      </w:pPr>
    </w:p>
    <w:p>
      <w:pPr>
        <w:ind w:left="200" w:right="140" w:firstLine="4"/>
        <w:spacing w:after="0" w:line="277" w:lineRule="auto"/>
        <w:tabs>
          <w:tab w:leader="none" w:pos="465"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200" w:right="440" w:firstLine="4"/>
        <w:spacing w:after="0" w:line="277" w:lineRule="auto"/>
        <w:tabs>
          <w:tab w:leader="none" w:pos="5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500" w:hanging="296"/>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200" w:firstLine="4"/>
        <w:spacing w:after="0" w:line="257" w:lineRule="auto"/>
        <w:tabs>
          <w:tab w:leader="none" w:pos="4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8" w:lineRule="exact"/>
        <w:rPr>
          <w:rFonts w:ascii="Arial" w:cs="Arial" w:eastAsia="Arial" w:hAnsi="Arial"/>
          <w:sz w:val="18"/>
          <w:szCs w:val="18"/>
          <w:color w:val="auto"/>
        </w:rPr>
      </w:pPr>
    </w:p>
    <w:p>
      <w:pPr>
        <w:ind w:left="200" w:right="60" w:firstLine="4"/>
        <w:spacing w:after="0" w:line="271" w:lineRule="auto"/>
        <w:tabs>
          <w:tab w:leader="none" w:pos="455"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78" w:lineRule="exact"/>
        <w:rPr>
          <w:rFonts w:ascii="Arial" w:cs="Arial" w:eastAsia="Arial" w:hAnsi="Arial"/>
          <w:sz w:val="17"/>
          <w:szCs w:val="17"/>
          <w:color w:val="auto"/>
        </w:rPr>
      </w:pPr>
    </w:p>
    <w:p>
      <w:pPr>
        <w:jc w:val="both"/>
        <w:ind w:left="200" w:right="80" w:firstLine="4"/>
        <w:spacing w:after="0" w:line="312" w:lineRule="auto"/>
        <w:tabs>
          <w:tab w:leader="none" w:pos="455"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146" w:lineRule="exact"/>
        <w:rPr>
          <w:rFonts w:ascii="Arial" w:cs="Arial" w:eastAsia="Arial" w:hAnsi="Arial"/>
          <w:sz w:val="16"/>
          <w:szCs w:val="16"/>
          <w:color w:val="auto"/>
        </w:rPr>
      </w:pPr>
    </w:p>
    <w:p>
      <w:pPr>
        <w:ind w:left="200" w:firstLine="4"/>
        <w:spacing w:after="0" w:line="264" w:lineRule="auto"/>
        <w:tabs>
          <w:tab w:leader="none" w:pos="4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 and</w:t>
      </w:r>
    </w:p>
    <w:p>
      <w:pPr>
        <w:spacing w:after="0" w:line="181" w:lineRule="exact"/>
        <w:rPr>
          <w:rFonts w:ascii="Arial" w:cs="Arial" w:eastAsia="Arial" w:hAnsi="Arial"/>
          <w:sz w:val="18"/>
          <w:szCs w:val="18"/>
          <w:color w:val="auto"/>
        </w:rPr>
      </w:pPr>
    </w:p>
    <w:p>
      <w:pPr>
        <w:jc w:val="both"/>
        <w:ind w:left="200" w:right="220" w:firstLine="4"/>
        <w:spacing w:after="0" w:line="264" w:lineRule="auto"/>
        <w:tabs>
          <w:tab w:leader="none" w:pos="54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file an application for the purpose of determining the eligibility of the trustee to act under subsection (a) of Section 310 of the Trust Indenture Act of 1939 in accordance with the rules and regulations prescribed by the Securities and Exchange Commission under Section 305(b)(2) of the Trust Indenture Act of 1939.</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200" w:right="600"/>
        <w:spacing w:after="0" w:line="286" w:lineRule="auto"/>
        <w:rPr>
          <w:sz w:val="20"/>
          <w:szCs w:val="20"/>
          <w:color w:val="auto"/>
        </w:rPr>
      </w:pPr>
      <w:r>
        <w:rPr>
          <w:rFonts w:ascii="Arial" w:cs="Arial" w:eastAsia="Arial" w:hAnsi="Arial"/>
          <w:sz w:val="17"/>
          <w:szCs w:val="17"/>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Cambridge, Commonwealth of Massachusetts, on the 20th day of December, 2019.</w:t>
      </w:r>
    </w:p>
    <w:p>
      <w:pPr>
        <w:spacing w:after="0" w:line="189"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AVROBIO, INC.</w:t>
      </w:r>
    </w:p>
    <w:p>
      <w:pPr>
        <w:spacing w:after="0" w:line="229" w:lineRule="exact"/>
        <w:rPr>
          <w:sz w:val="20"/>
          <w:szCs w:val="20"/>
          <w:color w:val="auto"/>
        </w:rPr>
      </w:pPr>
    </w:p>
    <w:p>
      <w:pPr>
        <w:ind w:left="6820"/>
        <w:spacing w:after="0"/>
        <w:tabs>
          <w:tab w:leader="none" w:pos="8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5641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jc w:val="center"/>
        <w:ind w:left="6980"/>
        <w:spacing w:after="0"/>
        <w:rPr>
          <w:sz w:val="20"/>
          <w:szCs w:val="20"/>
          <w:color w:val="auto"/>
        </w:rPr>
      </w:pPr>
      <w:r>
        <w:rPr>
          <w:rFonts w:ascii="Arial" w:cs="Arial" w:eastAsia="Arial" w:hAnsi="Arial"/>
          <w:sz w:val="18"/>
          <w:szCs w:val="18"/>
          <w:color w:val="auto"/>
        </w:rPr>
        <w:t>Geoff MacKay</w:t>
      </w:r>
    </w:p>
    <w:p>
      <w:pPr>
        <w:spacing w:after="0" w:line="23" w:lineRule="exact"/>
        <w:rPr>
          <w:sz w:val="20"/>
          <w:szCs w:val="20"/>
          <w:color w:val="auto"/>
        </w:rPr>
      </w:pPr>
    </w:p>
    <w:p>
      <w:pPr>
        <w:jc w:val="center"/>
        <w:ind w:left="6980"/>
        <w:spacing w:after="0"/>
        <w:rPr>
          <w:sz w:val="20"/>
          <w:szCs w:val="20"/>
          <w:color w:val="auto"/>
        </w:rPr>
      </w:pPr>
      <w:r>
        <w:rPr>
          <w:rFonts w:ascii="Arial" w:cs="Arial" w:eastAsia="Arial" w:hAnsi="Arial"/>
          <w:sz w:val="18"/>
          <w:szCs w:val="18"/>
          <w:i w:val="1"/>
          <w:iCs w:val="1"/>
          <w:color w:val="auto"/>
        </w:rPr>
        <w:t>President, Chief Executive Officer and Principal</w:t>
      </w:r>
    </w:p>
    <w:p>
      <w:pPr>
        <w:spacing w:after="0" w:line="9" w:lineRule="exact"/>
        <w:rPr>
          <w:sz w:val="20"/>
          <w:szCs w:val="20"/>
          <w:color w:val="auto"/>
        </w:rPr>
      </w:pPr>
    </w:p>
    <w:p>
      <w:pPr>
        <w:jc w:val="center"/>
        <w:ind w:left="6980"/>
        <w:spacing w:after="0"/>
        <w:rPr>
          <w:sz w:val="20"/>
          <w:szCs w:val="20"/>
          <w:color w:val="auto"/>
        </w:rPr>
      </w:pPr>
      <w:r>
        <w:rPr>
          <w:rFonts w:ascii="Arial" w:cs="Arial" w:eastAsia="Arial" w:hAnsi="Arial"/>
          <w:sz w:val="18"/>
          <w:szCs w:val="18"/>
          <w:i w:val="1"/>
          <w:iCs w:val="1"/>
          <w:color w:val="auto"/>
        </w:rPr>
        <w:t>Executive Officer</w:t>
      </w:r>
    </w:p>
    <w:p>
      <w:pPr>
        <w:spacing w:after="0" w:line="211"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KNOW ALL BY THESE PRESENTS, that each person whose signature appears below hereby severally constitutes and appoints each of Geoff MacKay and Erik Ostrowski and each of them singly, as such person’s true and lawful attorneys-in-fact and agents, with full power of substitution and resubstitution, for such person and in such person’s name, place and stead, in any and all capacities, to sign any or all amendments (including, without limitation, post-effective amendments) to this registration statement (or any registration statement for the same offering that is to be effective upon filing pursuant to Rule 462(b) under the Securities Act of 1933),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82"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194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rPr>
              <w:t>NAME</w:t>
            </w:r>
          </w:p>
        </w:tc>
        <w:tc>
          <w:tcPr>
            <w:tcW w:w="19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5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740" w:type="dxa"/>
            <w:vAlign w:val="bottom"/>
            <w:gridSpan w:val="3"/>
          </w:tcPr>
          <w:p>
            <w:pPr>
              <w:jc w:val="center"/>
              <w:ind w:left="252"/>
              <w:spacing w:after="0"/>
              <w:rPr>
                <w:sz w:val="20"/>
                <w:szCs w:val="20"/>
                <w:color w:val="auto"/>
              </w:rPr>
            </w:pPr>
            <w:r>
              <w:rPr>
                <w:rFonts w:ascii="Arial" w:cs="Arial" w:eastAsia="Arial" w:hAnsi="Arial"/>
                <w:sz w:val="14"/>
                <w:szCs w:val="14"/>
                <w:b w:val="1"/>
                <w:bCs w:val="1"/>
                <w:color w:val="auto"/>
              </w:rPr>
              <w:t>DATE</w:t>
            </w:r>
          </w:p>
        </w:tc>
      </w:tr>
      <w:tr>
        <w:trPr>
          <w:trHeight w:val="20"/>
        </w:trPr>
        <w:tc>
          <w:tcPr>
            <w:tcW w:w="19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26"/>
        </w:trPr>
        <w:tc>
          <w:tcPr>
            <w:tcW w:w="43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4"/>
              </w:rPr>
              <w:t>/s/ Geoff MacKay</w:t>
            </w:r>
          </w:p>
        </w:tc>
        <w:tc>
          <w:tcPr>
            <w:tcW w:w="4640" w:type="dxa"/>
            <w:vAlign w:val="bottom"/>
            <w:gridSpan w:val="3"/>
          </w:tcPr>
          <w:p>
            <w:pPr>
              <w:ind w:left="100"/>
              <w:spacing w:after="0"/>
              <w:rPr>
                <w:sz w:val="20"/>
                <w:szCs w:val="20"/>
                <w:color w:val="auto"/>
              </w:rPr>
            </w:pPr>
            <w:r>
              <w:rPr>
                <w:rFonts w:ascii="Arial" w:cs="Arial" w:eastAsia="Arial" w:hAnsi="Arial"/>
                <w:sz w:val="18"/>
                <w:szCs w:val="18"/>
                <w:i w:val="1"/>
                <w:iCs w:val="1"/>
                <w:color w:val="auto"/>
                <w:w w:val="99"/>
              </w:rPr>
              <w:t>Director, President, Chief Executive Officer, and Principal</w:t>
            </w:r>
          </w:p>
        </w:tc>
        <w:tc>
          <w:tcPr>
            <w:tcW w:w="1740" w:type="dxa"/>
            <w:vAlign w:val="bottom"/>
            <w:gridSpan w:val="3"/>
          </w:tcPr>
          <w:p>
            <w:pPr>
              <w:jc w:val="center"/>
              <w:ind w:left="252"/>
              <w:spacing w:after="0"/>
              <w:rPr>
                <w:sz w:val="20"/>
                <w:szCs w:val="20"/>
                <w:color w:val="auto"/>
              </w:rPr>
            </w:pPr>
            <w:r>
              <w:rPr>
                <w:rFonts w:ascii="Arial" w:cs="Arial" w:eastAsia="Arial" w:hAnsi="Arial"/>
                <w:sz w:val="18"/>
                <w:szCs w:val="18"/>
                <w:color w:val="auto"/>
                <w:w w:val="88"/>
              </w:rPr>
              <w:t>December 20, 2019</w:t>
            </w:r>
          </w:p>
        </w:tc>
      </w:tr>
      <w:tr>
        <w:trPr>
          <w:trHeight w:val="224"/>
        </w:trPr>
        <w:tc>
          <w:tcPr>
            <w:tcW w:w="4320" w:type="dxa"/>
            <w:vAlign w:val="bottom"/>
            <w:gridSpan w:val="3"/>
          </w:tcPr>
          <w:p>
            <w:pPr>
              <w:jc w:val="center"/>
              <w:spacing w:after="0"/>
              <w:rPr>
                <w:sz w:val="20"/>
                <w:szCs w:val="20"/>
                <w:color w:val="auto"/>
              </w:rPr>
            </w:pPr>
            <w:r>
              <w:rPr>
                <w:rFonts w:ascii="Arial" w:cs="Arial" w:eastAsia="Arial" w:hAnsi="Arial"/>
                <w:sz w:val="18"/>
                <w:szCs w:val="18"/>
                <w:color w:val="auto"/>
                <w:w w:val="94"/>
              </w:rPr>
              <w:t>Geoff MacKay</w:t>
            </w:r>
          </w:p>
        </w:tc>
        <w:tc>
          <w:tcPr>
            <w:tcW w:w="4640" w:type="dxa"/>
            <w:vAlign w:val="bottom"/>
            <w:gridSpan w:val="3"/>
          </w:tcPr>
          <w:p>
            <w:pPr>
              <w:ind w:left="100"/>
              <w:spacing w:after="0"/>
              <w:rPr>
                <w:sz w:val="20"/>
                <w:szCs w:val="20"/>
                <w:color w:val="auto"/>
              </w:rPr>
            </w:pPr>
            <w:r>
              <w:rPr>
                <w:rFonts w:ascii="Arial" w:cs="Arial" w:eastAsia="Arial" w:hAnsi="Arial"/>
                <w:sz w:val="18"/>
                <w:szCs w:val="18"/>
                <w:i w:val="1"/>
                <w:iCs w:val="1"/>
                <w:color w:val="auto"/>
              </w:rPr>
              <w:t>Executive Officer</w:t>
            </w: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1"/>
        </w:trPr>
        <w:tc>
          <w:tcPr>
            <w:tcW w:w="43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3"/>
              </w:rPr>
              <w:t>/s/ Erik Ostrowski</w:t>
            </w:r>
          </w:p>
        </w:tc>
        <w:tc>
          <w:tcPr>
            <w:tcW w:w="4640" w:type="dxa"/>
            <w:vAlign w:val="bottom"/>
            <w:gridSpan w:val="3"/>
          </w:tcPr>
          <w:p>
            <w:pPr>
              <w:ind w:left="100"/>
              <w:spacing w:after="0"/>
              <w:rPr>
                <w:sz w:val="20"/>
                <w:szCs w:val="20"/>
                <w:color w:val="auto"/>
              </w:rPr>
            </w:pPr>
            <w:r>
              <w:rPr>
                <w:rFonts w:ascii="Arial" w:cs="Arial" w:eastAsia="Arial" w:hAnsi="Arial"/>
                <w:sz w:val="18"/>
                <w:szCs w:val="18"/>
                <w:i w:val="1"/>
                <w:iCs w:val="1"/>
                <w:color w:val="auto"/>
              </w:rPr>
              <w:t>Chief Financial Officer and Principal Financial and</w:t>
            </w:r>
          </w:p>
        </w:tc>
        <w:tc>
          <w:tcPr>
            <w:tcW w:w="1740" w:type="dxa"/>
            <w:vAlign w:val="bottom"/>
            <w:gridSpan w:val="3"/>
          </w:tcPr>
          <w:p>
            <w:pPr>
              <w:jc w:val="center"/>
              <w:ind w:left="252"/>
              <w:spacing w:after="0"/>
              <w:rPr>
                <w:sz w:val="20"/>
                <w:szCs w:val="20"/>
                <w:color w:val="auto"/>
              </w:rPr>
            </w:pPr>
            <w:r>
              <w:rPr>
                <w:rFonts w:ascii="Arial" w:cs="Arial" w:eastAsia="Arial" w:hAnsi="Arial"/>
                <w:sz w:val="18"/>
                <w:szCs w:val="18"/>
                <w:color w:val="auto"/>
                <w:w w:val="88"/>
              </w:rPr>
              <w:t>December 20, 2019</w:t>
            </w:r>
          </w:p>
        </w:tc>
      </w:tr>
      <w:tr>
        <w:trPr>
          <w:trHeight w:val="224"/>
        </w:trPr>
        <w:tc>
          <w:tcPr>
            <w:tcW w:w="4320" w:type="dxa"/>
            <w:vAlign w:val="bottom"/>
            <w:gridSpan w:val="3"/>
          </w:tcPr>
          <w:p>
            <w:pPr>
              <w:jc w:val="center"/>
              <w:ind w:right="20"/>
              <w:spacing w:after="0"/>
              <w:rPr>
                <w:sz w:val="20"/>
                <w:szCs w:val="20"/>
                <w:color w:val="auto"/>
              </w:rPr>
            </w:pPr>
            <w:r>
              <w:rPr>
                <w:rFonts w:ascii="Arial" w:cs="Arial" w:eastAsia="Arial" w:hAnsi="Arial"/>
                <w:sz w:val="18"/>
                <w:szCs w:val="18"/>
                <w:color w:val="auto"/>
                <w:w w:val="95"/>
              </w:rPr>
              <w:t>Erik Ostrowski</w:t>
            </w:r>
          </w:p>
        </w:tc>
        <w:tc>
          <w:tcPr>
            <w:tcW w:w="4640" w:type="dxa"/>
            <w:vAlign w:val="bottom"/>
            <w:gridSpan w:val="3"/>
          </w:tcPr>
          <w:p>
            <w:pPr>
              <w:ind w:left="100"/>
              <w:spacing w:after="0"/>
              <w:rPr>
                <w:sz w:val="20"/>
                <w:szCs w:val="20"/>
                <w:color w:val="auto"/>
              </w:rPr>
            </w:pPr>
            <w:r>
              <w:rPr>
                <w:rFonts w:ascii="Arial" w:cs="Arial" w:eastAsia="Arial" w:hAnsi="Arial"/>
                <w:sz w:val="18"/>
                <w:szCs w:val="18"/>
                <w:i w:val="1"/>
                <w:iCs w:val="1"/>
                <w:color w:val="auto"/>
              </w:rPr>
              <w:t>Accounting Officer</w:t>
            </w: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1"/>
        </w:trPr>
        <w:tc>
          <w:tcPr>
            <w:tcW w:w="43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2"/>
              </w:rPr>
              <w:t>/s/ Bruce Booth</w:t>
            </w:r>
          </w:p>
        </w:tc>
        <w:tc>
          <w:tcPr>
            <w:tcW w:w="4640" w:type="dxa"/>
            <w:vAlign w:val="bottom"/>
            <w:gridSpan w:val="3"/>
          </w:tcPr>
          <w:p>
            <w:pPr>
              <w:ind w:left="100"/>
              <w:spacing w:after="0"/>
              <w:rPr>
                <w:sz w:val="20"/>
                <w:szCs w:val="20"/>
                <w:color w:val="auto"/>
              </w:rPr>
            </w:pPr>
            <w:r>
              <w:rPr>
                <w:rFonts w:ascii="Arial" w:cs="Arial" w:eastAsia="Arial" w:hAnsi="Arial"/>
                <w:sz w:val="18"/>
                <w:szCs w:val="18"/>
                <w:i w:val="1"/>
                <w:iCs w:val="1"/>
                <w:color w:val="auto"/>
              </w:rPr>
              <w:t>Chairman of the Board of Directors</w:t>
            </w:r>
          </w:p>
        </w:tc>
        <w:tc>
          <w:tcPr>
            <w:tcW w:w="1740" w:type="dxa"/>
            <w:vAlign w:val="bottom"/>
            <w:gridSpan w:val="3"/>
          </w:tcPr>
          <w:p>
            <w:pPr>
              <w:jc w:val="center"/>
              <w:ind w:left="252"/>
              <w:spacing w:after="0"/>
              <w:rPr>
                <w:sz w:val="20"/>
                <w:szCs w:val="20"/>
                <w:color w:val="auto"/>
              </w:rPr>
            </w:pPr>
            <w:r>
              <w:rPr>
                <w:rFonts w:ascii="Arial" w:cs="Arial" w:eastAsia="Arial" w:hAnsi="Arial"/>
                <w:sz w:val="18"/>
                <w:szCs w:val="18"/>
                <w:color w:val="auto"/>
                <w:w w:val="88"/>
              </w:rPr>
              <w:t>December 20, 2019</w:t>
            </w:r>
          </w:p>
        </w:tc>
      </w:tr>
      <w:tr>
        <w:trPr>
          <w:trHeight w:val="224"/>
        </w:trPr>
        <w:tc>
          <w:tcPr>
            <w:tcW w:w="432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Bruce Booth, D.Phil</w:t>
            </w:r>
          </w:p>
        </w:tc>
        <w:tc>
          <w:tcPr>
            <w:tcW w:w="2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1"/>
        </w:trPr>
        <w:tc>
          <w:tcPr>
            <w:tcW w:w="43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0"/>
              </w:rPr>
              <w:t>/s/ Ian T. Clark</w:t>
            </w:r>
          </w:p>
        </w:tc>
        <w:tc>
          <w:tcPr>
            <w:tcW w:w="464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w:t>
            </w:r>
          </w:p>
        </w:tc>
        <w:tc>
          <w:tcPr>
            <w:tcW w:w="1740" w:type="dxa"/>
            <w:vAlign w:val="bottom"/>
            <w:gridSpan w:val="3"/>
          </w:tcPr>
          <w:p>
            <w:pPr>
              <w:jc w:val="center"/>
              <w:ind w:left="252"/>
              <w:spacing w:after="0"/>
              <w:rPr>
                <w:sz w:val="20"/>
                <w:szCs w:val="20"/>
                <w:color w:val="auto"/>
              </w:rPr>
            </w:pPr>
            <w:r>
              <w:rPr>
                <w:rFonts w:ascii="Arial" w:cs="Arial" w:eastAsia="Arial" w:hAnsi="Arial"/>
                <w:sz w:val="18"/>
                <w:szCs w:val="18"/>
                <w:color w:val="auto"/>
                <w:w w:val="88"/>
              </w:rPr>
              <w:t>December 20, 2019</w:t>
            </w:r>
          </w:p>
        </w:tc>
      </w:tr>
      <w:tr>
        <w:trPr>
          <w:trHeight w:val="224"/>
        </w:trPr>
        <w:tc>
          <w:tcPr>
            <w:tcW w:w="432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Ian T. Clark</w:t>
            </w:r>
          </w:p>
        </w:tc>
        <w:tc>
          <w:tcPr>
            <w:tcW w:w="2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1"/>
        </w:trPr>
        <w:tc>
          <w:tcPr>
            <w:tcW w:w="43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2"/>
              </w:rPr>
              <w:t>/s/ Phillip B. Donenberg</w:t>
            </w:r>
          </w:p>
        </w:tc>
        <w:tc>
          <w:tcPr>
            <w:tcW w:w="464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w:t>
            </w:r>
          </w:p>
        </w:tc>
        <w:tc>
          <w:tcPr>
            <w:tcW w:w="1740" w:type="dxa"/>
            <w:vAlign w:val="bottom"/>
            <w:gridSpan w:val="3"/>
          </w:tcPr>
          <w:p>
            <w:pPr>
              <w:jc w:val="center"/>
              <w:ind w:left="252"/>
              <w:spacing w:after="0"/>
              <w:rPr>
                <w:sz w:val="20"/>
                <w:szCs w:val="20"/>
                <w:color w:val="auto"/>
              </w:rPr>
            </w:pPr>
            <w:r>
              <w:rPr>
                <w:rFonts w:ascii="Arial" w:cs="Arial" w:eastAsia="Arial" w:hAnsi="Arial"/>
                <w:sz w:val="18"/>
                <w:szCs w:val="18"/>
                <w:color w:val="auto"/>
                <w:w w:val="88"/>
              </w:rPr>
              <w:t>December 20, 2019</w:t>
            </w:r>
          </w:p>
        </w:tc>
      </w:tr>
      <w:tr>
        <w:trPr>
          <w:trHeight w:val="224"/>
        </w:trPr>
        <w:tc>
          <w:tcPr>
            <w:tcW w:w="432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Phillip B. Donenberg</w:t>
            </w:r>
          </w:p>
        </w:tc>
        <w:tc>
          <w:tcPr>
            <w:tcW w:w="2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1"/>
        </w:trPr>
        <w:tc>
          <w:tcPr>
            <w:tcW w:w="4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Annalisa Jenkins</w:t>
            </w:r>
          </w:p>
        </w:tc>
        <w:tc>
          <w:tcPr>
            <w:tcW w:w="464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w:t>
            </w:r>
          </w:p>
        </w:tc>
        <w:tc>
          <w:tcPr>
            <w:tcW w:w="1740" w:type="dxa"/>
            <w:vAlign w:val="bottom"/>
            <w:gridSpan w:val="3"/>
          </w:tcPr>
          <w:p>
            <w:pPr>
              <w:jc w:val="center"/>
              <w:ind w:left="252"/>
              <w:spacing w:after="0"/>
              <w:rPr>
                <w:sz w:val="20"/>
                <w:szCs w:val="20"/>
                <w:color w:val="auto"/>
              </w:rPr>
            </w:pPr>
            <w:r>
              <w:rPr>
                <w:rFonts w:ascii="Arial" w:cs="Arial" w:eastAsia="Arial" w:hAnsi="Arial"/>
                <w:sz w:val="18"/>
                <w:szCs w:val="18"/>
                <w:color w:val="auto"/>
                <w:w w:val="88"/>
              </w:rPr>
              <w:t>December 20, 2019</w:t>
            </w:r>
          </w:p>
        </w:tc>
      </w:tr>
      <w:tr>
        <w:trPr>
          <w:trHeight w:val="224"/>
        </w:trPr>
        <w:tc>
          <w:tcPr>
            <w:tcW w:w="432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Annalisa Jenkins, M.B.B.S., F.R.C.P</w:t>
            </w:r>
          </w:p>
        </w:tc>
        <w:tc>
          <w:tcPr>
            <w:tcW w:w="2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1"/>
        </w:trPr>
        <w:tc>
          <w:tcPr>
            <w:tcW w:w="43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89"/>
              </w:rPr>
              <w:t>/s/ Christopher Paige</w:t>
            </w:r>
          </w:p>
        </w:tc>
        <w:tc>
          <w:tcPr>
            <w:tcW w:w="464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w:t>
            </w:r>
          </w:p>
        </w:tc>
        <w:tc>
          <w:tcPr>
            <w:tcW w:w="1740" w:type="dxa"/>
            <w:vAlign w:val="bottom"/>
            <w:gridSpan w:val="3"/>
          </w:tcPr>
          <w:p>
            <w:pPr>
              <w:jc w:val="center"/>
              <w:ind w:left="252"/>
              <w:spacing w:after="0"/>
              <w:rPr>
                <w:sz w:val="20"/>
                <w:szCs w:val="20"/>
                <w:color w:val="auto"/>
              </w:rPr>
            </w:pPr>
            <w:r>
              <w:rPr>
                <w:rFonts w:ascii="Arial" w:cs="Arial" w:eastAsia="Arial" w:hAnsi="Arial"/>
                <w:sz w:val="18"/>
                <w:szCs w:val="18"/>
                <w:color w:val="auto"/>
                <w:w w:val="88"/>
              </w:rPr>
              <w:t>December 20, 2019</w:t>
            </w:r>
          </w:p>
        </w:tc>
      </w:tr>
      <w:tr>
        <w:trPr>
          <w:trHeight w:val="224"/>
        </w:trPr>
        <w:tc>
          <w:tcPr>
            <w:tcW w:w="432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Christopher Paige, Ph.D.</w:t>
            </w:r>
          </w:p>
        </w:tc>
        <w:tc>
          <w:tcPr>
            <w:tcW w:w="2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31"/>
        </w:trPr>
        <w:tc>
          <w:tcPr>
            <w:tcW w:w="4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Philip J. Vickers</w:t>
            </w:r>
          </w:p>
        </w:tc>
        <w:tc>
          <w:tcPr>
            <w:tcW w:w="464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w:t>
            </w:r>
          </w:p>
        </w:tc>
        <w:tc>
          <w:tcPr>
            <w:tcW w:w="1740" w:type="dxa"/>
            <w:vAlign w:val="bottom"/>
            <w:gridSpan w:val="3"/>
          </w:tcPr>
          <w:p>
            <w:pPr>
              <w:jc w:val="center"/>
              <w:ind w:left="252"/>
              <w:spacing w:after="0"/>
              <w:rPr>
                <w:sz w:val="20"/>
                <w:szCs w:val="20"/>
                <w:color w:val="auto"/>
              </w:rPr>
            </w:pPr>
            <w:r>
              <w:rPr>
                <w:rFonts w:ascii="Arial" w:cs="Arial" w:eastAsia="Arial" w:hAnsi="Arial"/>
                <w:sz w:val="18"/>
                <w:szCs w:val="18"/>
                <w:color w:val="auto"/>
                <w:w w:val="88"/>
              </w:rPr>
              <w:t>December 20, 2019</w:t>
            </w:r>
          </w:p>
        </w:tc>
      </w:tr>
      <w:tr>
        <w:trPr>
          <w:trHeight w:val="224"/>
        </w:trPr>
        <w:tc>
          <w:tcPr>
            <w:tcW w:w="432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Philip J. Vickers, Ph.D.</w:t>
            </w:r>
          </w:p>
        </w:tc>
        <w:tc>
          <w:tcPr>
            <w:tcW w:w="2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ectPr>
          <w:pgSz w:w="11900" w:h="16838" w:orient="portrait"/>
          <w:cols w:equalWidth="0" w:num="1">
            <w:col w:w="11200"/>
          </w:cols>
          <w:pgMar w:left="240" w:top="459" w:right="4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4.3</w:t>
      </w:r>
    </w:p>
    <w:p>
      <w:pPr>
        <w:spacing w:after="0" w:line="200" w:lineRule="exact"/>
        <w:rPr>
          <w:sz w:val="20"/>
          <w:szCs w:val="20"/>
          <w:color w:val="auto"/>
        </w:rPr>
      </w:pPr>
    </w:p>
    <w:p>
      <w:pPr>
        <w:spacing w:after="0" w:line="241"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AVROBIO, INC.,</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Issuer</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[TRUSTEE],</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240665</wp:posOffset>
            </wp:positionV>
            <wp:extent cx="14662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Dated as of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248920</wp:posOffset>
            </wp:positionV>
            <wp:extent cx="146621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Senior Debt Securities</w:t>
      </w:r>
    </w:p>
    <w:p>
      <w:pPr>
        <w:sectPr>
          <w:pgSz w:w="11900" w:h="16838" w:orient="portrait"/>
          <w:cols w:equalWidth="0" w:num="1">
            <w:col w:w="10020"/>
          </w:cols>
          <w:pgMar w:left="1440" w:top="121" w:right="4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8380" w:type="dxa"/>
            <w:vAlign w:val="bottom"/>
          </w:tcPr>
          <w:p>
            <w:pPr>
              <w:ind w:left="3120"/>
              <w:spacing w:after="0"/>
              <w:rPr>
                <w:sz w:val="20"/>
                <w:szCs w:val="20"/>
                <w:color w:val="auto"/>
              </w:rPr>
            </w:pPr>
            <w:r>
              <w:rPr>
                <w:rFonts w:ascii="Arial" w:cs="Arial" w:eastAsia="Arial" w:hAnsi="Arial"/>
                <w:sz w:val="18"/>
                <w:szCs w:val="18"/>
                <w:b w:val="1"/>
                <w:bCs w:val="1"/>
                <w:color w:val="auto"/>
              </w:rPr>
              <w:t>TABLE OF CONTENTS</w:t>
            </w:r>
            <w:r>
              <w:rPr>
                <w:rFonts w:ascii="Arial" w:cs="Arial" w:eastAsia="Arial" w:hAnsi="Arial"/>
                <w:sz w:val="15"/>
                <w:szCs w:val="15"/>
                <w:b w:val="1"/>
                <w:bCs w:val="1"/>
                <w:color w:val="auto"/>
              </w:rPr>
              <w:t>1</w:t>
            </w:r>
          </w:p>
        </w:tc>
        <w:tc>
          <w:tcPr>
            <w:tcW w:w="1200" w:type="dxa"/>
            <w:vAlign w:val="bottom"/>
          </w:tcPr>
          <w:p>
            <w:pPr>
              <w:spacing w:after="0"/>
              <w:rPr>
                <w:sz w:val="20"/>
                <w:szCs w:val="20"/>
                <w:color w:val="auto"/>
              </w:rPr>
            </w:pPr>
          </w:p>
        </w:tc>
      </w:tr>
      <w:tr>
        <w:trPr>
          <w:trHeight w:val="459"/>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1 </w:t>
            </w:r>
            <w:r>
              <w:rPr>
                <w:rFonts w:ascii="Arial" w:cs="Arial" w:eastAsia="Arial" w:hAnsi="Arial"/>
                <w:sz w:val="18"/>
                <w:szCs w:val="18"/>
                <w:color w:val="auto"/>
              </w:rPr>
              <w:t>DEFINITIONS</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1.01   Definitions of Terms</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2 </w:t>
            </w:r>
            <w:r>
              <w:rPr>
                <w:rFonts w:ascii="Arial" w:cs="Arial" w:eastAsia="Arial" w:hAnsi="Arial"/>
                <w:sz w:val="18"/>
                <w:szCs w:val="18"/>
                <w:color w:val="auto"/>
              </w:rPr>
              <w:t>ISSUE, DESCRIPTION, TERMS, EXECUTION, REGISTRATION AND EXCHANGE OF SECURITIES</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0"/>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2.01   Designation and Terms of Securities</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2.02   Form of Securities and Trustee’s Certificate</w:t>
            </w: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2.03   Denominations: Provisions for Payment</w:t>
            </w: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2.04   Execution and Authentications</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2.05   Registration of Transfer and Exchange</w:t>
            </w: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2.06</w:t>
            </w:r>
          </w:p>
        </w:tc>
        <w:tc>
          <w:tcPr>
            <w:tcW w:w="8380" w:type="dxa"/>
            <w:vAlign w:val="bottom"/>
          </w:tcPr>
          <w:p>
            <w:pPr>
              <w:ind w:left="140"/>
              <w:spacing w:after="0"/>
              <w:rPr>
                <w:sz w:val="20"/>
                <w:szCs w:val="20"/>
                <w:color w:val="auto"/>
              </w:rPr>
            </w:pPr>
            <w:r>
              <w:rPr>
                <w:rFonts w:ascii="Arial" w:cs="Arial" w:eastAsia="Arial" w:hAnsi="Arial"/>
                <w:sz w:val="18"/>
                <w:szCs w:val="18"/>
                <w:color w:val="auto"/>
              </w:rPr>
              <w:t>Temporary Securities</w:t>
            </w: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2.07   Mutilated, Destroyed, Lost or Stolen Securities</w:t>
            </w: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2.08</w:t>
            </w:r>
          </w:p>
        </w:tc>
        <w:tc>
          <w:tcPr>
            <w:tcW w:w="8380" w:type="dxa"/>
            <w:vAlign w:val="bottom"/>
          </w:tcPr>
          <w:p>
            <w:pPr>
              <w:ind w:left="140"/>
              <w:spacing w:after="0"/>
              <w:rPr>
                <w:sz w:val="20"/>
                <w:szCs w:val="20"/>
                <w:color w:val="auto"/>
              </w:rPr>
            </w:pPr>
            <w:r>
              <w:rPr>
                <w:rFonts w:ascii="Arial" w:cs="Arial" w:eastAsia="Arial" w:hAnsi="Arial"/>
                <w:sz w:val="18"/>
                <w:szCs w:val="18"/>
                <w:color w:val="auto"/>
              </w:rPr>
              <w:t>Cancellation</w:t>
            </w: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2.09   Benefits of Indenture</w:t>
            </w: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2.10</w:t>
            </w:r>
          </w:p>
        </w:tc>
        <w:tc>
          <w:tcPr>
            <w:tcW w:w="8380" w:type="dxa"/>
            <w:vAlign w:val="bottom"/>
          </w:tcPr>
          <w:p>
            <w:pPr>
              <w:ind w:left="140"/>
              <w:spacing w:after="0"/>
              <w:rPr>
                <w:sz w:val="20"/>
                <w:szCs w:val="20"/>
                <w:color w:val="auto"/>
              </w:rPr>
            </w:pPr>
            <w:r>
              <w:rPr>
                <w:rFonts w:ascii="Arial" w:cs="Arial" w:eastAsia="Arial" w:hAnsi="Arial"/>
                <w:sz w:val="18"/>
                <w:szCs w:val="18"/>
                <w:color w:val="auto"/>
              </w:rPr>
              <w:t>Authenticating Agent</w:t>
            </w: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400" w:type="dxa"/>
            <w:vAlign w:val="bottom"/>
          </w:tcPr>
          <w:p>
            <w:pPr>
              <w:ind w:left="360"/>
              <w:spacing w:after="0"/>
              <w:rPr>
                <w:sz w:val="20"/>
                <w:szCs w:val="20"/>
                <w:color w:val="auto"/>
              </w:rPr>
            </w:pPr>
            <w:r>
              <w:rPr>
                <w:rFonts w:ascii="Arial" w:cs="Arial" w:eastAsia="Arial" w:hAnsi="Arial"/>
                <w:sz w:val="18"/>
                <w:szCs w:val="18"/>
                <w:color w:val="auto"/>
              </w:rPr>
              <w:t>Section 2.11</w:t>
            </w:r>
          </w:p>
        </w:tc>
        <w:tc>
          <w:tcPr>
            <w:tcW w:w="8380" w:type="dxa"/>
            <w:vAlign w:val="bottom"/>
          </w:tcPr>
          <w:p>
            <w:pPr>
              <w:ind w:left="140"/>
              <w:spacing w:after="0"/>
              <w:rPr>
                <w:sz w:val="20"/>
                <w:szCs w:val="20"/>
                <w:color w:val="auto"/>
              </w:rPr>
            </w:pPr>
            <w:r>
              <w:rPr>
                <w:rFonts w:ascii="Arial" w:cs="Arial" w:eastAsia="Arial" w:hAnsi="Arial"/>
                <w:sz w:val="18"/>
                <w:szCs w:val="18"/>
                <w:color w:val="auto"/>
              </w:rPr>
              <w:t>Global Securities</w:t>
            </w: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3 </w:t>
            </w:r>
            <w:r>
              <w:rPr>
                <w:rFonts w:ascii="Arial" w:cs="Arial" w:eastAsia="Arial" w:hAnsi="Arial"/>
                <w:sz w:val="18"/>
                <w:szCs w:val="18"/>
                <w:color w:val="auto"/>
              </w:rPr>
              <w:t>REDEMPTION OF SECURITIES AND SINKING FUND PROVISIONS</w:t>
            </w: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1400" w:type="dxa"/>
            <w:vAlign w:val="bottom"/>
          </w:tcPr>
          <w:p>
            <w:pPr>
              <w:ind w:left="360"/>
              <w:spacing w:after="0"/>
              <w:rPr>
                <w:sz w:val="20"/>
                <w:szCs w:val="20"/>
                <w:color w:val="auto"/>
              </w:rPr>
            </w:pPr>
            <w:r>
              <w:rPr>
                <w:rFonts w:ascii="Arial" w:cs="Arial" w:eastAsia="Arial" w:hAnsi="Arial"/>
                <w:sz w:val="18"/>
                <w:szCs w:val="18"/>
                <w:color w:val="auto"/>
              </w:rPr>
              <w:t>Section 3.01</w:t>
            </w:r>
          </w:p>
        </w:tc>
        <w:tc>
          <w:tcPr>
            <w:tcW w:w="8380" w:type="dxa"/>
            <w:vAlign w:val="bottom"/>
          </w:tcPr>
          <w:p>
            <w:pPr>
              <w:ind w:left="140"/>
              <w:spacing w:after="0"/>
              <w:rPr>
                <w:sz w:val="20"/>
                <w:szCs w:val="20"/>
                <w:color w:val="auto"/>
              </w:rPr>
            </w:pPr>
            <w:r>
              <w:rPr>
                <w:rFonts w:ascii="Arial" w:cs="Arial" w:eastAsia="Arial" w:hAnsi="Arial"/>
                <w:sz w:val="18"/>
                <w:szCs w:val="18"/>
                <w:color w:val="auto"/>
              </w:rPr>
              <w:t>Redemption</w:t>
            </w: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3.02   Notice of Redemption</w:t>
            </w: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3.03   Payment Upon Redemption</w:t>
            </w: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3.04</w:t>
            </w:r>
          </w:p>
        </w:tc>
        <w:tc>
          <w:tcPr>
            <w:tcW w:w="8380" w:type="dxa"/>
            <w:vAlign w:val="bottom"/>
          </w:tcPr>
          <w:p>
            <w:pPr>
              <w:ind w:left="140"/>
              <w:spacing w:after="0"/>
              <w:rPr>
                <w:sz w:val="20"/>
                <w:szCs w:val="20"/>
                <w:color w:val="auto"/>
              </w:rPr>
            </w:pPr>
            <w:r>
              <w:rPr>
                <w:rFonts w:ascii="Arial" w:cs="Arial" w:eastAsia="Arial" w:hAnsi="Arial"/>
                <w:sz w:val="18"/>
                <w:szCs w:val="18"/>
                <w:color w:val="auto"/>
              </w:rPr>
              <w:t>Sinking Fund</w:t>
            </w: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3.05   Satisfaction of Sinking Fund Payments with Securities</w:t>
            </w: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3.06   Redemption of Securities for Sinking Fund</w:t>
            </w: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4 </w:t>
            </w:r>
            <w:r>
              <w:rPr>
                <w:rFonts w:ascii="Arial" w:cs="Arial" w:eastAsia="Arial" w:hAnsi="Arial"/>
                <w:sz w:val="18"/>
                <w:szCs w:val="18"/>
                <w:color w:val="auto"/>
              </w:rPr>
              <w:t>COVENANTS</w:t>
            </w: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4.01   Payment of Principal, Premium and Interest</w:t>
            </w: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4.02   Maintenance of Office or Agency</w:t>
            </w: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00" w:type="dxa"/>
            <w:vAlign w:val="bottom"/>
          </w:tcPr>
          <w:p>
            <w:pPr>
              <w:ind w:left="360"/>
              <w:spacing w:after="0"/>
              <w:rPr>
                <w:sz w:val="20"/>
                <w:szCs w:val="20"/>
                <w:color w:val="auto"/>
              </w:rPr>
            </w:pPr>
            <w:r>
              <w:rPr>
                <w:rFonts w:ascii="Arial" w:cs="Arial" w:eastAsia="Arial" w:hAnsi="Arial"/>
                <w:sz w:val="18"/>
                <w:szCs w:val="18"/>
                <w:color w:val="auto"/>
              </w:rPr>
              <w:t>Section 4.03</w:t>
            </w:r>
          </w:p>
        </w:tc>
        <w:tc>
          <w:tcPr>
            <w:tcW w:w="8380" w:type="dxa"/>
            <w:vAlign w:val="bottom"/>
          </w:tcPr>
          <w:p>
            <w:pPr>
              <w:ind w:left="140"/>
              <w:spacing w:after="0"/>
              <w:rPr>
                <w:sz w:val="20"/>
                <w:szCs w:val="20"/>
                <w:color w:val="auto"/>
              </w:rPr>
            </w:pPr>
            <w:r>
              <w:rPr>
                <w:rFonts w:ascii="Arial" w:cs="Arial" w:eastAsia="Arial" w:hAnsi="Arial"/>
                <w:sz w:val="18"/>
                <w:szCs w:val="18"/>
                <w:color w:val="auto"/>
              </w:rPr>
              <w:t>Paying Agents</w:t>
            </w: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4.04   Appointment to Fill Vacancy in Office of Trustee</w:t>
            </w: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4.05   Compliance with Consolidation Provisions</w:t>
            </w: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5 </w:t>
            </w:r>
            <w:r>
              <w:rPr>
                <w:rFonts w:ascii="Arial" w:cs="Arial" w:eastAsia="Arial" w:hAnsi="Arial"/>
                <w:sz w:val="18"/>
                <w:szCs w:val="18"/>
                <w:color w:val="auto"/>
              </w:rPr>
              <w:t>SECURITYHOLDERS’ LISTS AND REPORTS BY THE COMPANY AND THE TRUSTEE</w:t>
            </w: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0"/>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5.01   Company to Furnish Trustee Names and Addresses of Securityholders</w:t>
            </w: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5.02   Preservation Of Information; Communications With Securityholders</w:t>
            </w: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5.03   Reports by the Company</w:t>
            </w: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5.04   Reports by the Trustee</w:t>
            </w: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6 </w:t>
            </w:r>
            <w:r>
              <w:rPr>
                <w:rFonts w:ascii="Arial" w:cs="Arial" w:eastAsia="Arial" w:hAnsi="Arial"/>
                <w:sz w:val="18"/>
                <w:szCs w:val="18"/>
                <w:color w:val="auto"/>
              </w:rPr>
              <w:t>REMEDIES OF THE TRUSTEE AND SECURITYHOLDERS ON EVENT OF DEFAULT</w:t>
            </w: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0"/>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6.01   Events of Default</w:t>
            </w: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9780" w:type="dxa"/>
            <w:vAlign w:val="bottom"/>
            <w:gridSpan w:val="2"/>
          </w:tcPr>
          <w:p>
            <w:pPr>
              <w:ind w:left="360"/>
              <w:spacing w:after="0"/>
              <w:rPr>
                <w:sz w:val="20"/>
                <w:szCs w:val="20"/>
                <w:color w:val="auto"/>
              </w:rPr>
            </w:pPr>
            <w:r>
              <w:rPr>
                <w:rFonts w:ascii="Arial" w:cs="Arial" w:eastAsia="Arial" w:hAnsi="Arial"/>
                <w:sz w:val="18"/>
                <w:szCs w:val="18"/>
                <w:color w:val="auto"/>
              </w:rPr>
              <w:t>Section 6.02   Collection of Indebtedness and Suits for Enforcement by Trustee</w:t>
            </w: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85725</wp:posOffset>
            </wp:positionV>
            <wp:extent cx="7632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440" w:right="700" w:hanging="436"/>
        <w:spacing w:after="0" w:line="277" w:lineRule="auto"/>
        <w:tabs>
          <w:tab w:leader="none" w:pos="440" w:val="left"/>
        </w:tabs>
        <w:numPr>
          <w:ilvl w:val="0"/>
          <w:numId w:val="42"/>
        </w:numPr>
        <w:rPr>
          <w:rFonts w:ascii="Arial" w:cs="Arial" w:eastAsia="Arial" w:hAnsi="Arial"/>
          <w:sz w:val="15"/>
          <w:szCs w:val="15"/>
          <w:color w:val="auto"/>
        </w:rPr>
      </w:pPr>
      <w:r>
        <w:rPr>
          <w:rFonts w:ascii="Arial" w:cs="Arial" w:eastAsia="Arial" w:hAnsi="Arial"/>
          <w:sz w:val="18"/>
          <w:szCs w:val="18"/>
          <w:color w:val="auto"/>
        </w:rPr>
        <w:t>This Table of Contents does not constitute part of the Indenture and shall not have any bearing on the interpretation of any of its terms or provisions.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6.03</w:t>
            </w:r>
          </w:p>
        </w:tc>
        <w:tc>
          <w:tcPr>
            <w:tcW w:w="7080" w:type="dxa"/>
            <w:vAlign w:val="bottom"/>
          </w:tcPr>
          <w:p>
            <w:pPr>
              <w:ind w:left="120"/>
              <w:spacing w:after="0"/>
              <w:rPr>
                <w:sz w:val="20"/>
                <w:szCs w:val="20"/>
                <w:color w:val="auto"/>
              </w:rPr>
            </w:pPr>
            <w:r>
              <w:rPr>
                <w:rFonts w:ascii="Arial" w:cs="Arial" w:eastAsia="Arial" w:hAnsi="Arial"/>
                <w:sz w:val="18"/>
                <w:szCs w:val="18"/>
                <w:color w:val="auto"/>
              </w:rPr>
              <w:t>Application of Moneys Collected</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6.04</w:t>
            </w:r>
          </w:p>
        </w:tc>
        <w:tc>
          <w:tcPr>
            <w:tcW w:w="7080" w:type="dxa"/>
            <w:vAlign w:val="bottom"/>
          </w:tcPr>
          <w:p>
            <w:pPr>
              <w:ind w:left="120"/>
              <w:spacing w:after="0"/>
              <w:rPr>
                <w:sz w:val="20"/>
                <w:szCs w:val="20"/>
                <w:color w:val="auto"/>
              </w:rPr>
            </w:pPr>
            <w:r>
              <w:rPr>
                <w:rFonts w:ascii="Arial" w:cs="Arial" w:eastAsia="Arial" w:hAnsi="Arial"/>
                <w:sz w:val="18"/>
                <w:szCs w:val="18"/>
                <w:color w:val="auto"/>
              </w:rPr>
              <w:t>Limitation on Suits</w:t>
            </w:r>
          </w:p>
        </w:tc>
        <w:tc>
          <w:tcPr>
            <w:tcW w:w="2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6.05</w:t>
            </w:r>
          </w:p>
        </w:tc>
        <w:tc>
          <w:tcPr>
            <w:tcW w:w="7080" w:type="dxa"/>
            <w:vAlign w:val="bottom"/>
          </w:tcPr>
          <w:p>
            <w:pPr>
              <w:ind w:left="120"/>
              <w:spacing w:after="0"/>
              <w:rPr>
                <w:sz w:val="20"/>
                <w:szCs w:val="20"/>
                <w:color w:val="auto"/>
              </w:rPr>
            </w:pPr>
            <w:r>
              <w:rPr>
                <w:rFonts w:ascii="Arial" w:cs="Arial" w:eastAsia="Arial" w:hAnsi="Arial"/>
                <w:sz w:val="18"/>
                <w:szCs w:val="18"/>
                <w:color w:val="auto"/>
              </w:rPr>
              <w:t>Rights and Remedies Cumulative; Delay or Omission Not Waiver</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6.06</w:t>
            </w:r>
          </w:p>
        </w:tc>
        <w:tc>
          <w:tcPr>
            <w:tcW w:w="7080" w:type="dxa"/>
            <w:vAlign w:val="bottom"/>
          </w:tcPr>
          <w:p>
            <w:pPr>
              <w:ind w:left="120"/>
              <w:spacing w:after="0"/>
              <w:rPr>
                <w:sz w:val="20"/>
                <w:szCs w:val="20"/>
                <w:color w:val="auto"/>
              </w:rPr>
            </w:pPr>
            <w:r>
              <w:rPr>
                <w:rFonts w:ascii="Arial" w:cs="Arial" w:eastAsia="Arial" w:hAnsi="Arial"/>
                <w:sz w:val="18"/>
                <w:szCs w:val="18"/>
                <w:color w:val="auto"/>
              </w:rPr>
              <w:t>Control by Securityholders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6.07</w:t>
            </w:r>
          </w:p>
        </w:tc>
        <w:tc>
          <w:tcPr>
            <w:tcW w:w="7080" w:type="dxa"/>
            <w:vAlign w:val="bottom"/>
          </w:tcPr>
          <w:p>
            <w:pPr>
              <w:ind w:left="120"/>
              <w:spacing w:after="0"/>
              <w:rPr>
                <w:sz w:val="20"/>
                <w:szCs w:val="20"/>
                <w:color w:val="auto"/>
              </w:rPr>
            </w:pPr>
            <w:r>
              <w:rPr>
                <w:rFonts w:ascii="Arial" w:cs="Arial" w:eastAsia="Arial" w:hAnsi="Arial"/>
                <w:sz w:val="18"/>
                <w:szCs w:val="18"/>
                <w:color w:val="auto"/>
              </w:rPr>
              <w:t>Undertaking to Pay Costs</w:t>
            </w:r>
          </w:p>
        </w:tc>
        <w:tc>
          <w:tcPr>
            <w:tcW w:w="2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7 </w:t>
            </w:r>
            <w:r>
              <w:rPr>
                <w:rFonts w:ascii="Arial" w:cs="Arial" w:eastAsia="Arial" w:hAnsi="Arial"/>
                <w:sz w:val="18"/>
                <w:szCs w:val="18"/>
                <w:color w:val="auto"/>
              </w:rPr>
              <w:t>CONCERNING THE TRUSTEE</w:t>
            </w:r>
          </w:p>
        </w:tc>
        <w:tc>
          <w:tcPr>
            <w:tcW w:w="2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7080" w:type="dxa"/>
            <w:vAlign w:val="bottom"/>
          </w:tcPr>
          <w:p>
            <w:pPr>
              <w:ind w:left="120"/>
              <w:spacing w:after="0"/>
              <w:rPr>
                <w:sz w:val="20"/>
                <w:szCs w:val="20"/>
                <w:color w:val="auto"/>
              </w:rPr>
            </w:pPr>
            <w:r>
              <w:rPr>
                <w:rFonts w:ascii="Arial" w:cs="Arial" w:eastAsia="Arial" w:hAnsi="Arial"/>
                <w:sz w:val="18"/>
                <w:szCs w:val="18"/>
                <w:color w:val="auto"/>
              </w:rPr>
              <w:t>Certain Duties and Responsibilities of Trustee</w:t>
            </w:r>
          </w:p>
        </w:tc>
        <w:tc>
          <w:tcPr>
            <w:tcW w:w="2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7080" w:type="dxa"/>
            <w:vAlign w:val="bottom"/>
          </w:tcPr>
          <w:p>
            <w:pPr>
              <w:ind w:left="120"/>
              <w:spacing w:after="0"/>
              <w:rPr>
                <w:sz w:val="20"/>
                <w:szCs w:val="20"/>
                <w:color w:val="auto"/>
              </w:rPr>
            </w:pPr>
            <w:r>
              <w:rPr>
                <w:rFonts w:ascii="Arial" w:cs="Arial" w:eastAsia="Arial" w:hAnsi="Arial"/>
                <w:sz w:val="18"/>
                <w:szCs w:val="18"/>
                <w:color w:val="auto"/>
              </w:rPr>
              <w:t>Certain Rights of Trustee</w:t>
            </w:r>
          </w:p>
        </w:tc>
        <w:tc>
          <w:tcPr>
            <w:tcW w:w="2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7080" w:type="dxa"/>
            <w:vAlign w:val="bottom"/>
          </w:tcPr>
          <w:p>
            <w:pPr>
              <w:ind w:left="120"/>
              <w:spacing w:after="0"/>
              <w:rPr>
                <w:sz w:val="20"/>
                <w:szCs w:val="20"/>
                <w:color w:val="auto"/>
              </w:rPr>
            </w:pPr>
            <w:r>
              <w:rPr>
                <w:rFonts w:ascii="Arial" w:cs="Arial" w:eastAsia="Arial" w:hAnsi="Arial"/>
                <w:sz w:val="18"/>
                <w:szCs w:val="18"/>
                <w:color w:val="auto"/>
              </w:rPr>
              <w:t>Trustee Not Responsible for Recitals or Issuance or Securities</w:t>
            </w:r>
          </w:p>
        </w:tc>
        <w:tc>
          <w:tcPr>
            <w:tcW w:w="2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7080" w:type="dxa"/>
            <w:vAlign w:val="bottom"/>
          </w:tcPr>
          <w:p>
            <w:pPr>
              <w:ind w:left="120"/>
              <w:spacing w:after="0"/>
              <w:rPr>
                <w:sz w:val="20"/>
                <w:szCs w:val="20"/>
                <w:color w:val="auto"/>
              </w:rPr>
            </w:pPr>
            <w:r>
              <w:rPr>
                <w:rFonts w:ascii="Arial" w:cs="Arial" w:eastAsia="Arial" w:hAnsi="Arial"/>
                <w:sz w:val="18"/>
                <w:szCs w:val="18"/>
                <w:color w:val="auto"/>
              </w:rPr>
              <w:t>May Hold Securities</w:t>
            </w:r>
          </w:p>
        </w:tc>
        <w:tc>
          <w:tcPr>
            <w:tcW w:w="2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7.05</w:t>
            </w:r>
          </w:p>
        </w:tc>
        <w:tc>
          <w:tcPr>
            <w:tcW w:w="7080" w:type="dxa"/>
            <w:vAlign w:val="bottom"/>
          </w:tcPr>
          <w:p>
            <w:pPr>
              <w:ind w:left="120"/>
              <w:spacing w:after="0"/>
              <w:rPr>
                <w:sz w:val="20"/>
                <w:szCs w:val="20"/>
                <w:color w:val="auto"/>
              </w:rPr>
            </w:pPr>
            <w:r>
              <w:rPr>
                <w:rFonts w:ascii="Arial" w:cs="Arial" w:eastAsia="Arial" w:hAnsi="Arial"/>
                <w:sz w:val="18"/>
                <w:szCs w:val="18"/>
                <w:color w:val="auto"/>
              </w:rPr>
              <w:t>Moneys Held in Trust</w:t>
            </w:r>
          </w:p>
        </w:tc>
        <w:tc>
          <w:tcPr>
            <w:tcW w:w="2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7.06</w:t>
            </w:r>
          </w:p>
        </w:tc>
        <w:tc>
          <w:tcPr>
            <w:tcW w:w="7080" w:type="dxa"/>
            <w:vAlign w:val="bottom"/>
          </w:tcPr>
          <w:p>
            <w:pPr>
              <w:ind w:left="120"/>
              <w:spacing w:after="0"/>
              <w:rPr>
                <w:sz w:val="20"/>
                <w:szCs w:val="20"/>
                <w:color w:val="auto"/>
              </w:rPr>
            </w:pPr>
            <w:r>
              <w:rPr>
                <w:rFonts w:ascii="Arial" w:cs="Arial" w:eastAsia="Arial" w:hAnsi="Arial"/>
                <w:sz w:val="18"/>
                <w:szCs w:val="18"/>
                <w:color w:val="auto"/>
              </w:rPr>
              <w:t>Compensation and Reimbursement</w:t>
            </w:r>
          </w:p>
        </w:tc>
        <w:tc>
          <w:tcPr>
            <w:tcW w:w="2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7.07</w:t>
            </w:r>
          </w:p>
        </w:tc>
        <w:tc>
          <w:tcPr>
            <w:tcW w:w="7080" w:type="dxa"/>
            <w:vAlign w:val="bottom"/>
          </w:tcPr>
          <w:p>
            <w:pPr>
              <w:ind w:left="120"/>
              <w:spacing w:after="0"/>
              <w:rPr>
                <w:sz w:val="20"/>
                <w:szCs w:val="20"/>
                <w:color w:val="auto"/>
              </w:rPr>
            </w:pPr>
            <w:r>
              <w:rPr>
                <w:rFonts w:ascii="Arial" w:cs="Arial" w:eastAsia="Arial" w:hAnsi="Arial"/>
                <w:sz w:val="18"/>
                <w:szCs w:val="18"/>
                <w:color w:val="auto"/>
              </w:rPr>
              <w:t>Reliance on Officer’s Certificate or Opinion of Counsel</w:t>
            </w:r>
          </w:p>
        </w:tc>
        <w:tc>
          <w:tcPr>
            <w:tcW w:w="2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7.08</w:t>
            </w:r>
          </w:p>
        </w:tc>
        <w:tc>
          <w:tcPr>
            <w:tcW w:w="7080" w:type="dxa"/>
            <w:vAlign w:val="bottom"/>
          </w:tcPr>
          <w:p>
            <w:pPr>
              <w:ind w:left="120"/>
              <w:spacing w:after="0"/>
              <w:rPr>
                <w:sz w:val="20"/>
                <w:szCs w:val="20"/>
                <w:color w:val="auto"/>
              </w:rPr>
            </w:pPr>
            <w:r>
              <w:rPr>
                <w:rFonts w:ascii="Arial" w:cs="Arial" w:eastAsia="Arial" w:hAnsi="Arial"/>
                <w:sz w:val="18"/>
                <w:szCs w:val="18"/>
                <w:color w:val="auto"/>
              </w:rPr>
              <w:t>Disqualification; Conflicting Interests</w:t>
            </w:r>
          </w:p>
        </w:tc>
        <w:tc>
          <w:tcPr>
            <w:tcW w:w="2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7.09</w:t>
            </w:r>
          </w:p>
        </w:tc>
        <w:tc>
          <w:tcPr>
            <w:tcW w:w="7080" w:type="dxa"/>
            <w:vAlign w:val="bottom"/>
          </w:tcPr>
          <w:p>
            <w:pPr>
              <w:ind w:left="120"/>
              <w:spacing w:after="0"/>
              <w:rPr>
                <w:sz w:val="20"/>
                <w:szCs w:val="20"/>
                <w:color w:val="auto"/>
              </w:rPr>
            </w:pPr>
            <w:r>
              <w:rPr>
                <w:rFonts w:ascii="Arial" w:cs="Arial" w:eastAsia="Arial" w:hAnsi="Arial"/>
                <w:sz w:val="18"/>
                <w:szCs w:val="18"/>
                <w:color w:val="auto"/>
              </w:rPr>
              <w:t>Corporate Trustee Required; Eligibility</w:t>
            </w:r>
          </w:p>
        </w:tc>
        <w:tc>
          <w:tcPr>
            <w:tcW w:w="2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7.10</w:t>
            </w:r>
          </w:p>
        </w:tc>
        <w:tc>
          <w:tcPr>
            <w:tcW w:w="7080" w:type="dxa"/>
            <w:vAlign w:val="bottom"/>
          </w:tcPr>
          <w:p>
            <w:pPr>
              <w:ind w:left="120"/>
              <w:spacing w:after="0"/>
              <w:rPr>
                <w:sz w:val="20"/>
                <w:szCs w:val="20"/>
                <w:color w:val="auto"/>
              </w:rPr>
            </w:pPr>
            <w:r>
              <w:rPr>
                <w:rFonts w:ascii="Arial" w:cs="Arial" w:eastAsia="Arial" w:hAnsi="Arial"/>
                <w:sz w:val="18"/>
                <w:szCs w:val="18"/>
                <w:color w:val="auto"/>
              </w:rPr>
              <w:t>Resignation and Removal; Appointment of Successor</w:t>
            </w:r>
          </w:p>
        </w:tc>
        <w:tc>
          <w:tcPr>
            <w:tcW w:w="24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7.11</w:t>
            </w:r>
          </w:p>
        </w:tc>
        <w:tc>
          <w:tcPr>
            <w:tcW w:w="7080" w:type="dxa"/>
            <w:vAlign w:val="bottom"/>
          </w:tcPr>
          <w:p>
            <w:pPr>
              <w:ind w:left="120"/>
              <w:spacing w:after="0"/>
              <w:rPr>
                <w:sz w:val="20"/>
                <w:szCs w:val="20"/>
                <w:color w:val="auto"/>
              </w:rPr>
            </w:pPr>
            <w:r>
              <w:rPr>
                <w:rFonts w:ascii="Arial" w:cs="Arial" w:eastAsia="Arial" w:hAnsi="Arial"/>
                <w:sz w:val="18"/>
                <w:szCs w:val="18"/>
                <w:color w:val="auto"/>
              </w:rPr>
              <w:t>Acceptance of Appointment By Successor</w:t>
            </w:r>
          </w:p>
        </w:tc>
        <w:tc>
          <w:tcPr>
            <w:tcW w:w="2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7.12</w:t>
            </w:r>
          </w:p>
        </w:tc>
        <w:tc>
          <w:tcPr>
            <w:tcW w:w="7080" w:type="dxa"/>
            <w:vAlign w:val="bottom"/>
          </w:tcPr>
          <w:p>
            <w:pPr>
              <w:ind w:left="120"/>
              <w:spacing w:after="0"/>
              <w:rPr>
                <w:sz w:val="20"/>
                <w:szCs w:val="20"/>
                <w:color w:val="auto"/>
              </w:rPr>
            </w:pPr>
            <w:r>
              <w:rPr>
                <w:rFonts w:ascii="Arial" w:cs="Arial" w:eastAsia="Arial" w:hAnsi="Arial"/>
                <w:sz w:val="18"/>
                <w:szCs w:val="18"/>
                <w:color w:val="auto"/>
              </w:rPr>
              <w:t>Merger, Conversion, Consolidation or Succession to Business</w:t>
            </w:r>
          </w:p>
        </w:tc>
        <w:tc>
          <w:tcPr>
            <w:tcW w:w="24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7.13</w:t>
            </w:r>
          </w:p>
        </w:tc>
        <w:tc>
          <w:tcPr>
            <w:tcW w:w="7080" w:type="dxa"/>
            <w:vAlign w:val="bottom"/>
          </w:tcPr>
          <w:p>
            <w:pPr>
              <w:ind w:left="120"/>
              <w:spacing w:after="0"/>
              <w:rPr>
                <w:sz w:val="20"/>
                <w:szCs w:val="20"/>
                <w:color w:val="auto"/>
              </w:rPr>
            </w:pPr>
            <w:r>
              <w:rPr>
                <w:rFonts w:ascii="Arial" w:cs="Arial" w:eastAsia="Arial" w:hAnsi="Arial"/>
                <w:sz w:val="18"/>
                <w:szCs w:val="18"/>
                <w:color w:val="auto"/>
              </w:rPr>
              <w:t>Preferential Collection of Claims Against the Company</w:t>
            </w:r>
          </w:p>
        </w:tc>
        <w:tc>
          <w:tcPr>
            <w:tcW w:w="24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7.14</w:t>
            </w:r>
          </w:p>
        </w:tc>
        <w:tc>
          <w:tcPr>
            <w:tcW w:w="7080" w:type="dxa"/>
            <w:vAlign w:val="bottom"/>
          </w:tcPr>
          <w:p>
            <w:pPr>
              <w:ind w:left="120"/>
              <w:spacing w:after="0"/>
              <w:rPr>
                <w:sz w:val="20"/>
                <w:szCs w:val="20"/>
                <w:color w:val="auto"/>
              </w:rPr>
            </w:pPr>
            <w:r>
              <w:rPr>
                <w:rFonts w:ascii="Arial" w:cs="Arial" w:eastAsia="Arial" w:hAnsi="Arial"/>
                <w:sz w:val="18"/>
                <w:szCs w:val="18"/>
                <w:color w:val="auto"/>
              </w:rPr>
              <w:t>Notice of Default</w:t>
            </w:r>
          </w:p>
        </w:tc>
        <w:tc>
          <w:tcPr>
            <w:tcW w:w="24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8 </w:t>
            </w:r>
            <w:r>
              <w:rPr>
                <w:rFonts w:ascii="Arial" w:cs="Arial" w:eastAsia="Arial" w:hAnsi="Arial"/>
                <w:sz w:val="18"/>
                <w:szCs w:val="18"/>
                <w:color w:val="auto"/>
              </w:rPr>
              <w:t>CONCERNING THE SECURITYHOLDERS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7080" w:type="dxa"/>
            <w:vAlign w:val="bottom"/>
          </w:tcPr>
          <w:p>
            <w:pPr>
              <w:ind w:left="120"/>
              <w:spacing w:after="0"/>
              <w:rPr>
                <w:sz w:val="20"/>
                <w:szCs w:val="20"/>
                <w:color w:val="auto"/>
              </w:rPr>
            </w:pPr>
            <w:r>
              <w:rPr>
                <w:rFonts w:ascii="Arial" w:cs="Arial" w:eastAsia="Arial" w:hAnsi="Arial"/>
                <w:sz w:val="18"/>
                <w:szCs w:val="18"/>
                <w:color w:val="auto"/>
              </w:rPr>
              <w:t>Evidence of Action by Securityholders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7080" w:type="dxa"/>
            <w:vAlign w:val="bottom"/>
          </w:tcPr>
          <w:p>
            <w:pPr>
              <w:ind w:left="120"/>
              <w:spacing w:after="0"/>
              <w:rPr>
                <w:sz w:val="20"/>
                <w:szCs w:val="20"/>
                <w:color w:val="auto"/>
              </w:rPr>
            </w:pPr>
            <w:r>
              <w:rPr>
                <w:rFonts w:ascii="Arial" w:cs="Arial" w:eastAsia="Arial" w:hAnsi="Arial"/>
                <w:sz w:val="18"/>
                <w:szCs w:val="18"/>
                <w:color w:val="auto"/>
              </w:rPr>
              <w:t>Proof of Execution by Securityholders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8.03</w:t>
            </w:r>
          </w:p>
        </w:tc>
        <w:tc>
          <w:tcPr>
            <w:tcW w:w="7080" w:type="dxa"/>
            <w:vAlign w:val="bottom"/>
          </w:tcPr>
          <w:p>
            <w:pPr>
              <w:ind w:left="120"/>
              <w:spacing w:after="0"/>
              <w:rPr>
                <w:sz w:val="20"/>
                <w:szCs w:val="20"/>
                <w:color w:val="auto"/>
              </w:rPr>
            </w:pPr>
            <w:r>
              <w:rPr>
                <w:rFonts w:ascii="Arial" w:cs="Arial" w:eastAsia="Arial" w:hAnsi="Arial"/>
                <w:sz w:val="18"/>
                <w:szCs w:val="18"/>
                <w:color w:val="auto"/>
              </w:rPr>
              <w:t>Who May be Deemed Owners</w:t>
            </w:r>
          </w:p>
        </w:tc>
        <w:tc>
          <w:tcPr>
            <w:tcW w:w="2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8.04</w:t>
            </w:r>
          </w:p>
        </w:tc>
        <w:tc>
          <w:tcPr>
            <w:tcW w:w="7080" w:type="dxa"/>
            <w:vAlign w:val="bottom"/>
          </w:tcPr>
          <w:p>
            <w:pPr>
              <w:ind w:left="120"/>
              <w:spacing w:after="0"/>
              <w:rPr>
                <w:sz w:val="20"/>
                <w:szCs w:val="20"/>
                <w:color w:val="auto"/>
              </w:rPr>
            </w:pPr>
            <w:r>
              <w:rPr>
                <w:rFonts w:ascii="Arial" w:cs="Arial" w:eastAsia="Arial" w:hAnsi="Arial"/>
                <w:sz w:val="18"/>
                <w:szCs w:val="18"/>
                <w:color w:val="auto"/>
              </w:rPr>
              <w:t>Certain Securities Owned by Company Disregarded</w:t>
            </w:r>
          </w:p>
        </w:tc>
        <w:tc>
          <w:tcPr>
            <w:tcW w:w="2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8.05</w:t>
            </w:r>
          </w:p>
        </w:tc>
        <w:tc>
          <w:tcPr>
            <w:tcW w:w="7080" w:type="dxa"/>
            <w:vAlign w:val="bottom"/>
          </w:tcPr>
          <w:p>
            <w:pPr>
              <w:ind w:left="120"/>
              <w:spacing w:after="0"/>
              <w:rPr>
                <w:sz w:val="20"/>
                <w:szCs w:val="20"/>
                <w:color w:val="auto"/>
              </w:rPr>
            </w:pPr>
            <w:r>
              <w:rPr>
                <w:rFonts w:ascii="Arial" w:cs="Arial" w:eastAsia="Arial" w:hAnsi="Arial"/>
                <w:sz w:val="18"/>
                <w:szCs w:val="18"/>
                <w:color w:val="auto"/>
              </w:rPr>
              <w:t>Actions Binding on Future Securityholders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9 </w:t>
            </w:r>
            <w:r>
              <w:rPr>
                <w:rFonts w:ascii="Arial" w:cs="Arial" w:eastAsia="Arial" w:hAnsi="Arial"/>
                <w:sz w:val="18"/>
                <w:szCs w:val="18"/>
                <w:color w:val="auto"/>
              </w:rPr>
              <w:t>SUPPLEMENTAL INDENTURES</w:t>
            </w:r>
          </w:p>
        </w:tc>
        <w:tc>
          <w:tcPr>
            <w:tcW w:w="24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7080" w:type="dxa"/>
            <w:vAlign w:val="bottom"/>
          </w:tcPr>
          <w:p>
            <w:pPr>
              <w:ind w:left="120"/>
              <w:spacing w:after="0"/>
              <w:rPr>
                <w:sz w:val="20"/>
                <w:szCs w:val="20"/>
                <w:color w:val="auto"/>
              </w:rPr>
            </w:pPr>
            <w:r>
              <w:rPr>
                <w:rFonts w:ascii="Arial" w:cs="Arial" w:eastAsia="Arial" w:hAnsi="Arial"/>
                <w:sz w:val="18"/>
                <w:szCs w:val="18"/>
                <w:color w:val="auto"/>
              </w:rPr>
              <w:t>Supplemental Indentures Without the Consent of Securityholders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7080" w:type="dxa"/>
            <w:vAlign w:val="bottom"/>
          </w:tcPr>
          <w:p>
            <w:pPr>
              <w:ind w:left="120"/>
              <w:spacing w:after="0"/>
              <w:rPr>
                <w:sz w:val="20"/>
                <w:szCs w:val="20"/>
                <w:color w:val="auto"/>
              </w:rPr>
            </w:pPr>
            <w:r>
              <w:rPr>
                <w:rFonts w:ascii="Arial" w:cs="Arial" w:eastAsia="Arial" w:hAnsi="Arial"/>
                <w:sz w:val="18"/>
                <w:szCs w:val="18"/>
                <w:color w:val="auto"/>
              </w:rPr>
              <w:t>Supplemental Indentures With Consent of Securityholders</w:t>
            </w:r>
          </w:p>
        </w:tc>
        <w:tc>
          <w:tcPr>
            <w:tcW w:w="24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9.03</w:t>
            </w:r>
          </w:p>
        </w:tc>
        <w:tc>
          <w:tcPr>
            <w:tcW w:w="7080" w:type="dxa"/>
            <w:vAlign w:val="bottom"/>
          </w:tcPr>
          <w:p>
            <w:pPr>
              <w:ind w:left="120"/>
              <w:spacing w:after="0"/>
              <w:rPr>
                <w:sz w:val="20"/>
                <w:szCs w:val="20"/>
                <w:color w:val="auto"/>
              </w:rPr>
            </w:pPr>
            <w:r>
              <w:rPr>
                <w:rFonts w:ascii="Arial" w:cs="Arial" w:eastAsia="Arial" w:hAnsi="Arial"/>
                <w:sz w:val="18"/>
                <w:szCs w:val="18"/>
                <w:color w:val="auto"/>
              </w:rPr>
              <w:t>Effect of Supplemental Indentures</w:t>
            </w:r>
          </w:p>
        </w:tc>
        <w:tc>
          <w:tcPr>
            <w:tcW w:w="24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9.04</w:t>
            </w:r>
          </w:p>
        </w:tc>
        <w:tc>
          <w:tcPr>
            <w:tcW w:w="7080" w:type="dxa"/>
            <w:vAlign w:val="bottom"/>
          </w:tcPr>
          <w:p>
            <w:pPr>
              <w:ind w:left="120"/>
              <w:spacing w:after="0"/>
              <w:rPr>
                <w:sz w:val="20"/>
                <w:szCs w:val="20"/>
                <w:color w:val="auto"/>
              </w:rPr>
            </w:pPr>
            <w:r>
              <w:rPr>
                <w:rFonts w:ascii="Arial" w:cs="Arial" w:eastAsia="Arial" w:hAnsi="Arial"/>
                <w:sz w:val="18"/>
                <w:szCs w:val="18"/>
                <w:color w:val="auto"/>
              </w:rPr>
              <w:t>Securities Affected by Supplemental Indentures</w:t>
            </w:r>
          </w:p>
        </w:tc>
        <w:tc>
          <w:tcPr>
            <w:tcW w:w="24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9.05</w:t>
            </w:r>
          </w:p>
        </w:tc>
        <w:tc>
          <w:tcPr>
            <w:tcW w:w="7080" w:type="dxa"/>
            <w:vAlign w:val="bottom"/>
          </w:tcPr>
          <w:p>
            <w:pPr>
              <w:ind w:left="120"/>
              <w:spacing w:after="0"/>
              <w:rPr>
                <w:sz w:val="20"/>
                <w:szCs w:val="20"/>
                <w:color w:val="auto"/>
              </w:rPr>
            </w:pPr>
            <w:r>
              <w:rPr>
                <w:rFonts w:ascii="Arial" w:cs="Arial" w:eastAsia="Arial" w:hAnsi="Arial"/>
                <w:sz w:val="18"/>
                <w:szCs w:val="18"/>
                <w:color w:val="auto"/>
              </w:rPr>
              <w:t>Execution of Supplemental Indentures</w:t>
            </w:r>
          </w:p>
        </w:tc>
        <w:tc>
          <w:tcPr>
            <w:tcW w:w="24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10 </w:t>
            </w:r>
            <w:r>
              <w:rPr>
                <w:rFonts w:ascii="Arial" w:cs="Arial" w:eastAsia="Arial" w:hAnsi="Arial"/>
                <w:sz w:val="18"/>
                <w:szCs w:val="18"/>
                <w:color w:val="auto"/>
              </w:rPr>
              <w:t>SUCCESSOR ENTITY</w:t>
            </w:r>
          </w:p>
        </w:tc>
        <w:tc>
          <w:tcPr>
            <w:tcW w:w="24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10.01</w:t>
            </w:r>
          </w:p>
        </w:tc>
        <w:tc>
          <w:tcPr>
            <w:tcW w:w="7080" w:type="dxa"/>
            <w:vAlign w:val="bottom"/>
          </w:tcPr>
          <w:p>
            <w:pPr>
              <w:ind w:left="120"/>
              <w:spacing w:after="0"/>
              <w:rPr>
                <w:sz w:val="20"/>
                <w:szCs w:val="20"/>
                <w:color w:val="auto"/>
              </w:rPr>
            </w:pPr>
            <w:r>
              <w:rPr>
                <w:rFonts w:ascii="Arial" w:cs="Arial" w:eastAsia="Arial" w:hAnsi="Arial"/>
                <w:sz w:val="18"/>
                <w:szCs w:val="18"/>
                <w:color w:val="auto"/>
              </w:rPr>
              <w:t>Company May Consolidate, Etc</w:t>
            </w:r>
          </w:p>
        </w:tc>
        <w:tc>
          <w:tcPr>
            <w:tcW w:w="24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10.02</w:t>
            </w:r>
          </w:p>
        </w:tc>
        <w:tc>
          <w:tcPr>
            <w:tcW w:w="7080" w:type="dxa"/>
            <w:vAlign w:val="bottom"/>
          </w:tcPr>
          <w:p>
            <w:pPr>
              <w:ind w:left="120"/>
              <w:spacing w:after="0"/>
              <w:rPr>
                <w:sz w:val="20"/>
                <w:szCs w:val="20"/>
                <w:color w:val="auto"/>
              </w:rPr>
            </w:pPr>
            <w:r>
              <w:rPr>
                <w:rFonts w:ascii="Arial" w:cs="Arial" w:eastAsia="Arial" w:hAnsi="Arial"/>
                <w:sz w:val="18"/>
                <w:szCs w:val="18"/>
                <w:color w:val="auto"/>
              </w:rPr>
              <w:t>Successor Entity Substituted</w:t>
            </w:r>
          </w:p>
        </w:tc>
        <w:tc>
          <w:tcPr>
            <w:tcW w:w="24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11 </w:t>
            </w:r>
            <w:r>
              <w:rPr>
                <w:rFonts w:ascii="Arial" w:cs="Arial" w:eastAsia="Arial" w:hAnsi="Arial"/>
                <w:sz w:val="18"/>
                <w:szCs w:val="18"/>
                <w:color w:val="auto"/>
              </w:rPr>
              <w:t>SATISFACTION AND DISCHARGE</w:t>
            </w:r>
          </w:p>
        </w:tc>
        <w:tc>
          <w:tcPr>
            <w:tcW w:w="24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11.01</w:t>
            </w:r>
          </w:p>
        </w:tc>
        <w:tc>
          <w:tcPr>
            <w:tcW w:w="7080" w:type="dxa"/>
            <w:vAlign w:val="bottom"/>
          </w:tcPr>
          <w:p>
            <w:pPr>
              <w:ind w:left="120"/>
              <w:spacing w:after="0"/>
              <w:rPr>
                <w:sz w:val="20"/>
                <w:szCs w:val="20"/>
                <w:color w:val="auto"/>
              </w:rPr>
            </w:pPr>
            <w:r>
              <w:rPr>
                <w:rFonts w:ascii="Arial" w:cs="Arial" w:eastAsia="Arial" w:hAnsi="Arial"/>
                <w:sz w:val="18"/>
                <w:szCs w:val="18"/>
                <w:color w:val="auto"/>
              </w:rPr>
              <w:t>Satisfaction and Discharge of Indenture</w:t>
            </w:r>
          </w:p>
        </w:tc>
        <w:tc>
          <w:tcPr>
            <w:tcW w:w="24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11.02</w:t>
            </w:r>
          </w:p>
        </w:tc>
        <w:tc>
          <w:tcPr>
            <w:tcW w:w="7080" w:type="dxa"/>
            <w:vAlign w:val="bottom"/>
          </w:tcPr>
          <w:p>
            <w:pPr>
              <w:ind w:left="120"/>
              <w:spacing w:after="0"/>
              <w:rPr>
                <w:sz w:val="20"/>
                <w:szCs w:val="20"/>
                <w:color w:val="auto"/>
              </w:rPr>
            </w:pPr>
            <w:r>
              <w:rPr>
                <w:rFonts w:ascii="Arial" w:cs="Arial" w:eastAsia="Arial" w:hAnsi="Arial"/>
                <w:sz w:val="18"/>
                <w:szCs w:val="18"/>
                <w:color w:val="auto"/>
              </w:rPr>
              <w:t>Discharge of Obligations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11.03</w:t>
            </w:r>
          </w:p>
        </w:tc>
        <w:tc>
          <w:tcPr>
            <w:tcW w:w="7080" w:type="dxa"/>
            <w:vAlign w:val="bottom"/>
          </w:tcPr>
          <w:p>
            <w:pPr>
              <w:ind w:left="120"/>
              <w:spacing w:after="0"/>
              <w:rPr>
                <w:sz w:val="20"/>
                <w:szCs w:val="20"/>
                <w:color w:val="auto"/>
              </w:rPr>
            </w:pPr>
            <w:r>
              <w:rPr>
                <w:rFonts w:ascii="Arial" w:cs="Arial" w:eastAsia="Arial" w:hAnsi="Arial"/>
                <w:sz w:val="18"/>
                <w:szCs w:val="18"/>
                <w:color w:val="auto"/>
              </w:rPr>
              <w:t>Deposited Moneys to be Held in Trust</w:t>
            </w:r>
          </w:p>
        </w:tc>
        <w:tc>
          <w:tcPr>
            <w:tcW w:w="24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11.04</w:t>
            </w:r>
          </w:p>
        </w:tc>
        <w:tc>
          <w:tcPr>
            <w:tcW w:w="7080" w:type="dxa"/>
            <w:vAlign w:val="bottom"/>
          </w:tcPr>
          <w:p>
            <w:pPr>
              <w:ind w:left="120"/>
              <w:spacing w:after="0"/>
              <w:rPr>
                <w:sz w:val="20"/>
                <w:szCs w:val="20"/>
                <w:color w:val="auto"/>
              </w:rPr>
            </w:pPr>
            <w:r>
              <w:rPr>
                <w:rFonts w:ascii="Arial" w:cs="Arial" w:eastAsia="Arial" w:hAnsi="Arial"/>
                <w:sz w:val="18"/>
                <w:szCs w:val="18"/>
                <w:color w:val="auto"/>
              </w:rPr>
              <w:t>Payment of Moneys Held by Paying Agents</w:t>
            </w:r>
          </w:p>
        </w:tc>
        <w:tc>
          <w:tcPr>
            <w:tcW w:w="24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11.05</w:t>
            </w:r>
          </w:p>
        </w:tc>
        <w:tc>
          <w:tcPr>
            <w:tcW w:w="7080" w:type="dxa"/>
            <w:vAlign w:val="bottom"/>
          </w:tcPr>
          <w:p>
            <w:pPr>
              <w:ind w:left="120"/>
              <w:spacing w:after="0"/>
              <w:rPr>
                <w:sz w:val="20"/>
                <w:szCs w:val="20"/>
                <w:color w:val="auto"/>
              </w:rPr>
            </w:pPr>
            <w:r>
              <w:rPr>
                <w:rFonts w:ascii="Arial" w:cs="Arial" w:eastAsia="Arial" w:hAnsi="Arial"/>
                <w:sz w:val="18"/>
                <w:szCs w:val="18"/>
                <w:color w:val="auto"/>
              </w:rPr>
              <w:t>Repayment to Company</w:t>
            </w:r>
          </w:p>
        </w:tc>
        <w:tc>
          <w:tcPr>
            <w:tcW w:w="240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274" w:right="47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0"/>
        </w:trPr>
        <w:tc>
          <w:tcPr>
            <w:tcW w:w="9180" w:type="dxa"/>
            <w:vAlign w:val="bottom"/>
            <w:gridSpan w:val="2"/>
          </w:tcPr>
          <w:p>
            <w:pPr>
              <w:spacing w:after="0"/>
              <w:rPr>
                <w:sz w:val="20"/>
                <w:szCs w:val="20"/>
                <w:color w:val="auto"/>
              </w:rPr>
            </w:pPr>
            <w:r>
              <w:rPr>
                <w:rFonts w:ascii="Arial" w:cs="Arial" w:eastAsia="Arial" w:hAnsi="Arial"/>
                <w:sz w:val="18"/>
                <w:szCs w:val="18"/>
                <w:color w:val="auto"/>
              </w:rPr>
              <w:t>ARTICLE 12 IMMUNITY OF INCORPORATORS, STOCKHOLDERS, OFFICERS AND DIRECTORS</w:t>
            </w:r>
          </w:p>
        </w:tc>
        <w:tc>
          <w:tcPr>
            <w:tcW w:w="18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12.01</w:t>
            </w:r>
          </w:p>
        </w:tc>
        <w:tc>
          <w:tcPr>
            <w:tcW w:w="7680" w:type="dxa"/>
            <w:vAlign w:val="bottom"/>
          </w:tcPr>
          <w:p>
            <w:pPr>
              <w:ind w:left="120"/>
              <w:spacing w:after="0"/>
              <w:rPr>
                <w:sz w:val="20"/>
                <w:szCs w:val="20"/>
                <w:color w:val="auto"/>
              </w:rPr>
            </w:pPr>
            <w:r>
              <w:rPr>
                <w:rFonts w:ascii="Arial" w:cs="Arial" w:eastAsia="Arial" w:hAnsi="Arial"/>
                <w:sz w:val="18"/>
                <w:szCs w:val="18"/>
                <w:color w:val="auto"/>
              </w:rPr>
              <w:t>No Recourse</w:t>
            </w:r>
          </w:p>
        </w:tc>
        <w:tc>
          <w:tcPr>
            <w:tcW w:w="18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9180" w:type="dxa"/>
            <w:vAlign w:val="bottom"/>
            <w:gridSpan w:val="2"/>
          </w:tcPr>
          <w:p>
            <w:pPr>
              <w:spacing w:after="0"/>
              <w:rPr>
                <w:sz w:val="20"/>
                <w:szCs w:val="20"/>
                <w:color w:val="auto"/>
              </w:rPr>
            </w:pPr>
            <w:r>
              <w:rPr>
                <w:rFonts w:ascii="Arial" w:cs="Arial" w:eastAsia="Arial" w:hAnsi="Arial"/>
                <w:sz w:val="18"/>
                <w:szCs w:val="18"/>
                <w:color w:val="auto"/>
              </w:rPr>
              <w:t>ARTICLE 13 MISCELLANEOUS PROVISIONS</w:t>
            </w:r>
          </w:p>
        </w:tc>
        <w:tc>
          <w:tcPr>
            <w:tcW w:w="18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10"/>
        </w:trPr>
        <w:tc>
          <w:tcPr>
            <w:tcW w:w="9180" w:type="dxa"/>
            <w:vAlign w:val="bottom"/>
            <w:gridSpan w:val="2"/>
          </w:tcPr>
          <w:p>
            <w:pPr>
              <w:ind w:left="360"/>
              <w:spacing w:after="0"/>
              <w:rPr>
                <w:sz w:val="20"/>
                <w:szCs w:val="20"/>
                <w:color w:val="auto"/>
              </w:rPr>
            </w:pPr>
            <w:r>
              <w:rPr>
                <w:rFonts w:ascii="Arial" w:cs="Arial" w:eastAsia="Arial" w:hAnsi="Arial"/>
                <w:sz w:val="18"/>
                <w:szCs w:val="18"/>
                <w:color w:val="auto"/>
              </w:rPr>
              <w:t>Section 13.01   Effect on Successors and Assigns</w:t>
            </w:r>
          </w:p>
        </w:tc>
        <w:tc>
          <w:tcPr>
            <w:tcW w:w="18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180" w:type="dxa"/>
            <w:vAlign w:val="bottom"/>
            <w:gridSpan w:val="2"/>
          </w:tcPr>
          <w:p>
            <w:pPr>
              <w:ind w:left="360"/>
              <w:spacing w:after="0"/>
              <w:rPr>
                <w:sz w:val="20"/>
                <w:szCs w:val="20"/>
                <w:color w:val="auto"/>
              </w:rPr>
            </w:pPr>
            <w:r>
              <w:rPr>
                <w:rFonts w:ascii="Arial" w:cs="Arial" w:eastAsia="Arial" w:hAnsi="Arial"/>
                <w:sz w:val="18"/>
                <w:szCs w:val="18"/>
                <w:color w:val="auto"/>
              </w:rPr>
              <w:t>Section 13.02   Actions by Successor</w:t>
            </w:r>
          </w:p>
        </w:tc>
        <w:tc>
          <w:tcPr>
            <w:tcW w:w="18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180" w:type="dxa"/>
            <w:vAlign w:val="bottom"/>
            <w:gridSpan w:val="2"/>
          </w:tcPr>
          <w:p>
            <w:pPr>
              <w:ind w:left="360"/>
              <w:spacing w:after="0"/>
              <w:rPr>
                <w:sz w:val="20"/>
                <w:szCs w:val="20"/>
                <w:color w:val="auto"/>
              </w:rPr>
            </w:pPr>
            <w:r>
              <w:rPr>
                <w:rFonts w:ascii="Arial" w:cs="Arial" w:eastAsia="Arial" w:hAnsi="Arial"/>
                <w:sz w:val="18"/>
                <w:szCs w:val="18"/>
                <w:color w:val="auto"/>
              </w:rPr>
              <w:t>Section 13.03   Surrender of Company Powers</w:t>
            </w:r>
          </w:p>
        </w:tc>
        <w:tc>
          <w:tcPr>
            <w:tcW w:w="18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13.04</w:t>
            </w:r>
          </w:p>
        </w:tc>
        <w:tc>
          <w:tcPr>
            <w:tcW w:w="7680" w:type="dxa"/>
            <w:vAlign w:val="bottom"/>
          </w:tcPr>
          <w:p>
            <w:pPr>
              <w:ind w:left="120"/>
              <w:spacing w:after="0"/>
              <w:rPr>
                <w:sz w:val="20"/>
                <w:szCs w:val="20"/>
                <w:color w:val="auto"/>
              </w:rPr>
            </w:pPr>
            <w:r>
              <w:rPr>
                <w:rFonts w:ascii="Arial" w:cs="Arial" w:eastAsia="Arial" w:hAnsi="Arial"/>
                <w:sz w:val="18"/>
                <w:szCs w:val="18"/>
                <w:color w:val="auto"/>
              </w:rPr>
              <w:t>Notices</w:t>
            </w:r>
          </w:p>
        </w:tc>
        <w:tc>
          <w:tcPr>
            <w:tcW w:w="18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180" w:type="dxa"/>
            <w:vAlign w:val="bottom"/>
            <w:gridSpan w:val="2"/>
          </w:tcPr>
          <w:p>
            <w:pPr>
              <w:ind w:left="360"/>
              <w:spacing w:after="0"/>
              <w:rPr>
                <w:sz w:val="20"/>
                <w:szCs w:val="20"/>
                <w:color w:val="auto"/>
              </w:rPr>
            </w:pPr>
            <w:r>
              <w:rPr>
                <w:rFonts w:ascii="Arial" w:cs="Arial" w:eastAsia="Arial" w:hAnsi="Arial"/>
                <w:sz w:val="18"/>
                <w:szCs w:val="18"/>
                <w:color w:val="auto"/>
              </w:rPr>
              <w:t>Section 13.05   Governing Law; Jury Trial Waiver</w:t>
            </w:r>
          </w:p>
        </w:tc>
        <w:tc>
          <w:tcPr>
            <w:tcW w:w="18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9180" w:type="dxa"/>
            <w:vAlign w:val="bottom"/>
            <w:gridSpan w:val="2"/>
          </w:tcPr>
          <w:p>
            <w:pPr>
              <w:ind w:left="360"/>
              <w:spacing w:after="0"/>
              <w:rPr>
                <w:sz w:val="20"/>
                <w:szCs w:val="20"/>
                <w:color w:val="auto"/>
              </w:rPr>
            </w:pPr>
            <w:r>
              <w:rPr>
                <w:rFonts w:ascii="Arial" w:cs="Arial" w:eastAsia="Arial" w:hAnsi="Arial"/>
                <w:sz w:val="18"/>
                <w:szCs w:val="18"/>
                <w:color w:val="auto"/>
              </w:rPr>
              <w:t>Section 13.06   Treatment of Securities as Debt</w:t>
            </w:r>
          </w:p>
        </w:tc>
        <w:tc>
          <w:tcPr>
            <w:tcW w:w="18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180" w:type="dxa"/>
            <w:vAlign w:val="bottom"/>
            <w:gridSpan w:val="2"/>
          </w:tcPr>
          <w:p>
            <w:pPr>
              <w:ind w:left="360"/>
              <w:spacing w:after="0"/>
              <w:rPr>
                <w:sz w:val="20"/>
                <w:szCs w:val="20"/>
                <w:color w:val="auto"/>
              </w:rPr>
            </w:pPr>
            <w:r>
              <w:rPr>
                <w:rFonts w:ascii="Arial" w:cs="Arial" w:eastAsia="Arial" w:hAnsi="Arial"/>
                <w:sz w:val="18"/>
                <w:szCs w:val="18"/>
                <w:color w:val="auto"/>
              </w:rPr>
              <w:t>Section 13.07   Certificates and Opinions as to Conditions Precedent</w:t>
            </w:r>
          </w:p>
        </w:tc>
        <w:tc>
          <w:tcPr>
            <w:tcW w:w="18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180" w:type="dxa"/>
            <w:vAlign w:val="bottom"/>
            <w:gridSpan w:val="2"/>
          </w:tcPr>
          <w:p>
            <w:pPr>
              <w:ind w:left="360"/>
              <w:spacing w:after="0"/>
              <w:rPr>
                <w:sz w:val="20"/>
                <w:szCs w:val="20"/>
                <w:color w:val="auto"/>
              </w:rPr>
            </w:pPr>
            <w:r>
              <w:rPr>
                <w:rFonts w:ascii="Arial" w:cs="Arial" w:eastAsia="Arial" w:hAnsi="Arial"/>
                <w:sz w:val="18"/>
                <w:szCs w:val="18"/>
                <w:color w:val="auto"/>
              </w:rPr>
              <w:t>Section 13.08   Payments on Business Days</w:t>
            </w:r>
          </w:p>
        </w:tc>
        <w:tc>
          <w:tcPr>
            <w:tcW w:w="18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9180" w:type="dxa"/>
            <w:vAlign w:val="bottom"/>
            <w:gridSpan w:val="2"/>
          </w:tcPr>
          <w:p>
            <w:pPr>
              <w:ind w:left="360"/>
              <w:spacing w:after="0"/>
              <w:rPr>
                <w:sz w:val="20"/>
                <w:szCs w:val="20"/>
                <w:color w:val="auto"/>
              </w:rPr>
            </w:pPr>
            <w:r>
              <w:rPr>
                <w:rFonts w:ascii="Arial" w:cs="Arial" w:eastAsia="Arial" w:hAnsi="Arial"/>
                <w:sz w:val="18"/>
                <w:szCs w:val="18"/>
                <w:color w:val="auto"/>
              </w:rPr>
              <w:t>Section 13.09   Conflict with Trust Indenture Act</w:t>
            </w:r>
          </w:p>
        </w:tc>
        <w:tc>
          <w:tcPr>
            <w:tcW w:w="18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13.10</w:t>
            </w:r>
          </w:p>
        </w:tc>
        <w:tc>
          <w:tcPr>
            <w:tcW w:w="7680" w:type="dxa"/>
            <w:vAlign w:val="bottom"/>
          </w:tcPr>
          <w:p>
            <w:pPr>
              <w:ind w:left="120"/>
              <w:spacing w:after="0"/>
              <w:rPr>
                <w:sz w:val="20"/>
                <w:szCs w:val="20"/>
                <w:color w:val="auto"/>
              </w:rPr>
            </w:pPr>
            <w:r>
              <w:rPr>
                <w:rFonts w:ascii="Arial" w:cs="Arial" w:eastAsia="Arial" w:hAnsi="Arial"/>
                <w:sz w:val="18"/>
                <w:szCs w:val="18"/>
                <w:color w:val="auto"/>
              </w:rPr>
              <w:t>Counterparts</w:t>
            </w:r>
          </w:p>
        </w:tc>
        <w:tc>
          <w:tcPr>
            <w:tcW w:w="18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13.11</w:t>
            </w:r>
          </w:p>
        </w:tc>
        <w:tc>
          <w:tcPr>
            <w:tcW w:w="7680" w:type="dxa"/>
            <w:vAlign w:val="bottom"/>
          </w:tcPr>
          <w:p>
            <w:pPr>
              <w:ind w:left="120"/>
              <w:spacing w:after="0"/>
              <w:rPr>
                <w:sz w:val="20"/>
                <w:szCs w:val="20"/>
                <w:color w:val="auto"/>
              </w:rPr>
            </w:pPr>
            <w:r>
              <w:rPr>
                <w:rFonts w:ascii="Arial" w:cs="Arial" w:eastAsia="Arial" w:hAnsi="Arial"/>
                <w:sz w:val="18"/>
                <w:szCs w:val="18"/>
                <w:color w:val="auto"/>
              </w:rPr>
              <w:t>Separability</w:t>
            </w:r>
          </w:p>
        </w:tc>
        <w:tc>
          <w:tcPr>
            <w:tcW w:w="18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13.12</w:t>
            </w:r>
          </w:p>
        </w:tc>
        <w:tc>
          <w:tcPr>
            <w:tcW w:w="7680" w:type="dxa"/>
            <w:vAlign w:val="bottom"/>
          </w:tcPr>
          <w:p>
            <w:pPr>
              <w:ind w:left="120"/>
              <w:spacing w:after="0"/>
              <w:rPr>
                <w:sz w:val="20"/>
                <w:szCs w:val="20"/>
                <w:color w:val="auto"/>
              </w:rPr>
            </w:pPr>
            <w:r>
              <w:rPr>
                <w:rFonts w:ascii="Arial" w:cs="Arial" w:eastAsia="Arial" w:hAnsi="Arial"/>
                <w:sz w:val="18"/>
                <w:szCs w:val="18"/>
                <w:color w:val="auto"/>
              </w:rPr>
              <w:t>Compliance Certificates</w:t>
            </w:r>
          </w:p>
        </w:tc>
        <w:tc>
          <w:tcPr>
            <w:tcW w:w="18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9180" w:type="dxa"/>
            <w:vAlign w:val="bottom"/>
            <w:gridSpan w:val="2"/>
          </w:tcPr>
          <w:p>
            <w:pPr>
              <w:ind w:left="360"/>
              <w:spacing w:after="0"/>
              <w:rPr>
                <w:sz w:val="20"/>
                <w:szCs w:val="20"/>
                <w:color w:val="auto"/>
              </w:rPr>
            </w:pPr>
            <w:r>
              <w:rPr>
                <w:rFonts w:ascii="Arial" w:cs="Arial" w:eastAsia="Arial" w:hAnsi="Arial"/>
                <w:sz w:val="18"/>
                <w:szCs w:val="18"/>
                <w:color w:val="auto"/>
              </w:rPr>
              <w:t>Section 13.13   USA PATRIOT ACT</w:t>
            </w:r>
          </w:p>
        </w:tc>
        <w:tc>
          <w:tcPr>
            <w:tcW w:w="18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13.14</w:t>
            </w:r>
          </w:p>
        </w:tc>
        <w:tc>
          <w:tcPr>
            <w:tcW w:w="7680" w:type="dxa"/>
            <w:vAlign w:val="bottom"/>
          </w:tcPr>
          <w:p>
            <w:pPr>
              <w:ind w:left="120"/>
              <w:spacing w:after="0"/>
              <w:rPr>
                <w:sz w:val="20"/>
                <w:szCs w:val="20"/>
                <w:color w:val="auto"/>
              </w:rPr>
            </w:pPr>
            <w:r>
              <w:rPr>
                <w:rFonts w:ascii="Arial" w:cs="Arial" w:eastAsia="Arial" w:hAnsi="Arial"/>
                <w:sz w:val="18"/>
                <w:szCs w:val="18"/>
                <w:color w:val="auto"/>
              </w:rPr>
              <w:t>Calculations</w:t>
            </w:r>
          </w:p>
        </w:tc>
        <w:tc>
          <w:tcPr>
            <w:tcW w:w="18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9180" w:type="dxa"/>
            <w:vAlign w:val="bottom"/>
            <w:gridSpan w:val="2"/>
          </w:tcPr>
          <w:p>
            <w:pPr>
              <w:spacing w:after="0"/>
              <w:rPr>
                <w:sz w:val="20"/>
                <w:szCs w:val="20"/>
                <w:color w:val="auto"/>
              </w:rPr>
            </w:pPr>
            <w:r>
              <w:rPr>
                <w:rFonts w:ascii="Arial" w:cs="Arial" w:eastAsia="Arial" w:hAnsi="Arial"/>
                <w:sz w:val="18"/>
                <w:szCs w:val="18"/>
                <w:color w:val="auto"/>
              </w:rPr>
              <w:t>TRUST INDENTURE ACT CROSS-REFERENCE TABLE</w:t>
            </w:r>
          </w:p>
        </w:tc>
        <w:tc>
          <w:tcPr>
            <w:tcW w:w="180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365"/>
        </w:trPr>
        <w:tc>
          <w:tcPr>
            <w:tcW w:w="1500" w:type="dxa"/>
            <w:vAlign w:val="bottom"/>
          </w:tcPr>
          <w:p>
            <w:pPr>
              <w:spacing w:after="0"/>
              <w:rPr>
                <w:sz w:val="24"/>
                <w:szCs w:val="24"/>
                <w:color w:val="auto"/>
              </w:rPr>
            </w:pPr>
          </w:p>
        </w:tc>
        <w:tc>
          <w:tcPr>
            <w:tcW w:w="7680" w:type="dxa"/>
            <w:vAlign w:val="bottom"/>
          </w:tcPr>
          <w:p>
            <w:pPr>
              <w:ind w:left="3940"/>
              <w:spacing w:after="0"/>
              <w:rPr>
                <w:sz w:val="20"/>
                <w:szCs w:val="20"/>
                <w:color w:val="auto"/>
              </w:rPr>
            </w:pPr>
            <w:r>
              <w:rPr>
                <w:rFonts w:ascii="Arial" w:cs="Arial" w:eastAsia="Arial" w:hAnsi="Arial"/>
                <w:sz w:val="18"/>
                <w:szCs w:val="18"/>
                <w:color w:val="auto"/>
              </w:rPr>
              <w:t>iii</w:t>
            </w:r>
          </w:p>
        </w:tc>
        <w:tc>
          <w:tcPr>
            <w:tcW w:w="1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980"/>
          </w:cols>
          <w:pgMar w:left="440" w:top="274" w:right="4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7" w:name="page48"/>
    <w:bookmarkEnd w:id="4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w:t>
      </w:r>
    </w:p>
    <w:p>
      <w:pPr>
        <w:spacing w:after="0" w:line="225" w:lineRule="exact"/>
        <w:rPr>
          <w:sz w:val="20"/>
          <w:szCs w:val="20"/>
          <w:color w:val="auto"/>
        </w:rPr>
      </w:pPr>
    </w:p>
    <w:p>
      <w:pPr>
        <w:ind w:right="440" w:firstLine="441"/>
        <w:spacing w:after="0" w:line="282" w:lineRule="auto"/>
        <w:rPr>
          <w:sz w:val="20"/>
          <w:szCs w:val="20"/>
          <w:color w:val="auto"/>
        </w:rPr>
      </w:pPr>
      <w:r>
        <w:rPr>
          <w:rFonts w:ascii="Arial" w:cs="Arial" w:eastAsia="Arial" w:hAnsi="Arial"/>
          <w:sz w:val="18"/>
          <w:szCs w:val="18"/>
          <w:b w:val="1"/>
          <w:bCs w:val="1"/>
          <w:color w:val="auto"/>
        </w:rPr>
        <w:t>INDENTURE</w:t>
      </w:r>
      <w:r>
        <w:rPr>
          <w:rFonts w:ascii="Arial" w:cs="Arial" w:eastAsia="Arial" w:hAnsi="Arial"/>
          <w:sz w:val="18"/>
          <w:szCs w:val="18"/>
          <w:color w:val="auto"/>
        </w:rPr>
        <w:t>, dated as of [•], 20[•], among</w:t>
      </w:r>
      <w:r>
        <w:rPr>
          <w:rFonts w:ascii="Arial" w:cs="Arial" w:eastAsia="Arial" w:hAnsi="Arial"/>
          <w:sz w:val="18"/>
          <w:szCs w:val="18"/>
          <w:b w:val="1"/>
          <w:bCs w:val="1"/>
          <w:color w:val="auto"/>
        </w:rPr>
        <w:t xml:space="preserve"> AVROBIO, INC.</w:t>
      </w:r>
      <w:r>
        <w:rPr>
          <w:rFonts w:ascii="Arial" w:cs="Arial" w:eastAsia="Arial" w:hAnsi="Arial"/>
          <w:sz w:val="18"/>
          <w:szCs w:val="18"/>
          <w:color w:val="auto"/>
        </w:rPr>
        <w:t>,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w:t>
      </w:r>
      <w:r>
        <w:rPr>
          <w:rFonts w:ascii="Arial" w:cs="Arial" w:eastAsia="Arial" w:hAnsi="Arial"/>
          <w:sz w:val="18"/>
          <w:szCs w:val="18"/>
          <w:b w:val="1"/>
          <w:bCs w:val="1"/>
          <w:color w:val="auto"/>
        </w:rPr>
        <w:t>TRUSTEE</w:t>
      </w:r>
      <w:r>
        <w:rPr>
          <w:rFonts w:ascii="Arial" w:cs="Arial" w:eastAsia="Arial" w:hAnsi="Arial"/>
          <w:sz w:val="18"/>
          <w:szCs w:val="18"/>
          <w:color w:val="auto"/>
        </w:rPr>
        <w:t>] as trustee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162" w:lineRule="exact"/>
        <w:rPr>
          <w:sz w:val="20"/>
          <w:szCs w:val="20"/>
          <w:color w:val="auto"/>
        </w:rPr>
      </w:pPr>
    </w:p>
    <w:p>
      <w:pPr>
        <w:ind w:right="20" w:firstLine="441"/>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for its lawful corporate purposes, the Company has duly authorized the execution and delivery of this Indenture to provide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of debt securities (hereinafter referred to as the “</w:t>
      </w:r>
      <w:r>
        <w:rPr>
          <w:rFonts w:ascii="Arial" w:cs="Arial" w:eastAsia="Arial" w:hAnsi="Arial"/>
          <w:sz w:val="16"/>
          <w:szCs w:val="16"/>
          <w:b w:val="1"/>
          <w:bCs w:val="1"/>
          <w:color w:val="auto"/>
        </w:rPr>
        <w:t>Securities</w:t>
      </w:r>
      <w:r>
        <w:rPr>
          <w:rFonts w:ascii="Arial" w:cs="Arial" w:eastAsia="Arial" w:hAnsi="Arial"/>
          <w:sz w:val="16"/>
          <w:szCs w:val="16"/>
          <w:color w:val="auto"/>
        </w:rPr>
        <w:t>”), in an unlimited aggregate principal amount to be issued from time to time in one or more series as in this Indenture provided, as registered Securities without coupons, to be authenticated by the certificate of the Trustee;</w:t>
      </w:r>
    </w:p>
    <w:p>
      <w:pPr>
        <w:spacing w:after="0" w:line="142" w:lineRule="exact"/>
        <w:rPr>
          <w:sz w:val="20"/>
          <w:szCs w:val="20"/>
          <w:color w:val="auto"/>
        </w:rPr>
      </w:pPr>
    </w:p>
    <w:p>
      <w:pPr>
        <w:ind w:right="120" w:firstLine="44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to provide the terms and conditions upon which the Securities are to be authenticated, issued and delivered, the Company has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the execution of this Indenture; and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all things necessary to make this Indenture a valid and binding agreement of the Company, in accordance with its terms, have been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done.</w:t>
      </w:r>
    </w:p>
    <w:p>
      <w:pPr>
        <w:spacing w:after="0" w:line="207" w:lineRule="exact"/>
        <w:rPr>
          <w:sz w:val="20"/>
          <w:szCs w:val="20"/>
          <w:color w:val="auto"/>
        </w:rPr>
      </w:pPr>
    </w:p>
    <w:p>
      <w:pPr>
        <w:ind w:right="180" w:firstLine="441"/>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purchase of the Securities by the holders thereof, it is mutually covenanted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agreed as follows for the equal and ratable benefit of the holders of Securities:</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 of Terms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74" w:lineRule="exact"/>
        <w:rPr>
          <w:sz w:val="20"/>
          <w:szCs w:val="20"/>
          <w:color w:val="auto"/>
        </w:rPr>
      </w:pPr>
    </w:p>
    <w:p>
      <w:pPr>
        <w:ind w:right="1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Authenticating Agent</w:t>
      </w:r>
      <w:r>
        <w:rPr>
          <w:rFonts w:ascii="Arial" w:cs="Arial" w:eastAsia="Arial" w:hAnsi="Arial"/>
          <w:sz w:val="18"/>
          <w:szCs w:val="18"/>
          <w:color w:val="auto"/>
        </w:rPr>
        <w:t xml:space="preserve">” means an authenticating agent with respect to all or any of the series of Securities appointed by the Trustee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Law</w:t>
      </w:r>
      <w:r>
        <w:rPr>
          <w:rFonts w:ascii="Arial" w:cs="Arial" w:eastAsia="Arial" w:hAnsi="Arial"/>
          <w:sz w:val="18"/>
          <w:szCs w:val="18"/>
          <w:color w:val="auto"/>
        </w:rPr>
        <w:t>” means Title 11, U.S. Code, or any similar federal or state law for the relief of debtors.</w:t>
      </w:r>
    </w:p>
    <w:p>
      <w:pPr>
        <w:spacing w:after="0" w:line="225" w:lineRule="exact"/>
        <w:rPr>
          <w:sz w:val="20"/>
          <w:szCs w:val="20"/>
          <w:color w:val="auto"/>
        </w:rPr>
      </w:pPr>
    </w:p>
    <w:p>
      <w:pPr>
        <w:ind w:right="1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(or the functional equivalent thereof) of the Company or any duly authorized committee of such Board.</w:t>
      </w:r>
    </w:p>
    <w:p>
      <w:pPr>
        <w:sectPr>
          <w:pgSz w:w="11900" w:h="16838" w:orient="portrait"/>
          <w:cols w:equalWidth="0" w:num="1">
            <w:col w:w="10960"/>
          </w:cols>
          <w:pgMar w:left="440" w:top="270" w:right="499" w:bottom="1440" w:gutter="0" w:footer="0" w:header="0"/>
        </w:sectPr>
      </w:pPr>
    </w:p>
    <w:bookmarkStart w:id="48" w:name="page49"/>
    <w:bookmarkEnd w:id="48"/>
    <w:p>
      <w:pPr>
        <w:ind w:right="100" w:firstLine="441"/>
        <w:spacing w:after="0" w:line="31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Board Resolution</w:t>
      </w:r>
      <w:r>
        <w:rPr>
          <w:rFonts w:ascii="Arial" w:cs="Arial" w:eastAsia="Arial" w:hAnsi="Arial"/>
          <w:sz w:val="17"/>
          <w:szCs w:val="17"/>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38" w:lineRule="exact"/>
        <w:rPr>
          <w:sz w:val="20"/>
          <w:szCs w:val="20"/>
          <w:color w:val="auto"/>
        </w:rPr>
      </w:pPr>
    </w:p>
    <w:p>
      <w:pPr>
        <w:ind w:right="42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with respect to any series of Securities, any day other than a day on which federal or state banking institutions in the Borough of Manhattan, the City of New York, or at a place of payment, are authorized or obligated by law, executive order or regulation to close.</w:t>
      </w:r>
    </w:p>
    <w:p>
      <w:pPr>
        <w:spacing w:after="0" w:line="116" w:lineRule="exact"/>
        <w:rPr>
          <w:sz w:val="20"/>
          <w:szCs w:val="20"/>
          <w:color w:val="auto"/>
        </w:rPr>
      </w:pPr>
    </w:p>
    <w:p>
      <w:pPr>
        <w:ind w:right="1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76" w:lineRule="exact"/>
        <w:rPr>
          <w:sz w:val="20"/>
          <w:szCs w:val="20"/>
          <w:color w:val="auto"/>
        </w:rPr>
      </w:pPr>
    </w:p>
    <w:p>
      <w:pPr>
        <w:ind w:right="5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xml:space="preserve">” means AVROBIO, Inc., a corporation duly organized and existing under the laws of the State of Delaware, and, subject to the provisions of </w:t>
      </w:r>
      <w:r>
        <w:rPr>
          <w:rFonts w:ascii="Arial" w:cs="Arial" w:eastAsia="Arial" w:hAnsi="Arial"/>
          <w:sz w:val="18"/>
          <w:szCs w:val="18"/>
          <w:u w:val="single" w:color="auto"/>
          <w:color w:val="auto"/>
        </w:rPr>
        <w:t>Article 10</w:t>
      </w:r>
      <w:r>
        <w:rPr>
          <w:rFonts w:ascii="Arial" w:cs="Arial" w:eastAsia="Arial" w:hAnsi="Arial"/>
          <w:sz w:val="18"/>
          <w:szCs w:val="18"/>
          <w:color w:val="auto"/>
        </w:rPr>
        <w:t>, shall also include its successors and assigns.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Order</w:t>
      </w:r>
      <w:r>
        <w:rPr>
          <w:rFonts w:ascii="Arial" w:cs="Arial" w:eastAsia="Arial" w:hAnsi="Arial"/>
          <w:sz w:val="18"/>
          <w:szCs w:val="18"/>
          <w:color w:val="auto"/>
        </w:rPr>
        <w:t>” means a written order of the Company, signed by an Officer of the Company, and delivered to the Trustee.</w:t>
      </w:r>
    </w:p>
    <w:p>
      <w:pPr>
        <w:spacing w:after="0" w:line="225" w:lineRule="exact"/>
        <w:rPr>
          <w:sz w:val="20"/>
          <w:szCs w:val="20"/>
          <w:color w:val="auto"/>
        </w:rPr>
      </w:pPr>
    </w:p>
    <w:p>
      <w:pPr>
        <w:ind w:right="4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Trust Office</w:t>
      </w:r>
      <w:r>
        <w:rPr>
          <w:rFonts w:ascii="Arial" w:cs="Arial" w:eastAsia="Arial" w:hAnsi="Arial"/>
          <w:sz w:val="18"/>
          <w:szCs w:val="18"/>
          <w:color w:val="auto"/>
        </w:rPr>
        <w:t>” means the office of the Trustee at which, at any particular time, its corporate trust business shall be administered, which office at the date hereof is located at .</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Defaulted Interest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25" w:lineRule="exact"/>
        <w:rPr>
          <w:sz w:val="20"/>
          <w:szCs w:val="20"/>
          <w:color w:val="auto"/>
        </w:rPr>
      </w:pPr>
    </w:p>
    <w:p>
      <w:pPr>
        <w:ind w:right="160" w:firstLine="44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Depositary</w:t>
      </w:r>
      <w:r>
        <w:rPr>
          <w:rFonts w:ascii="Arial" w:cs="Arial" w:eastAsia="Arial" w:hAnsi="Arial"/>
          <w:sz w:val="16"/>
          <w:szCs w:val="16"/>
          <w:color w:val="auto"/>
        </w:rPr>
        <w:t xml:space="preserve">”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2.11</w:t>
      </w:r>
      <w:r>
        <w:rPr>
          <w:rFonts w:ascii="Arial" w:cs="Arial" w:eastAsia="Arial" w:hAnsi="Arial"/>
          <w:sz w:val="16"/>
          <w:szCs w:val="16"/>
          <w:color w:val="auto"/>
        </w:rPr>
        <w:t>.</w:t>
      </w:r>
    </w:p>
    <w:p>
      <w:pPr>
        <w:spacing w:after="0" w:line="142" w:lineRule="exact"/>
        <w:rPr>
          <w:sz w:val="20"/>
          <w:szCs w:val="20"/>
          <w:color w:val="auto"/>
        </w:rPr>
      </w:pPr>
    </w:p>
    <w:p>
      <w:pPr>
        <w:ind w:right="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xml:space="preserve">” means, with respect to Securities of a particular series, any event specified in </w:t>
      </w:r>
      <w:r>
        <w:rPr>
          <w:rFonts w:ascii="Arial" w:cs="Arial" w:eastAsia="Arial" w:hAnsi="Arial"/>
          <w:sz w:val="18"/>
          <w:szCs w:val="18"/>
          <w:u w:val="single" w:color="auto"/>
          <w:color w:val="auto"/>
        </w:rPr>
        <w:t>Section 6.01</w:t>
      </w:r>
      <w:r>
        <w:rPr>
          <w:rFonts w:ascii="Arial" w:cs="Arial" w:eastAsia="Arial" w:hAnsi="Arial"/>
          <w:sz w:val="18"/>
          <w:szCs w:val="18"/>
          <w:color w:val="auto"/>
        </w:rPr>
        <w:t>, continued for the period of time, if any, therein designated.</w:t>
      </w:r>
    </w:p>
    <w:p>
      <w:pPr>
        <w:spacing w:after="0" w:line="162" w:lineRule="exact"/>
        <w:rPr>
          <w:sz w:val="20"/>
          <w:szCs w:val="20"/>
          <w:color w:val="auto"/>
        </w:rPr>
      </w:pPr>
    </w:p>
    <w:p>
      <w:pPr>
        <w:ind w:right="3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United States Securities and Exchange Act of 1934, as amended, and the rules and regulations promulgated by the Commission thereunder.</w:t>
      </w:r>
    </w:p>
    <w:p>
      <w:pPr>
        <w:spacing w:after="0" w:line="162"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Security</w:t>
      </w:r>
      <w:r>
        <w:rPr>
          <w:rFonts w:ascii="Arial" w:cs="Arial" w:eastAsia="Arial" w:hAnsi="Arial"/>
          <w:sz w:val="18"/>
          <w:szCs w:val="18"/>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49" w:name="page50"/>
    <w:bookmarkEnd w:id="49"/>
    <w:p>
      <w:pPr>
        <w:ind w:firstLine="44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Governmental Obligations</w:t>
      </w:r>
      <w:r>
        <w:rPr>
          <w:rFonts w:ascii="Arial" w:cs="Arial" w:eastAsia="Arial" w:hAnsi="Arial"/>
          <w:sz w:val="17"/>
          <w:szCs w:val="17"/>
          <w:color w:val="auto"/>
        </w:rPr>
        <w:t xml:space="preserve">”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applicable series of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(except as required by law) such custodian is not authorized to make any deduction from the amount payable to the holder of such</w:t>
      </w:r>
      <w:r>
        <w:rPr>
          <w:rFonts w:ascii="Arial" w:cs="Arial" w:eastAsia="Arial" w:hAnsi="Arial"/>
          <w:sz w:val="17"/>
          <w:szCs w:val="17"/>
          <w:i w:val="1"/>
          <w:iCs w:val="1"/>
          <w:color w:val="auto"/>
        </w:rPr>
        <w:t xml:space="preserve"> </w:t>
      </w:r>
      <w:r>
        <w:rPr>
          <w:rFonts w:ascii="Arial" w:cs="Arial" w:eastAsia="Arial" w:hAnsi="Arial"/>
          <w:sz w:val="17"/>
          <w:szCs w:val="17"/>
          <w:color w:val="auto"/>
        </w:rPr>
        <w:t>depositary receipt from any amount received by the custodian in respect of the Governmental Obligation or the specific payment of principal of or interest on the Governmental Obligation evidenced by such depositary receipt.</w:t>
      </w:r>
    </w:p>
    <w:p>
      <w:pPr>
        <w:spacing w:after="0" w:line="174" w:lineRule="exact"/>
        <w:rPr>
          <w:sz w:val="20"/>
          <w:szCs w:val="20"/>
          <w:color w:val="auto"/>
        </w:rPr>
      </w:pPr>
    </w:p>
    <w:p>
      <w:pPr>
        <w:ind w:right="5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herein</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hereof</w:t>
      </w:r>
      <w:r>
        <w:rPr>
          <w:rFonts w:ascii="Arial" w:cs="Arial" w:eastAsia="Arial" w:hAnsi="Arial"/>
          <w:sz w:val="18"/>
          <w:szCs w:val="18"/>
          <w:color w:val="auto"/>
        </w:rPr>
        <w:t>” and “</w:t>
      </w:r>
      <w:r>
        <w:rPr>
          <w:rFonts w:ascii="Arial" w:cs="Arial" w:eastAsia="Arial" w:hAnsi="Arial"/>
          <w:sz w:val="18"/>
          <w:szCs w:val="18"/>
          <w:b w:val="1"/>
          <w:bCs w:val="1"/>
          <w:color w:val="auto"/>
        </w:rPr>
        <w:t>hereunder</w:t>
      </w:r>
      <w:r>
        <w:rPr>
          <w:rFonts w:ascii="Arial" w:cs="Arial" w:eastAsia="Arial" w:hAnsi="Arial"/>
          <w:sz w:val="18"/>
          <w:szCs w:val="18"/>
          <w:color w:val="auto"/>
        </w:rPr>
        <w:t>”, and other words of similar import, refer to this Indenture as a whole and not to any particular Article, Section or other subdivision.</w:t>
      </w:r>
    </w:p>
    <w:p>
      <w:pPr>
        <w:spacing w:after="0" w:line="162" w:lineRule="exact"/>
        <w:rPr>
          <w:sz w:val="20"/>
          <w:szCs w:val="20"/>
          <w:color w:val="auto"/>
        </w:rPr>
      </w:pPr>
    </w:p>
    <w:p>
      <w:pPr>
        <w:ind w:right="10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xml:space="preserve">”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76" w:lineRule="exact"/>
        <w:rPr>
          <w:sz w:val="20"/>
          <w:szCs w:val="20"/>
          <w:color w:val="auto"/>
        </w:rPr>
      </w:pPr>
    </w:p>
    <w:p>
      <w:pPr>
        <w:jc w:val="both"/>
        <w:ind w:right="24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76" w:lineRule="exact"/>
        <w:rPr>
          <w:sz w:val="20"/>
          <w:szCs w:val="20"/>
          <w:color w:val="auto"/>
        </w:rPr>
      </w:pPr>
    </w:p>
    <w:p>
      <w:pPr>
        <w:ind w:right="1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76" w:lineRule="exact"/>
        <w:rPr>
          <w:sz w:val="20"/>
          <w:szCs w:val="20"/>
          <w:color w:val="auto"/>
        </w:rPr>
      </w:pPr>
    </w:p>
    <w:p>
      <w:pPr>
        <w:ind w:right="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xml:space="preserve">” means a certificate signed by any Officer. Each such certificate shall include the statements provided for in </w:t>
      </w:r>
      <w:r>
        <w:rPr>
          <w:rFonts w:ascii="Arial" w:cs="Arial" w:eastAsia="Arial" w:hAnsi="Arial"/>
          <w:sz w:val="18"/>
          <w:szCs w:val="18"/>
          <w:u w:val="single" w:color="auto"/>
          <w:color w:val="auto"/>
        </w:rPr>
        <w:t>Section 13.07</w:t>
      </w:r>
      <w:r>
        <w:rPr>
          <w:rFonts w:ascii="Arial" w:cs="Arial" w:eastAsia="Arial" w:hAnsi="Arial"/>
          <w:sz w:val="18"/>
          <w:szCs w:val="18"/>
          <w:color w:val="auto"/>
        </w:rPr>
        <w:t>, if and to the extent required by the provisions thereof.</w:t>
      </w:r>
    </w:p>
    <w:p>
      <w:pPr>
        <w:spacing w:after="0" w:line="162" w:lineRule="exact"/>
        <w:rPr>
          <w:sz w:val="20"/>
          <w:szCs w:val="20"/>
          <w:color w:val="auto"/>
        </w:rPr>
      </w:pPr>
    </w:p>
    <w:p>
      <w:pPr>
        <w:ind w:right="14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xml:space="preserve">” means an opinion in writing subject to customary exceptions of legal counsel, who may be an employee of or counsel for the Company, that is delivered to the Trustee in accordance with the terms hereof. Each such opinion shall include the statements provided for in </w:t>
      </w:r>
      <w:r>
        <w:rPr>
          <w:rFonts w:ascii="Arial" w:cs="Arial" w:eastAsia="Arial" w:hAnsi="Arial"/>
          <w:sz w:val="18"/>
          <w:szCs w:val="18"/>
          <w:u w:val="single" w:color="auto"/>
          <w:color w:val="auto"/>
        </w:rPr>
        <w:t>Section 13.07</w:t>
      </w:r>
      <w:r>
        <w:rPr>
          <w:rFonts w:ascii="Arial" w:cs="Arial" w:eastAsia="Arial" w:hAnsi="Arial"/>
          <w:sz w:val="18"/>
          <w:szCs w:val="18"/>
          <w:color w:val="auto"/>
        </w:rPr>
        <w:t>, if and to the extent required by the provisions thereof.</w:t>
      </w:r>
    </w:p>
    <w:p>
      <w:pPr>
        <w:spacing w:after="0" w:line="176" w:lineRule="exact"/>
        <w:rPr>
          <w:sz w:val="20"/>
          <w:szCs w:val="20"/>
          <w:color w:val="auto"/>
        </w:rPr>
      </w:pPr>
    </w:p>
    <w:p>
      <w:pPr>
        <w:jc w:val="both"/>
        <w:ind w:right="1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w:t>
      </w:r>
      <w:r>
        <w:rPr>
          <w:rFonts w:ascii="Arial" w:cs="Arial" w:eastAsia="Arial" w:hAnsi="Arial"/>
          <w:sz w:val="18"/>
          <w:szCs w:val="18"/>
          <w:color w:val="auto"/>
        </w:rPr>
        <w:t xml:space="preserve">”, when used with reference to Securities of any series, means, subject to the provisions of </w:t>
      </w:r>
      <w:r>
        <w:rPr>
          <w:rFonts w:ascii="Arial" w:cs="Arial" w:eastAsia="Arial" w:hAnsi="Arial"/>
          <w:sz w:val="18"/>
          <w:szCs w:val="18"/>
          <w:u w:val="single" w:color="auto"/>
          <w:color w:val="auto"/>
        </w:rPr>
        <w:t>Section 8.04</w:t>
      </w:r>
      <w:r>
        <w:rPr>
          <w:rFonts w:ascii="Arial" w:cs="Arial" w:eastAsia="Arial" w:hAnsi="Arial"/>
          <w:sz w:val="18"/>
          <w:szCs w:val="18"/>
          <w:color w:val="auto"/>
        </w:rPr>
        <w:t>, as of any particular time, all Securities of that series theretofore authenticated and delivered by the Trustee under this Indenture, except (a) Securities theretofore canceled by the Trustee or any paying agent, or delivered to the Trustee or any paying agent for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50" w:name="page51"/>
    <w:bookmarkEnd w:id="50"/>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such Securities or portions of such Securities are to be redeemed prior to the maturity thereof, notice of such redemption shall have been given as provided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or provision satisfactory to the Trustee shall have been made for giving such notice; and (c) Securities in lieu of or in substitution for which other Securities shall have been authenticated and delivered pursuant to the terms of </w:t>
      </w:r>
      <w:r>
        <w:rPr>
          <w:rFonts w:ascii="Arial" w:cs="Arial" w:eastAsia="Arial" w:hAnsi="Arial"/>
          <w:sz w:val="17"/>
          <w:szCs w:val="17"/>
          <w:u w:val="single" w:color="auto"/>
          <w:color w:val="auto"/>
        </w:rPr>
        <w:t>Section 2.07</w:t>
      </w:r>
      <w:r>
        <w:rPr>
          <w:rFonts w:ascii="Arial" w:cs="Arial" w:eastAsia="Arial" w:hAnsi="Arial"/>
          <w:sz w:val="17"/>
          <w:szCs w:val="17"/>
          <w:color w:val="auto"/>
        </w:rPr>
        <w:t>.</w:t>
      </w:r>
    </w:p>
    <w:p>
      <w:pPr>
        <w:spacing w:after="0" w:line="174" w:lineRule="exact"/>
        <w:rPr>
          <w:sz w:val="20"/>
          <w:szCs w:val="20"/>
          <w:color w:val="auto"/>
        </w:rPr>
      </w:pPr>
    </w:p>
    <w:p>
      <w:pPr>
        <w:jc w:val="center"/>
        <w:ind w:right="2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16" w:lineRule="exact"/>
        <w:rPr>
          <w:sz w:val="20"/>
          <w:szCs w:val="20"/>
          <w:color w:val="auto"/>
        </w:rPr>
      </w:pPr>
    </w:p>
    <w:p>
      <w:pPr>
        <w:ind w:right="220" w:firstLine="44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Predecessor Security</w:t>
      </w:r>
      <w:r>
        <w:rPr>
          <w:rFonts w:ascii="Arial" w:cs="Arial" w:eastAsia="Arial" w:hAnsi="Arial"/>
          <w:sz w:val="17"/>
          <w:szCs w:val="17"/>
          <w:color w:val="auto"/>
        </w:rPr>
        <w:t xml:space="preserve">” of any particular Security means every previous Security evidencing all or a portion of the same debt as that evidenced by such particular Security; and, for the purposes of this definition, any Security authenticated and delivered under </w:t>
      </w:r>
      <w:r>
        <w:rPr>
          <w:rFonts w:ascii="Arial" w:cs="Arial" w:eastAsia="Arial" w:hAnsi="Arial"/>
          <w:sz w:val="17"/>
          <w:szCs w:val="17"/>
          <w:u w:val="single" w:color="auto"/>
          <w:color w:val="auto"/>
        </w:rPr>
        <w:t>Section 2.07</w:t>
      </w:r>
      <w:r>
        <w:rPr>
          <w:rFonts w:ascii="Arial" w:cs="Arial" w:eastAsia="Arial" w:hAnsi="Arial"/>
          <w:sz w:val="17"/>
          <w:szCs w:val="17"/>
          <w:color w:val="auto"/>
        </w:rPr>
        <w:t xml:space="preserve"> in lieu of a lost, destroyed or stolen Security shall be deemed to evidence the same debt as the lost, destroyed or stolen Security.</w:t>
      </w:r>
    </w:p>
    <w:p>
      <w:pPr>
        <w:spacing w:after="0" w:line="158" w:lineRule="exact"/>
        <w:rPr>
          <w:sz w:val="20"/>
          <w:szCs w:val="20"/>
          <w:color w:val="auto"/>
        </w:rPr>
      </w:pPr>
    </w:p>
    <w:p>
      <w:pPr>
        <w:ind w:right="120"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when used with respect to the Trustee means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in each case, who shall have direct responsibility for the administration of this Indenture (which, for the avoidance of doubt, includes without limitation any supplemental indenture hereto).</w:t>
      </w:r>
    </w:p>
    <w:p>
      <w:pPr>
        <w:spacing w:after="0" w:line="188" w:lineRule="exact"/>
        <w:rPr>
          <w:sz w:val="20"/>
          <w:szCs w:val="20"/>
          <w:color w:val="auto"/>
        </w:rPr>
      </w:pPr>
    </w:p>
    <w:p>
      <w:pPr>
        <w:ind w:right="2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w:t>
      </w:r>
      <w:r>
        <w:rPr>
          <w:rFonts w:ascii="Arial" w:cs="Arial" w:eastAsia="Arial" w:hAnsi="Arial"/>
          <w:sz w:val="18"/>
          <w:szCs w:val="18"/>
          <w:color w:val="auto"/>
        </w:rPr>
        <w:t>” has the meaning stated in the first recital of this Indenture and more particularly means any Securities authenticated and delivered under this Indenture.</w:t>
      </w:r>
    </w:p>
    <w:p>
      <w:pPr>
        <w:spacing w:after="0" w:line="162" w:lineRule="exact"/>
        <w:rPr>
          <w:sz w:val="20"/>
          <w:szCs w:val="20"/>
          <w:color w:val="auto"/>
        </w:rPr>
      </w:pPr>
    </w:p>
    <w:p>
      <w:pPr>
        <w:ind w:right="56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Securityholder</w:t>
      </w:r>
      <w:r>
        <w:rPr>
          <w:rFonts w:ascii="Arial" w:cs="Arial" w:eastAsia="Arial" w:hAnsi="Arial"/>
          <w:sz w:val="17"/>
          <w:szCs w:val="17"/>
          <w:color w:val="auto"/>
        </w:rPr>
        <w:t>”, “</w:t>
      </w:r>
      <w:r>
        <w:rPr>
          <w:rFonts w:ascii="Arial" w:cs="Arial" w:eastAsia="Arial" w:hAnsi="Arial"/>
          <w:sz w:val="17"/>
          <w:szCs w:val="17"/>
          <w:b w:val="1"/>
          <w:bCs w:val="1"/>
          <w:color w:val="auto"/>
        </w:rPr>
        <w:t>holder</w:t>
      </w:r>
      <w:r>
        <w:rPr>
          <w:rFonts w:ascii="Arial" w:cs="Arial" w:eastAsia="Arial" w:hAnsi="Arial"/>
          <w:sz w:val="17"/>
          <w:szCs w:val="17"/>
          <w:color w:val="auto"/>
        </w:rPr>
        <w:t>”, “</w:t>
      </w:r>
      <w:r>
        <w:rPr>
          <w:rFonts w:ascii="Arial" w:cs="Arial" w:eastAsia="Arial" w:hAnsi="Arial"/>
          <w:sz w:val="17"/>
          <w:szCs w:val="17"/>
          <w:b w:val="1"/>
          <w:bCs w:val="1"/>
          <w:color w:val="auto"/>
        </w:rPr>
        <w:t>registered holder</w:t>
      </w:r>
      <w:r>
        <w:rPr>
          <w:rFonts w:ascii="Arial" w:cs="Arial" w:eastAsia="Arial" w:hAnsi="Arial"/>
          <w:sz w:val="17"/>
          <w:szCs w:val="17"/>
          <w:color w:val="auto"/>
        </w:rPr>
        <w:t>”, or other similar term, means the Person or Persons in whose name or names a particular Security is registered on the Security Register kept for that purpose in accordance with the terms of this Indenture</w:t>
      </w:r>
      <w:r>
        <w:rPr>
          <w:rFonts w:ascii="Arial" w:cs="Arial" w:eastAsia="Arial" w:hAnsi="Arial"/>
          <w:sz w:val="17"/>
          <w:szCs w:val="17"/>
          <w:b w:val="1"/>
          <w:bCs w:val="1"/>
          <w:color w:val="auto"/>
        </w:rPr>
        <w:t>.</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Register</w:t>
      </w:r>
      <w:r>
        <w:rPr>
          <w:rFonts w:ascii="Arial" w:cs="Arial" w:eastAsia="Arial" w:hAnsi="Arial"/>
          <w:sz w:val="18"/>
          <w:szCs w:val="18"/>
          <w:color w:val="auto"/>
        </w:rPr>
        <w:t>” and “</w:t>
      </w:r>
      <w:r>
        <w:rPr>
          <w:rFonts w:ascii="Arial" w:cs="Arial" w:eastAsia="Arial" w:hAnsi="Arial"/>
          <w:sz w:val="18"/>
          <w:szCs w:val="18"/>
          <w:b w:val="1"/>
          <w:bCs w:val="1"/>
          <w:color w:val="auto"/>
        </w:rPr>
        <w:t>Security Registrar</w:t>
      </w:r>
      <w:r>
        <w:rPr>
          <w:rFonts w:ascii="Arial" w:cs="Arial" w:eastAsia="Arial" w:hAnsi="Arial"/>
          <w:sz w:val="18"/>
          <w:szCs w:val="18"/>
          <w:color w:val="auto"/>
        </w:rPr>
        <w:t xml:space="preserve">” shall have the meanings as set forth in </w:t>
      </w:r>
      <w:r>
        <w:rPr>
          <w:rFonts w:ascii="Arial" w:cs="Arial" w:eastAsia="Arial" w:hAnsi="Arial"/>
          <w:sz w:val="18"/>
          <w:szCs w:val="18"/>
          <w:u w:val="single" w:color="auto"/>
          <w:color w:val="auto"/>
        </w:rPr>
        <w:t>Section 2.05</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w:t>
      </w:r>
    </w:p>
    <w:p>
      <w:pPr>
        <w:spacing w:after="0" w:line="121" w:lineRule="exact"/>
        <w:rPr>
          <w:sz w:val="20"/>
          <w:szCs w:val="20"/>
          <w:color w:val="auto"/>
        </w:rPr>
      </w:pPr>
    </w:p>
    <w:p>
      <w:pPr>
        <w:ind w:left="440" w:right="180" w:firstLine="428"/>
        <w:spacing w:after="0" w:line="264" w:lineRule="auto"/>
        <w:tabs>
          <w:tab w:leader="none" w:pos="1118"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corporation or company a majority of whose capital stock with voting power, under ordinary circumstances, to elect directors is, at the date of determination, directly or indirectly, owned by such Person (a “</w:t>
      </w:r>
      <w:r>
        <w:rPr>
          <w:rFonts w:ascii="Arial" w:cs="Arial" w:eastAsia="Arial" w:hAnsi="Arial"/>
          <w:sz w:val="18"/>
          <w:szCs w:val="18"/>
          <w:b w:val="1"/>
          <w:bCs w:val="1"/>
          <w:color w:val="auto"/>
        </w:rPr>
        <w:t>subsidiary</w:t>
      </w:r>
      <w:r>
        <w:rPr>
          <w:rFonts w:ascii="Arial" w:cs="Arial" w:eastAsia="Arial" w:hAnsi="Arial"/>
          <w:sz w:val="18"/>
          <w:szCs w:val="18"/>
          <w:color w:val="auto"/>
        </w:rPr>
        <w:t>”), by one or more subsidiaries of such Person or by such Person and one or more subsidiaries of such Person;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51" w:name="page52"/>
    <w:bookmarkEnd w:id="51"/>
    <w:p>
      <w:pPr>
        <w:ind w:left="8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 a partnership in which such Person or a subsidiary of such Person is, at the date of determination, a general partner of such partnership;</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or</w:t>
      </w:r>
    </w:p>
    <w:p>
      <w:pPr>
        <w:spacing w:after="0" w:line="103" w:lineRule="exact"/>
        <w:rPr>
          <w:sz w:val="20"/>
          <w:szCs w:val="20"/>
          <w:color w:val="auto"/>
        </w:rPr>
      </w:pPr>
    </w:p>
    <w:p>
      <w:pPr>
        <w:ind w:left="440" w:right="160" w:firstLine="428"/>
        <w:spacing w:after="0" w:line="259" w:lineRule="auto"/>
        <w:tabs>
          <w:tab w:leader="none" w:pos="1118"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partnership, limited liability company or other Person in which such Person, a subsidiary of such Person or such Person and one or more subsidiaries of such Person, directly or indirectly, at the date of determination, have (x) at least a majority ownership interest or (y) the power to elect or appoint or direct the election or appointment of the managing partner or member of such Person or, if applicable, a majority of the directors or other governing body of such Person.</w:t>
      </w:r>
    </w:p>
    <w:p>
      <w:pPr>
        <w:spacing w:after="0" w:line="183" w:lineRule="exact"/>
        <w:rPr>
          <w:sz w:val="20"/>
          <w:szCs w:val="20"/>
          <w:color w:val="auto"/>
        </w:rPr>
      </w:pPr>
    </w:p>
    <w:p>
      <w:pPr>
        <w:ind w:right="4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xml:space="preserve">” means , and, subject to the provisions of </w:t>
      </w:r>
      <w:r>
        <w:rPr>
          <w:rFonts w:ascii="Arial" w:cs="Arial" w:eastAsia="Arial" w:hAnsi="Arial"/>
          <w:sz w:val="18"/>
          <w:szCs w:val="18"/>
          <w:u w:val="single" w:color="auto"/>
          <w:color w:val="auto"/>
        </w:rPr>
        <w:t>Article 7</w:t>
      </w:r>
      <w:r>
        <w:rPr>
          <w:rFonts w:ascii="Arial" w:cs="Arial" w:eastAsia="Arial" w:hAnsi="Arial"/>
          <w:sz w:val="18"/>
          <w:szCs w:val="18"/>
          <w:color w:val="auto"/>
        </w:rPr>
        <w:t>,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means the Trust Indenture Act of 1939, as amended and in effect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dollar</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lawful currency of the United States of America.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 DESCRIPTION, TERMS, EXECUTION, REGISTRATION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EXCHANGE OF SECURITIES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Designation and Terms of Securities</w:t>
      </w:r>
      <w:r>
        <w:rPr>
          <w:rFonts w:ascii="Arial" w:cs="Arial" w:eastAsia="Arial" w:hAnsi="Arial"/>
          <w:sz w:val="18"/>
          <w:szCs w:val="18"/>
          <w:color w:val="auto"/>
        </w:rPr>
        <w:t>.</w:t>
      </w:r>
    </w:p>
    <w:p>
      <w:pPr>
        <w:spacing w:after="0" w:line="117" w:lineRule="exact"/>
        <w:rPr>
          <w:sz w:val="20"/>
          <w:szCs w:val="20"/>
          <w:color w:val="auto"/>
        </w:rPr>
      </w:pPr>
    </w:p>
    <w:p>
      <w:pPr>
        <w:ind w:right="60" w:firstLine="444"/>
        <w:spacing w:after="0" w:line="302" w:lineRule="auto"/>
        <w:tabs>
          <w:tab w:leader="none" w:pos="685"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46" w:lineRule="exact"/>
        <w:rPr>
          <w:rFonts w:ascii="Arial" w:cs="Arial" w:eastAsia="Arial" w:hAnsi="Arial"/>
          <w:sz w:val="16"/>
          <w:szCs w:val="16"/>
          <w:color w:val="auto"/>
        </w:rPr>
      </w:pPr>
    </w:p>
    <w:p>
      <w:pPr>
        <w:ind w:left="1660" w:hanging="263"/>
        <w:spacing w:after="0"/>
        <w:tabs>
          <w:tab w:leader="none" w:pos="1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title of the Securities of the series (which shall distinguish the Securities of that series from all other Securities);</w:t>
      </w:r>
    </w:p>
    <w:p>
      <w:pPr>
        <w:spacing w:after="0" w:line="117" w:lineRule="exact"/>
        <w:rPr>
          <w:rFonts w:ascii="Arial" w:cs="Arial" w:eastAsia="Arial" w:hAnsi="Arial"/>
          <w:sz w:val="18"/>
          <w:szCs w:val="18"/>
          <w:color w:val="auto"/>
        </w:rPr>
      </w:pPr>
    </w:p>
    <w:p>
      <w:pPr>
        <w:ind w:left="440" w:firstLine="957"/>
        <w:spacing w:after="0" w:line="264" w:lineRule="auto"/>
        <w:tabs>
          <w:tab w:leader="none" w:pos="1647"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that series which may be authenticated and delivered under this Indenture (except for Securities authenticated and delivered upon registration of transfer of, or in exchange for, or in lieu of, other Securities of that series);</w:t>
      </w:r>
    </w:p>
    <w:p>
      <w:pPr>
        <w:spacing w:after="0" w:line="73" w:lineRule="exact"/>
        <w:rPr>
          <w:rFonts w:ascii="Arial" w:cs="Arial" w:eastAsia="Arial" w:hAnsi="Arial"/>
          <w:sz w:val="18"/>
          <w:szCs w:val="18"/>
          <w:color w:val="auto"/>
        </w:rPr>
      </w:pPr>
    </w:p>
    <w:p>
      <w:pPr>
        <w:ind w:left="1660" w:hanging="263"/>
        <w:spacing w:after="0"/>
        <w:tabs>
          <w:tab w:leader="none" w:pos="1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17" w:lineRule="exact"/>
        <w:rPr>
          <w:rFonts w:ascii="Arial" w:cs="Arial" w:eastAsia="Arial" w:hAnsi="Arial"/>
          <w:sz w:val="18"/>
          <w:szCs w:val="18"/>
          <w:color w:val="auto"/>
        </w:rPr>
      </w:pPr>
    </w:p>
    <w:p>
      <w:pPr>
        <w:ind w:left="440" w:firstLine="957"/>
        <w:spacing w:after="0" w:line="259" w:lineRule="auto"/>
        <w:tabs>
          <w:tab w:leader="none" w:pos="1647" w:val="left"/>
        </w:tabs>
        <w:numPr>
          <w:ilvl w:val="1"/>
          <w:numId w:val="45"/>
        </w:numPr>
        <w:rPr>
          <w:rFonts w:ascii="Arial" w:cs="Arial" w:eastAsia="Arial" w:hAnsi="Arial"/>
          <w:sz w:val="18"/>
          <w:szCs w:val="18"/>
          <w:color w:val="auto"/>
        </w:rPr>
      </w:pPr>
      <w:r>
        <w:rPr>
          <w:rFonts w:ascii="Arial" w:cs="Arial" w:eastAsia="Arial" w:hAnsi="Arial"/>
          <w:sz w:val="18"/>
          <w:szCs w:val="18"/>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52" w:name="page53"/>
    <w:bookmarkEnd w:id="52"/>
    <w:p>
      <w:pPr>
        <w:ind w:left="1220" w:hanging="263"/>
        <w:spacing w:after="0"/>
        <w:tabs>
          <w:tab w:leader="none" w:pos="1220" w:val="left"/>
        </w:tabs>
        <w:numPr>
          <w:ilvl w:val="0"/>
          <w:numId w:val="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rate or rates at which the Securities of the series shall bear interest or the manner of calculation of such rate or rates, if any;</w:t>
      </w:r>
    </w:p>
    <w:p>
      <w:pPr>
        <w:spacing w:after="0" w:line="140" w:lineRule="exact"/>
        <w:rPr>
          <w:rFonts w:ascii="Arial" w:cs="Arial" w:eastAsia="Arial" w:hAnsi="Arial"/>
          <w:sz w:val="16"/>
          <w:szCs w:val="16"/>
          <w:color w:val="auto"/>
        </w:rPr>
      </w:pPr>
    </w:p>
    <w:p>
      <w:pPr>
        <w:ind w:right="180" w:firstLine="957"/>
        <w:spacing w:after="0" w:line="286" w:lineRule="auto"/>
        <w:tabs>
          <w:tab w:leader="none" w:pos="1207"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57" w:lineRule="exact"/>
        <w:rPr>
          <w:rFonts w:ascii="Arial" w:cs="Arial" w:eastAsia="Arial" w:hAnsi="Arial"/>
          <w:sz w:val="17"/>
          <w:szCs w:val="17"/>
          <w:color w:val="auto"/>
        </w:rPr>
      </w:pPr>
    </w:p>
    <w:p>
      <w:pPr>
        <w:ind w:left="1220" w:hanging="263"/>
        <w:spacing w:after="0"/>
        <w:tabs>
          <w:tab w:leader="none" w:pos="12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such extension;</w:t>
      </w:r>
    </w:p>
    <w:p>
      <w:pPr>
        <w:spacing w:after="0" w:line="117" w:lineRule="exact"/>
        <w:rPr>
          <w:rFonts w:ascii="Arial" w:cs="Arial" w:eastAsia="Arial" w:hAnsi="Arial"/>
          <w:sz w:val="18"/>
          <w:szCs w:val="18"/>
          <w:color w:val="auto"/>
        </w:rPr>
      </w:pPr>
    </w:p>
    <w:p>
      <w:pPr>
        <w:ind w:right="160" w:firstLine="957"/>
        <w:spacing w:after="0" w:line="277" w:lineRule="auto"/>
        <w:tabs>
          <w:tab w:leader="none" w:pos="120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Securities of the series may be redeemed, converted or exchanged, in whole or in part;</w:t>
      </w:r>
    </w:p>
    <w:p>
      <w:pPr>
        <w:spacing w:after="0" w:line="62" w:lineRule="exact"/>
        <w:rPr>
          <w:rFonts w:ascii="Arial" w:cs="Arial" w:eastAsia="Arial" w:hAnsi="Arial"/>
          <w:sz w:val="18"/>
          <w:szCs w:val="18"/>
          <w:color w:val="auto"/>
        </w:rPr>
      </w:pPr>
    </w:p>
    <w:p>
      <w:pPr>
        <w:jc w:val="both"/>
        <w:ind w:right="360" w:firstLine="957"/>
        <w:spacing w:after="0" w:line="279" w:lineRule="auto"/>
        <w:tabs>
          <w:tab w:leader="none" w:pos="1207"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63" w:lineRule="exact"/>
        <w:rPr>
          <w:rFonts w:ascii="Arial" w:cs="Arial" w:eastAsia="Arial" w:hAnsi="Arial"/>
          <w:sz w:val="17"/>
          <w:szCs w:val="17"/>
          <w:color w:val="auto"/>
        </w:rPr>
      </w:pPr>
    </w:p>
    <w:p>
      <w:pPr>
        <w:ind w:left="1300" w:hanging="343"/>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form of the Securities of the series including the form of the Certificate of Authentication for such series;</w:t>
      </w:r>
    </w:p>
    <w:p>
      <w:pPr>
        <w:spacing w:after="0" w:line="117" w:lineRule="exact"/>
        <w:rPr>
          <w:rFonts w:ascii="Arial" w:cs="Arial" w:eastAsia="Arial" w:hAnsi="Arial"/>
          <w:sz w:val="18"/>
          <w:szCs w:val="18"/>
          <w:color w:val="auto"/>
        </w:rPr>
      </w:pPr>
    </w:p>
    <w:p>
      <w:pPr>
        <w:ind w:right="460" w:firstLine="957"/>
        <w:spacing w:after="0" w:line="277" w:lineRule="auto"/>
        <w:tabs>
          <w:tab w:leader="none" w:pos="129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other than minimum denominations of one thousand U.S. dollars ($1,000) or any integral multiple of $1,000 thereof, the denominations in which the Securities of the series shall be issuable;</w:t>
      </w:r>
    </w:p>
    <w:p>
      <w:pPr>
        <w:spacing w:after="0" w:line="62" w:lineRule="exact"/>
        <w:rPr>
          <w:rFonts w:ascii="Arial" w:cs="Arial" w:eastAsia="Arial" w:hAnsi="Arial"/>
          <w:sz w:val="18"/>
          <w:szCs w:val="18"/>
          <w:color w:val="auto"/>
        </w:rPr>
      </w:pPr>
    </w:p>
    <w:p>
      <w:pPr>
        <w:ind w:right="100" w:firstLine="957"/>
        <w:spacing w:after="0" w:line="279" w:lineRule="auto"/>
        <w:tabs>
          <w:tab w:leader="none" w:pos="1297"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63" w:lineRule="exact"/>
        <w:rPr>
          <w:rFonts w:ascii="Arial" w:cs="Arial" w:eastAsia="Arial" w:hAnsi="Arial"/>
          <w:sz w:val="17"/>
          <w:szCs w:val="17"/>
          <w:color w:val="auto"/>
        </w:rPr>
      </w:pPr>
    </w:p>
    <w:p>
      <w:pPr>
        <w:ind w:firstLine="957"/>
        <w:spacing w:after="0" w:line="264" w:lineRule="auto"/>
        <w:tabs>
          <w:tab w:leader="none" w:pos="1297" w:val="left"/>
        </w:tabs>
        <w:numPr>
          <w:ilvl w:val="0"/>
          <w:numId w:val="46"/>
        </w:numPr>
        <w:rPr>
          <w:rFonts w:ascii="Arial" w:cs="Arial" w:eastAsia="Arial" w:hAnsi="Arial"/>
          <w:sz w:val="18"/>
          <w:szCs w:val="18"/>
          <w:color w:val="auto"/>
        </w:rPr>
      </w:pPr>
      <w:r>
        <w:rPr>
          <w:rFonts w:ascii="Arial" w:cs="Arial" w:eastAsia="Arial" w:hAnsi="Arial"/>
          <w:sz w:val="18"/>
          <w:szCs w:val="18"/>
          <w:color w:val="auto"/>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80"/>
          </w:cols>
          <w:pgMar w:left="880" w:top="274" w:right="439" w:bottom="1440" w:gutter="0" w:footer="0" w:header="0"/>
        </w:sectPr>
      </w:pPr>
    </w:p>
    <w:bookmarkStart w:id="53" w:name="page54"/>
    <w:bookmarkEnd w:id="53"/>
    <w:p>
      <w:pPr>
        <w:ind w:right="120" w:firstLine="957"/>
        <w:spacing w:after="0" w:line="302" w:lineRule="auto"/>
        <w:tabs>
          <w:tab w:leader="none" w:pos="1297" w:val="left"/>
        </w:tabs>
        <w:numPr>
          <w:ilvl w:val="0"/>
          <w:numId w:val="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whether the Securities will be convertible into or exchangeable for shares of common stock, preferred stock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spacing w:after="0" w:line="46" w:lineRule="exact"/>
        <w:rPr>
          <w:rFonts w:ascii="Arial" w:cs="Arial" w:eastAsia="Arial" w:hAnsi="Arial"/>
          <w:sz w:val="16"/>
          <w:szCs w:val="16"/>
          <w:color w:val="auto"/>
        </w:rPr>
      </w:pPr>
    </w:p>
    <w:p>
      <w:pPr>
        <w:ind w:right="400" w:firstLine="957"/>
        <w:spacing w:after="0" w:line="277" w:lineRule="auto"/>
        <w:tabs>
          <w:tab w:leader="none" w:pos="1297"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if other than the full principal amount thereof, the portion of the principal amount of Securities of the series which shall be payable upon declaration of acceleration of the maturity thereof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300" w:hanging="343"/>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additional or alternative Events of Default;</w:t>
      </w:r>
    </w:p>
    <w:p>
      <w:pPr>
        <w:spacing w:after="0" w:line="117" w:lineRule="exact"/>
        <w:rPr>
          <w:rFonts w:ascii="Arial" w:cs="Arial" w:eastAsia="Arial" w:hAnsi="Arial"/>
          <w:sz w:val="18"/>
          <w:szCs w:val="18"/>
          <w:color w:val="auto"/>
        </w:rPr>
      </w:pPr>
    </w:p>
    <w:p>
      <w:pPr>
        <w:ind w:right="100" w:firstLine="957"/>
        <w:spacing w:after="0" w:line="271" w:lineRule="auto"/>
        <w:tabs>
          <w:tab w:leader="none" w:pos="1297" w:val="left"/>
        </w:tabs>
        <w:numPr>
          <w:ilvl w:val="0"/>
          <w:numId w:val="47"/>
        </w:numPr>
        <w:rPr>
          <w:rFonts w:ascii="Arial" w:cs="Arial" w:eastAsia="Arial" w:hAnsi="Arial"/>
          <w:sz w:val="17"/>
          <w:szCs w:val="17"/>
          <w:color w:val="auto"/>
        </w:rPr>
      </w:pPr>
      <w:r>
        <w:rPr>
          <w:rFonts w:ascii="Arial" w:cs="Arial" w:eastAsia="Arial" w:hAnsi="Arial"/>
          <w:sz w:val="17"/>
          <w:szCs w:val="17"/>
          <w:color w:val="auto"/>
        </w:rPr>
        <w:t>additional or alternative covenants (which may include, among other restrictions, restrictions on the Company’s ability or the ability of the Company’s Subsidiaries to: incur additional indebtedness; issue additional securities; create liens; pay dividends or make distributions in respect of the capital stock of the Company or the Company’s Subsidiaries; redeem capital stock; place restrictions on the Company’s Subsidiaries’ ability to pay dividends, make distributions or transfer assets; make investments or other restricted payments; sell or otherwise dispose of assets; enter into sale-leaseback transactions; engage in transactions with stockholders or affiliates; issue or sell stock of the Company’s Subsidiaries; or effect a consolidation or merger) or financial covenants (which may include, among other financial covenants, financial covenants that require the Company and its Subsidiaries to maintain specified interest coverage, fixed charge, cash flow-based, asset-based or other financial ratios) provided for with respect to the Securities of the series;</w:t>
      </w:r>
    </w:p>
    <w:p>
      <w:pPr>
        <w:spacing w:after="0" w:line="70" w:lineRule="exact"/>
        <w:rPr>
          <w:rFonts w:ascii="Arial" w:cs="Arial" w:eastAsia="Arial" w:hAnsi="Arial"/>
          <w:sz w:val="17"/>
          <w:szCs w:val="17"/>
          <w:color w:val="auto"/>
        </w:rPr>
      </w:pPr>
    </w:p>
    <w:p>
      <w:pPr>
        <w:ind w:right="120" w:firstLine="957"/>
        <w:spacing w:after="0" w:line="312" w:lineRule="auto"/>
        <w:tabs>
          <w:tab w:leader="none" w:pos="1297"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currency or currencies, including composite currencies, in which payment of the principal of (and premium, if any) and interest, if any, on such Securities shall be payable (if other than the currency of the United States of America), which unless otherwise specified shall be the currency of the United States of America as at the time of payment is legal tender for payment of public or private debts;</w:t>
      </w:r>
    </w:p>
    <w:p>
      <w:pPr>
        <w:spacing w:after="0" w:line="38" w:lineRule="exact"/>
        <w:rPr>
          <w:rFonts w:ascii="Arial" w:cs="Arial" w:eastAsia="Arial" w:hAnsi="Arial"/>
          <w:sz w:val="16"/>
          <w:szCs w:val="16"/>
          <w:color w:val="auto"/>
        </w:rPr>
      </w:pPr>
    </w:p>
    <w:p>
      <w:pPr>
        <w:jc w:val="both"/>
        <w:ind w:firstLine="957"/>
        <w:spacing w:after="0" w:line="264" w:lineRule="auto"/>
        <w:tabs>
          <w:tab w:leader="none" w:pos="1297"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the principal of (and premium, if any) or interest, if any, on such Securities is to be payable, at the election of the Company or any holder thereof, in a coin or currency other than that in which such Securities are stated to be payable, then the period or periods within which, and the terms and conditions upon which, such election may be made;</w:t>
      </w:r>
    </w:p>
    <w:p>
      <w:pPr>
        <w:spacing w:after="0" w:line="73" w:lineRule="exact"/>
        <w:rPr>
          <w:rFonts w:ascii="Arial" w:cs="Arial" w:eastAsia="Arial" w:hAnsi="Arial"/>
          <w:sz w:val="18"/>
          <w:szCs w:val="18"/>
          <w:color w:val="auto"/>
        </w:rPr>
      </w:pPr>
    </w:p>
    <w:p>
      <w:pPr>
        <w:ind w:right="140" w:firstLine="957"/>
        <w:spacing w:after="0" w:line="277" w:lineRule="auto"/>
        <w:tabs>
          <w:tab w:leader="none" w:pos="1297"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interest will be payable in cash or additional Securities at the Company’s or the Securityholders’ option and the terms and conditions upon which the election may be made;</w:t>
      </w:r>
    </w:p>
    <w:p>
      <w:pPr>
        <w:spacing w:after="0" w:line="62" w:lineRule="exact"/>
        <w:rPr>
          <w:rFonts w:ascii="Arial" w:cs="Arial" w:eastAsia="Arial" w:hAnsi="Arial"/>
          <w:sz w:val="18"/>
          <w:szCs w:val="18"/>
          <w:color w:val="auto"/>
        </w:rPr>
      </w:pPr>
    </w:p>
    <w:p>
      <w:pPr>
        <w:ind w:right="120" w:firstLine="957"/>
        <w:spacing w:after="0" w:line="342" w:lineRule="auto"/>
        <w:tabs>
          <w:tab w:leader="none" w:pos="1297"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5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20"/>
          </w:cols>
          <w:pgMar w:left="880" w:top="274" w:right="499" w:bottom="1440" w:gutter="0" w:footer="0" w:header="0"/>
        </w:sectPr>
      </w:pPr>
    </w:p>
    <w:bookmarkStart w:id="54" w:name="page55"/>
    <w:bookmarkEnd w:id="54"/>
    <w:p>
      <w:pPr>
        <w:ind w:left="1740" w:hanging="343"/>
        <w:spacing w:after="0"/>
        <w:tabs>
          <w:tab w:leader="none" w:pos="1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or alternative provisions, if any, related to defeasance and discharge of the offered Securities;</w:t>
      </w:r>
    </w:p>
    <w:p>
      <w:pPr>
        <w:spacing w:after="0" w:line="117" w:lineRule="exact"/>
        <w:rPr>
          <w:rFonts w:ascii="Arial" w:cs="Arial" w:eastAsia="Arial" w:hAnsi="Arial"/>
          <w:sz w:val="18"/>
          <w:szCs w:val="18"/>
          <w:color w:val="auto"/>
        </w:rPr>
      </w:pPr>
    </w:p>
    <w:p>
      <w:pPr>
        <w:ind w:left="1740" w:hanging="343"/>
        <w:spacing w:after="0"/>
        <w:tabs>
          <w:tab w:leader="none" w:pos="1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applicability of any guarantees;</w:t>
      </w:r>
    </w:p>
    <w:p>
      <w:pPr>
        <w:spacing w:after="0" w:line="117" w:lineRule="exact"/>
        <w:rPr>
          <w:rFonts w:ascii="Arial" w:cs="Arial" w:eastAsia="Arial" w:hAnsi="Arial"/>
          <w:sz w:val="18"/>
          <w:szCs w:val="18"/>
          <w:color w:val="auto"/>
        </w:rPr>
      </w:pPr>
    </w:p>
    <w:p>
      <w:pPr>
        <w:ind w:left="1740" w:hanging="343"/>
        <w:spacing w:after="0"/>
        <w:tabs>
          <w:tab w:leader="none" w:pos="1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restrictions on transfer, sale or assignment of the Securities of the series; and</w:t>
      </w:r>
    </w:p>
    <w:p>
      <w:pPr>
        <w:spacing w:after="0" w:line="117" w:lineRule="exact"/>
        <w:rPr>
          <w:rFonts w:ascii="Arial" w:cs="Arial" w:eastAsia="Arial" w:hAnsi="Arial"/>
          <w:sz w:val="18"/>
          <w:szCs w:val="18"/>
          <w:color w:val="auto"/>
        </w:rPr>
      </w:pPr>
    </w:p>
    <w:p>
      <w:pPr>
        <w:ind w:left="1740" w:hanging="343"/>
        <w:spacing w:after="0"/>
        <w:tabs>
          <w:tab w:leader="none" w:pos="17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other terms of the series.</w:t>
      </w:r>
    </w:p>
    <w:p>
      <w:pPr>
        <w:spacing w:after="0" w:line="225"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All Securities of any one series shall be substantially identical except as may otherwise be provided in or pursuant to any such Board Resolution or in any indentures supplemental hereto.</w:t>
      </w:r>
    </w:p>
    <w:p>
      <w:pPr>
        <w:spacing w:after="0" w:line="170"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81" w:lineRule="exact"/>
        <w:rPr>
          <w:sz w:val="20"/>
          <w:szCs w:val="20"/>
          <w:color w:val="auto"/>
        </w:rPr>
      </w:pPr>
    </w:p>
    <w:p>
      <w:pPr>
        <w:jc w:val="both"/>
        <w:ind w:right="280" w:firstLine="441"/>
        <w:spacing w:after="0" w:line="264" w:lineRule="auto"/>
        <w:rPr>
          <w:sz w:val="20"/>
          <w:szCs w:val="20"/>
          <w:color w:val="auto"/>
        </w:rPr>
      </w:pPr>
      <w:r>
        <w:rPr>
          <w:rFonts w:ascii="Arial" w:cs="Arial" w:eastAsia="Arial" w:hAnsi="Arial"/>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Form of Securities and Trustee’s Certificate</w:t>
      </w:r>
      <w:r>
        <w:rPr>
          <w:rFonts w:ascii="Arial" w:cs="Arial" w:eastAsia="Arial" w:hAnsi="Arial"/>
          <w:sz w:val="18"/>
          <w:szCs w:val="18"/>
          <w:color w:val="auto"/>
        </w:rPr>
        <w:t>.</w:t>
      </w:r>
    </w:p>
    <w:p>
      <w:pPr>
        <w:spacing w:after="0" w:line="117"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Denominations: Provisions for Payment</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 xml:space="preserve">The Securities shall be issuable as registered Securities and in the minimum denominations of one thousand U.S. dollars ($1,000) or any integral multiple of $1,000 thereof, subject to Section 2.01(a)(11). The Securities of a particular series shall bear interest payable on the dates and at the rate specified with respect to that series. Subject to </w:t>
      </w:r>
      <w:r>
        <w:rPr>
          <w:rFonts w:ascii="Arial" w:cs="Arial" w:eastAsia="Arial" w:hAnsi="Arial"/>
          <w:sz w:val="16"/>
          <w:szCs w:val="16"/>
          <w:u w:val="single" w:color="auto"/>
          <w:color w:val="auto"/>
        </w:rPr>
        <w:t>Section 2.01(a)(18)</w:t>
      </w:r>
      <w:r>
        <w:rPr>
          <w:rFonts w:ascii="Arial" w:cs="Arial" w:eastAsia="Arial" w:hAnsi="Arial"/>
          <w:sz w:val="16"/>
          <w:szCs w:val="16"/>
          <w:color w:val="auto"/>
        </w:rPr>
        <w:t>,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55" w:name="page56"/>
    <w:bookmarkEnd w:id="55"/>
    <w:p>
      <w:pPr>
        <w:ind w:right="20" w:firstLine="441"/>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w:t>
      </w:r>
      <w:r>
        <w:rPr>
          <w:rFonts w:ascii="Arial" w:cs="Arial" w:eastAsia="Arial" w:hAnsi="Arial"/>
          <w:sz w:val="17"/>
          <w:szCs w:val="17"/>
          <w:u w:val="single" w:color="auto"/>
          <w:color w:val="auto"/>
        </w:rPr>
        <w:t>Section 3.03</w:t>
      </w:r>
      <w:r>
        <w:rPr>
          <w:rFonts w:ascii="Arial" w:cs="Arial" w:eastAsia="Arial" w:hAnsi="Arial"/>
          <w:sz w:val="17"/>
          <w:szCs w:val="17"/>
          <w:color w:val="auto"/>
        </w:rPr>
        <w:t>.</w:t>
      </w:r>
    </w:p>
    <w:p>
      <w:pPr>
        <w:spacing w:after="0" w:line="173" w:lineRule="exact"/>
        <w:rPr>
          <w:sz w:val="20"/>
          <w:szCs w:val="20"/>
          <w:color w:val="auto"/>
        </w:rPr>
      </w:pPr>
    </w:p>
    <w:p>
      <w:pPr>
        <w:ind w:right="20" w:firstLine="441"/>
        <w:spacing w:after="0" w:line="312" w:lineRule="auto"/>
        <w:rPr>
          <w:sz w:val="20"/>
          <w:szCs w:val="20"/>
          <w:color w:val="auto"/>
        </w:rPr>
      </w:pPr>
      <w:r>
        <w:rPr>
          <w:rFonts w:ascii="Arial" w:cs="Arial" w:eastAsia="Arial" w:hAnsi="Arial"/>
          <w:sz w:val="16"/>
          <w:szCs w:val="16"/>
          <w:color w:val="auto"/>
        </w:rPr>
        <w:t xml:space="preserve">Any interest on any Security that is payable, but is not punctually paid or duly provided for, on any Interest Payment Date for Securities of the same series (herein called </w:t>
      </w:r>
      <w:r>
        <w:rPr>
          <w:rFonts w:ascii="Arial" w:cs="Arial" w:eastAsia="Arial" w:hAnsi="Arial"/>
          <w:sz w:val="16"/>
          <w:szCs w:val="16"/>
          <w:b w:val="1"/>
          <w:bCs w:val="1"/>
          <w:color w:val="auto"/>
        </w:rPr>
        <w:t>“Defaulted Interest”</w:t>
      </w:r>
      <w:r>
        <w:rPr>
          <w:rFonts w:ascii="Arial" w:cs="Arial" w:eastAsia="Arial" w:hAnsi="Arial"/>
          <w:sz w:val="16"/>
          <w:szCs w:val="16"/>
          <w:color w:val="auto"/>
        </w:rPr>
        <w: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39" w:lineRule="exact"/>
        <w:rPr>
          <w:sz w:val="20"/>
          <w:szCs w:val="20"/>
          <w:color w:val="auto"/>
        </w:rPr>
      </w:pPr>
    </w:p>
    <w:p>
      <w:pPr>
        <w:ind w:left="440" w:firstLine="957"/>
        <w:spacing w:after="0" w:line="286" w:lineRule="auto"/>
        <w:tabs>
          <w:tab w:leader="none" w:pos="1647"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not be more than 15 nor less than 10 days prior to the date of the proposed payment and not less than 10 days after the receipt by the Trustee of the notice of the proposed payment. The Company shall promptly notify the Trustee in writing of such special record date and in such notice, instruct the Trustee to send such notice to holders, in the name and at the expense of the Company, shall cause notice of the proposed payment of such Defaulted Interest and the special record date therefor to be sent electronically or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on such special record date.</w:t>
      </w:r>
    </w:p>
    <w:p>
      <w:pPr>
        <w:spacing w:after="0" w:line="60" w:lineRule="exact"/>
        <w:rPr>
          <w:rFonts w:ascii="Arial" w:cs="Arial" w:eastAsia="Arial" w:hAnsi="Arial"/>
          <w:sz w:val="16"/>
          <w:szCs w:val="16"/>
          <w:color w:val="auto"/>
        </w:rPr>
      </w:pPr>
    </w:p>
    <w:p>
      <w:pPr>
        <w:jc w:val="both"/>
        <w:ind w:left="440" w:right="20" w:firstLine="957"/>
        <w:spacing w:after="0" w:line="259" w:lineRule="auto"/>
        <w:tabs>
          <w:tab w:leader="none" w:pos="16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may make or cause to be made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56" w:name="page57"/>
    <w:bookmarkEnd w:id="56"/>
    <w:p>
      <w:pPr>
        <w:ind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Unless otherwise set forth in a Board Resolution or one or more indentures supplemental hereto establishing the terms of any series of Securities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hereof, the term “regular record date” as used in this Section with respect to a series of Securities and any Interest Payment Date for such series shall mean either (i) the fifteenth day of the month immediately preceding the month in which an Interest Payment Date established for such series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hereof shall occur, if such Interest Payment Date is the first day of a month, or (ii) the first day of the month in which an Interest Payment Date established for such series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hereof shall occur, if such Interest Payment Date is the fifteenth day of a month, whether or not such date is a Business Day.</w:t>
      </w:r>
    </w:p>
    <w:p>
      <w:pPr>
        <w:spacing w:after="0" w:line="193" w:lineRule="exact"/>
        <w:rPr>
          <w:sz w:val="20"/>
          <w:szCs w:val="20"/>
          <w:color w:val="auto"/>
        </w:rPr>
      </w:pPr>
    </w:p>
    <w:p>
      <w:pPr>
        <w:jc w:val="both"/>
        <w:ind w:right="100" w:firstLine="441"/>
        <w:spacing w:after="0" w:line="342" w:lineRule="auto"/>
        <w:rPr>
          <w:sz w:val="20"/>
          <w:szCs w:val="20"/>
          <w:color w:val="auto"/>
        </w:rPr>
      </w:pPr>
      <w:r>
        <w:rPr>
          <w:rFonts w:ascii="Arial" w:cs="Arial" w:eastAsia="Arial" w:hAnsi="Arial"/>
          <w:sz w:val="16"/>
          <w:szCs w:val="16"/>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Execution and Authentications</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Securities shall be signed on behalf of the Company by one of its Officers. Signatures may be in the form of a manual or facsimile signature.</w:t>
      </w:r>
    </w:p>
    <w:p>
      <w:pPr>
        <w:spacing w:after="0" w:line="248"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The Company may use the facsimile signature of any Person who shall have been an Officer,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87"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Company Order for the authentication and delivery of such Securities, signed by an Officer, and the Trustee in accordance with such Company Order shall authenticate and deliver such Securities.</w:t>
      </w:r>
    </w:p>
    <w:p>
      <w:pPr>
        <w:spacing w:after="0" w:line="158" w:lineRule="exact"/>
        <w:rPr>
          <w:sz w:val="20"/>
          <w:szCs w:val="20"/>
          <w:color w:val="auto"/>
        </w:rPr>
      </w:pPr>
    </w:p>
    <w:p>
      <w:pPr>
        <w:ind w:right="100" w:firstLine="441"/>
        <w:spacing w:after="0" w:line="297" w:lineRule="auto"/>
        <w:rPr>
          <w:sz w:val="20"/>
          <w:szCs w:val="20"/>
          <w:color w:val="auto"/>
        </w:rPr>
      </w:pPr>
      <w:r>
        <w:rPr>
          <w:rFonts w:ascii="Arial" w:cs="Arial" w:eastAsia="Arial" w:hAnsi="Arial"/>
          <w:sz w:val="16"/>
          <w:szCs w:val="16"/>
          <w:color w:val="auto"/>
        </w:rPr>
        <w:t xml:space="preserve">In authenticating such Securities and accepting the additional responsibilities under this Indenture in relation to such Securities, the Trustee shall receive, and (subject to </w:t>
      </w:r>
      <w:r>
        <w:rPr>
          <w:rFonts w:ascii="Arial" w:cs="Arial" w:eastAsia="Arial" w:hAnsi="Arial"/>
          <w:sz w:val="16"/>
          <w:szCs w:val="16"/>
          <w:u w:val="single" w:color="auto"/>
          <w:color w:val="auto"/>
        </w:rPr>
        <w:t>Section 7.01</w:t>
      </w:r>
      <w:r>
        <w:rPr>
          <w:rFonts w:ascii="Arial" w:cs="Arial" w:eastAsia="Arial" w:hAnsi="Arial"/>
          <w:sz w:val="16"/>
          <w:szCs w:val="16"/>
          <w:color w:val="auto"/>
        </w:rPr>
        <w:t>) shall be fully protected in conclusively relying upon, an Officer’s Certificate and an Opinion of Counsel stating that the form and terms thereof have been established in conformity with the provisions of this Indenture, that all conditions precedent in connection with the issuance, authentication and delivery of such Securities have been met and that such Securities are legal, valid and binding obligations against the Company, enforceable against it in accordance with its terms, subject to customary exceptions and qualifications.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4" w:right="499" w:bottom="1440" w:gutter="0" w:footer="0" w:header="0"/>
        </w:sectPr>
      </w:pPr>
    </w:p>
    <w:bookmarkStart w:id="57" w:name="page58"/>
    <w:bookmarkEnd w:id="57"/>
    <w:p>
      <w:pPr>
        <w:ind w:right="160" w:firstLine="44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Registration of Transfer and Exchange</w:t>
      </w:r>
      <w:r>
        <w:rPr>
          <w:rFonts w:ascii="Arial" w:cs="Arial" w:eastAsia="Arial" w:hAnsi="Arial"/>
          <w:sz w:val="18"/>
          <w:szCs w:val="18"/>
          <w:color w:val="auto"/>
        </w:rPr>
        <w:t>.</w:t>
      </w:r>
    </w:p>
    <w:p>
      <w:pPr>
        <w:spacing w:after="0" w:line="117" w:lineRule="exact"/>
        <w:rPr>
          <w:sz w:val="20"/>
          <w:szCs w:val="20"/>
          <w:color w:val="auto"/>
        </w:rPr>
      </w:pPr>
    </w:p>
    <w:p>
      <w:pPr>
        <w:ind w:right="80" w:firstLine="996"/>
        <w:spacing w:after="0" w:line="297" w:lineRule="auto"/>
        <w:tabs>
          <w:tab w:leader="none" w:pos="1237" w:val="left"/>
        </w:tabs>
        <w:numPr>
          <w:ilvl w:val="0"/>
          <w:numId w:val="50"/>
        </w:numPr>
        <w:rPr>
          <w:rFonts w:ascii="Arial" w:cs="Arial" w:eastAsia="Arial" w:hAnsi="Arial"/>
          <w:sz w:val="16"/>
          <w:szCs w:val="16"/>
          <w:color w:val="auto"/>
        </w:rPr>
      </w:pPr>
      <w:r>
        <w:rPr>
          <w:rFonts w:ascii="Arial" w:cs="Arial" w:eastAsia="Arial" w:hAnsi="Arial"/>
          <w:sz w:val="16"/>
          <w:szCs w:val="16"/>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50" w:lineRule="exact"/>
        <w:rPr>
          <w:rFonts w:ascii="Arial" w:cs="Arial" w:eastAsia="Arial" w:hAnsi="Arial"/>
          <w:sz w:val="16"/>
          <w:szCs w:val="16"/>
          <w:color w:val="auto"/>
        </w:rPr>
      </w:pPr>
    </w:p>
    <w:p>
      <w:pPr>
        <w:ind w:right="80" w:firstLine="996"/>
        <w:spacing w:after="0" w:line="257" w:lineRule="auto"/>
        <w:tabs>
          <w:tab w:leader="none" w:pos="124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shall keep, or cause to be kept, at its office or agency designated for such purpose a register or registers (herein referred to as the “</w:t>
      </w:r>
      <w:r>
        <w:rPr>
          <w:rFonts w:ascii="Arial" w:cs="Arial" w:eastAsia="Arial" w:hAnsi="Arial"/>
          <w:sz w:val="18"/>
          <w:szCs w:val="18"/>
          <w:b w:val="1"/>
          <w:bCs w:val="1"/>
          <w:color w:val="auto"/>
        </w:rPr>
        <w:t>Security Register</w:t>
      </w:r>
      <w:r>
        <w:rPr>
          <w:rFonts w:ascii="Arial" w:cs="Arial" w:eastAsia="Arial" w:hAnsi="Arial"/>
          <w:sz w:val="18"/>
          <w:szCs w:val="18"/>
          <w:color w:val="auto"/>
        </w:rPr>
        <w:t>”)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w:t>
      </w:r>
      <w:r>
        <w:rPr>
          <w:rFonts w:ascii="Arial" w:cs="Arial" w:eastAsia="Arial" w:hAnsi="Arial"/>
          <w:sz w:val="18"/>
          <w:szCs w:val="18"/>
          <w:b w:val="1"/>
          <w:bCs w:val="1"/>
          <w:color w:val="auto"/>
        </w:rPr>
        <w:t>Security</w:t>
      </w:r>
      <w:r>
        <w:rPr>
          <w:rFonts w:ascii="Arial" w:cs="Arial" w:eastAsia="Arial" w:hAnsi="Arial"/>
          <w:sz w:val="18"/>
          <w:szCs w:val="18"/>
          <w:color w:val="auto"/>
        </w:rPr>
        <w:t xml:space="preserve"> </w:t>
      </w:r>
      <w:r>
        <w:rPr>
          <w:rFonts w:ascii="Arial" w:cs="Arial" w:eastAsia="Arial" w:hAnsi="Arial"/>
          <w:sz w:val="18"/>
          <w:szCs w:val="18"/>
          <w:b w:val="1"/>
          <w:bCs w:val="1"/>
          <w:color w:val="auto"/>
        </w:rPr>
        <w:t>Registrar</w:t>
      </w:r>
      <w:r>
        <w:rPr>
          <w:rFonts w:ascii="Arial" w:cs="Arial" w:eastAsia="Arial" w:hAnsi="Arial"/>
          <w:sz w:val="18"/>
          <w:szCs w:val="18"/>
          <w:color w:val="auto"/>
        </w:rPr>
        <w:t>”).</w:t>
      </w:r>
    </w:p>
    <w:p>
      <w:pPr>
        <w:spacing w:after="0" w:line="188"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8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73" w:lineRule="exact"/>
        <w:rPr>
          <w:sz w:val="20"/>
          <w:szCs w:val="20"/>
          <w:color w:val="auto"/>
        </w:rPr>
      </w:pPr>
    </w:p>
    <w:p>
      <w:pPr>
        <w:ind w:firstLine="996"/>
        <w:spacing w:after="0" w:line="302" w:lineRule="auto"/>
        <w:tabs>
          <w:tab w:leader="none" w:pos="1237"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Except as provided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3.03(b)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not involving any transfer.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58" w:name="page59"/>
    <w:bookmarkEnd w:id="58"/>
    <w:p>
      <w:pPr>
        <w:ind w:right="80" w:firstLine="996"/>
        <w:spacing w:after="0" w:line="276" w:lineRule="auto"/>
        <w:tabs>
          <w:tab w:leader="none" w:pos="1247" w:val="left"/>
        </w:tabs>
        <w:numPr>
          <w:ilvl w:val="0"/>
          <w:numId w:val="5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are, with respect to any Global Security, subject to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hereof.</w:t>
      </w:r>
    </w:p>
    <w:p>
      <w:pPr>
        <w:spacing w:after="0" w:line="173"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Neither the Trustee nor any Agent shall have any responsibility or liability for any actions taken or not taken by the Depositary.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117"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Pending the preparation of definitive Securities of any series, the Company may execute, and the Trustee shall, upon receipt of a Company Order,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and the Trustee shall, upon receipt of a Company Order,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Mutilated, Destroyed, Lost or Stolen Securities</w:t>
      </w:r>
      <w:r>
        <w:rPr>
          <w:rFonts w:ascii="Arial" w:cs="Arial" w:eastAsia="Arial" w:hAnsi="Arial"/>
          <w:sz w:val="18"/>
          <w:szCs w:val="18"/>
          <w:color w:val="auto"/>
        </w:rPr>
        <w:t>.</w:t>
      </w:r>
    </w:p>
    <w:p>
      <w:pPr>
        <w:spacing w:after="0" w:line="117" w:lineRule="exact"/>
        <w:rPr>
          <w:sz w:val="20"/>
          <w:szCs w:val="20"/>
          <w:color w:val="auto"/>
        </w:rPr>
      </w:pPr>
    </w:p>
    <w:p>
      <w:pPr>
        <w:ind w:right="160" w:firstLine="441"/>
        <w:spacing w:after="0" w:line="302" w:lineRule="auto"/>
        <w:rPr>
          <w:sz w:val="20"/>
          <w:szCs w:val="20"/>
          <w:color w:val="auto"/>
        </w:rPr>
      </w:pPr>
      <w:r>
        <w:rPr>
          <w:rFonts w:ascii="Arial" w:cs="Arial" w:eastAsia="Arial" w:hAnsi="Arial"/>
          <w:sz w:val="16"/>
          <w:szCs w:val="16"/>
          <w:color w:val="auto"/>
        </w:rPr>
        <w:t>In case any temporary or definitive Security shall become mutilated or be destroyed, lost or stolen, the Company (subject to the next succeeding sentence) shall execute, and upon receipt of a Company Order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59" w:name="page60"/>
    <w:bookmarkEnd w:id="59"/>
    <w:p>
      <w:pPr>
        <w:ind w:right="1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receipt of a Company Order.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58"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In case any Security that has or is about to become due and payable, whether upon maturity of the Securities of a series or upon declaration or otherwise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73" w:lineRule="exact"/>
        <w:rPr>
          <w:sz w:val="20"/>
          <w:szCs w:val="20"/>
          <w:color w:val="auto"/>
        </w:rPr>
      </w:pPr>
    </w:p>
    <w:p>
      <w:pPr>
        <w:ind w:right="160" w:firstLine="441"/>
        <w:spacing w:after="0" w:line="255" w:lineRule="auto"/>
        <w:rPr>
          <w:sz w:val="20"/>
          <w:szCs w:val="20"/>
          <w:color w:val="auto"/>
        </w:rPr>
      </w:pPr>
      <w:r>
        <w:rPr>
          <w:rFonts w:ascii="Arial" w:cs="Arial" w:eastAsia="Arial" w:hAnsi="Arial"/>
          <w:sz w:val="18"/>
          <w:szCs w:val="18"/>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written request of the Company at the time of such surrender, the Trustee shall deliver to the Company evidence of cancellation for such canceled Securities held by the Trustee. The Trustee shall cancel and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w:t>
      </w:r>
    </w:p>
    <w:p>
      <w:pPr>
        <w:spacing w:after="0" w:line="117"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60" w:name="page61"/>
    <w:bookmarkEnd w:id="6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2.10 </w:t>
      </w:r>
      <w:r>
        <w:rPr>
          <w:rFonts w:ascii="Arial" w:cs="Arial" w:eastAsia="Arial" w:hAnsi="Arial"/>
          <w:sz w:val="18"/>
          <w:szCs w:val="18"/>
          <w:u w:val="single" w:color="auto"/>
          <w:color w:val="auto"/>
        </w:rPr>
        <w:t>Authenticating Agent</w:t>
      </w:r>
      <w:r>
        <w:rPr>
          <w:rFonts w:ascii="Arial" w:cs="Arial" w:eastAsia="Arial" w:hAnsi="Arial"/>
          <w:sz w:val="18"/>
          <w:szCs w:val="18"/>
          <w:color w:val="auto"/>
        </w:rPr>
        <w:t>.</w:t>
      </w:r>
    </w:p>
    <w:p>
      <w:pPr>
        <w:spacing w:after="0" w:line="117" w:lineRule="exact"/>
        <w:rPr>
          <w:sz w:val="20"/>
          <w:szCs w:val="20"/>
          <w:color w:val="auto"/>
        </w:rPr>
      </w:pPr>
    </w:p>
    <w:p>
      <w:pPr>
        <w:ind w:right="20" w:firstLine="441"/>
        <w:spacing w:after="0" w:line="289" w:lineRule="auto"/>
        <w:rPr>
          <w:sz w:val="20"/>
          <w:szCs w:val="20"/>
          <w:color w:val="auto"/>
        </w:rPr>
      </w:pPr>
      <w:r>
        <w:rPr>
          <w:rFonts w:ascii="Arial" w:cs="Arial" w:eastAsia="Arial" w:hAnsi="Arial"/>
          <w:sz w:val="16"/>
          <w:szCs w:val="16"/>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67" w:lineRule="exact"/>
        <w:rPr>
          <w:sz w:val="20"/>
          <w:szCs w:val="20"/>
          <w:color w:val="auto"/>
        </w:rPr>
      </w:pPr>
    </w:p>
    <w:p>
      <w:pPr>
        <w:ind w:right="180" w:firstLine="441"/>
        <w:spacing w:after="0" w:line="255" w:lineRule="auto"/>
        <w:rPr>
          <w:sz w:val="20"/>
          <w:szCs w:val="20"/>
          <w:color w:val="auto"/>
        </w:rPr>
      </w:pPr>
      <w:r>
        <w:rPr>
          <w:rFonts w:ascii="Arial" w:cs="Arial" w:eastAsia="Arial" w:hAnsi="Arial"/>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Global Securities</w:t>
      </w:r>
      <w:r>
        <w:rPr>
          <w:rFonts w:ascii="Arial" w:cs="Arial" w:eastAsia="Arial" w:hAnsi="Arial"/>
          <w:sz w:val="18"/>
          <w:szCs w:val="18"/>
          <w:color w:val="auto"/>
        </w:rPr>
        <w:t>.</w:t>
      </w:r>
    </w:p>
    <w:p>
      <w:pPr>
        <w:spacing w:after="0" w:line="117" w:lineRule="exact"/>
        <w:rPr>
          <w:sz w:val="20"/>
          <w:szCs w:val="20"/>
          <w:color w:val="auto"/>
        </w:rPr>
      </w:pPr>
    </w:p>
    <w:p>
      <w:pPr>
        <w:ind w:firstLine="996"/>
        <w:spacing w:after="0" w:line="255" w:lineRule="auto"/>
        <w:tabs>
          <w:tab w:leader="none" w:pos="1237"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If the Company shall establish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that the Securities of a particular series are to be issued as a Global Security, then the Company shall execute and the Trustee shall, in accordance with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held by it, pursuant to the Depositary’s instruction and (iv) shall bear a legend substantially to the following effect: “Except as otherwise provided in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of the Indenture, this Security may be transferred, in whole but not in part, only to another nominee of the Depositary or to a successor Depositary or to a nominee of such successor Depositary.”</w:t>
      </w:r>
    </w:p>
    <w:p>
      <w:pPr>
        <w:spacing w:after="0" w:line="81" w:lineRule="exact"/>
        <w:rPr>
          <w:rFonts w:ascii="Arial" w:cs="Arial" w:eastAsia="Arial" w:hAnsi="Arial"/>
          <w:sz w:val="18"/>
          <w:szCs w:val="18"/>
          <w:color w:val="auto"/>
        </w:rPr>
      </w:pPr>
    </w:p>
    <w:p>
      <w:pPr>
        <w:ind w:right="180" w:firstLine="996"/>
        <w:spacing w:after="0" w:line="264" w:lineRule="auto"/>
        <w:tabs>
          <w:tab w:leader="none" w:pos="1247"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Notwithstanding the provisions of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the Global Security of a series may be transferred, in whole but not in part and in the manner provided in </w:t>
      </w:r>
      <w:r>
        <w:rPr>
          <w:rFonts w:ascii="Arial" w:cs="Arial" w:eastAsia="Arial" w:hAnsi="Arial"/>
          <w:sz w:val="18"/>
          <w:szCs w:val="18"/>
          <w:u w:val="single" w:color="auto"/>
          <w:color w:val="auto"/>
        </w:rPr>
        <w:t>Section 2.05</w:t>
      </w:r>
      <w:r>
        <w:rPr>
          <w:rFonts w:ascii="Arial" w:cs="Arial" w:eastAsia="Arial" w:hAnsi="Arial"/>
          <w:sz w:val="18"/>
          <w:szCs w:val="18"/>
          <w:color w:val="auto"/>
        </w:rPr>
        <w:t>, only to another nominee of the Depositary for such series, or to a successor Depositary for such series selected or approved by the Company or to a nominee of such successor Depositary.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61" w:name="page62"/>
    <w:bookmarkEnd w:id="61"/>
    <w:p>
      <w:pPr>
        <w:ind w:firstLine="996"/>
        <w:spacing w:after="0" w:line="267" w:lineRule="auto"/>
        <w:tabs>
          <w:tab w:leader="none" w:pos="1237" w:val="left"/>
        </w:tabs>
        <w:numPr>
          <w:ilvl w:val="0"/>
          <w:numId w:val="5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shall no longer be applicable to the Securities of such series and the Company will execute, and subject to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shall no longer apply to the Securities of such series. In such event the Company will execute and, subject to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the Trustee, upon receipt of an Officer’s Certificate and a Company Order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w:t>
      </w:r>
      <w:r>
        <w:rPr>
          <w:rFonts w:ascii="Arial" w:cs="Arial" w:eastAsia="Arial" w:hAnsi="Arial"/>
          <w:sz w:val="17"/>
          <w:szCs w:val="17"/>
          <w:u w:val="single" w:color="auto"/>
          <w:color w:val="auto"/>
        </w:rPr>
        <w:t>Section 2.11(c)</w:t>
      </w:r>
      <w:r>
        <w:rPr>
          <w:rFonts w:ascii="Arial" w:cs="Arial" w:eastAsia="Arial" w:hAnsi="Arial"/>
          <w:sz w:val="17"/>
          <w:szCs w:val="17"/>
          <w:color w:val="auto"/>
        </w:rPr>
        <w:t xml:space="preserve"> shall be registered in such names and in such authorized denominations as the Depositary, pursuant to instructions from its direct or indirect participants or otherwise, shall instruct the Trustee in writing. The Trustee shall deliver such Securities to the Depositary for delivery to the Persons in whose names such Securities are so registered.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OF SECURITIES AND SINKING FUND PROVISIONS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117"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 xml:space="preserve">The Company may redeem the Securities of any series issued hereunder on and after the dates and in accordance with the terms established for such series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117" w:lineRule="exact"/>
        <w:rPr>
          <w:sz w:val="20"/>
          <w:szCs w:val="20"/>
          <w:color w:val="auto"/>
        </w:rPr>
      </w:pPr>
    </w:p>
    <w:p>
      <w:pPr>
        <w:jc w:val="both"/>
        <w:ind w:right="40" w:firstLine="996"/>
        <w:spacing w:after="0" w:line="279" w:lineRule="auto"/>
        <w:tabs>
          <w:tab w:leader="none" w:pos="1237" w:val="left"/>
        </w:tabs>
        <w:numPr>
          <w:ilvl w:val="0"/>
          <w:numId w:val="55"/>
        </w:numPr>
        <w:rPr>
          <w:rFonts w:ascii="Arial" w:cs="Arial" w:eastAsia="Arial" w:hAnsi="Arial"/>
          <w:sz w:val="17"/>
          <w:szCs w:val="17"/>
          <w:color w:val="auto"/>
        </w:rPr>
      </w:pPr>
      <w:r>
        <w:rPr>
          <w:rFonts w:ascii="Arial" w:cs="Arial" w:eastAsia="Arial" w:hAnsi="Arial"/>
          <w:sz w:val="17"/>
          <w:szCs w:val="17"/>
          <w:color w:val="auto"/>
        </w:rPr>
        <w:t xml:space="preserve">In case the Company shall desire to exercise such right to redeem all or, as the case may be, a portion of the Securities of any series in accordance with any right the Company reserved for itself to do so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hereof, the Company shall, or shall cause the Trustee (upon 5 Business Days written notice, unless a shorter period shall be satisfactory to the Trustee) to, give notice of such redemption to holders of the Securities of such series to be redeemed by mailing, electronically or by first class postage prepaid mail, a notice of</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62" w:name="page63"/>
    <w:bookmarkEnd w:id="62"/>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redemption not less than 15 days and not more than 90 days, except that redemption notices may be sent more than 90 days prior to the redemption date if the notice is issued in connection with a defeasance of the Securities or a satisfaction and discharge, before the date fixed for redemption of that series to such holders (with a copy to the Trustee)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82"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Each such notice of redemption shall specify the date fixed for redemption, if applicable, any record date with respect to such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78"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73" w:lineRule="exact"/>
        <w:rPr>
          <w:sz w:val="20"/>
          <w:szCs w:val="20"/>
          <w:color w:val="auto"/>
        </w:rPr>
      </w:pPr>
    </w:p>
    <w:p>
      <w:pPr>
        <w:ind w:firstLine="996"/>
        <w:spacing w:after="0" w:line="269" w:lineRule="auto"/>
        <w:tabs>
          <w:tab w:leader="none" w:pos="1247" w:val="left"/>
        </w:tabs>
        <w:numPr>
          <w:ilvl w:val="0"/>
          <w:numId w:val="56"/>
        </w:numPr>
        <w:rPr>
          <w:rFonts w:ascii="Arial" w:cs="Arial" w:eastAsia="Arial" w:hAnsi="Arial"/>
          <w:sz w:val="17"/>
          <w:szCs w:val="17"/>
          <w:color w:val="auto"/>
        </w:rPr>
      </w:pPr>
      <w:r>
        <w:rPr>
          <w:rFonts w:ascii="Arial" w:cs="Arial" w:eastAsia="Arial" w:hAnsi="Arial"/>
          <w:sz w:val="17"/>
          <w:szCs w:val="17"/>
          <w:color w:val="auto"/>
        </w:rPr>
        <w:t>If less than all the Securities of a series are to be redeemed, the Company shall give the Trustee at least 20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subject to the applicable procedures of the Depositary)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send notice of redemption in the manner set forth in this Section, such notice to be in the name and at the expense of the Company. In any case in which notice of redemption is to be sent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63" w:name="page64"/>
    <w:bookmarkEnd w:id="6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3.03 </w:t>
      </w:r>
      <w:r>
        <w:rPr>
          <w:rFonts w:ascii="Arial" w:cs="Arial" w:eastAsia="Arial" w:hAnsi="Arial"/>
          <w:sz w:val="18"/>
          <w:szCs w:val="18"/>
          <w:u w:val="single" w:color="auto"/>
          <w:color w:val="auto"/>
        </w:rPr>
        <w:t>Payment Upon Redemption</w:t>
      </w:r>
      <w:r>
        <w:rPr>
          <w:rFonts w:ascii="Arial" w:cs="Arial" w:eastAsia="Arial" w:hAnsi="Arial"/>
          <w:sz w:val="18"/>
          <w:szCs w:val="18"/>
          <w:color w:val="auto"/>
        </w:rPr>
        <w:t>.</w:t>
      </w:r>
    </w:p>
    <w:p>
      <w:pPr>
        <w:spacing w:after="0" w:line="117" w:lineRule="exact"/>
        <w:rPr>
          <w:sz w:val="20"/>
          <w:szCs w:val="20"/>
          <w:color w:val="auto"/>
        </w:rPr>
      </w:pPr>
    </w:p>
    <w:p>
      <w:pPr>
        <w:ind w:right="40" w:firstLine="996"/>
        <w:spacing w:after="0" w:line="290" w:lineRule="auto"/>
        <w:tabs>
          <w:tab w:leader="none" w:pos="1237"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right="200" w:firstLine="996"/>
        <w:spacing w:after="0" w:line="312" w:lineRule="auto"/>
        <w:tabs>
          <w:tab w:leader="none" w:pos="1247" w:val="left"/>
        </w:tabs>
        <w:numPr>
          <w:ilvl w:val="0"/>
          <w:numId w:val="57"/>
        </w:numPr>
        <w:rPr>
          <w:rFonts w:ascii="Arial" w:cs="Arial" w:eastAsia="Arial" w:hAnsi="Arial"/>
          <w:sz w:val="16"/>
          <w:szCs w:val="16"/>
          <w:color w:val="auto"/>
        </w:rPr>
      </w:pPr>
      <w:r>
        <w:rPr>
          <w:rFonts w:ascii="Arial" w:cs="Arial" w:eastAsia="Arial" w:hAnsi="Arial"/>
          <w:sz w:val="16"/>
          <w:szCs w:val="16"/>
          <w:color w:val="auto"/>
        </w:rPr>
        <w:t>Upon presentation of any physical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Sinking Fund</w:t>
      </w:r>
      <w:r>
        <w:rPr>
          <w:rFonts w:ascii="Arial" w:cs="Arial" w:eastAsia="Arial" w:hAnsi="Arial"/>
          <w:sz w:val="18"/>
          <w:szCs w:val="18"/>
          <w:color w:val="auto"/>
        </w:rPr>
        <w:t>.</w:t>
      </w:r>
    </w:p>
    <w:p>
      <w:pPr>
        <w:spacing w:after="0" w:line="117" w:lineRule="exact"/>
        <w:rPr>
          <w:sz w:val="20"/>
          <w:szCs w:val="20"/>
          <w:color w:val="auto"/>
        </w:rPr>
      </w:pPr>
    </w:p>
    <w:p>
      <w:pPr>
        <w:ind w:right="620" w:firstLine="441"/>
        <w:spacing w:after="0" w:line="277" w:lineRule="auto"/>
        <w:rPr>
          <w:sz w:val="20"/>
          <w:szCs w:val="20"/>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Sections 3.04</w:t>
      </w:r>
      <w:r>
        <w:rPr>
          <w:rFonts w:ascii="Arial" w:cs="Arial" w:eastAsia="Arial" w:hAnsi="Arial"/>
          <w:sz w:val="18"/>
          <w:szCs w:val="18"/>
          <w:color w:val="auto"/>
        </w:rPr>
        <w:t xml:space="preserve">,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3.06</w:t>
      </w:r>
      <w:r>
        <w:rPr>
          <w:rFonts w:ascii="Arial" w:cs="Arial" w:eastAsia="Arial" w:hAnsi="Arial"/>
          <w:sz w:val="18"/>
          <w:szCs w:val="18"/>
          <w:color w:val="auto"/>
        </w:rPr>
        <w:t xml:space="preserve"> shall be applicable to any sinking fund for the retirement of Securities of a series, except as otherwise specified as contemplated by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for Securities of such series.</w:t>
      </w:r>
    </w:p>
    <w:p>
      <w:pPr>
        <w:spacing w:after="0" w:line="170"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 xml:space="preserve">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w:t>
      </w:r>
      <w:r>
        <w:rPr>
          <w:rFonts w:ascii="Arial" w:cs="Arial" w:eastAsia="Arial" w:hAnsi="Arial"/>
          <w:sz w:val="18"/>
          <w:szCs w:val="18"/>
          <w:u w:val="single" w:color="auto"/>
          <w:color w:val="auto"/>
        </w:rPr>
        <w:t>Section 3.05</w:t>
      </w:r>
      <w:r>
        <w:rPr>
          <w:rFonts w:ascii="Arial" w:cs="Arial" w:eastAsia="Arial" w:hAnsi="Arial"/>
          <w:sz w:val="18"/>
          <w:szCs w:val="18"/>
          <w:color w:val="auto"/>
        </w:rPr>
        <w:t>. Each sinking fund payment shall be applied to the redemption of Securities of any series as provided for by the terms of Securities of such series.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Satisfaction of Sinking Fund Payments with Securities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64" w:name="page65"/>
    <w:bookmarkEnd w:id="6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3.06 </w:t>
      </w:r>
      <w:r>
        <w:rPr>
          <w:rFonts w:ascii="Arial" w:cs="Arial" w:eastAsia="Arial" w:hAnsi="Arial"/>
          <w:sz w:val="18"/>
          <w:szCs w:val="18"/>
          <w:u w:val="single" w:color="auto"/>
          <w:color w:val="auto"/>
        </w:rPr>
        <w:t>Redemption of Securities for Sinking Fund</w:t>
      </w:r>
      <w:r>
        <w:rPr>
          <w:rFonts w:ascii="Arial" w:cs="Arial" w:eastAsia="Arial" w:hAnsi="Arial"/>
          <w:sz w:val="18"/>
          <w:szCs w:val="18"/>
          <w:color w:val="auto"/>
        </w:rPr>
        <w:t>.</w:t>
      </w:r>
    </w:p>
    <w:p>
      <w:pPr>
        <w:spacing w:after="0" w:line="117" w:lineRule="exact"/>
        <w:rPr>
          <w:sz w:val="20"/>
          <w:szCs w:val="20"/>
          <w:color w:val="auto"/>
        </w:rPr>
      </w:pPr>
    </w:p>
    <w:p>
      <w:pPr>
        <w:ind w:right="60" w:firstLine="441"/>
        <w:spacing w:after="0" w:line="254" w:lineRule="auto"/>
        <w:rPr>
          <w:sz w:val="20"/>
          <w:szCs w:val="20"/>
          <w:color w:val="auto"/>
        </w:rPr>
      </w:pPr>
      <w:r>
        <w:rPr>
          <w:rFonts w:ascii="Arial" w:cs="Arial" w:eastAsia="Arial" w:hAnsi="Arial"/>
          <w:sz w:val="18"/>
          <w:szCs w:val="18"/>
          <w:color w:val="auto"/>
        </w:rPr>
        <w:t xml:space="preserve">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and cause notice of the redemption thereof to be given in the name of and at the expense of the Company in the manner provided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Such notice having been duly given, the redemption of such Securities shall be made upon the terms and in the manner stated in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Payment of Principal, Premium and Interest</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physical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an account in the United States if such Securityholder shall have furnished wire instructions in writing to the Security Registrar and the Trustee no later than 15 days prior to the relevant payment date.</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Maintenance of Office or Agency</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So long as any series of the Securities remain Outstanding, the Company agrees to maintain an office or agency with respect to each such series and at such other location or locations as may be designated as provided in this </w:t>
      </w:r>
      <w:r>
        <w:rPr>
          <w:rFonts w:ascii="Arial" w:cs="Arial" w:eastAsia="Arial" w:hAnsi="Arial"/>
          <w:sz w:val="18"/>
          <w:szCs w:val="18"/>
          <w:u w:val="single" w:color="auto"/>
          <w:color w:val="auto"/>
        </w:rPr>
        <w:t>Section 4.02</w:t>
      </w:r>
      <w:r>
        <w:rPr>
          <w:rFonts w:ascii="Arial" w:cs="Arial" w:eastAsia="Arial" w:hAnsi="Arial"/>
          <w:sz w:val="18"/>
          <w:szCs w:val="18"/>
          <w:color w:val="auto"/>
        </w:rPr>
        <w:t>, where (i) Securities of that series may be presented for payment, (ii) Securities of that series may be presented as herein above authorized for registration of transfer and exchange, and (iii) notices in respect of the Securities of that series and this Indenture may be given or made, such designation to continue with respect to such office or agency until the Company shall, by written notice in an Officer’s Certificate and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65" w:name="page66"/>
    <w:bookmarkEnd w:id="65"/>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delivered to the Trustee, designate some other office or agency for such purposes or any of them. If at any time the Company shall fail to maintain any such required office or agency or shall fail to furnish the Trustee with the address thereof, such presentations and notices may be made at the Corporate Trust Office of the Trustee, and the Company hereby appoints the Trustee as its agent to receive all such presentations and notices; provided, however, the Trustee shall not be considered an agent of the Company for service of process.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Paying Agents</w:t>
      </w:r>
      <w:r>
        <w:rPr>
          <w:rFonts w:ascii="Arial" w:cs="Arial" w:eastAsia="Arial" w:hAnsi="Arial"/>
          <w:sz w:val="18"/>
          <w:szCs w:val="18"/>
          <w:color w:val="auto"/>
        </w:rPr>
        <w:t>.</w:t>
      </w:r>
    </w:p>
    <w:p>
      <w:pPr>
        <w:spacing w:after="0" w:line="117" w:lineRule="exact"/>
        <w:rPr>
          <w:sz w:val="20"/>
          <w:szCs w:val="20"/>
          <w:color w:val="auto"/>
        </w:rPr>
      </w:pPr>
    </w:p>
    <w:p>
      <w:pPr>
        <w:ind w:firstLine="996"/>
        <w:spacing w:after="0" w:line="264" w:lineRule="auto"/>
        <w:tabs>
          <w:tab w:leader="none" w:pos="1237"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73" w:lineRule="exact"/>
        <w:rPr>
          <w:rFonts w:ascii="Arial" w:cs="Arial" w:eastAsia="Arial" w:hAnsi="Arial"/>
          <w:sz w:val="18"/>
          <w:szCs w:val="18"/>
          <w:color w:val="auto"/>
        </w:rPr>
      </w:pPr>
    </w:p>
    <w:p>
      <w:pPr>
        <w:ind w:left="440" w:firstLine="957"/>
        <w:spacing w:after="0" w:line="264" w:lineRule="auto"/>
        <w:tabs>
          <w:tab w:leader="none" w:pos="1647"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73" w:lineRule="exact"/>
        <w:rPr>
          <w:rFonts w:ascii="Arial" w:cs="Arial" w:eastAsia="Arial" w:hAnsi="Arial"/>
          <w:sz w:val="18"/>
          <w:szCs w:val="18"/>
          <w:color w:val="auto"/>
        </w:rPr>
      </w:pPr>
    </w:p>
    <w:p>
      <w:pPr>
        <w:ind w:left="440" w:right="580" w:firstLine="957"/>
        <w:spacing w:after="0" w:line="342" w:lineRule="auto"/>
        <w:tabs>
          <w:tab w:leader="none" w:pos="1647"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5" w:lineRule="exact"/>
        <w:rPr>
          <w:rFonts w:ascii="Arial" w:cs="Arial" w:eastAsia="Arial" w:hAnsi="Arial"/>
          <w:sz w:val="16"/>
          <w:szCs w:val="16"/>
          <w:color w:val="auto"/>
        </w:rPr>
      </w:pPr>
    </w:p>
    <w:p>
      <w:pPr>
        <w:ind w:left="440" w:right="20" w:firstLine="957"/>
        <w:spacing w:after="0" w:line="277" w:lineRule="auto"/>
        <w:tabs>
          <w:tab w:leader="none" w:pos="1647"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that it will, at any time during the continuance of any failure referred to in the preceding paragraph (a)(2) above, upon the written request of the Trustee, forthwith pay to the Trustee all sums so held in trust by such paying agent;</w:t>
      </w:r>
    </w:p>
    <w:p>
      <w:pPr>
        <w:spacing w:after="0" w:line="62" w:lineRule="exact"/>
        <w:rPr>
          <w:rFonts w:ascii="Arial" w:cs="Arial" w:eastAsia="Arial" w:hAnsi="Arial"/>
          <w:sz w:val="18"/>
          <w:szCs w:val="18"/>
          <w:color w:val="auto"/>
        </w:rPr>
      </w:pPr>
    </w:p>
    <w:p>
      <w:pPr>
        <w:ind w:left="440" w:right="500" w:firstLine="957"/>
        <w:spacing w:after="0" w:line="277" w:lineRule="auto"/>
        <w:tabs>
          <w:tab w:leader="none" w:pos="1647"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that upon any receivership, insolvency, liquidation, bankruptcy, reorganization, readjustment, arrangement, composition or judicial proceedings affecting the Company, the Trustee will automatically be the Paying Agent; and</w:t>
      </w:r>
    </w:p>
    <w:p>
      <w:pPr>
        <w:spacing w:after="0" w:line="62" w:lineRule="exact"/>
        <w:rPr>
          <w:rFonts w:ascii="Arial" w:cs="Arial" w:eastAsia="Arial" w:hAnsi="Arial"/>
          <w:sz w:val="18"/>
          <w:szCs w:val="18"/>
          <w:color w:val="auto"/>
        </w:rPr>
      </w:pPr>
    </w:p>
    <w:p>
      <w:pPr>
        <w:ind w:left="1660" w:hanging="263"/>
        <w:spacing w:after="0"/>
        <w:tabs>
          <w:tab w:leader="none" w:pos="16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that it will perform all other duties of paying agent as set forth in this Indenture.</w:t>
      </w:r>
    </w:p>
    <w:p>
      <w:pPr>
        <w:spacing w:after="0" w:line="117" w:lineRule="exact"/>
        <w:rPr>
          <w:rFonts w:ascii="Arial" w:cs="Arial" w:eastAsia="Arial" w:hAnsi="Arial"/>
          <w:sz w:val="18"/>
          <w:szCs w:val="18"/>
          <w:color w:val="auto"/>
        </w:rPr>
      </w:pPr>
    </w:p>
    <w:p>
      <w:pPr>
        <w:ind w:firstLine="996"/>
        <w:spacing w:after="0" w:line="290" w:lineRule="auto"/>
        <w:tabs>
          <w:tab w:leader="none" w:pos="1247" w:val="left"/>
        </w:tabs>
        <w:numPr>
          <w:ilvl w:val="0"/>
          <w:numId w:val="58"/>
        </w:numPr>
        <w:rPr>
          <w:rFonts w:ascii="Arial" w:cs="Arial" w:eastAsia="Arial" w:hAnsi="Arial"/>
          <w:sz w:val="16"/>
          <w:szCs w:val="16"/>
          <w:color w:val="auto"/>
        </w:rPr>
      </w:pPr>
      <w:r>
        <w:rPr>
          <w:rFonts w:ascii="Arial" w:cs="Arial" w:eastAsia="Arial" w:hAnsi="Arial"/>
          <w:sz w:val="16"/>
          <w:szCs w:val="16"/>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66" w:name="page67"/>
    <w:bookmarkEnd w:id="66"/>
    <w:p>
      <w:pPr>
        <w:ind w:firstLine="996"/>
        <w:spacing w:after="0" w:line="255" w:lineRule="auto"/>
        <w:tabs>
          <w:tab w:leader="none" w:pos="1237" w:val="left"/>
        </w:tabs>
        <w:numPr>
          <w:ilvl w:val="0"/>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Notwithstanding anything in this Section to the contrary, (i) the agreement to hold sums in trust as provided in this Section is subject to the provisions of </w:t>
      </w:r>
      <w:r>
        <w:rPr>
          <w:rFonts w:ascii="Arial" w:cs="Arial" w:eastAsia="Arial" w:hAnsi="Arial"/>
          <w:sz w:val="18"/>
          <w:szCs w:val="18"/>
          <w:u w:val="single" w:color="auto"/>
          <w:color w:val="auto"/>
        </w:rPr>
        <w:t>Section 11.05</w:t>
      </w:r>
      <w:r>
        <w:rPr>
          <w:rFonts w:ascii="Arial" w:cs="Arial" w:eastAsia="Arial" w:hAnsi="Arial"/>
          <w:sz w:val="18"/>
          <w:szCs w:val="18"/>
          <w:color w:val="auto"/>
        </w:rPr>
        <w:t>,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85" w:lineRule="exact"/>
        <w:rPr>
          <w:rFonts w:ascii="Arial" w:cs="Arial" w:eastAsia="Arial" w:hAnsi="Arial"/>
          <w:sz w:val="18"/>
          <w:szCs w:val="18"/>
          <w:color w:val="auto"/>
        </w:rPr>
      </w:pPr>
    </w:p>
    <w:p>
      <w:pPr>
        <w:ind w:left="1260" w:hanging="264"/>
        <w:spacing w:after="0"/>
        <w:tabs>
          <w:tab w:leader="none" w:pos="1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 initially appoints the Trustee at its Corporate Trust Office as its paying agent with respect to the Securities.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Appointment to Fill Vacancy in Office of Trustee</w:t>
      </w:r>
      <w:r>
        <w:rPr>
          <w:rFonts w:ascii="Arial" w:cs="Arial" w:eastAsia="Arial" w:hAnsi="Arial"/>
          <w:sz w:val="18"/>
          <w:szCs w:val="18"/>
          <w:color w:val="auto"/>
        </w:rPr>
        <w:t>.</w:t>
      </w:r>
    </w:p>
    <w:p>
      <w:pPr>
        <w:spacing w:after="0" w:line="117"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 xml:space="preserve">The Company, whenever necessary to avoid or fill a vacancy in the office of Trustee, will appoint, in the manner provided in </w:t>
      </w:r>
      <w:r>
        <w:rPr>
          <w:rFonts w:ascii="Arial" w:cs="Arial" w:eastAsia="Arial" w:hAnsi="Arial"/>
          <w:sz w:val="18"/>
          <w:szCs w:val="18"/>
          <w:u w:val="single" w:color="auto"/>
          <w:color w:val="auto"/>
        </w:rPr>
        <w:t>Section 7.10</w:t>
      </w:r>
      <w:r>
        <w:rPr>
          <w:rFonts w:ascii="Arial" w:cs="Arial" w:eastAsia="Arial" w:hAnsi="Arial"/>
          <w:sz w:val="18"/>
          <w:szCs w:val="18"/>
          <w:color w:val="auto"/>
        </w:rPr>
        <w:t>, a Trustee, so that there shall at all times be a Trustee 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Compliance with Consolidation Provisions</w:t>
      </w:r>
      <w:r>
        <w:rPr>
          <w:rFonts w:ascii="Arial" w:cs="Arial" w:eastAsia="Arial" w:hAnsi="Arial"/>
          <w:sz w:val="18"/>
          <w:szCs w:val="18"/>
          <w:color w:val="auto"/>
        </w:rPr>
        <w:t>.</w:t>
      </w:r>
    </w:p>
    <w:p>
      <w:pPr>
        <w:spacing w:after="0" w:line="117"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 xml:space="preserve">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hereof are complied with.</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SECURITYHOLDERS’ LISTS AND REPORTS BY THE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TRUSTEE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Company to Furnish Trustee Names and Addresses of Securityholder</w:t>
      </w:r>
      <w:r>
        <w:rPr>
          <w:rFonts w:ascii="Arial" w:cs="Arial" w:eastAsia="Arial" w:hAnsi="Arial"/>
          <w:sz w:val="18"/>
          <w:szCs w:val="18"/>
          <w:color w:val="auto"/>
        </w:rPr>
        <w:t>s.</w:t>
      </w:r>
    </w:p>
    <w:p>
      <w:pPr>
        <w:spacing w:after="0" w:line="117"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 xml:space="preserve">The Company will furnish or cause to be furnished to the Trustee (a) within 5 days after each regular record date (as defined in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a list, in such form as the Trustee may reasonably require, of the names and addresses of the holders of each series of Securities as of such regular record date,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Company shall not be obligated to furnish or cause to be furnished such list at any time that the list shall not differ in any respect from</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in either case, no such list need be furnished for any series for which the Trustee shall be the Security Registrar.</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Preservation Of Information; Communications With Securityholders</w:t>
      </w:r>
      <w:r>
        <w:rPr>
          <w:rFonts w:ascii="Arial" w:cs="Arial" w:eastAsia="Arial" w:hAnsi="Arial"/>
          <w:sz w:val="18"/>
          <w:szCs w:val="18"/>
          <w:color w:val="auto"/>
        </w:rPr>
        <w:t>.</w:t>
      </w:r>
    </w:p>
    <w:p>
      <w:pPr>
        <w:spacing w:after="0" w:line="117" w:lineRule="exact"/>
        <w:rPr>
          <w:sz w:val="20"/>
          <w:szCs w:val="20"/>
          <w:color w:val="auto"/>
        </w:rPr>
      </w:pPr>
    </w:p>
    <w:p>
      <w:pPr>
        <w:ind w:right="540" w:firstLine="996"/>
        <w:spacing w:after="0" w:line="286" w:lineRule="auto"/>
        <w:tabs>
          <w:tab w:leader="none" w:pos="1237"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The Trustee shall preserve, in as current a form as is reasonably practicable, all information as to the names and addresses of the holders of Securities contained in the most recent list furnished to it as provided in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and as to the names and addresses of holders of Securities received by the Trustee in its capacity as Security Registrar (if acting in such capacity).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67" w:name="page68"/>
    <w:bookmarkEnd w:id="67"/>
    <w:p>
      <w:pPr>
        <w:ind w:left="1260" w:hanging="264"/>
        <w:spacing w:after="0"/>
        <w:tabs>
          <w:tab w:leader="none" w:pos="1260" w:val="left"/>
        </w:tabs>
        <w:numPr>
          <w:ilvl w:val="0"/>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Trustee may destroy any list furnished to it as provided in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upon receipt of a new list so furnished.</w:t>
      </w:r>
    </w:p>
    <w:p>
      <w:pPr>
        <w:spacing w:after="0" w:line="117" w:lineRule="exact"/>
        <w:rPr>
          <w:rFonts w:ascii="Arial" w:cs="Arial" w:eastAsia="Arial" w:hAnsi="Arial"/>
          <w:sz w:val="18"/>
          <w:szCs w:val="18"/>
          <w:color w:val="auto"/>
        </w:rPr>
      </w:pPr>
    </w:p>
    <w:p>
      <w:pPr>
        <w:jc w:val="both"/>
        <w:ind w:right="60" w:firstLine="996"/>
        <w:spacing w:after="0" w:line="286" w:lineRule="auto"/>
        <w:tabs>
          <w:tab w:leader="none" w:pos="1237" w:val="left"/>
        </w:tabs>
        <w:numPr>
          <w:ilvl w:val="0"/>
          <w:numId w:val="61"/>
        </w:numPr>
        <w:rPr>
          <w:rFonts w:ascii="Arial" w:cs="Arial" w:eastAsia="Arial" w:hAnsi="Arial"/>
          <w:sz w:val="17"/>
          <w:szCs w:val="17"/>
          <w:color w:val="auto"/>
        </w:rPr>
      </w:pPr>
      <w:r>
        <w:rPr>
          <w:rFonts w:ascii="Arial" w:cs="Arial" w:eastAsia="Arial" w:hAnsi="Arial"/>
          <w:sz w:val="17"/>
          <w:szCs w:val="17"/>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Reports by the Company</w:t>
      </w:r>
      <w:r>
        <w:rPr>
          <w:rFonts w:ascii="Arial" w:cs="Arial" w:eastAsia="Arial" w:hAnsi="Arial"/>
          <w:sz w:val="18"/>
          <w:szCs w:val="18"/>
          <w:color w:val="auto"/>
        </w:rPr>
        <w:t>.</w:t>
      </w:r>
    </w:p>
    <w:p>
      <w:pPr>
        <w:spacing w:after="0" w:line="117" w:lineRule="exact"/>
        <w:rPr>
          <w:sz w:val="20"/>
          <w:szCs w:val="20"/>
          <w:color w:val="auto"/>
        </w:rPr>
      </w:pPr>
    </w:p>
    <w:p>
      <w:pPr>
        <w:ind w:right="40" w:firstLine="996"/>
        <w:spacing w:after="0" w:line="269" w:lineRule="auto"/>
        <w:tabs>
          <w:tab w:leader="none" w:pos="1237" w:val="left"/>
        </w:tabs>
        <w:numPr>
          <w:ilvl w:val="0"/>
          <w:numId w:val="62"/>
        </w:numPr>
        <w:rPr>
          <w:rFonts w:ascii="Arial" w:cs="Arial" w:eastAsia="Arial" w:hAnsi="Arial"/>
          <w:sz w:val="17"/>
          <w:szCs w:val="17"/>
          <w:color w:val="auto"/>
        </w:rPr>
      </w:pPr>
      <w:r>
        <w:rPr>
          <w:rFonts w:ascii="Arial" w:cs="Arial" w:eastAsia="Arial" w:hAnsi="Arial"/>
          <w:sz w:val="17"/>
          <w:szCs w:val="17"/>
          <w:color w:val="auto"/>
        </w:rPr>
        <w:t xml:space="preserve">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the Company shall not be required to deliver to the Trustee any materials for which the Company has sought and received confidential treatment by the Commission;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so long as such filings by the Company are available on the Commission’s Electronic Data Gathering, Analysis and Retrieval System (EDGAR), or Interactive Data Electronic Applications (IDEA), or any successor system, such filings shall be deemed to have been filed with the Trustee for purposes hereof without any further action required by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 electronic link to such filing, together with an electronic notice of such filing have been sent to the Trustee it being understood that the Trustee shall have no responsibility to determine whether such filings have been made. For the avoidance of doubt, a failure by the Company to file annual reports, information and other reports with the Commission within the time period prescribed thereof by the Commission shall not be deemed a breach of this </w:t>
      </w:r>
      <w:r>
        <w:rPr>
          <w:rFonts w:ascii="Arial" w:cs="Arial" w:eastAsia="Arial" w:hAnsi="Arial"/>
          <w:sz w:val="17"/>
          <w:szCs w:val="17"/>
          <w:u w:val="single" w:color="auto"/>
          <w:color w:val="auto"/>
        </w:rPr>
        <w:t>Section 5.03</w:t>
      </w: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ind w:right="40" w:firstLine="996"/>
        <w:spacing w:after="0" w:line="259" w:lineRule="auto"/>
        <w:tabs>
          <w:tab w:leader="none" w:pos="1247"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Delivery of reports, information and documents to the Trustee under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Reports by the Trustee</w:t>
      </w:r>
      <w:r>
        <w:rPr>
          <w:rFonts w:ascii="Arial" w:cs="Arial" w:eastAsia="Arial" w:hAnsi="Arial"/>
          <w:sz w:val="18"/>
          <w:szCs w:val="18"/>
          <w:color w:val="auto"/>
        </w:rPr>
        <w:t>.</w:t>
      </w:r>
    </w:p>
    <w:p>
      <w:pPr>
        <w:spacing w:after="0" w:line="117" w:lineRule="exact"/>
        <w:rPr>
          <w:sz w:val="20"/>
          <w:szCs w:val="20"/>
          <w:color w:val="auto"/>
        </w:rPr>
      </w:pPr>
    </w:p>
    <w:p>
      <w:pPr>
        <w:ind w:firstLine="996"/>
        <w:spacing w:after="0" w:line="259" w:lineRule="auto"/>
        <w:tabs>
          <w:tab w:leader="none" w:pos="1237"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required by Section 313(a) of the Trust Indenture Act, the Trustee, within sixty (60) days after each May 15, commencing the calendar year after the year in which the first Securities are issued hereunder, shall transmit by mail, first class postage prepaid, to the Securityholders, as their names and addresses appear upon the Security Register, a brief report dated as of such May 15, which complies with Section 313(a) of the Trust Indenture Act.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68" w:name="page69"/>
    <w:bookmarkEnd w:id="68"/>
    <w:p>
      <w:pPr>
        <w:ind w:left="1240" w:hanging="264"/>
        <w:spacing w:after="0"/>
        <w:tabs>
          <w:tab w:leader="none" w:pos="1240"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Trustee shall comply with Section 313(b) and 313(c) of the Trust Indenture Act.</w:t>
      </w:r>
    </w:p>
    <w:p>
      <w:pPr>
        <w:spacing w:after="0" w:line="117" w:lineRule="exact"/>
        <w:rPr>
          <w:rFonts w:ascii="Arial" w:cs="Arial" w:eastAsia="Arial" w:hAnsi="Arial"/>
          <w:sz w:val="18"/>
          <w:szCs w:val="18"/>
          <w:color w:val="auto"/>
        </w:rPr>
      </w:pPr>
    </w:p>
    <w:p>
      <w:pPr>
        <w:ind w:left="-20" w:right="120" w:firstLine="996"/>
        <w:spacing w:after="0" w:line="264" w:lineRule="auto"/>
        <w:tabs>
          <w:tab w:leader="none" w:pos="1217"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in writing when any Securities become listed on any securities exchange or of any delisting thereof.</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REMEDIES OF THE TRUSTEE AND SECURITYHOLDERS 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EVENT OF DEFAULT</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113" w:lineRule="exact"/>
        <w:rPr>
          <w:sz w:val="20"/>
          <w:szCs w:val="20"/>
          <w:color w:val="auto"/>
        </w:rPr>
      </w:pPr>
    </w:p>
    <w:p>
      <w:pPr>
        <w:ind w:left="-20" w:right="80" w:firstLine="444"/>
        <w:spacing w:after="0" w:line="282" w:lineRule="auto"/>
        <w:tabs>
          <w:tab w:leader="none" w:pos="665" w:val="left"/>
        </w:tabs>
        <w:numPr>
          <w:ilvl w:val="0"/>
          <w:numId w:val="65"/>
        </w:numPr>
        <w:rPr>
          <w:rFonts w:ascii="Arial" w:cs="Arial" w:eastAsia="Arial" w:hAnsi="Arial"/>
          <w:sz w:val="18"/>
          <w:szCs w:val="18"/>
          <w:color w:val="auto"/>
        </w:rPr>
      </w:pPr>
      <w:r>
        <w:rPr>
          <w:rFonts w:ascii="Arial" w:cs="Arial" w:eastAsia="Arial" w:hAnsi="Arial"/>
          <w:sz w:val="18"/>
          <w:szCs w:val="18"/>
          <w:color w:val="auto"/>
        </w:rPr>
        <w:t>Whenever used herein with respect to Securities of a particular series, “</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one or more of the following events that has occurred and is continuing:</w:t>
      </w:r>
    </w:p>
    <w:p>
      <w:pPr>
        <w:spacing w:after="0" w:line="165" w:lineRule="exact"/>
        <w:rPr>
          <w:rFonts w:ascii="Arial" w:cs="Arial" w:eastAsia="Arial" w:hAnsi="Arial"/>
          <w:sz w:val="18"/>
          <w:szCs w:val="18"/>
          <w:color w:val="auto"/>
        </w:rPr>
      </w:pPr>
    </w:p>
    <w:p>
      <w:pPr>
        <w:jc w:val="both"/>
        <w:ind w:left="420" w:firstLine="957"/>
        <w:spacing w:after="0" w:line="259" w:lineRule="auto"/>
        <w:tabs>
          <w:tab w:leader="none" w:pos="1627"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the Company defaults in the payment of any installment of interest upon any of the Securities of that series, as and when the same shall become due and payable, and such default continues for a period of 90 days;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valid extension of an interest payment period by the Company in accordance with the terms of any indenture supplemental hereto shall not constitute a default in the payment of interest for this purpose;</w:t>
      </w:r>
    </w:p>
    <w:p>
      <w:pPr>
        <w:spacing w:after="0" w:line="186" w:lineRule="exact"/>
        <w:rPr>
          <w:rFonts w:ascii="Arial" w:cs="Arial" w:eastAsia="Arial" w:hAnsi="Arial"/>
          <w:sz w:val="18"/>
          <w:szCs w:val="18"/>
          <w:color w:val="auto"/>
        </w:rPr>
      </w:pPr>
    </w:p>
    <w:p>
      <w:pPr>
        <w:ind w:left="420" w:right="120" w:firstLine="957"/>
        <w:spacing w:after="0" w:line="302" w:lineRule="auto"/>
        <w:tabs>
          <w:tab w:leader="none" w:pos="1627" w:val="left"/>
        </w:tabs>
        <w:numPr>
          <w:ilvl w:val="1"/>
          <w:numId w:val="65"/>
        </w:numPr>
        <w:rPr>
          <w:rFonts w:ascii="Arial" w:cs="Arial" w:eastAsia="Arial" w:hAnsi="Arial"/>
          <w:sz w:val="16"/>
          <w:szCs w:val="16"/>
          <w:color w:val="auto"/>
        </w:rPr>
      </w:pPr>
      <w:r>
        <w:rPr>
          <w:rFonts w:ascii="Arial" w:cs="Arial" w:eastAsia="Arial" w:hAnsi="Arial"/>
          <w:sz w:val="16"/>
          <w:szCs w:val="16"/>
          <w:color w:val="auto"/>
        </w:rPr>
        <w:t xml:space="preserve">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valid extension of the maturity of such Securities in accordance with the terms of any indenture supplemental hereto shall not constitute a default in the payment of principal or premium, if any;</w:t>
      </w:r>
    </w:p>
    <w:p>
      <w:pPr>
        <w:spacing w:after="0" w:line="46" w:lineRule="exact"/>
        <w:rPr>
          <w:rFonts w:ascii="Arial" w:cs="Arial" w:eastAsia="Arial" w:hAnsi="Arial"/>
          <w:sz w:val="16"/>
          <w:szCs w:val="16"/>
          <w:color w:val="auto"/>
        </w:rPr>
      </w:pPr>
    </w:p>
    <w:p>
      <w:pPr>
        <w:ind w:left="420" w:firstLine="957"/>
        <w:spacing w:after="0" w:line="273" w:lineRule="auto"/>
        <w:tabs>
          <w:tab w:leader="none" w:pos="1627" w:val="left"/>
        </w:tabs>
        <w:numPr>
          <w:ilvl w:val="1"/>
          <w:numId w:val="65"/>
        </w:numPr>
        <w:rPr>
          <w:rFonts w:ascii="Arial" w:cs="Arial" w:eastAsia="Arial" w:hAnsi="Arial"/>
          <w:sz w:val="17"/>
          <w:szCs w:val="17"/>
          <w:color w:val="auto"/>
        </w:rPr>
      </w:pPr>
      <w:r>
        <w:rPr>
          <w:rFonts w:ascii="Arial" w:cs="Arial" w:eastAsia="Arial" w:hAnsi="Arial"/>
          <w:sz w:val="17"/>
          <w:szCs w:val="17"/>
          <w:color w:val="auto"/>
        </w:rPr>
        <w:t xml:space="preserve">the Company fails to observe or perform any other of its covenants or agreements with respect to that series contained in this Indenture or otherwise established with respect to that series of Securities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w:t>
      </w:r>
      <w:r>
        <w:rPr>
          <w:rFonts w:ascii="Arial" w:cs="Arial" w:eastAsia="Arial" w:hAnsi="Arial"/>
          <w:sz w:val="17"/>
          <w:szCs w:val="17"/>
          <w:b w:val="1"/>
          <w:bCs w:val="1"/>
          <w:color w:val="auto"/>
        </w:rPr>
        <w:t>Notice of Default</w:t>
      </w:r>
      <w:r>
        <w:rPr>
          <w:rFonts w:ascii="Arial" w:cs="Arial" w:eastAsia="Arial" w:hAnsi="Arial"/>
          <w:sz w:val="17"/>
          <w:szCs w:val="17"/>
          <w:color w:val="auto"/>
        </w:rPr>
        <w:t>” hereunder, shall have been given to the Company by the Trustee or to the Company and the Trustee by the holders of at least 25% in principal amount of the Securities of that series at the time Outstanding;</w:t>
      </w:r>
    </w:p>
    <w:p>
      <w:pPr>
        <w:spacing w:after="0" w:line="70" w:lineRule="exact"/>
        <w:rPr>
          <w:rFonts w:ascii="Arial" w:cs="Arial" w:eastAsia="Arial" w:hAnsi="Arial"/>
          <w:sz w:val="17"/>
          <w:szCs w:val="17"/>
          <w:color w:val="auto"/>
        </w:rPr>
      </w:pPr>
    </w:p>
    <w:p>
      <w:pPr>
        <w:ind w:left="420" w:firstLine="957"/>
        <w:spacing w:after="0" w:line="264" w:lineRule="auto"/>
        <w:tabs>
          <w:tab w:leader="none" w:pos="1627"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60" w:top="274" w:right="459" w:bottom="1440" w:gutter="0" w:footer="0" w:header="0"/>
        </w:sectPr>
      </w:pPr>
    </w:p>
    <w:bookmarkStart w:id="69" w:name="page70"/>
    <w:bookmarkEnd w:id="69"/>
    <w:p>
      <w:pPr>
        <w:ind w:left="436" w:right="60" w:firstLine="957"/>
        <w:spacing w:after="0" w:line="264" w:lineRule="auto"/>
        <w:tabs>
          <w:tab w:leader="none" w:pos="1643" w:val="left"/>
        </w:tabs>
        <w:numPr>
          <w:ilvl w:val="2"/>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73" w:lineRule="exact"/>
        <w:rPr>
          <w:rFonts w:ascii="Arial" w:cs="Arial" w:eastAsia="Arial" w:hAnsi="Arial"/>
          <w:sz w:val="18"/>
          <w:szCs w:val="18"/>
          <w:color w:val="auto"/>
        </w:rPr>
      </w:pPr>
    </w:p>
    <w:p>
      <w:pPr>
        <w:ind w:left="-4" w:right="80" w:firstLine="996"/>
        <w:spacing w:after="0" w:line="285" w:lineRule="auto"/>
        <w:tabs>
          <w:tab w:leader="none" w:pos="1243" w:val="left"/>
        </w:tabs>
        <w:numPr>
          <w:ilvl w:val="1"/>
          <w:numId w:val="67"/>
        </w:numPr>
        <w:rPr>
          <w:rFonts w:ascii="Arial" w:cs="Arial" w:eastAsia="Arial" w:hAnsi="Arial"/>
          <w:sz w:val="16"/>
          <w:szCs w:val="16"/>
          <w:color w:val="auto"/>
        </w:rPr>
      </w:pPr>
      <w:r>
        <w:rPr>
          <w:rFonts w:ascii="Arial" w:cs="Arial" w:eastAsia="Arial" w:hAnsi="Arial"/>
          <w:sz w:val="16"/>
          <w:szCs w:val="16"/>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w:t>
      </w:r>
    </w:p>
    <w:p>
      <w:pPr>
        <w:spacing w:after="0" w:line="2" w:lineRule="exact"/>
        <w:rPr>
          <w:rFonts w:ascii="Arial" w:cs="Arial" w:eastAsia="Arial" w:hAnsi="Arial"/>
          <w:sz w:val="16"/>
          <w:szCs w:val="16"/>
          <w:color w:val="auto"/>
        </w:rPr>
      </w:pPr>
    </w:p>
    <w:p>
      <w:pPr>
        <w:ind w:left="-4" w:right="60" w:firstLine="4"/>
        <w:spacing w:after="0" w:line="261" w:lineRule="auto"/>
        <w:tabs>
          <w:tab w:leader="none" w:pos="251" w:val="left"/>
        </w:tabs>
        <w:numPr>
          <w:ilvl w:val="0"/>
          <w:numId w:val="68"/>
        </w:numPr>
        <w:rPr>
          <w:rFonts w:ascii="Arial" w:cs="Arial" w:eastAsia="Arial" w:hAnsi="Arial"/>
          <w:sz w:val="18"/>
          <w:szCs w:val="18"/>
          <w:color w:val="auto"/>
        </w:rPr>
      </w:pPr>
      <w:r>
        <w:rPr>
          <w:rFonts w:ascii="Arial" w:cs="Arial" w:eastAsia="Arial" w:hAnsi="Arial"/>
          <w:sz w:val="18"/>
          <w:szCs w:val="18"/>
          <w:color w:val="auto"/>
        </w:rPr>
        <w:t>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75" w:lineRule="exact"/>
        <w:rPr>
          <w:rFonts w:ascii="Arial" w:cs="Arial" w:eastAsia="Arial" w:hAnsi="Arial"/>
          <w:sz w:val="18"/>
          <w:szCs w:val="18"/>
          <w:color w:val="auto"/>
        </w:rPr>
      </w:pPr>
    </w:p>
    <w:p>
      <w:pPr>
        <w:ind w:left="-4" w:firstLine="996"/>
        <w:spacing w:after="0" w:line="288" w:lineRule="auto"/>
        <w:tabs>
          <w:tab w:leader="none" w:pos="1233" w:val="left"/>
        </w:tabs>
        <w:numPr>
          <w:ilvl w:val="1"/>
          <w:numId w:val="68"/>
        </w:numPr>
        <w:rPr>
          <w:rFonts w:ascii="Arial" w:cs="Arial" w:eastAsia="Arial" w:hAnsi="Arial"/>
          <w:sz w:val="16"/>
          <w:szCs w:val="16"/>
          <w:color w:val="auto"/>
        </w:rPr>
      </w:pPr>
      <w:r>
        <w:rPr>
          <w:rFonts w:ascii="Arial" w:cs="Arial" w:eastAsia="Arial" w:hAnsi="Arial"/>
          <w:sz w:val="16"/>
          <w:szCs w:val="16"/>
          <w:color w:val="auto"/>
        </w:rPr>
        <w:t xml:space="preserve">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w:t>
      </w:r>
      <w:r>
        <w:rPr>
          <w:rFonts w:ascii="Arial" w:cs="Arial" w:eastAsia="Arial" w:hAnsi="Arial"/>
          <w:sz w:val="16"/>
          <w:szCs w:val="16"/>
          <w:u w:val="single" w:color="auto"/>
          <w:color w:val="auto"/>
        </w:rPr>
        <w:t>Section 6.06</w:t>
      </w:r>
      <w:r>
        <w:rPr>
          <w:rFonts w:ascii="Arial" w:cs="Arial" w:eastAsia="Arial" w:hAnsi="Arial"/>
          <w:sz w:val="16"/>
          <w:szCs w:val="16"/>
          <w:color w:val="auto"/>
        </w:rPr>
        <w:t>.</w:t>
      </w:r>
    </w:p>
    <w:p>
      <w:pPr>
        <w:spacing w:after="0" w:line="169" w:lineRule="exact"/>
        <w:rPr>
          <w:sz w:val="20"/>
          <w:szCs w:val="20"/>
          <w:color w:val="auto"/>
        </w:rPr>
      </w:pPr>
    </w:p>
    <w:p>
      <w:pPr>
        <w:ind w:left="436"/>
        <w:spacing w:after="0"/>
        <w:rPr>
          <w:sz w:val="20"/>
          <w:szCs w:val="20"/>
          <w:color w:val="auto"/>
        </w:rPr>
      </w:pPr>
      <w:r>
        <w:rPr>
          <w:rFonts w:ascii="Arial" w:cs="Arial" w:eastAsia="Arial" w:hAnsi="Arial"/>
          <w:sz w:val="18"/>
          <w:szCs w:val="18"/>
          <w:color w:val="auto"/>
        </w:rPr>
        <w:t>No such rescission and annulment shall extend to or shall affect any subsequent default or impair any right consequent thereon.</w:t>
      </w:r>
    </w:p>
    <w:p>
      <w:pPr>
        <w:spacing w:after="0" w:line="117" w:lineRule="exact"/>
        <w:rPr>
          <w:sz w:val="20"/>
          <w:szCs w:val="20"/>
          <w:color w:val="auto"/>
        </w:rPr>
      </w:pPr>
    </w:p>
    <w:p>
      <w:pPr>
        <w:ind w:left="-4" w:right="60" w:firstLine="996"/>
        <w:spacing w:after="0" w:line="257" w:lineRule="auto"/>
        <w:tabs>
          <w:tab w:leader="none" w:pos="1243"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21"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16"/>
          </w:cols>
          <w:pgMar w:left="444" w:top="274" w:right="439" w:bottom="1440" w:gutter="0" w:footer="0" w:header="0"/>
        </w:sectPr>
      </w:pPr>
    </w:p>
    <w:bookmarkStart w:id="70" w:name="page71"/>
    <w:bookmarkEnd w:id="70"/>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6.02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w:t>
      </w:r>
    </w:p>
    <w:p>
      <w:pPr>
        <w:spacing w:after="0" w:line="117" w:lineRule="exact"/>
        <w:rPr>
          <w:sz w:val="20"/>
          <w:szCs w:val="20"/>
          <w:color w:val="auto"/>
        </w:rPr>
      </w:pPr>
    </w:p>
    <w:p>
      <w:pPr>
        <w:ind w:left="-20" w:right="60" w:firstLine="996"/>
        <w:spacing w:after="0" w:line="273" w:lineRule="auto"/>
        <w:tabs>
          <w:tab w:leader="none" w:pos="1217"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The Company covenants that if an Event of Default described in Section 6.01(a) or 6.01(b) shall have occurred with respect to the Securities of any series,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w:t>
      </w:r>
      <w:r>
        <w:rPr>
          <w:rFonts w:ascii="Arial" w:cs="Arial" w:eastAsia="Arial" w:hAnsi="Arial"/>
          <w:sz w:val="17"/>
          <w:szCs w:val="17"/>
          <w:u w:val="single" w:color="auto"/>
          <w:color w:val="auto"/>
        </w:rPr>
        <w:t>Section 7.06</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20" w:firstLine="996"/>
        <w:spacing w:after="0" w:line="276" w:lineRule="auto"/>
        <w:tabs>
          <w:tab w:leader="none" w:pos="1227" w:val="left"/>
        </w:tabs>
        <w:numPr>
          <w:ilvl w:val="0"/>
          <w:numId w:val="70"/>
        </w:numPr>
        <w:rPr>
          <w:rFonts w:ascii="Arial" w:cs="Arial" w:eastAsia="Arial" w:hAnsi="Arial"/>
          <w:sz w:val="17"/>
          <w:szCs w:val="17"/>
          <w:color w:val="auto"/>
        </w:rPr>
      </w:pPr>
      <w:r>
        <w:rPr>
          <w:rFonts w:ascii="Arial" w:cs="Arial" w:eastAsia="Arial" w:hAnsi="Arial"/>
          <w:sz w:val="17"/>
          <w:szCs w:val="17"/>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64" w:lineRule="exact"/>
        <w:rPr>
          <w:rFonts w:ascii="Arial" w:cs="Arial" w:eastAsia="Arial" w:hAnsi="Arial"/>
          <w:sz w:val="17"/>
          <w:szCs w:val="17"/>
          <w:color w:val="auto"/>
        </w:rPr>
      </w:pPr>
    </w:p>
    <w:p>
      <w:pPr>
        <w:ind w:left="-20" w:right="20" w:firstLine="996"/>
        <w:spacing w:after="0" w:line="288" w:lineRule="auto"/>
        <w:tabs>
          <w:tab w:leader="none" w:pos="1217"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In case of any receivership, insolvency, liquidation, bankruptcy, reorganization, readjustment, arrangement, composition or judicial proceedings affecting the Company, or its creditors or property, irrespective of whether the Trustee shall have made any demand pursuant to this Section 6.02,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w:t>
      </w:r>
      <w:r>
        <w:rPr>
          <w:rFonts w:ascii="Arial" w:cs="Arial" w:eastAsia="Arial" w:hAnsi="Arial"/>
          <w:sz w:val="16"/>
          <w:szCs w:val="16"/>
          <w:u w:val="single" w:color="auto"/>
          <w:color w:val="auto"/>
        </w:rPr>
        <w:t>Section 7.06</w:t>
      </w:r>
      <w:r>
        <w:rPr>
          <w:rFonts w:ascii="Arial" w:cs="Arial" w:eastAsia="Arial" w:hAnsi="Arial"/>
          <w:sz w:val="16"/>
          <w:szCs w:val="16"/>
          <w:color w:val="auto"/>
        </w:rPr>
        <w:t>.</w:t>
      </w:r>
    </w:p>
    <w:p>
      <w:pPr>
        <w:spacing w:after="0" w:line="61" w:lineRule="exact"/>
        <w:rPr>
          <w:rFonts w:ascii="Arial" w:cs="Arial" w:eastAsia="Arial" w:hAnsi="Arial"/>
          <w:sz w:val="16"/>
          <w:szCs w:val="16"/>
          <w:color w:val="auto"/>
        </w:rPr>
      </w:pPr>
    </w:p>
    <w:p>
      <w:pPr>
        <w:ind w:left="-20" w:right="20" w:firstLine="996"/>
        <w:spacing w:after="0" w:line="257" w:lineRule="auto"/>
        <w:tabs>
          <w:tab w:leader="none" w:pos="1227"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w:t>
      </w:r>
      <w:r>
        <w:rPr>
          <w:rFonts w:ascii="Arial" w:cs="Arial" w:eastAsia="Arial" w:hAnsi="Arial"/>
          <w:sz w:val="18"/>
          <w:szCs w:val="18"/>
          <w:u w:val="single" w:color="auto"/>
          <w:color w:val="auto"/>
        </w:rPr>
        <w:t>Section 7.06</w:t>
      </w:r>
      <w:r>
        <w:rPr>
          <w:rFonts w:ascii="Arial" w:cs="Arial" w:eastAsia="Arial" w:hAnsi="Arial"/>
          <w:sz w:val="18"/>
          <w:szCs w:val="18"/>
          <w:color w:val="auto"/>
        </w:rPr>
        <w:t>, be for the ratable benefit of the holders of the Securities of such series.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60" w:top="274" w:right="439" w:bottom="1440" w:gutter="0" w:footer="0" w:header="0"/>
        </w:sectPr>
      </w:pPr>
    </w:p>
    <w:bookmarkStart w:id="71" w:name="page72"/>
    <w:bookmarkEnd w:id="71"/>
    <w:p>
      <w:pPr>
        <w:ind w:right="140" w:firstLine="441"/>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54"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Application of Moneys Collected</w:t>
      </w:r>
      <w:r>
        <w:rPr>
          <w:rFonts w:ascii="Arial" w:cs="Arial" w:eastAsia="Arial" w:hAnsi="Arial"/>
          <w:sz w:val="18"/>
          <w:szCs w:val="18"/>
          <w:color w:val="auto"/>
        </w:rPr>
        <w:t>.</w:t>
      </w:r>
    </w:p>
    <w:p>
      <w:pPr>
        <w:spacing w:after="0" w:line="117" w:lineRule="exact"/>
        <w:rPr>
          <w:sz w:val="20"/>
          <w:szCs w:val="20"/>
          <w:color w:val="auto"/>
        </w:rPr>
      </w:pPr>
    </w:p>
    <w:p>
      <w:pPr>
        <w:jc w:val="both"/>
        <w:ind w:right="60" w:firstLine="441"/>
        <w:spacing w:after="0" w:line="259" w:lineRule="auto"/>
        <w:rPr>
          <w:sz w:val="20"/>
          <w:szCs w:val="20"/>
          <w:color w:val="auto"/>
        </w:rPr>
      </w:pPr>
      <w:r>
        <w:rPr>
          <w:rFonts w:ascii="Arial" w:cs="Arial" w:eastAsia="Arial" w:hAnsi="Arial"/>
          <w:sz w:val="18"/>
          <w:szCs w:val="18"/>
          <w:color w:val="auto"/>
        </w:rPr>
        <w:t>Any moneys or properties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83" w:lineRule="exact"/>
        <w:rPr>
          <w:sz w:val="20"/>
          <w:szCs w:val="20"/>
          <w:color w:val="auto"/>
        </w:rPr>
      </w:pPr>
    </w:p>
    <w:p>
      <w:pPr>
        <w:ind w:right="180" w:firstLine="441"/>
        <w:spacing w:after="0" w:line="282" w:lineRule="auto"/>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To the payment of reasonable costs and expenses of collection and of all amounts payable to the Trustee, its agents and attorneys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Indenture;</w:t>
      </w:r>
    </w:p>
    <w:p>
      <w:pPr>
        <w:spacing w:after="0" w:line="162" w:lineRule="exact"/>
        <w:rPr>
          <w:sz w:val="20"/>
          <w:szCs w:val="20"/>
          <w:color w:val="auto"/>
        </w:rPr>
      </w:pPr>
    </w:p>
    <w:p>
      <w:pPr>
        <w:jc w:val="both"/>
        <w:ind w:firstLine="441"/>
        <w:spacing w:after="0" w:line="266"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To the payment of the amounts then due and unpaid upon Securities of such series for principal (and premium, if any) and interest,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To the payment of the remainder, if any, to the Company or any other Person lawfully entitled thereto.</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Limitation on Suits</w:t>
      </w:r>
      <w:r>
        <w:rPr>
          <w:rFonts w:ascii="Arial" w:cs="Arial" w:eastAsia="Arial" w:hAnsi="Arial"/>
          <w:sz w:val="18"/>
          <w:szCs w:val="18"/>
          <w:color w:val="auto"/>
        </w:rPr>
        <w:t>.</w:t>
      </w:r>
    </w:p>
    <w:p>
      <w:pPr>
        <w:spacing w:after="0" w:line="117" w:lineRule="exact"/>
        <w:rPr>
          <w:sz w:val="20"/>
          <w:szCs w:val="20"/>
          <w:color w:val="auto"/>
        </w:rPr>
      </w:pPr>
    </w:p>
    <w:p>
      <w:pPr>
        <w:ind w:right="100" w:firstLine="441"/>
        <w:spacing w:after="0" w:line="293" w:lineRule="auto"/>
        <w:rPr>
          <w:sz w:val="20"/>
          <w:szCs w:val="20"/>
          <w:color w:val="auto"/>
        </w:rPr>
      </w:pPr>
      <w:r>
        <w:rPr>
          <w:rFonts w:ascii="Arial" w:cs="Arial" w:eastAsia="Arial" w:hAnsi="Arial"/>
          <w:sz w:val="16"/>
          <w:szCs w:val="16"/>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72" w:name="page73"/>
    <w:bookmarkEnd w:id="72"/>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indemnity reasonably satisfactory to it as it may require against the costs, expenses, claims and liabilities to be incurred therein or thereby; (iv) the Trustee for 90 days after its receipt of such notice, request and offer of indemnity, shall have failed to institute any such action, suit or proceeding and</w:t>
      </w:r>
    </w:p>
    <w:p>
      <w:pPr>
        <w:ind w:right="880" w:firstLine="4"/>
        <w:spacing w:after="0" w:line="261" w:lineRule="auto"/>
        <w:tabs>
          <w:tab w:leader="none" w:pos="2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during such 90 day period, the holders of a majority in principal amount of the Securities of that series do not give the Trustee a direction inconsistent with the request.</w:t>
      </w:r>
    </w:p>
    <w:p>
      <w:pPr>
        <w:spacing w:after="0" w:line="184"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(it being understood that the Trustee does not have an affirmative duty to ascertain whether or not such actions or forbearances are unduly prejudicial to such holders),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Rights and Remedies Cumulative; Delay or Omission Not Waiver</w:t>
      </w:r>
      <w:r>
        <w:rPr>
          <w:rFonts w:ascii="Arial" w:cs="Arial" w:eastAsia="Arial" w:hAnsi="Arial"/>
          <w:sz w:val="18"/>
          <w:szCs w:val="18"/>
          <w:color w:val="auto"/>
        </w:rPr>
        <w:t>.</w:t>
      </w:r>
    </w:p>
    <w:p>
      <w:pPr>
        <w:spacing w:after="0" w:line="117" w:lineRule="exact"/>
        <w:rPr>
          <w:sz w:val="20"/>
          <w:szCs w:val="20"/>
          <w:color w:val="auto"/>
        </w:rPr>
      </w:pPr>
    </w:p>
    <w:p>
      <w:pPr>
        <w:ind w:firstLine="996"/>
        <w:spacing w:after="0" w:line="259" w:lineRule="auto"/>
        <w:tabs>
          <w:tab w:leader="none" w:pos="1237"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Section 2.07</w:t>
      </w:r>
      <w:r>
        <w:rPr>
          <w:rFonts w:ascii="Arial" w:cs="Arial" w:eastAsia="Arial" w:hAnsi="Arial"/>
          <w:sz w:val="18"/>
          <w:szCs w:val="18"/>
          <w:color w:val="auto"/>
        </w:rPr>
        <w:t>,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78" w:lineRule="exact"/>
        <w:rPr>
          <w:rFonts w:ascii="Arial" w:cs="Arial" w:eastAsia="Arial" w:hAnsi="Arial"/>
          <w:sz w:val="18"/>
          <w:szCs w:val="18"/>
          <w:color w:val="auto"/>
        </w:rPr>
      </w:pPr>
    </w:p>
    <w:p>
      <w:pPr>
        <w:ind w:right="40" w:firstLine="996"/>
        <w:spacing w:after="0" w:line="302" w:lineRule="auto"/>
        <w:tabs>
          <w:tab w:leader="none" w:pos="1247"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w:t>
      </w:r>
      <w:r>
        <w:rPr>
          <w:rFonts w:ascii="Arial" w:cs="Arial" w:eastAsia="Arial" w:hAnsi="Arial"/>
          <w:sz w:val="16"/>
          <w:szCs w:val="16"/>
          <w:u w:val="single" w:color="auto"/>
          <w:color w:val="auto"/>
        </w:rPr>
        <w:t>Section 6.04</w:t>
      </w:r>
      <w:r>
        <w:rPr>
          <w:rFonts w:ascii="Arial" w:cs="Arial" w:eastAsia="Arial" w:hAnsi="Arial"/>
          <w:sz w:val="16"/>
          <w:szCs w:val="16"/>
          <w:color w:val="auto"/>
        </w:rPr>
        <w:t>, every power and remedy given by this Article or by law to the Trustee or the Securityholders may be exercised from time to time, and as often as shall be deemed expedient, by the Trustee or by the Securityholders.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73" w:name="page74"/>
    <w:bookmarkEnd w:id="7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6.06 </w:t>
      </w:r>
      <w:r>
        <w:rPr>
          <w:rFonts w:ascii="Arial" w:cs="Arial" w:eastAsia="Arial" w:hAnsi="Arial"/>
          <w:sz w:val="18"/>
          <w:szCs w:val="18"/>
          <w:u w:val="single" w:color="auto"/>
          <w:color w:val="auto"/>
        </w:rPr>
        <w:t>Control by Securityholders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 xml:space="preserve">The holders of a majority in aggregate principal amount of the Securities of any series at the time Outstanding, determined in accordance with </w:t>
      </w:r>
      <w:r>
        <w:rPr>
          <w:rFonts w:ascii="Arial" w:cs="Arial" w:eastAsia="Arial" w:hAnsi="Arial"/>
          <w:sz w:val="17"/>
          <w:szCs w:val="17"/>
          <w:u w:val="single" w:color="auto"/>
          <w:color w:val="auto"/>
        </w:rPr>
        <w:t>Section 8.04</w:t>
      </w:r>
      <w:r>
        <w:rPr>
          <w:rFonts w:ascii="Arial" w:cs="Arial" w:eastAsia="Arial" w:hAnsi="Arial"/>
          <w:sz w:val="17"/>
          <w:szCs w:val="17"/>
          <w:color w:val="auto"/>
        </w:rPr>
        <w:t xml:space="preserve">, shall have the right to direct the time, method and place of conducting any proceeding for any remedy available to the Trustee, or exercising any trust or power conferred on the Trustee with respect to such series;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such direction shall not be in conflict with any rule of law or with this Indenture or subject the Trustee in its sole discretion to personal liability. The Trustee shall have the right to decline to follow any such direction if the Trustee in good faith shall determine that the proceeding so directed, subject to the Trustee’s duties under the Trust Indenture Act, would involve the Trustee in personal liability or might be unduly prejudicial to the Securityholders not involved in the proceeding. Prior to taking any action under this Indenture, the Trustee shall be entitled to indemnity or security satisfactory to it against loss, liability or expense that may be caused by taking such action. The holders of a majority in aggregate principal amount of the Securities of any series at the time Outstanding affected thereby, determined in accordance with </w:t>
      </w:r>
      <w:r>
        <w:rPr>
          <w:rFonts w:ascii="Arial" w:cs="Arial" w:eastAsia="Arial" w:hAnsi="Arial"/>
          <w:sz w:val="17"/>
          <w:szCs w:val="17"/>
          <w:u w:val="single" w:color="auto"/>
          <w:color w:val="auto"/>
        </w:rPr>
        <w:t>Section 8.04</w:t>
      </w:r>
      <w:r>
        <w:rPr>
          <w:rFonts w:ascii="Arial" w:cs="Arial" w:eastAsia="Arial" w:hAnsi="Arial"/>
          <w:sz w:val="17"/>
          <w:szCs w:val="17"/>
          <w:color w:val="auto"/>
        </w:rPr>
        <w:t xml:space="preserve">, may on behalf of the holders of all of the Securities of such series waive any past default in the performance of any of the covenants contained herein or established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w:t>
      </w:r>
      <w:r>
        <w:rPr>
          <w:rFonts w:ascii="Arial" w:cs="Arial" w:eastAsia="Arial" w:hAnsi="Arial"/>
          <w:sz w:val="17"/>
          <w:szCs w:val="17"/>
          <w:u w:val="single" w:color="auto"/>
          <w:color w:val="auto"/>
        </w:rPr>
        <w:t>Section 6.01(c)</w:t>
      </w:r>
      <w:r>
        <w:rPr>
          <w:rFonts w:ascii="Arial" w:cs="Arial" w:eastAsia="Arial" w:hAnsi="Arial"/>
          <w:sz w:val="17"/>
          <w:szCs w:val="17"/>
          <w:color w:val="auto"/>
        </w:rPr>
        <w:t>).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Undertaking to Pay Costs</w:t>
      </w:r>
      <w:r>
        <w:rPr>
          <w:rFonts w:ascii="Arial" w:cs="Arial" w:eastAsia="Arial" w:hAnsi="Arial"/>
          <w:sz w:val="18"/>
          <w:szCs w:val="18"/>
          <w:color w:val="auto"/>
        </w:rPr>
        <w:t>.</w:t>
      </w:r>
    </w:p>
    <w:p>
      <w:pPr>
        <w:spacing w:after="0" w:line="117" w:lineRule="exact"/>
        <w:rPr>
          <w:sz w:val="20"/>
          <w:szCs w:val="20"/>
          <w:color w:val="auto"/>
        </w:rPr>
      </w:pPr>
    </w:p>
    <w:p>
      <w:pPr>
        <w:ind w:right="40" w:firstLine="441"/>
        <w:spacing w:after="0" w:line="290" w:lineRule="auto"/>
        <w:rPr>
          <w:sz w:val="20"/>
          <w:szCs w:val="20"/>
          <w:color w:val="auto"/>
        </w:rPr>
      </w:pPr>
      <w:r>
        <w:rPr>
          <w:rFonts w:ascii="Arial" w:cs="Arial" w:eastAsia="Arial" w:hAnsi="Arial"/>
          <w:sz w:val="16"/>
          <w:szCs w:val="16"/>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CONCERNING THE TRUSTEE</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Certain Duties and Responsibilities of Trustee</w:t>
      </w:r>
      <w:r>
        <w:rPr>
          <w:rFonts w:ascii="Arial" w:cs="Arial" w:eastAsia="Arial" w:hAnsi="Arial"/>
          <w:sz w:val="18"/>
          <w:szCs w:val="18"/>
          <w:color w:val="auto"/>
        </w:rPr>
        <w:t>.</w:t>
      </w:r>
    </w:p>
    <w:p>
      <w:pPr>
        <w:spacing w:after="0" w:line="117" w:lineRule="exact"/>
        <w:rPr>
          <w:sz w:val="20"/>
          <w:szCs w:val="20"/>
          <w:color w:val="auto"/>
        </w:rPr>
      </w:pPr>
    </w:p>
    <w:p>
      <w:pPr>
        <w:ind w:left="-60" w:firstLine="996"/>
        <w:spacing w:after="0" w:line="293" w:lineRule="auto"/>
        <w:tabs>
          <w:tab w:leader="none" w:pos="1177"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person would exercise or use under the circumstances in the conduct of such person’s own affairs.</w:t>
      </w:r>
    </w:p>
    <w:p>
      <w:pPr>
        <w:spacing w:after="0" w:line="56" w:lineRule="exact"/>
        <w:rPr>
          <w:rFonts w:ascii="Arial" w:cs="Arial" w:eastAsia="Arial" w:hAnsi="Arial"/>
          <w:sz w:val="16"/>
          <w:szCs w:val="16"/>
          <w:color w:val="auto"/>
        </w:rPr>
      </w:pPr>
    </w:p>
    <w:p>
      <w:pPr>
        <w:ind w:left="-60" w:right="280" w:firstLine="996"/>
        <w:spacing w:after="0" w:line="277" w:lineRule="auto"/>
        <w:tabs>
          <w:tab w:leader="none" w:pos="1187"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62" w:lineRule="exact"/>
        <w:rPr>
          <w:rFonts w:ascii="Arial" w:cs="Arial" w:eastAsia="Arial" w:hAnsi="Arial"/>
          <w:sz w:val="18"/>
          <w:szCs w:val="18"/>
          <w:color w:val="auto"/>
        </w:rPr>
      </w:pPr>
    </w:p>
    <w:p>
      <w:pPr>
        <w:ind w:left="380" w:right="80" w:firstLine="957"/>
        <w:spacing w:after="0" w:line="277" w:lineRule="auto"/>
        <w:tabs>
          <w:tab w:leader="none" w:pos="1587" w:val="left"/>
        </w:tabs>
        <w:numPr>
          <w:ilvl w:val="1"/>
          <w:numId w:val="73"/>
        </w:numPr>
        <w:rPr>
          <w:rFonts w:ascii="Arial" w:cs="Arial" w:eastAsia="Arial" w:hAnsi="Arial"/>
          <w:sz w:val="18"/>
          <w:szCs w:val="18"/>
          <w:color w:val="auto"/>
        </w:rPr>
      </w:pPr>
      <w:r>
        <w:rPr>
          <w:rFonts w:ascii="Arial" w:cs="Arial" w:eastAsia="Arial" w:hAnsi="Arial"/>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62" w:lineRule="exact"/>
        <w:rPr>
          <w:rFonts w:ascii="Arial" w:cs="Arial" w:eastAsia="Arial" w:hAnsi="Arial"/>
          <w:sz w:val="18"/>
          <w:szCs w:val="18"/>
          <w:color w:val="auto"/>
        </w:rPr>
      </w:pPr>
    </w:p>
    <w:p>
      <w:pPr>
        <w:ind w:left="380" w:right="80" w:firstLine="1380"/>
        <w:spacing w:after="0" w:line="259" w:lineRule="auto"/>
        <w:tabs>
          <w:tab w:leader="none" w:pos="2050" w:val="left"/>
        </w:tabs>
        <w:numPr>
          <w:ilvl w:val="2"/>
          <w:numId w:val="73"/>
        </w:numPr>
        <w:rPr>
          <w:rFonts w:ascii="Arial" w:cs="Arial" w:eastAsia="Arial" w:hAnsi="Arial"/>
          <w:sz w:val="18"/>
          <w:szCs w:val="18"/>
          <w:color w:val="auto"/>
        </w:rPr>
      </w:pPr>
      <w:r>
        <w:rPr>
          <w:rFonts w:ascii="Arial" w:cs="Arial" w:eastAsia="Arial" w:hAnsi="Arial"/>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78" w:lineRule="exact"/>
        <w:rPr>
          <w:rFonts w:ascii="Arial" w:cs="Arial" w:eastAsia="Arial" w:hAnsi="Arial"/>
          <w:sz w:val="18"/>
          <w:szCs w:val="18"/>
          <w:color w:val="auto"/>
        </w:rPr>
      </w:pPr>
    </w:p>
    <w:p>
      <w:pPr>
        <w:ind w:left="380" w:right="20" w:firstLine="1380"/>
        <w:spacing w:after="0" w:line="255" w:lineRule="auto"/>
        <w:tabs>
          <w:tab w:leader="none" w:pos="2040" w:val="left"/>
        </w:tabs>
        <w:numPr>
          <w:ilvl w:val="2"/>
          <w:numId w:val="73"/>
        </w:numPr>
        <w:rPr>
          <w:rFonts w:ascii="Arial" w:cs="Arial" w:eastAsia="Arial" w:hAnsi="Arial"/>
          <w:sz w:val="18"/>
          <w:szCs w:val="18"/>
          <w:color w:val="auto"/>
        </w:rPr>
      </w:pPr>
      <w:r>
        <w:rPr>
          <w:rFonts w:ascii="Arial" w:cs="Arial" w:eastAsia="Arial" w:hAnsi="Arial"/>
          <w:sz w:val="18"/>
          <w:szCs w:val="18"/>
          <w:color w:val="auto"/>
        </w:rPr>
        <w:t>in the absence of willful misconduct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spacing w:after="0" w:line="85" w:lineRule="exact"/>
        <w:rPr>
          <w:rFonts w:ascii="Arial" w:cs="Arial" w:eastAsia="Arial" w:hAnsi="Arial"/>
          <w:sz w:val="18"/>
          <w:szCs w:val="18"/>
          <w:color w:val="auto"/>
        </w:rPr>
      </w:pPr>
    </w:p>
    <w:p>
      <w:pPr>
        <w:ind w:left="380" w:right="160" w:firstLine="957"/>
        <w:spacing w:after="0" w:line="277" w:lineRule="auto"/>
        <w:tabs>
          <w:tab w:leader="none" w:pos="1587"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62" w:lineRule="exact"/>
        <w:rPr>
          <w:rFonts w:ascii="Arial" w:cs="Arial" w:eastAsia="Arial" w:hAnsi="Arial"/>
          <w:sz w:val="18"/>
          <w:szCs w:val="18"/>
          <w:color w:val="auto"/>
        </w:rPr>
      </w:pPr>
    </w:p>
    <w:p>
      <w:pPr>
        <w:ind w:left="380" w:right="140" w:firstLine="957"/>
        <w:spacing w:after="0" w:line="259" w:lineRule="auto"/>
        <w:tabs>
          <w:tab w:leader="none" w:pos="1587"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78" w:lineRule="exact"/>
        <w:rPr>
          <w:rFonts w:ascii="Arial" w:cs="Arial" w:eastAsia="Arial" w:hAnsi="Arial"/>
          <w:sz w:val="18"/>
          <w:szCs w:val="18"/>
          <w:color w:val="auto"/>
        </w:rPr>
      </w:pPr>
    </w:p>
    <w:p>
      <w:pPr>
        <w:ind w:left="380" w:right="160" w:firstLine="957"/>
        <w:spacing w:after="0" w:line="259" w:lineRule="auto"/>
        <w:tabs>
          <w:tab w:leader="none" w:pos="1587" w:val="left"/>
        </w:tabs>
        <w:numPr>
          <w:ilvl w:val="1"/>
          <w:numId w:val="73"/>
        </w:numPr>
        <w:rPr>
          <w:rFonts w:ascii="Arial" w:cs="Arial" w:eastAsia="Arial" w:hAnsi="Arial"/>
          <w:sz w:val="18"/>
          <w:szCs w:val="18"/>
          <w:color w:val="auto"/>
        </w:rPr>
      </w:pPr>
      <w:r>
        <w:rPr>
          <w:rFonts w:ascii="Arial" w:cs="Arial" w:eastAsia="Arial" w:hAnsi="Arial"/>
          <w:sz w:val="18"/>
          <w:szCs w:val="18"/>
          <w:color w:val="auto"/>
        </w:rPr>
        <w:t>none of the provisions contained in this Indenture shall require the Trustee to expend or risk its own funds or otherwise incur personal or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20"/>
          </w:cols>
          <w:pgMar w:left="500" w:top="270" w:right="479" w:bottom="1440" w:gutter="0" w:footer="0" w:header="0"/>
        </w:sectPr>
      </w:pPr>
    </w:p>
    <w:bookmarkStart w:id="75" w:name="page76"/>
    <w:bookmarkEnd w:id="75"/>
    <w:p>
      <w:pPr>
        <w:ind w:left="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7.02 </w:t>
      </w:r>
      <w:r>
        <w:rPr>
          <w:rFonts w:ascii="Arial" w:cs="Arial" w:eastAsia="Arial" w:hAnsi="Arial"/>
          <w:sz w:val="18"/>
          <w:szCs w:val="18"/>
          <w:u w:val="single" w:color="auto"/>
          <w:color w:val="auto"/>
        </w:rPr>
        <w:t>Certain Rights of Trustee</w:t>
      </w:r>
      <w:r>
        <w:rPr>
          <w:rFonts w:ascii="Arial" w:cs="Arial" w:eastAsia="Arial" w:hAnsi="Arial"/>
          <w:sz w:val="18"/>
          <w:szCs w:val="18"/>
          <w:color w:val="auto"/>
        </w:rPr>
        <w:t>.</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117" w:lineRule="exact"/>
        <w:rPr>
          <w:sz w:val="20"/>
          <w:szCs w:val="20"/>
          <w:color w:val="auto"/>
        </w:rPr>
      </w:pPr>
    </w:p>
    <w:p>
      <w:pPr>
        <w:ind w:left="-60" w:right="80" w:firstLine="996"/>
        <w:spacing w:after="0" w:line="297" w:lineRule="auto"/>
        <w:tabs>
          <w:tab w:leader="none" w:pos="1177"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Trustee may rely and shall be protected in acting or refraining from acting upon any resolution, certificate, statement, instrument, opinion, report, notice, request, consent, order, approval, bond, security or other paper or document or other evidence of indebtedness believed by it to be genuine and to have been signed or presented by the proper party or parties. The Trustee need not investigate any fact or matter stated in the document. The Trustee shall receive and retain financial reports and statements of the Company to the extent provided herein, but shall have no duty to review or analyze such reports or statements to determine compliance with covenants or other obligations of the Company;</w:t>
      </w:r>
    </w:p>
    <w:p>
      <w:pPr>
        <w:spacing w:after="0" w:line="50" w:lineRule="exact"/>
        <w:rPr>
          <w:rFonts w:ascii="Arial" w:cs="Arial" w:eastAsia="Arial" w:hAnsi="Arial"/>
          <w:sz w:val="16"/>
          <w:szCs w:val="16"/>
          <w:color w:val="auto"/>
        </w:rPr>
      </w:pPr>
    </w:p>
    <w:p>
      <w:pPr>
        <w:ind w:left="-60" w:right="20" w:firstLine="996"/>
        <w:spacing w:after="0" w:line="264" w:lineRule="auto"/>
        <w:tabs>
          <w:tab w:leader="none" w:pos="1187"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73" w:lineRule="exact"/>
        <w:rPr>
          <w:rFonts w:ascii="Arial" w:cs="Arial" w:eastAsia="Arial" w:hAnsi="Arial"/>
          <w:sz w:val="18"/>
          <w:szCs w:val="18"/>
          <w:color w:val="auto"/>
        </w:rPr>
      </w:pPr>
    </w:p>
    <w:p>
      <w:pPr>
        <w:ind w:left="-60" w:right="100" w:firstLine="996"/>
        <w:spacing w:after="0" w:line="342" w:lineRule="auto"/>
        <w:tabs>
          <w:tab w:leader="none" w:pos="1177"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Trustee may consult with counsel of its selection and the advice of such counsel or, if requested, any Opinion of Counsel shall be full and complete authorization and protection in respect of any action taken or suffered or omitted hereunder in good faith and in reliance thereon;</w:t>
      </w:r>
    </w:p>
    <w:p>
      <w:pPr>
        <w:spacing w:after="0" w:line="15" w:lineRule="exact"/>
        <w:rPr>
          <w:rFonts w:ascii="Arial" w:cs="Arial" w:eastAsia="Arial" w:hAnsi="Arial"/>
          <w:sz w:val="16"/>
          <w:szCs w:val="16"/>
          <w:color w:val="auto"/>
        </w:rPr>
      </w:pPr>
    </w:p>
    <w:p>
      <w:pPr>
        <w:ind w:left="-60" w:firstLine="996"/>
        <w:spacing w:after="0" w:line="312" w:lineRule="auto"/>
        <w:tabs>
          <w:tab w:leader="none" w:pos="1187"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(and if requested, provided) to the Trustee security or indemnity satisfactory to it against the costs, expenses, claims and liabilities that may be incurred therein or thereby;</w:t>
      </w:r>
    </w:p>
    <w:p>
      <w:pPr>
        <w:spacing w:after="0" w:line="38" w:lineRule="exact"/>
        <w:rPr>
          <w:rFonts w:ascii="Arial" w:cs="Arial" w:eastAsia="Arial" w:hAnsi="Arial"/>
          <w:sz w:val="16"/>
          <w:szCs w:val="16"/>
          <w:color w:val="auto"/>
        </w:rPr>
      </w:pPr>
    </w:p>
    <w:p>
      <w:pPr>
        <w:ind w:left="-60" w:right="380" w:firstLine="996"/>
        <w:spacing w:after="0" w:line="277" w:lineRule="auto"/>
        <w:tabs>
          <w:tab w:leader="none" w:pos="1177"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62" w:lineRule="exact"/>
        <w:rPr>
          <w:rFonts w:ascii="Arial" w:cs="Arial" w:eastAsia="Arial" w:hAnsi="Arial"/>
          <w:sz w:val="18"/>
          <w:szCs w:val="18"/>
          <w:color w:val="auto"/>
        </w:rPr>
      </w:pPr>
    </w:p>
    <w:p>
      <w:pPr>
        <w:ind w:left="-60" w:right="160" w:firstLine="996"/>
        <w:spacing w:after="0" w:line="271" w:lineRule="auto"/>
        <w:tabs>
          <w:tab w:leader="none" w:pos="1157"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The Trustee shall not be bound to make any investigation into the facts or matters stated in any resolution, certificate, statement, instrument, opinion, report, notice, request, consent, order, approval, bond, security, or other papers or documents or other evidence of indebtedness, unless requested in writing so to do by the holders of not less than a majority in principal amount of the Outstanding Securities of the particular series affected thereby (determined as provided in </w:t>
      </w:r>
      <w:r>
        <w:rPr>
          <w:rFonts w:ascii="Arial" w:cs="Arial" w:eastAsia="Arial" w:hAnsi="Arial"/>
          <w:sz w:val="17"/>
          <w:szCs w:val="17"/>
          <w:u w:val="single" w:color="auto"/>
          <w:color w:val="auto"/>
        </w:rPr>
        <w:t>Section 8.04</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payment within a reasonable time to the Trustee of the costs, expenses, claims or liabilities likely to be incurred by it in the making of such investigation is, in the opinion of the Trustee, not reasonably assured to the Trustee by the security afforded to it by the terms of this Indenture, the Trustee may require indemnity or security satisfactory to it against such costs, expenses, claims or liabilities as a condition to so proceeding. The reasonable expense of every such examination shall be paid by the Company or, if paid by the Trustee, shall be repaid by the Company upon demand;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00"/>
          </w:cols>
          <w:pgMar w:left="500" w:top="274" w:right="499" w:bottom="1440" w:gutter="0" w:footer="0" w:header="0"/>
        </w:sectPr>
      </w:pPr>
    </w:p>
    <w:bookmarkStart w:id="76" w:name="page77"/>
    <w:bookmarkEnd w:id="76"/>
    <w:p>
      <w:pPr>
        <w:jc w:val="both"/>
        <w:ind w:right="80" w:firstLine="996"/>
        <w:spacing w:after="0" w:line="264" w:lineRule="auto"/>
        <w:tabs>
          <w:tab w:leader="none" w:pos="1247"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73" w:lineRule="exact"/>
        <w:rPr>
          <w:rFonts w:ascii="Arial" w:cs="Arial" w:eastAsia="Arial" w:hAnsi="Arial"/>
          <w:sz w:val="18"/>
          <w:szCs w:val="18"/>
          <w:color w:val="auto"/>
        </w:rPr>
      </w:pPr>
    </w:p>
    <w:p>
      <w:pPr>
        <w:ind w:right="60" w:firstLine="996"/>
        <w:spacing w:after="0" w:line="276" w:lineRule="auto"/>
        <w:tabs>
          <w:tab w:leader="none" w:pos="1247"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64" w:lineRule="exact"/>
        <w:rPr>
          <w:rFonts w:ascii="Arial" w:cs="Arial" w:eastAsia="Arial" w:hAnsi="Arial"/>
          <w:sz w:val="17"/>
          <w:szCs w:val="17"/>
          <w:color w:val="auto"/>
        </w:rPr>
      </w:pPr>
    </w:p>
    <w:p>
      <w:pPr>
        <w:ind w:right="240" w:firstLine="996"/>
        <w:spacing w:after="0" w:line="264" w:lineRule="auto"/>
        <w:tabs>
          <w:tab w:leader="none" w:pos="1207"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punitive, indirect, or consequential loss or damage of any kind whatsoever (including, but not limited to, loss of profit) irrespective of whether the Trustee has been advised of the likelihood of such loss or damage and regardless of the form of action;</w:t>
      </w:r>
    </w:p>
    <w:p>
      <w:pPr>
        <w:spacing w:after="0" w:line="73" w:lineRule="exact"/>
        <w:rPr>
          <w:rFonts w:ascii="Arial" w:cs="Arial" w:eastAsia="Arial" w:hAnsi="Arial"/>
          <w:sz w:val="18"/>
          <w:szCs w:val="18"/>
          <w:color w:val="auto"/>
        </w:rPr>
      </w:pPr>
    </w:p>
    <w:p>
      <w:pPr>
        <w:ind w:left="1220" w:hanging="224"/>
        <w:spacing w:after="0"/>
        <w:tabs>
          <w:tab w:leader="none" w:pos="12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permissive rights of the Trustee enumerated herein shall not be construed as duties;</w:t>
      </w:r>
    </w:p>
    <w:p>
      <w:pPr>
        <w:spacing w:after="0" w:line="117" w:lineRule="exact"/>
        <w:rPr>
          <w:rFonts w:ascii="Arial" w:cs="Arial" w:eastAsia="Arial" w:hAnsi="Arial"/>
          <w:sz w:val="18"/>
          <w:szCs w:val="18"/>
          <w:color w:val="auto"/>
        </w:rPr>
      </w:pPr>
    </w:p>
    <w:p>
      <w:pPr>
        <w:ind w:firstLine="996"/>
        <w:spacing w:after="0" w:line="277" w:lineRule="auto"/>
        <w:tabs>
          <w:tab w:leader="none" w:pos="1247"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Trustee may request that the Company deliver a certificate setting forth the names of individuals and/or titles of officers authorized at such time to take specified actions pursuant to this Indenture; and</w:t>
      </w:r>
    </w:p>
    <w:p>
      <w:pPr>
        <w:spacing w:after="0" w:line="62" w:lineRule="exact"/>
        <w:rPr>
          <w:rFonts w:ascii="Arial" w:cs="Arial" w:eastAsia="Arial" w:hAnsi="Arial"/>
          <w:sz w:val="18"/>
          <w:szCs w:val="18"/>
          <w:color w:val="auto"/>
        </w:rPr>
      </w:pPr>
    </w:p>
    <w:p>
      <w:pPr>
        <w:ind w:left="1220" w:hanging="224"/>
        <w:spacing w:after="0"/>
        <w:tabs>
          <w:tab w:leader="none" w:pos="12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Trustee shall not be required to give any bond or surety in respect of the performance of its powers and duties hereunder.</w:t>
      </w:r>
    </w:p>
    <w:p>
      <w:pPr>
        <w:spacing w:after="0" w:line="237" w:lineRule="exact"/>
        <w:rPr>
          <w:sz w:val="20"/>
          <w:szCs w:val="20"/>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In addition, the Trustee shall not be deemed to have knowledge of any Default or Event of Default until a Responsible Officer of the Trustee shall have received written notification in the manner set forth in this Indenture, and such notice references the Securities and this Indenture or a Responsible Officer of the Trustee shall have obtained actual knowledge.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Trustee Not Responsible for Recitals or Issuance or Securities</w:t>
      </w:r>
      <w:r>
        <w:rPr>
          <w:rFonts w:ascii="Arial" w:cs="Arial" w:eastAsia="Arial" w:hAnsi="Arial"/>
          <w:sz w:val="18"/>
          <w:szCs w:val="18"/>
          <w:color w:val="auto"/>
        </w:rPr>
        <w:t>.</w:t>
      </w:r>
    </w:p>
    <w:p>
      <w:pPr>
        <w:spacing w:after="0" w:line="117" w:lineRule="exact"/>
        <w:rPr>
          <w:sz w:val="20"/>
          <w:szCs w:val="20"/>
          <w:color w:val="auto"/>
        </w:rPr>
      </w:pPr>
    </w:p>
    <w:p>
      <w:pPr>
        <w:ind w:right="620" w:firstLine="996"/>
        <w:spacing w:after="0" w:line="277" w:lineRule="auto"/>
        <w:tabs>
          <w:tab w:leader="none" w:pos="1237"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recitals contained herein and in the Securities shall be taken as the statements of the Company, and the Trustee assumes no responsibility for the correctness of the same.</w:t>
      </w:r>
    </w:p>
    <w:p>
      <w:pPr>
        <w:spacing w:after="0" w:line="62" w:lineRule="exact"/>
        <w:rPr>
          <w:rFonts w:ascii="Arial" w:cs="Arial" w:eastAsia="Arial" w:hAnsi="Arial"/>
          <w:sz w:val="18"/>
          <w:szCs w:val="18"/>
          <w:color w:val="auto"/>
        </w:rPr>
      </w:pPr>
    </w:p>
    <w:p>
      <w:pPr>
        <w:ind w:left="1260" w:hanging="264"/>
        <w:spacing w:after="0"/>
        <w:tabs>
          <w:tab w:leader="none" w:pos="1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Trustee makes no representations as to the validity or sufficiency of this Indenture or of the Securities.</w:t>
      </w:r>
    </w:p>
    <w:p>
      <w:pPr>
        <w:spacing w:after="0" w:line="117" w:lineRule="exact"/>
        <w:rPr>
          <w:rFonts w:ascii="Arial" w:cs="Arial" w:eastAsia="Arial" w:hAnsi="Arial"/>
          <w:sz w:val="18"/>
          <w:szCs w:val="18"/>
          <w:color w:val="auto"/>
        </w:rPr>
      </w:pPr>
    </w:p>
    <w:p>
      <w:pPr>
        <w:ind w:right="420" w:firstLine="996"/>
        <w:spacing w:after="0" w:line="286" w:lineRule="auto"/>
        <w:tabs>
          <w:tab w:leader="none" w:pos="1237"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or for the use or application of any moneys received by any paying agent other than the Trustee.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77" w:name="page78"/>
    <w:bookmarkEnd w:id="7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7.04 </w:t>
      </w:r>
      <w:r>
        <w:rPr>
          <w:rFonts w:ascii="Arial" w:cs="Arial" w:eastAsia="Arial" w:hAnsi="Arial"/>
          <w:sz w:val="18"/>
          <w:szCs w:val="18"/>
          <w:u w:val="single" w:color="auto"/>
          <w:color w:val="auto"/>
        </w:rPr>
        <w:t>May Hold Securities</w:t>
      </w:r>
      <w:r>
        <w:rPr>
          <w:rFonts w:ascii="Arial" w:cs="Arial" w:eastAsia="Arial" w:hAnsi="Arial"/>
          <w:sz w:val="18"/>
          <w:szCs w:val="18"/>
          <w:color w:val="auto"/>
        </w:rPr>
        <w:t>.</w:t>
      </w:r>
    </w:p>
    <w:p>
      <w:pPr>
        <w:spacing w:after="0" w:line="117"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Moneys Held in Trust</w:t>
      </w:r>
      <w:r>
        <w:rPr>
          <w:rFonts w:ascii="Arial" w:cs="Arial" w:eastAsia="Arial" w:hAnsi="Arial"/>
          <w:sz w:val="18"/>
          <w:szCs w:val="18"/>
          <w:color w:val="auto"/>
        </w:rPr>
        <w:t>.</w:t>
      </w:r>
    </w:p>
    <w:p>
      <w:pPr>
        <w:spacing w:after="0" w:line="117" w:lineRule="exact"/>
        <w:rPr>
          <w:sz w:val="20"/>
          <w:szCs w:val="20"/>
          <w:color w:val="auto"/>
        </w:rPr>
      </w:pPr>
    </w:p>
    <w:p>
      <w:pPr>
        <w:ind w:right="80" w:firstLine="441"/>
        <w:spacing w:after="0" w:line="312" w:lineRule="auto"/>
        <w:rPr>
          <w:sz w:val="20"/>
          <w:szCs w:val="20"/>
          <w:color w:val="auto"/>
        </w:rPr>
      </w:pPr>
      <w:r>
        <w:rPr>
          <w:rFonts w:ascii="Arial" w:cs="Arial" w:eastAsia="Arial" w:hAnsi="Arial"/>
          <w:sz w:val="16"/>
          <w:szCs w:val="16"/>
          <w:color w:val="auto"/>
        </w:rPr>
        <w:t xml:space="preserve">Subject to the provisions of </w:t>
      </w:r>
      <w:r>
        <w:rPr>
          <w:rFonts w:ascii="Arial" w:cs="Arial" w:eastAsia="Arial" w:hAnsi="Arial"/>
          <w:sz w:val="16"/>
          <w:szCs w:val="16"/>
          <w:u w:val="single" w:color="auto"/>
          <w:color w:val="auto"/>
        </w:rPr>
        <w:t>Section 11.05</w:t>
      </w:r>
      <w:r>
        <w:rPr>
          <w:rFonts w:ascii="Arial" w:cs="Arial" w:eastAsia="Arial" w:hAnsi="Arial"/>
          <w:sz w:val="16"/>
          <w:szCs w:val="16"/>
          <w:color w:val="auto"/>
        </w:rPr>
        <w:t>,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in writing with the Company to pay thereon.</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Compensation and Reimbursement</w:t>
      </w:r>
      <w:r>
        <w:rPr>
          <w:rFonts w:ascii="Arial" w:cs="Arial" w:eastAsia="Arial" w:hAnsi="Arial"/>
          <w:sz w:val="18"/>
          <w:szCs w:val="18"/>
          <w:color w:val="auto"/>
        </w:rPr>
        <w:t>.</w:t>
      </w:r>
    </w:p>
    <w:p>
      <w:pPr>
        <w:spacing w:after="0" w:line="117" w:lineRule="exact"/>
        <w:rPr>
          <w:sz w:val="20"/>
          <w:szCs w:val="20"/>
          <w:color w:val="auto"/>
        </w:rPr>
      </w:pPr>
    </w:p>
    <w:p>
      <w:pPr>
        <w:ind w:firstLine="996"/>
        <w:spacing w:after="0" w:line="287" w:lineRule="auto"/>
        <w:tabs>
          <w:tab w:leader="none" w:pos="1237"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Company covenants and agrees to pay to the Trustee, and the Trustee shall be entitled to, such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and documented expenses, disbursements and advances incurred or made by the Trustee in accordance with any of the provisions of this Indenture (including the reasonable and documented fees and the expenses and disbursements of its counsel and of all Persons not regularly in its employ), except any such expense, disbursement or advance as may arise from its negligence or willful misconduct. The Company also covenants to indemnify the Trustee (and its officers, agents, directors and employees) for, and to hold it harmless against, any documented loss, liability or expense, including reasonable and documented attorneys’ fees, incurred without negligence or willful misconduct on the part of the Trustee and arising out of or in connection with the acceptance or administration of this trust, including the reasonable and documented costs and expenses of defending itself against any claim of liability in the premises (whether asserted by the Company, or any holder or any other Person) or liability in connection with the exercise or performance of any of its powers or duties hereunder, or in connection with enforcing the provisions of this Section.</w:t>
      </w:r>
    </w:p>
    <w:p>
      <w:pPr>
        <w:spacing w:after="0" w:line="60" w:lineRule="exact"/>
        <w:rPr>
          <w:rFonts w:ascii="Arial" w:cs="Arial" w:eastAsia="Arial" w:hAnsi="Arial"/>
          <w:sz w:val="16"/>
          <w:szCs w:val="16"/>
          <w:color w:val="auto"/>
        </w:rPr>
      </w:pPr>
    </w:p>
    <w:p>
      <w:pPr>
        <w:ind w:right="60" w:firstLine="996"/>
        <w:spacing w:after="0" w:line="259" w:lineRule="auto"/>
        <w:tabs>
          <w:tab w:leader="none" w:pos="1247"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to compensate and indemnify the Trustee and to pay or reimburse the Trustee for reasonable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78" w:name="page79"/>
    <w:bookmarkEnd w:id="78"/>
    <w:p>
      <w:pPr>
        <w:ind w:right="140" w:firstLine="996"/>
        <w:spacing w:after="0" w:line="255" w:lineRule="auto"/>
        <w:tabs>
          <w:tab w:leader="none" w:pos="1237" w:val="left"/>
        </w:tabs>
        <w:numPr>
          <w:ilvl w:val="0"/>
          <w:numId w:val="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ensure the Company’s payment obligations in this Section, the Trustee shall have a lien prior to the Securities on all funds or property held or collected by the Trustee, except that held in trust to pay principal of, premium, if any, or interest on particular Securities. When the Trustee incurs expenses or renders services in connection with an Event of Default specified in </w:t>
      </w:r>
      <w:r>
        <w:rPr>
          <w:rFonts w:ascii="Arial" w:cs="Arial" w:eastAsia="Arial" w:hAnsi="Arial"/>
          <w:sz w:val="18"/>
          <w:szCs w:val="18"/>
          <w:u w:val="single" w:color="auto"/>
          <w:color w:val="auto"/>
        </w:rPr>
        <w:t>Section 6.01(a)(4)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w:t>
      </w:r>
      <w:r>
        <w:rPr>
          <w:rFonts w:ascii="Arial" w:cs="Arial" w:eastAsia="Arial" w:hAnsi="Arial"/>
          <w:sz w:val="18"/>
          <w:szCs w:val="18"/>
          <w:color w:val="auto"/>
        </w:rPr>
        <w:t xml:space="preserve">, the expenses (including the reasonable fees and expenses of its counsel) and the compensation for services in connection therewith are to constitute expenses of administration under any Bankruptcy Law. The provisions of this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shall survive the termination of this Indenture and the earlier resignation or removal of the Trustee.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Reliance on Officer’s Certificate or Opinion of Counsel</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 xml:space="preserve">Except as otherwise provided in </w:t>
      </w:r>
      <w:r>
        <w:rPr>
          <w:rFonts w:ascii="Arial" w:cs="Arial" w:eastAsia="Arial" w:hAnsi="Arial"/>
          <w:sz w:val="17"/>
          <w:szCs w:val="17"/>
          <w:u w:val="single" w:color="auto"/>
          <w:color w:val="auto"/>
        </w:rPr>
        <w:t>Section 7.01</w:t>
      </w:r>
      <w:r>
        <w:rPr>
          <w:rFonts w:ascii="Arial" w:cs="Arial" w:eastAsia="Arial" w:hAnsi="Arial"/>
          <w:sz w:val="17"/>
          <w:szCs w:val="17"/>
          <w:color w:val="auto"/>
        </w:rPr>
        <w:t>,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willful misconduct on the part of the Trustee, be deemed to be conclusively proved and established by an Officer’s Certificate and Opinion of Counsel delivered to the Trustee and such certificate and opinion, in the absence of negligence or willful misconduct on the part of the Trustee, shall be full warrant to the Trustee for any action taken, suffered or omitted to be taken by it under the provisions of this Indenture upon the faith thereof.</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Disqualification; Conflicting Interests</w:t>
      </w:r>
      <w:r>
        <w:rPr>
          <w:rFonts w:ascii="Arial" w:cs="Arial" w:eastAsia="Arial" w:hAnsi="Arial"/>
          <w:sz w:val="18"/>
          <w:szCs w:val="18"/>
          <w:color w:val="auto"/>
        </w:rPr>
        <w:t>.</w:t>
      </w:r>
    </w:p>
    <w:p>
      <w:pPr>
        <w:spacing w:after="0" w:line="117"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Corporate Trustee Required; Eligibility</w:t>
      </w:r>
      <w:r>
        <w:rPr>
          <w:rFonts w:ascii="Arial" w:cs="Arial" w:eastAsia="Arial" w:hAnsi="Arial"/>
          <w:sz w:val="18"/>
          <w:szCs w:val="18"/>
          <w:color w:val="auto"/>
        </w:rPr>
        <w:t>.</w:t>
      </w:r>
    </w:p>
    <w:p>
      <w:pPr>
        <w:spacing w:after="0" w:line="117" w:lineRule="exact"/>
        <w:rPr>
          <w:sz w:val="20"/>
          <w:szCs w:val="20"/>
          <w:color w:val="auto"/>
        </w:rPr>
      </w:pPr>
    </w:p>
    <w:p>
      <w:pPr>
        <w:jc w:val="both"/>
        <w:ind w:right="40" w:firstLine="441"/>
        <w:spacing w:after="0" w:line="302" w:lineRule="auto"/>
        <w:rPr>
          <w:sz w:val="20"/>
          <w:szCs w:val="20"/>
          <w:color w:val="auto"/>
        </w:rPr>
      </w:pPr>
      <w:r>
        <w:rPr>
          <w:rFonts w:ascii="Arial" w:cs="Arial" w:eastAsia="Arial" w:hAnsi="Arial"/>
          <w:sz w:val="16"/>
          <w:szCs w:val="16"/>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54"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 xml:space="preserve">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w:t>
      </w:r>
      <w:r>
        <w:rPr>
          <w:rFonts w:ascii="Arial" w:cs="Arial" w:eastAsia="Arial" w:hAnsi="Arial"/>
          <w:sz w:val="18"/>
          <w:szCs w:val="18"/>
          <w:u w:val="single" w:color="auto"/>
          <w:color w:val="auto"/>
        </w:rPr>
        <w:t>Section 7.10</w:t>
      </w:r>
      <w:r>
        <w:rPr>
          <w:rFonts w:ascii="Arial" w:cs="Arial" w:eastAsia="Arial" w:hAnsi="Arial"/>
          <w:sz w:val="18"/>
          <w:szCs w:val="18"/>
          <w:color w:val="auto"/>
        </w:rPr>
        <w:t>.</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274" w:right="479" w:bottom="1440" w:gutter="0" w:footer="0" w:header="0"/>
        </w:sectPr>
      </w:pPr>
    </w:p>
    <w:bookmarkStart w:id="79" w:name="page80"/>
    <w:bookmarkEnd w:id="7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7.10 </w:t>
      </w:r>
      <w:r>
        <w:rPr>
          <w:rFonts w:ascii="Arial" w:cs="Arial" w:eastAsia="Arial" w:hAnsi="Arial"/>
          <w:sz w:val="18"/>
          <w:szCs w:val="18"/>
          <w:u w:val="single" w:color="auto"/>
          <w:color w:val="auto"/>
        </w:rPr>
        <w:t>Resignation and Removal; Appointment of Successor</w:t>
      </w:r>
      <w:r>
        <w:rPr>
          <w:rFonts w:ascii="Arial" w:cs="Arial" w:eastAsia="Arial" w:hAnsi="Arial"/>
          <w:sz w:val="18"/>
          <w:szCs w:val="18"/>
          <w:color w:val="auto"/>
        </w:rPr>
        <w:t>.</w:t>
      </w:r>
    </w:p>
    <w:p>
      <w:pPr>
        <w:spacing w:after="0" w:line="117" w:lineRule="exact"/>
        <w:rPr>
          <w:sz w:val="20"/>
          <w:szCs w:val="20"/>
          <w:color w:val="auto"/>
        </w:rPr>
      </w:pPr>
    </w:p>
    <w:p>
      <w:pPr>
        <w:ind w:right="40" w:firstLine="996"/>
        <w:spacing w:after="0" w:line="270" w:lineRule="auto"/>
        <w:tabs>
          <w:tab w:leader="none" w:pos="1237"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Trustee or any successor hereafter appointed may at any time resign with respect to the Securities of one or more series by giving written notice thereof to the Company and by transmitting notice of resignation by electronic mail, or by first class postage prepaid mail,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69" w:lineRule="exact"/>
        <w:rPr>
          <w:rFonts w:ascii="Arial" w:cs="Arial" w:eastAsia="Arial" w:hAnsi="Arial"/>
          <w:sz w:val="17"/>
          <w:szCs w:val="17"/>
          <w:color w:val="auto"/>
        </w:rPr>
      </w:pPr>
    </w:p>
    <w:p>
      <w:pPr>
        <w:ind w:left="1260" w:hanging="264"/>
        <w:spacing w:after="0"/>
        <w:tabs>
          <w:tab w:leader="none" w:pos="1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case at any time any one of the following shall occur:</w:t>
      </w:r>
    </w:p>
    <w:p>
      <w:pPr>
        <w:spacing w:after="0" w:line="117" w:lineRule="exact"/>
        <w:rPr>
          <w:rFonts w:ascii="Arial" w:cs="Arial" w:eastAsia="Arial" w:hAnsi="Arial"/>
          <w:sz w:val="18"/>
          <w:szCs w:val="18"/>
          <w:color w:val="auto"/>
        </w:rPr>
      </w:pPr>
    </w:p>
    <w:p>
      <w:pPr>
        <w:ind w:left="440" w:right="540" w:firstLine="957"/>
        <w:spacing w:after="0" w:line="277" w:lineRule="auto"/>
        <w:tabs>
          <w:tab w:leader="none" w:pos="1607" w:val="left"/>
        </w:tabs>
        <w:numPr>
          <w:ilvl w:val="1"/>
          <w:numId w:val="79"/>
        </w:numPr>
        <w:rPr>
          <w:rFonts w:ascii="Arial" w:cs="Arial" w:eastAsia="Arial" w:hAnsi="Arial"/>
          <w:sz w:val="18"/>
          <w:szCs w:val="18"/>
          <w:color w:val="auto"/>
        </w:rPr>
      </w:pPr>
      <w:r>
        <w:rPr>
          <w:rFonts w:ascii="Arial" w:cs="Arial" w:eastAsia="Arial" w:hAnsi="Arial"/>
          <w:sz w:val="18"/>
          <w:szCs w:val="18"/>
          <w:color w:val="auto"/>
        </w:rPr>
        <w:t xml:space="preserve">the Trustee shall fail to comply with the provisions of </w:t>
      </w:r>
      <w:r>
        <w:rPr>
          <w:rFonts w:ascii="Arial" w:cs="Arial" w:eastAsia="Arial" w:hAnsi="Arial"/>
          <w:sz w:val="18"/>
          <w:szCs w:val="18"/>
          <w:u w:val="single" w:color="auto"/>
          <w:color w:val="auto"/>
        </w:rPr>
        <w:t>Section 7.08</w:t>
      </w:r>
      <w:r>
        <w:rPr>
          <w:rFonts w:ascii="Arial" w:cs="Arial" w:eastAsia="Arial" w:hAnsi="Arial"/>
          <w:sz w:val="18"/>
          <w:szCs w:val="18"/>
          <w:color w:val="auto"/>
        </w:rPr>
        <w:t xml:space="preserve"> after written request therefor by the Company or by any Securityholder who has been a bona fide holder of a Security or Securities for at least six months; or</w:t>
      </w:r>
    </w:p>
    <w:p>
      <w:pPr>
        <w:spacing w:after="0" w:line="62" w:lineRule="exact"/>
        <w:rPr>
          <w:rFonts w:ascii="Arial" w:cs="Arial" w:eastAsia="Arial" w:hAnsi="Arial"/>
          <w:sz w:val="18"/>
          <w:szCs w:val="18"/>
          <w:color w:val="auto"/>
        </w:rPr>
      </w:pPr>
    </w:p>
    <w:p>
      <w:pPr>
        <w:ind w:left="440" w:right="20" w:firstLine="957"/>
        <w:spacing w:after="0" w:line="277" w:lineRule="auto"/>
        <w:tabs>
          <w:tab w:leader="none" w:pos="1657" w:val="left"/>
        </w:tabs>
        <w:numPr>
          <w:ilvl w:val="1"/>
          <w:numId w:val="79"/>
        </w:numPr>
        <w:rPr>
          <w:rFonts w:ascii="Arial" w:cs="Arial" w:eastAsia="Arial" w:hAnsi="Arial"/>
          <w:sz w:val="18"/>
          <w:szCs w:val="18"/>
          <w:color w:val="auto"/>
        </w:rPr>
      </w:pPr>
      <w:r>
        <w:rPr>
          <w:rFonts w:ascii="Arial" w:cs="Arial" w:eastAsia="Arial" w:hAnsi="Arial"/>
          <w:sz w:val="18"/>
          <w:szCs w:val="18"/>
          <w:color w:val="auto"/>
        </w:rPr>
        <w:t xml:space="preserve">the Trustee shall cease to be eligible in accordance with the provisions of </w:t>
      </w: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and shall fail to resign after written request therefor by the Company or by any such Securityholder; or</w:t>
      </w:r>
    </w:p>
    <w:p>
      <w:pPr>
        <w:spacing w:after="0" w:line="62" w:lineRule="exact"/>
        <w:rPr>
          <w:rFonts w:ascii="Arial" w:cs="Arial" w:eastAsia="Arial" w:hAnsi="Arial"/>
          <w:sz w:val="18"/>
          <w:szCs w:val="18"/>
          <w:color w:val="auto"/>
        </w:rPr>
      </w:pPr>
    </w:p>
    <w:p>
      <w:pPr>
        <w:ind w:left="440" w:right="80" w:firstLine="957"/>
        <w:spacing w:after="0" w:line="286" w:lineRule="auto"/>
        <w:tabs>
          <w:tab w:leader="none" w:pos="1707" w:val="left"/>
        </w:tabs>
        <w:numPr>
          <w:ilvl w:val="1"/>
          <w:numId w:val="79"/>
        </w:numPr>
        <w:rPr>
          <w:rFonts w:ascii="Arial" w:cs="Arial" w:eastAsia="Arial" w:hAnsi="Arial"/>
          <w:sz w:val="17"/>
          <w:szCs w:val="17"/>
          <w:color w:val="auto"/>
        </w:rPr>
      </w:pPr>
      <w:r>
        <w:rPr>
          <w:rFonts w:ascii="Arial" w:cs="Arial" w:eastAsia="Arial" w:hAnsi="Arial"/>
          <w:sz w:val="17"/>
          <w:szCs w:val="17"/>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66"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50" w:lineRule="exact"/>
        <w:rPr>
          <w:sz w:val="20"/>
          <w:szCs w:val="20"/>
          <w:color w:val="auto"/>
        </w:rPr>
      </w:pPr>
    </w:p>
    <w:p>
      <w:pPr>
        <w:ind w:firstLine="996"/>
        <w:spacing w:after="0" w:line="264" w:lineRule="auto"/>
        <w:tabs>
          <w:tab w:leader="none" w:pos="1237"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80" w:name="page81"/>
    <w:bookmarkEnd w:id="80"/>
    <w:p>
      <w:pPr>
        <w:ind w:left="-100" w:right="80" w:firstLine="996"/>
        <w:spacing w:after="0" w:line="342" w:lineRule="auto"/>
        <w:tabs>
          <w:tab w:leader="none" w:pos="1147" w:val="left"/>
        </w:tabs>
        <w:numPr>
          <w:ilvl w:val="0"/>
          <w:numId w:val="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resignation or removal of the Trustee and appointment of a successor trustee with respect to the Securities of a series pursuant to any of the provisions of this Section shall become effective upon acceptance of appointment by the successor trustee as provided in </w:t>
      </w:r>
      <w:r>
        <w:rPr>
          <w:rFonts w:ascii="Arial" w:cs="Arial" w:eastAsia="Arial" w:hAnsi="Arial"/>
          <w:sz w:val="16"/>
          <w:szCs w:val="16"/>
          <w:u w:val="single" w:color="auto"/>
          <w:color w:val="auto"/>
        </w:rPr>
        <w:t>Section 7.11</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100" w:firstLine="996"/>
        <w:spacing w:after="0" w:line="277" w:lineRule="auto"/>
        <w:tabs>
          <w:tab w:leader="none" w:pos="1137"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Acceptance of Appointment By Successor</w:t>
      </w:r>
      <w:r>
        <w:rPr>
          <w:rFonts w:ascii="Arial" w:cs="Arial" w:eastAsia="Arial" w:hAnsi="Arial"/>
          <w:sz w:val="18"/>
          <w:szCs w:val="18"/>
          <w:color w:val="auto"/>
        </w:rPr>
        <w:t>.</w:t>
      </w:r>
    </w:p>
    <w:p>
      <w:pPr>
        <w:spacing w:after="0" w:line="117" w:lineRule="exact"/>
        <w:rPr>
          <w:sz w:val="20"/>
          <w:szCs w:val="20"/>
          <w:color w:val="auto"/>
        </w:rPr>
      </w:pPr>
    </w:p>
    <w:p>
      <w:pPr>
        <w:ind w:left="-100" w:right="40" w:firstLine="996"/>
        <w:spacing w:after="0" w:line="272" w:lineRule="auto"/>
        <w:tabs>
          <w:tab w:leader="none" w:pos="1137" w:val="left"/>
        </w:tabs>
        <w:numPr>
          <w:ilvl w:val="0"/>
          <w:numId w:val="82"/>
        </w:numPr>
        <w:rPr>
          <w:rFonts w:ascii="Arial" w:cs="Arial" w:eastAsia="Arial" w:hAnsi="Arial"/>
          <w:sz w:val="17"/>
          <w:szCs w:val="17"/>
          <w:color w:val="auto"/>
        </w:rPr>
      </w:pPr>
      <w:r>
        <w:rPr>
          <w:rFonts w:ascii="Arial" w:cs="Arial" w:eastAsia="Arial" w:hAnsi="Arial"/>
          <w:sz w:val="17"/>
          <w:szCs w:val="17"/>
          <w:color w:val="auto"/>
        </w:rPr>
        <w:t xml:space="preserve">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full payment of any amount then due it pursuant to </w:t>
      </w:r>
      <w:r>
        <w:rPr>
          <w:rFonts w:ascii="Arial" w:cs="Arial" w:eastAsia="Arial" w:hAnsi="Arial"/>
          <w:sz w:val="17"/>
          <w:szCs w:val="17"/>
          <w:u w:val="single" w:color="auto"/>
          <w:color w:val="auto"/>
        </w:rPr>
        <w:t>Section 7.06</w:t>
      </w:r>
      <w:r>
        <w:rPr>
          <w:rFonts w:ascii="Arial" w:cs="Arial" w:eastAsia="Arial" w:hAnsi="Arial"/>
          <w:sz w:val="17"/>
          <w:szCs w:val="17"/>
          <w:color w:val="auto"/>
        </w:rPr>
        <w:t>,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69" w:lineRule="exact"/>
        <w:rPr>
          <w:rFonts w:ascii="Arial" w:cs="Arial" w:eastAsia="Arial" w:hAnsi="Arial"/>
          <w:sz w:val="17"/>
          <w:szCs w:val="17"/>
          <w:color w:val="auto"/>
        </w:rPr>
      </w:pPr>
    </w:p>
    <w:p>
      <w:pPr>
        <w:ind w:left="-100" w:right="20" w:firstLine="996"/>
        <w:spacing w:after="0" w:line="285" w:lineRule="auto"/>
        <w:tabs>
          <w:tab w:leader="none" w:pos="1147"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840"/>
          </w:cols>
          <w:pgMar w:left="540" w:top="274" w:right="519" w:bottom="1440" w:gutter="0" w:footer="0" w:header="0"/>
        </w:sectPr>
      </w:pPr>
    </w:p>
    <w:bookmarkStart w:id="81" w:name="page82"/>
    <w:bookmarkEnd w:id="81"/>
    <w:p>
      <w:pPr>
        <w:ind w:right="140" w:firstLine="996"/>
        <w:spacing w:after="0" w:line="342" w:lineRule="auto"/>
        <w:tabs>
          <w:tab w:leader="none" w:pos="1237" w:val="left"/>
        </w:tabs>
        <w:numPr>
          <w:ilvl w:val="0"/>
          <w:numId w:val="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5" w:lineRule="exact"/>
        <w:rPr>
          <w:rFonts w:ascii="Arial" w:cs="Arial" w:eastAsia="Arial" w:hAnsi="Arial"/>
          <w:sz w:val="16"/>
          <w:szCs w:val="16"/>
          <w:color w:val="auto"/>
        </w:rPr>
      </w:pPr>
    </w:p>
    <w:p>
      <w:pPr>
        <w:ind w:right="320" w:firstLine="996"/>
        <w:spacing w:after="0" w:line="277" w:lineRule="auto"/>
        <w:tabs>
          <w:tab w:leader="none" w:pos="1247"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62" w:lineRule="exact"/>
        <w:rPr>
          <w:rFonts w:ascii="Arial" w:cs="Arial" w:eastAsia="Arial" w:hAnsi="Arial"/>
          <w:sz w:val="18"/>
          <w:szCs w:val="18"/>
          <w:color w:val="auto"/>
        </w:rPr>
      </w:pPr>
    </w:p>
    <w:p>
      <w:pPr>
        <w:ind w:firstLine="996"/>
        <w:spacing w:after="0" w:line="259" w:lineRule="auto"/>
        <w:tabs>
          <w:tab w:leader="none" w:pos="1237" w:val="left"/>
        </w:tabs>
        <w:numPr>
          <w:ilvl w:val="0"/>
          <w:numId w:val="83"/>
        </w:numPr>
        <w:rPr>
          <w:rFonts w:ascii="Arial" w:cs="Arial" w:eastAsia="Arial" w:hAnsi="Arial"/>
          <w:sz w:val="18"/>
          <w:szCs w:val="18"/>
          <w:color w:val="auto"/>
        </w:rPr>
      </w:pPr>
      <w:r>
        <w:rPr>
          <w:rFonts w:ascii="Arial" w:cs="Arial" w:eastAsia="Arial" w:hAnsi="Arial"/>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Merger, Conversion, Consolidation or Succession to Business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including the administration of the trust created by this Indenture, shall be the successor of the Trustee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corporation shall be qualified under the provisions of </w:t>
      </w:r>
      <w:r>
        <w:rPr>
          <w:rFonts w:ascii="Arial" w:cs="Arial" w:eastAsia="Arial" w:hAnsi="Arial"/>
          <w:sz w:val="16"/>
          <w:szCs w:val="16"/>
          <w:u w:val="single" w:color="auto"/>
          <w:color w:val="auto"/>
        </w:rPr>
        <w:t>Section 7.08</w:t>
      </w:r>
      <w:r>
        <w:rPr>
          <w:rFonts w:ascii="Arial" w:cs="Arial" w:eastAsia="Arial" w:hAnsi="Arial"/>
          <w:sz w:val="16"/>
          <w:szCs w:val="16"/>
          <w:color w:val="auto"/>
        </w:rPr>
        <w:t xml:space="preserve"> and eligible under the provisions of </w:t>
      </w:r>
      <w:r>
        <w:rPr>
          <w:rFonts w:ascii="Arial" w:cs="Arial" w:eastAsia="Arial" w:hAnsi="Arial"/>
          <w:sz w:val="16"/>
          <w:szCs w:val="16"/>
          <w:u w:val="single" w:color="auto"/>
          <w:color w:val="auto"/>
        </w:rPr>
        <w:t>Section 7.09</w:t>
      </w:r>
      <w:r>
        <w:rPr>
          <w:rFonts w:ascii="Arial" w:cs="Arial" w:eastAsia="Arial" w:hAnsi="Arial"/>
          <w:sz w:val="16"/>
          <w:szCs w:val="16"/>
          <w:color w:val="auto"/>
        </w:rPr>
        <w:t>,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Preferential Collection of Claims Against the Company</w:t>
      </w:r>
      <w:r>
        <w:rPr>
          <w:rFonts w:ascii="Arial" w:cs="Arial" w:eastAsia="Arial" w:hAnsi="Arial"/>
          <w:sz w:val="18"/>
          <w:szCs w:val="18"/>
          <w:color w:val="auto"/>
        </w:rPr>
        <w:t>.</w:t>
      </w:r>
    </w:p>
    <w:p>
      <w:pPr>
        <w:spacing w:after="0" w:line="117" w:lineRule="exact"/>
        <w:rPr>
          <w:sz w:val="20"/>
          <w:szCs w:val="20"/>
          <w:color w:val="auto"/>
        </w:rPr>
      </w:pPr>
    </w:p>
    <w:p>
      <w:pPr>
        <w:jc w:val="both"/>
        <w:ind w:right="280" w:firstLine="441"/>
        <w:spacing w:after="0" w:line="264" w:lineRule="auto"/>
        <w:rPr>
          <w:sz w:val="20"/>
          <w:szCs w:val="20"/>
          <w:color w:val="auto"/>
        </w:rPr>
      </w:pPr>
      <w:r>
        <w:rPr>
          <w:rFonts w:ascii="Arial" w:cs="Arial" w:eastAsia="Arial" w:hAnsi="Arial"/>
          <w:sz w:val="18"/>
          <w:szCs w:val="18"/>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Notice of Default</w:t>
      </w:r>
      <w:r>
        <w:rPr>
          <w:rFonts w:ascii="Arial" w:cs="Arial" w:eastAsia="Arial" w:hAnsi="Arial"/>
          <w:sz w:val="18"/>
          <w:szCs w:val="18"/>
          <w:color w:val="auto"/>
        </w:rPr>
        <w:t>.</w:t>
      </w:r>
    </w:p>
    <w:p>
      <w:pPr>
        <w:spacing w:after="0" w:line="117" w:lineRule="exact"/>
        <w:rPr>
          <w:sz w:val="20"/>
          <w:szCs w:val="20"/>
          <w:color w:val="auto"/>
        </w:rPr>
      </w:pPr>
    </w:p>
    <w:p>
      <w:pPr>
        <w:ind w:right="300" w:firstLine="441"/>
        <w:spacing w:after="0" w:line="264" w:lineRule="auto"/>
        <w:rPr>
          <w:sz w:val="20"/>
          <w:szCs w:val="20"/>
          <w:color w:val="auto"/>
        </w:rPr>
      </w:pPr>
      <w:r>
        <w:rPr>
          <w:rFonts w:ascii="Arial" w:cs="Arial" w:eastAsia="Arial" w:hAnsi="Arial"/>
          <w:sz w:val="18"/>
          <w:szCs w:val="18"/>
          <w:color w:val="auto"/>
        </w:rPr>
        <w:t>If any Event of Default occurs and is continuing and if such Event of Default is actually known to a Responsible Officer of the Trustee, the Trustee shall send to each Securityholder in the manner and to the extent provided in Section 313(c) of the Trust Indenture Act notice of the Event of Default within the later of 90 days after it occurs and 30 days after it is actually known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82" w:name="page83"/>
    <w:bookmarkEnd w:id="82"/>
    <w:p>
      <w:pPr>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a Responsible Officer of the Trustee or written notice of it is received by the Trustee, unless such Event of Default has been cured;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except in the case of a default in the payment of the principal of (or premium, if any) or interest on any Security, the Trustee shall be protected in withholding such notice if and so long as it in good faith determines that the withholding of such notice is in the interest of the Securityholders.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CONCERNING THE SECURITYHOLDERS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Evidence of Action by Securityholders</w:t>
      </w:r>
      <w:r>
        <w:rPr>
          <w:rFonts w:ascii="Arial" w:cs="Arial" w:eastAsia="Arial" w:hAnsi="Arial"/>
          <w:sz w:val="18"/>
          <w:szCs w:val="18"/>
          <w:color w:val="auto"/>
        </w:rPr>
        <w:t>.</w:t>
      </w:r>
    </w:p>
    <w:p>
      <w:pPr>
        <w:spacing w:after="0" w:line="117"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 xml:space="preserve">Whenever in this Indenture it is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8"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color w:val="auto"/>
        </w:rPr>
        <w:t xml:space="preserve">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Proof of Execution by Securityholders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342" w:lineRule="auto"/>
        <w:rPr>
          <w:sz w:val="20"/>
          <w:szCs w:val="20"/>
          <w:color w:val="auto"/>
        </w:rPr>
      </w:pPr>
      <w:r>
        <w:rPr>
          <w:rFonts w:ascii="Arial" w:cs="Arial" w:eastAsia="Arial" w:hAnsi="Arial"/>
          <w:sz w:val="16"/>
          <w:szCs w:val="16"/>
          <w:color w:val="auto"/>
        </w:rPr>
        <w:t xml:space="preserve">Subject to the provisions of </w:t>
      </w:r>
      <w:r>
        <w:rPr>
          <w:rFonts w:ascii="Arial" w:cs="Arial" w:eastAsia="Arial" w:hAnsi="Arial"/>
          <w:sz w:val="16"/>
          <w:szCs w:val="16"/>
          <w:u w:val="single" w:color="auto"/>
          <w:color w:val="auto"/>
        </w:rPr>
        <w:t>Section 7.01</w:t>
      </w:r>
      <w:r>
        <w:rPr>
          <w:rFonts w:ascii="Arial" w:cs="Arial" w:eastAsia="Arial" w:hAnsi="Arial"/>
          <w:sz w:val="16"/>
          <w:szCs w:val="16"/>
          <w:color w:val="auto"/>
        </w:rPr>
        <w:t>, proof of the execution of any instrument by a Securityholder (such proof will not require notarization) or his agent or proxy and proof of the holding by any Person of any of the Securities shall be sufficient if made in the following manner:</w:t>
      </w:r>
    </w:p>
    <w:p>
      <w:pPr>
        <w:spacing w:after="0" w:line="1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 The fact and date of the execution by any such Person of any instrument may be proved in any reasonable manner acceptable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103" w:lineRule="exact"/>
        <w:rPr>
          <w:sz w:val="20"/>
          <w:szCs w:val="20"/>
          <w:color w:val="auto"/>
        </w:rPr>
      </w:pPr>
    </w:p>
    <w:p>
      <w:pPr>
        <w:ind w:right="360" w:firstLine="996"/>
        <w:spacing w:after="0" w:line="308" w:lineRule="auto"/>
        <w:tabs>
          <w:tab w:leader="none" w:pos="1247"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ownership of Securities shall be proved by the Security Register of such Securities or by a certificate of the Security Registrar thereof. The Trustee may require such additional proof of any matter referred to in this Section as it shall deem necessary.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83" w:name="page84"/>
    <w:bookmarkEnd w:id="8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8.03 </w:t>
      </w:r>
      <w:r>
        <w:rPr>
          <w:rFonts w:ascii="Arial" w:cs="Arial" w:eastAsia="Arial" w:hAnsi="Arial"/>
          <w:sz w:val="18"/>
          <w:szCs w:val="18"/>
          <w:u w:val="single" w:color="auto"/>
          <w:color w:val="auto"/>
        </w:rPr>
        <w:t>Who May be Deemed Owners</w:t>
      </w:r>
      <w:r>
        <w:rPr>
          <w:rFonts w:ascii="Arial" w:cs="Arial" w:eastAsia="Arial" w:hAnsi="Arial"/>
          <w:sz w:val="18"/>
          <w:szCs w:val="18"/>
          <w:color w:val="auto"/>
        </w:rPr>
        <w:t>.</w:t>
      </w:r>
    </w:p>
    <w:p>
      <w:pPr>
        <w:spacing w:after="0" w:line="117"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 xml:space="preserve">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w:t>
      </w:r>
      <w:r>
        <w:rPr>
          <w:rFonts w:ascii="Arial" w:cs="Arial" w:eastAsia="Arial" w:hAnsi="Arial"/>
          <w:sz w:val="18"/>
          <w:szCs w:val="18"/>
          <w:u w:val="single" w:color="auto"/>
          <w:color w:val="auto"/>
        </w:rPr>
        <w:t>Section 2.03</w:t>
      </w:r>
      <w:r>
        <w:rPr>
          <w:rFonts w:ascii="Arial" w:cs="Arial" w:eastAsia="Arial" w:hAnsi="Arial"/>
          <w:sz w:val="18"/>
          <w:szCs w:val="18"/>
          <w:color w:val="auto"/>
        </w:rPr>
        <w:t>) interest on such Security and for all other purposes; and neither the Company nor the Trustee nor any paying agent nor any Security Registrar shall be affected by any notice to the contrary.</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Certain Securities Owned by Company Disregarded</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In determining whether the holders of the requisite aggregate principal amount of Securities of a particular series have concurred in any direction, consent, demand, authorization, notice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a Responsible Officer of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Actions Binding on Future Securityholders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At any time prior to (but not after) the evidencing to the Trustee, as provided in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w:t>
      </w:r>
      <w:r>
        <w:rPr>
          <w:rFonts w:ascii="Arial" w:cs="Arial" w:eastAsia="Arial" w:hAnsi="Arial"/>
          <w:sz w:val="17"/>
          <w:szCs w:val="17"/>
          <w:u w:val="single" w:color="auto"/>
          <w:color w:val="auto"/>
        </w:rPr>
        <w:t>Section 8.02</w:t>
      </w:r>
      <w:r>
        <w:rPr>
          <w:rFonts w:ascii="Arial" w:cs="Arial" w:eastAsia="Arial" w:hAnsi="Arial"/>
          <w:sz w:val="17"/>
          <w:szCs w:val="17"/>
          <w:color w:val="auto"/>
        </w:rPr>
        <w:t>,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40"/>
          </w:cols>
          <w:pgMar w:left="440" w:top="274" w:right="51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SUPPLEMENTAL INDENTURES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Supplemental Indentures Without the Consent of Securityholders</w:t>
      </w:r>
      <w:r>
        <w:rPr>
          <w:rFonts w:ascii="Arial" w:cs="Arial" w:eastAsia="Arial" w:hAnsi="Arial"/>
          <w:sz w:val="18"/>
          <w:szCs w:val="18"/>
          <w:color w:val="auto"/>
        </w:rPr>
        <w:t>.</w:t>
      </w:r>
    </w:p>
    <w:p>
      <w:pPr>
        <w:spacing w:after="0" w:line="117" w:lineRule="exact"/>
        <w:rPr>
          <w:sz w:val="20"/>
          <w:szCs w:val="20"/>
          <w:color w:val="auto"/>
        </w:rPr>
      </w:pPr>
    </w:p>
    <w:p>
      <w:pPr>
        <w:ind w:right="100" w:firstLine="441"/>
        <w:spacing w:after="0" w:line="286" w:lineRule="auto"/>
        <w:rPr>
          <w:sz w:val="20"/>
          <w:szCs w:val="20"/>
          <w:color w:val="auto"/>
        </w:rPr>
      </w:pPr>
      <w:r>
        <w:rPr>
          <w:rFonts w:ascii="Arial" w:cs="Arial" w:eastAsia="Arial" w:hAnsi="Arial"/>
          <w:sz w:val="17"/>
          <w:szCs w:val="17"/>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at any time Outstanding, for one or more of the following purposes:</w:t>
      </w:r>
    </w:p>
    <w:p>
      <w:pPr>
        <w:spacing w:after="0" w:line="57" w:lineRule="exact"/>
        <w:rPr>
          <w:sz w:val="20"/>
          <w:szCs w:val="20"/>
          <w:color w:val="auto"/>
        </w:rPr>
      </w:pPr>
    </w:p>
    <w:p>
      <w:pPr>
        <w:ind w:left="1240" w:hanging="244"/>
        <w:spacing w:after="0"/>
        <w:tabs>
          <w:tab w:leader="none" w:pos="12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cure any ambiguity, defect, or inconsistency herein or in the Securities of any series;</w:t>
      </w:r>
    </w:p>
    <w:p>
      <w:pPr>
        <w:spacing w:after="0" w:line="117" w:lineRule="exact"/>
        <w:rPr>
          <w:rFonts w:ascii="Arial" w:cs="Arial" w:eastAsia="Arial" w:hAnsi="Arial"/>
          <w:sz w:val="18"/>
          <w:szCs w:val="18"/>
          <w:color w:val="auto"/>
        </w:rPr>
      </w:pPr>
    </w:p>
    <w:p>
      <w:pPr>
        <w:ind w:left="1260" w:hanging="264"/>
        <w:spacing w:after="0"/>
        <w:tabs>
          <w:tab w:leader="none" w:pos="1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to comply with </w:t>
      </w:r>
      <w:r>
        <w:rPr>
          <w:rFonts w:ascii="Arial" w:cs="Arial" w:eastAsia="Arial" w:hAnsi="Arial"/>
          <w:sz w:val="18"/>
          <w:szCs w:val="18"/>
          <w:u w:val="single" w:color="auto"/>
          <w:color w:val="auto"/>
        </w:rPr>
        <w:t>Article 10</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40" w:hanging="244"/>
        <w:spacing w:after="0"/>
        <w:tabs>
          <w:tab w:leader="none" w:pos="12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17" w:lineRule="exact"/>
        <w:rPr>
          <w:rFonts w:ascii="Arial" w:cs="Arial" w:eastAsia="Arial" w:hAnsi="Arial"/>
          <w:sz w:val="18"/>
          <w:szCs w:val="18"/>
          <w:color w:val="auto"/>
        </w:rPr>
      </w:pPr>
    </w:p>
    <w:p>
      <w:pPr>
        <w:ind w:right="100" w:firstLine="996"/>
        <w:spacing w:after="0" w:line="257" w:lineRule="auto"/>
        <w:tabs>
          <w:tab w:leader="none" w:pos="124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80" w:lineRule="exact"/>
        <w:rPr>
          <w:rFonts w:ascii="Arial" w:cs="Arial" w:eastAsia="Arial" w:hAnsi="Arial"/>
          <w:sz w:val="18"/>
          <w:szCs w:val="18"/>
          <w:color w:val="auto"/>
        </w:rPr>
      </w:pPr>
    </w:p>
    <w:p>
      <w:pPr>
        <w:ind w:right="460" w:firstLine="996"/>
        <w:spacing w:after="0" w:line="277" w:lineRule="auto"/>
        <w:tabs>
          <w:tab w:leader="none" w:pos="123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Securities, as herein set forth;</w:t>
      </w:r>
    </w:p>
    <w:p>
      <w:pPr>
        <w:spacing w:after="0" w:line="62" w:lineRule="exact"/>
        <w:rPr>
          <w:rFonts w:ascii="Arial" w:cs="Arial" w:eastAsia="Arial" w:hAnsi="Arial"/>
          <w:sz w:val="18"/>
          <w:szCs w:val="18"/>
          <w:color w:val="auto"/>
        </w:rPr>
      </w:pPr>
    </w:p>
    <w:p>
      <w:pPr>
        <w:ind w:left="1220" w:hanging="224"/>
        <w:spacing w:after="0"/>
        <w:tabs>
          <w:tab w:leader="none" w:pos="12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 in any material respect;</w:t>
      </w:r>
    </w:p>
    <w:p>
      <w:pPr>
        <w:spacing w:after="0" w:line="117" w:lineRule="exact"/>
        <w:rPr>
          <w:rFonts w:ascii="Arial" w:cs="Arial" w:eastAsia="Arial" w:hAnsi="Arial"/>
          <w:sz w:val="18"/>
          <w:szCs w:val="18"/>
          <w:color w:val="auto"/>
        </w:rPr>
      </w:pPr>
    </w:p>
    <w:p>
      <w:pPr>
        <w:ind w:left="1260" w:hanging="264"/>
        <w:spacing w:after="0"/>
        <w:tabs>
          <w:tab w:leader="none" w:pos="12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the Securities of any series as provided in</w:t>
      </w:r>
    </w:p>
    <w:p>
      <w:pPr>
        <w:spacing w:after="0" w:line="3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u w:val="single" w:color="auto"/>
          <w:color w:val="auto"/>
        </w:rPr>
        <w:t>Section 2.01</w:t>
      </w:r>
      <w:r>
        <w:rPr>
          <w:rFonts w:ascii="Arial" w:cs="Arial" w:eastAsia="Arial" w:hAnsi="Arial"/>
          <w:sz w:val="18"/>
          <w:szCs w:val="18"/>
          <w:color w:val="auto"/>
        </w:rPr>
        <w:t>, to establish the form of any certifications required to be furnished pursuant to the terms of this Indenture or any series of Securities, or to add to the rights of the holders of any series of Securities;</w:t>
      </w:r>
    </w:p>
    <w:p>
      <w:pPr>
        <w:spacing w:after="0" w:line="76" w:lineRule="exact"/>
        <w:rPr>
          <w:sz w:val="20"/>
          <w:szCs w:val="20"/>
          <w:color w:val="auto"/>
        </w:rPr>
      </w:pPr>
    </w:p>
    <w:p>
      <w:pPr>
        <w:ind w:left="1260" w:hanging="264"/>
        <w:spacing w:after="0"/>
        <w:tabs>
          <w:tab w:leader="none" w:pos="12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to evidence and provide for the acceptance of appointment hereunder by a successor trustee or to appoint a separate trustee with respect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any series; or</w:t>
      </w:r>
    </w:p>
    <w:p>
      <w:pPr>
        <w:spacing w:after="0" w:line="102" w:lineRule="exact"/>
        <w:rPr>
          <w:rFonts w:ascii="Arial" w:cs="Arial" w:eastAsia="Arial" w:hAnsi="Arial"/>
          <w:sz w:val="16"/>
          <w:szCs w:val="16"/>
          <w:color w:val="auto"/>
        </w:rPr>
      </w:pPr>
    </w:p>
    <w:p>
      <w:pPr>
        <w:ind w:right="220" w:firstLine="996"/>
        <w:spacing w:after="0" w:line="277" w:lineRule="auto"/>
        <w:tabs>
          <w:tab w:leader="none" w:pos="1207" w:val="left"/>
        </w:tabs>
        <w:numPr>
          <w:ilvl w:val="0"/>
          <w:numId w:val="86"/>
        </w:numPr>
        <w:rPr>
          <w:rFonts w:ascii="Arial" w:cs="Arial" w:eastAsia="Arial" w:hAnsi="Arial"/>
          <w:sz w:val="18"/>
          <w:szCs w:val="18"/>
          <w:color w:val="auto"/>
        </w:rPr>
      </w:pPr>
      <w:r>
        <w:rPr>
          <w:rFonts w:ascii="Arial" w:cs="Arial" w:eastAsia="Arial" w:hAnsi="Arial"/>
          <w:sz w:val="18"/>
          <w:szCs w:val="18"/>
          <w:color w:val="auto"/>
        </w:rPr>
        <w:t>to comply with any requirements of the Commission or any successor in connection with the qualification of this Indenture under the Trust Indenture Act.</w:t>
      </w:r>
    </w:p>
    <w:p>
      <w:pPr>
        <w:spacing w:after="0" w:line="170" w:lineRule="exact"/>
        <w:rPr>
          <w:sz w:val="20"/>
          <w:szCs w:val="20"/>
          <w:color w:val="auto"/>
        </w:rPr>
      </w:pPr>
    </w:p>
    <w:p>
      <w:pPr>
        <w:jc w:val="both"/>
        <w:ind w:right="620" w:firstLine="441"/>
        <w:spacing w:after="0" w:line="264" w:lineRule="auto"/>
        <w:rPr>
          <w:sz w:val="20"/>
          <w:szCs w:val="20"/>
          <w:color w:val="auto"/>
        </w:rPr>
      </w:pPr>
      <w:r>
        <w:rPr>
          <w:rFonts w:ascii="Arial" w:cs="Arial" w:eastAsia="Arial" w:hAnsi="Arial"/>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70" w:right="439" w:bottom="1440" w:gutter="0" w:footer="0" w:header="0"/>
        </w:sectPr>
      </w:pPr>
    </w:p>
    <w:bookmarkStart w:id="85" w:name="page86"/>
    <w:bookmarkEnd w:id="85"/>
    <w:p>
      <w:pPr>
        <w:ind w:right="6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supplemental indenture authorized by the provisions of this Section may be executed by the Company and the Trustee without the consent of the holders of any of the Securities at the time Outstanding, notwithstanding any of the provisions of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Supplemental Indentures With Consent of Securityholders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 xml:space="preserve">With the consent (evidenced as provided in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the rights of the holders of the Securities of such series under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67" w:lineRule="exact"/>
        <w:rPr>
          <w:sz w:val="20"/>
          <w:szCs w:val="20"/>
          <w:color w:val="auto"/>
        </w:rPr>
      </w:pPr>
    </w:p>
    <w:p>
      <w:pPr>
        <w:jc w:val="both"/>
        <w:ind w:right="100" w:firstLine="441"/>
        <w:spacing w:after="0" w:line="312" w:lineRule="auto"/>
        <w:rPr>
          <w:sz w:val="20"/>
          <w:szCs w:val="20"/>
          <w:color w:val="auto"/>
        </w:rPr>
      </w:pPr>
      <w:r>
        <w:rPr>
          <w:rFonts w:ascii="Arial" w:cs="Arial" w:eastAsia="Arial" w:hAnsi="Arial"/>
          <w:sz w:val="16"/>
          <w:szCs w:val="16"/>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 The Trustee shall not be obligated to enter into any such supplemental indenture that affects the Trustee’s own rights, duties or immunities under this Indenture or otherwise.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Effect of Supplemental Indentures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Upon the execution of any supplemental indenture pursuant to the provisions of this Article or of </w:t>
      </w:r>
      <w:r>
        <w:rPr>
          <w:rFonts w:ascii="Arial" w:cs="Arial" w:eastAsia="Arial" w:hAnsi="Arial"/>
          <w:sz w:val="18"/>
          <w:szCs w:val="18"/>
          <w:u w:val="single" w:color="auto"/>
          <w:color w:val="auto"/>
        </w:rPr>
        <w:t>Section 10.01</w:t>
      </w:r>
      <w:r>
        <w:rPr>
          <w:rFonts w:ascii="Arial" w:cs="Arial" w:eastAsia="Arial" w:hAnsi="Arial"/>
          <w:sz w:val="18"/>
          <w:szCs w:val="18"/>
          <w:color w:val="auto"/>
        </w:rPr>
        <w:t>, this Indenture shall, with respect to such series only,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 with respect to such series.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Securities Affected by Supplemental Indentures</w:t>
      </w:r>
      <w:r>
        <w:rPr>
          <w:rFonts w:ascii="Arial" w:cs="Arial" w:eastAsia="Arial" w:hAnsi="Arial"/>
          <w:sz w:val="18"/>
          <w:szCs w:val="18"/>
          <w:color w:val="auto"/>
        </w:rPr>
        <w:t>.</w:t>
      </w:r>
    </w:p>
    <w:p>
      <w:pPr>
        <w:spacing w:after="0" w:line="117" w:lineRule="exact"/>
        <w:rPr>
          <w:sz w:val="20"/>
          <w:szCs w:val="20"/>
          <w:color w:val="auto"/>
        </w:rPr>
      </w:pPr>
    </w:p>
    <w:p>
      <w:pPr>
        <w:ind w:right="140" w:firstLine="441"/>
        <w:spacing w:after="0" w:line="273" w:lineRule="auto"/>
        <w:rPr>
          <w:sz w:val="20"/>
          <w:szCs w:val="20"/>
          <w:color w:val="auto"/>
        </w:rPr>
      </w:pPr>
      <w:r>
        <w:rPr>
          <w:rFonts w:ascii="Arial" w:cs="Arial" w:eastAsia="Arial" w:hAnsi="Arial"/>
          <w:sz w:val="17"/>
          <w:szCs w:val="17"/>
          <w:color w:val="auto"/>
        </w:rPr>
        <w:t xml:space="preserve">Securities of any series affected by a supplemental indenture, authenticated and delivered after the execution of such supplemental indenture pursuant to the provisions of this Article or of </w:t>
      </w:r>
      <w:r>
        <w:rPr>
          <w:rFonts w:ascii="Arial" w:cs="Arial" w:eastAsia="Arial" w:hAnsi="Arial"/>
          <w:sz w:val="17"/>
          <w:szCs w:val="17"/>
          <w:u w:val="single" w:color="auto"/>
          <w:color w:val="auto"/>
        </w:rPr>
        <w:t>Section 10.01</w:t>
      </w:r>
      <w:r>
        <w:rPr>
          <w:rFonts w:ascii="Arial" w:cs="Arial" w:eastAsia="Arial" w:hAnsi="Arial"/>
          <w:sz w:val="17"/>
          <w:szCs w:val="17"/>
          <w:color w:val="auto"/>
        </w:rPr>
        <w:t>,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86" w:name="page87"/>
    <w:bookmarkEnd w:id="8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9.05 </w:t>
      </w:r>
      <w:r>
        <w:rPr>
          <w:rFonts w:ascii="Arial" w:cs="Arial" w:eastAsia="Arial" w:hAnsi="Arial"/>
          <w:sz w:val="18"/>
          <w:szCs w:val="18"/>
          <w:u w:val="single" w:color="auto"/>
          <w:color w:val="auto"/>
        </w:rPr>
        <w:t>Execution of Supplemental Indentures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shall receive an Officer’s Certificate and an Opinion of Counsel as conclusive evidence that any supplemental indenture executed pursuant to this Article is authorized or permitted by the terms of this Article and that all conditions precedent to the execution of the supplemental indenture have been complied with and with respect to such Opinion of Counsel, that such supplemental indenture is the legal, valid and binding obligation of the Company, enforceable against each of them in accordance with its terms, subject to customary exceptions and qualifications.</w:t>
      </w:r>
    </w:p>
    <w:p>
      <w:pPr>
        <w:spacing w:after="0" w:line="166"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Promptly after the execution by the Company and the Trustee of any supplemental indenture pursuant to the provisions of this Article, the Company shall transmit by electronic mail, or by first class mail, postage prepaid, a notice, setting forth in general terms the substance of such supplemental indenture, to the Securityholders of all series affected thereby as their names and addresses appear upon the Security Register. Any failure of the Company to mail, or cause the mailing of, such notice, or any defect therein, shall not, however, in any way impair or affect the validity of any such supplemental indenture.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SUCCESSOR ENTITY</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Company May Consolidate, Etc</w:t>
      </w:r>
      <w:r>
        <w:rPr>
          <w:rFonts w:ascii="Arial" w:cs="Arial" w:eastAsia="Arial" w:hAnsi="Arial"/>
          <w:sz w:val="18"/>
          <w:szCs w:val="18"/>
          <w:color w:val="auto"/>
        </w:rPr>
        <w:t>.</w:t>
      </w:r>
    </w:p>
    <w:p>
      <w:pPr>
        <w:spacing w:after="0" w:line="117"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 xml:space="preserve">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(a)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4" w:right="439" w:bottom="1440" w:gutter="0" w:footer="0" w:header="0"/>
        </w:sectPr>
      </w:pPr>
    </w:p>
    <w:bookmarkStart w:id="87" w:name="page88"/>
    <w:bookmarkEnd w:id="87"/>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Indenture with respect to each series or established with respect to such series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to be kept or performed by the Company shall be expressly assumed, by supplemental indenture (which shall conform to the provisions of the Trust Indenture Act, as then in effect) executed and delivered to the Trustee by the entity formed by such consolidation, or into which the Company shall have been merged, or by the entity which shall have acquired such property and (b) in the event that the Securities of any series then Outstanding are convertible into or exchangeable for shares of common stock or other securities of the Company, such entity shall, by such supplemental indenture, make provision so that the Securityholders of Securities of that series shall thereafter be entitled to receive upon 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 If the Company is not the surviving entity of any such transaction, the Company or the continuing entity agrees to deliver to the Trustee an Officer’s Certificate and Opinion of Counsel stating that the transaction and the supplemental indenture complies with this Section 10.01 and that all conditions precedent herein relating to the transaction have been satisfied.</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Successor Entity Substituted</w:t>
      </w:r>
      <w:r>
        <w:rPr>
          <w:rFonts w:ascii="Arial" w:cs="Arial" w:eastAsia="Arial" w:hAnsi="Arial"/>
          <w:sz w:val="18"/>
          <w:szCs w:val="18"/>
          <w:color w:val="auto"/>
        </w:rPr>
        <w:t>.</w:t>
      </w:r>
    </w:p>
    <w:p>
      <w:pPr>
        <w:spacing w:after="0" w:line="117" w:lineRule="exact"/>
        <w:rPr>
          <w:sz w:val="20"/>
          <w:szCs w:val="20"/>
          <w:color w:val="auto"/>
        </w:rPr>
      </w:pPr>
    </w:p>
    <w:p>
      <w:pPr>
        <w:ind w:right="240" w:firstLine="996"/>
        <w:spacing w:after="0" w:line="302" w:lineRule="auto"/>
        <w:tabs>
          <w:tab w:leader="none" w:pos="1237"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In case of any such consolidation, merger, sale, conveyance, transfer or other disposition and upon the assumption by the successor entity by supplemental indenture, executed and delivered to the Trustee, of the obligations set forth under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46" w:lineRule="exact"/>
        <w:rPr>
          <w:rFonts w:ascii="Arial" w:cs="Arial" w:eastAsia="Arial" w:hAnsi="Arial"/>
          <w:sz w:val="16"/>
          <w:szCs w:val="16"/>
          <w:color w:val="auto"/>
        </w:rPr>
      </w:pPr>
    </w:p>
    <w:p>
      <w:pPr>
        <w:ind w:right="200" w:firstLine="996"/>
        <w:spacing w:after="0" w:line="277" w:lineRule="auto"/>
        <w:tabs>
          <w:tab w:leader="none" w:pos="1247"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62" w:lineRule="exact"/>
        <w:rPr>
          <w:rFonts w:ascii="Arial" w:cs="Arial" w:eastAsia="Arial" w:hAnsi="Arial"/>
          <w:sz w:val="18"/>
          <w:szCs w:val="18"/>
          <w:color w:val="auto"/>
        </w:rPr>
      </w:pPr>
    </w:p>
    <w:p>
      <w:pPr>
        <w:ind w:right="140" w:firstLine="996"/>
        <w:spacing w:after="0" w:line="264" w:lineRule="auto"/>
        <w:tabs>
          <w:tab w:leader="none" w:pos="1237"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SATISFACTION AND DISCHARGE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 xml:space="preserve"> .</w:t>
      </w:r>
    </w:p>
    <w:p>
      <w:pPr>
        <w:spacing w:after="0" w:line="117"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 xml:space="preserve">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w:t>
      </w:r>
      <w:r>
        <w:rPr>
          <w:rFonts w:ascii="Arial" w:cs="Arial" w:eastAsia="Arial" w:hAnsi="Arial"/>
          <w:sz w:val="18"/>
          <w:szCs w:val="18"/>
          <w:u w:val="single" w:color="auto"/>
          <w:color w:val="auto"/>
        </w:rPr>
        <w:t>Section 2.07</w:t>
      </w:r>
      <w:r>
        <w:rPr>
          <w:rFonts w:ascii="Arial" w:cs="Arial" w:eastAsia="Arial" w:hAnsi="Arial"/>
          <w:sz w:val="18"/>
          <w:szCs w:val="18"/>
          <w:color w:val="auto"/>
        </w:rPr>
        <w:t xml:space="preserve"> and Securities for whose payment money or Governmental Obligations have theretofore been deposited in trust or segregated and held in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4" w:right="439" w:bottom="1440" w:gutter="0" w:footer="0" w:header="0"/>
        </w:sectPr>
      </w:pPr>
    </w:p>
    <w:bookmarkStart w:id="88" w:name="page89"/>
    <w:bookmarkEnd w:id="88"/>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trust by the Company and thereupon repaid to the Company or discharged from such trust, as provided in </w:t>
      </w:r>
      <w:r>
        <w:rPr>
          <w:rFonts w:ascii="Arial" w:cs="Arial" w:eastAsia="Arial" w:hAnsi="Arial"/>
          <w:sz w:val="16"/>
          <w:szCs w:val="16"/>
          <w:u w:val="single" w:color="auto"/>
          <w:color w:val="auto"/>
        </w:rPr>
        <w:t>Section 11.05</w:t>
      </w:r>
      <w:r>
        <w:rPr>
          <w:rFonts w:ascii="Arial" w:cs="Arial" w:eastAsia="Arial" w:hAnsi="Arial"/>
          <w:sz w:val="16"/>
          <w:szCs w:val="16"/>
          <w:color w:val="auto"/>
        </w:rPr>
        <w:t xml:space="preserve">);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w:t>
      </w:r>
      <w:r>
        <w:rPr>
          <w:rFonts w:ascii="Arial" w:cs="Arial" w:eastAsia="Arial" w:hAnsi="Arial"/>
          <w:sz w:val="16"/>
          <w:szCs w:val="16"/>
          <w:u w:val="single" w:color="auto"/>
          <w:color w:val="auto"/>
        </w:rPr>
        <w:t>Sections 2.03</w:t>
      </w:r>
      <w:r>
        <w:rPr>
          <w:rFonts w:ascii="Arial" w:cs="Arial" w:eastAsia="Arial" w:hAnsi="Arial"/>
          <w:sz w:val="16"/>
          <w:szCs w:val="16"/>
          <w:color w:val="auto"/>
        </w:rPr>
        <w:t xml:space="preserve">, </w:t>
      </w:r>
      <w:r>
        <w:rPr>
          <w:rFonts w:ascii="Arial" w:cs="Arial" w:eastAsia="Arial" w:hAnsi="Arial"/>
          <w:sz w:val="16"/>
          <w:szCs w:val="16"/>
          <w:u w:val="single" w:color="auto"/>
          <w:color w:val="auto"/>
        </w:rPr>
        <w:t>2.05</w:t>
      </w:r>
      <w:r>
        <w:rPr>
          <w:rFonts w:ascii="Arial" w:cs="Arial" w:eastAsia="Arial" w:hAnsi="Arial"/>
          <w:sz w:val="16"/>
          <w:szCs w:val="16"/>
          <w:color w:val="auto"/>
        </w:rPr>
        <w:t xml:space="preserve">, </w:t>
      </w:r>
      <w:r>
        <w:rPr>
          <w:rFonts w:ascii="Arial" w:cs="Arial" w:eastAsia="Arial" w:hAnsi="Arial"/>
          <w:sz w:val="16"/>
          <w:szCs w:val="16"/>
          <w:u w:val="single" w:color="auto"/>
          <w:color w:val="auto"/>
        </w:rPr>
        <w:t>2.07</w:t>
      </w:r>
      <w:r>
        <w:rPr>
          <w:rFonts w:ascii="Arial" w:cs="Arial" w:eastAsia="Arial" w:hAnsi="Arial"/>
          <w:sz w:val="16"/>
          <w:szCs w:val="16"/>
          <w:color w:val="auto"/>
        </w:rPr>
        <w:t xml:space="preserve">, </w:t>
      </w:r>
      <w:r>
        <w:rPr>
          <w:rFonts w:ascii="Arial" w:cs="Arial" w:eastAsia="Arial" w:hAnsi="Arial"/>
          <w:sz w:val="16"/>
          <w:szCs w:val="16"/>
          <w:u w:val="single" w:color="auto"/>
          <w:color w:val="auto"/>
        </w:rPr>
        <w:t>4.01</w:t>
      </w:r>
      <w:r>
        <w:rPr>
          <w:rFonts w:ascii="Arial" w:cs="Arial" w:eastAsia="Arial" w:hAnsi="Arial"/>
          <w:sz w:val="16"/>
          <w:szCs w:val="16"/>
          <w:color w:val="auto"/>
        </w:rPr>
        <w:t xml:space="preserve">, </w:t>
      </w:r>
      <w:r>
        <w:rPr>
          <w:rFonts w:ascii="Arial" w:cs="Arial" w:eastAsia="Arial" w:hAnsi="Arial"/>
          <w:sz w:val="16"/>
          <w:szCs w:val="16"/>
          <w:u w:val="single" w:color="auto"/>
          <w:color w:val="auto"/>
        </w:rPr>
        <w:t>4.02</w:t>
      </w:r>
      <w:r>
        <w:rPr>
          <w:rFonts w:ascii="Arial" w:cs="Arial" w:eastAsia="Arial" w:hAnsi="Arial"/>
          <w:sz w:val="16"/>
          <w:szCs w:val="16"/>
          <w:color w:val="auto"/>
        </w:rPr>
        <w:t>,</w:t>
      </w:r>
    </w:p>
    <w:p>
      <w:pPr>
        <w:spacing w:after="0" w:line="7" w:lineRule="exact"/>
        <w:rPr>
          <w:sz w:val="20"/>
          <w:szCs w:val="20"/>
          <w:color w:val="auto"/>
        </w:rPr>
      </w:pPr>
    </w:p>
    <w:p>
      <w:pPr>
        <w:jc w:val="both"/>
        <w:ind w:right="60"/>
        <w:spacing w:after="0" w:line="277" w:lineRule="auto"/>
        <w:rPr>
          <w:sz w:val="20"/>
          <w:szCs w:val="20"/>
          <w:color w:val="auto"/>
        </w:rPr>
      </w:pPr>
      <w:r>
        <w:rPr>
          <w:rFonts w:ascii="Arial" w:cs="Arial" w:eastAsia="Arial" w:hAnsi="Arial"/>
          <w:sz w:val="17"/>
          <w:szCs w:val="17"/>
          <w:u w:val="single" w:color="auto"/>
          <w:color w:val="auto"/>
        </w:rPr>
        <w:t>4.03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7.10</w:t>
      </w:r>
      <w:r>
        <w:rPr>
          <w:rFonts w:ascii="Arial" w:cs="Arial" w:eastAsia="Arial" w:hAnsi="Arial"/>
          <w:sz w:val="17"/>
          <w:szCs w:val="17"/>
          <w:color w:val="auto"/>
        </w:rPr>
        <w:t xml:space="preserve">, that shall survive until the date of maturity or redemption date, as the case may be, and </w:t>
      </w:r>
      <w:r>
        <w:rPr>
          <w:rFonts w:ascii="Arial" w:cs="Arial" w:eastAsia="Arial" w:hAnsi="Arial"/>
          <w:sz w:val="17"/>
          <w:szCs w:val="17"/>
          <w:u w:val="single" w:color="auto"/>
          <w:color w:val="auto"/>
        </w:rPr>
        <w:t>Sections 7.06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11.05</w:t>
      </w:r>
      <w:r>
        <w:rPr>
          <w:rFonts w:ascii="Arial" w:cs="Arial" w:eastAsia="Arial" w:hAnsi="Arial"/>
          <w:sz w:val="17"/>
          <w:szCs w:val="17"/>
          <w:color w:val="auto"/>
        </w:rPr>
        <w:t>, that shall survive to such date and thereafter, and the Trustee, on demand of the Company and at the cost and expense of the Company shall execute such instruments reasonably requested by the Company acknowledging satisfaction of and discharging this Indenture with respect to such series.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Discharge of Obligations</w:t>
      </w:r>
      <w:r>
        <w:rPr>
          <w:rFonts w:ascii="Arial" w:cs="Arial" w:eastAsia="Arial" w:hAnsi="Arial"/>
          <w:sz w:val="18"/>
          <w:szCs w:val="18"/>
          <w:color w:val="auto"/>
        </w:rPr>
        <w:t>.</w:t>
      </w:r>
    </w:p>
    <w:p>
      <w:pPr>
        <w:spacing w:after="0" w:line="117" w:lineRule="exact"/>
        <w:rPr>
          <w:sz w:val="20"/>
          <w:szCs w:val="20"/>
          <w:color w:val="auto"/>
        </w:rPr>
      </w:pPr>
    </w:p>
    <w:p>
      <w:pPr>
        <w:ind w:right="60" w:firstLine="441"/>
        <w:spacing w:after="0" w:line="290" w:lineRule="auto"/>
        <w:rPr>
          <w:sz w:val="20"/>
          <w:szCs w:val="20"/>
          <w:color w:val="auto"/>
        </w:rPr>
      </w:pPr>
      <w:r>
        <w:rPr>
          <w:rFonts w:ascii="Arial" w:cs="Arial" w:eastAsia="Arial" w:hAnsi="Arial"/>
          <w:sz w:val="16"/>
          <w:szCs w:val="16"/>
          <w:color w:val="auto"/>
        </w:rPr>
        <w:t xml:space="preserve">If at any time all such Securities of a particular series not heretofore delivered to the Trustee for cancellation or that have not become due and payable as described in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w:t>
      </w:r>
      <w:r>
        <w:rPr>
          <w:rFonts w:ascii="Arial" w:cs="Arial" w:eastAsia="Arial" w:hAnsi="Arial"/>
          <w:sz w:val="16"/>
          <w:szCs w:val="16"/>
          <w:u w:val="single" w:color="auto"/>
          <w:color w:val="auto"/>
        </w:rPr>
        <w:t>Sections 2.03</w:t>
      </w:r>
      <w:r>
        <w:rPr>
          <w:rFonts w:ascii="Arial" w:cs="Arial" w:eastAsia="Arial" w:hAnsi="Arial"/>
          <w:sz w:val="16"/>
          <w:szCs w:val="16"/>
          <w:color w:val="auto"/>
        </w:rPr>
        <w:t xml:space="preserve">, </w:t>
      </w:r>
      <w:r>
        <w:rPr>
          <w:rFonts w:ascii="Arial" w:cs="Arial" w:eastAsia="Arial" w:hAnsi="Arial"/>
          <w:sz w:val="16"/>
          <w:szCs w:val="16"/>
          <w:u w:val="single" w:color="auto"/>
          <w:color w:val="auto"/>
        </w:rPr>
        <w:t>2.05</w:t>
      </w:r>
      <w:r>
        <w:rPr>
          <w:rFonts w:ascii="Arial" w:cs="Arial" w:eastAsia="Arial" w:hAnsi="Arial"/>
          <w:sz w:val="16"/>
          <w:szCs w:val="16"/>
          <w:color w:val="auto"/>
        </w:rPr>
        <w:t xml:space="preserve">, </w:t>
      </w:r>
      <w:r>
        <w:rPr>
          <w:rFonts w:ascii="Arial" w:cs="Arial" w:eastAsia="Arial" w:hAnsi="Arial"/>
          <w:sz w:val="16"/>
          <w:szCs w:val="16"/>
          <w:u w:val="single" w:color="auto"/>
          <w:color w:val="auto"/>
        </w:rPr>
        <w:t>2.07</w:t>
      </w:r>
      <w:r>
        <w:rPr>
          <w:rFonts w:ascii="Arial" w:cs="Arial" w:eastAsia="Arial" w:hAnsi="Arial"/>
          <w:sz w:val="16"/>
          <w:szCs w:val="16"/>
          <w:color w:val="auto"/>
        </w:rPr>
        <w:t xml:space="preserve">, </w:t>
      </w:r>
      <w:r>
        <w:rPr>
          <w:rFonts w:ascii="Arial" w:cs="Arial" w:eastAsia="Arial" w:hAnsi="Arial"/>
          <w:sz w:val="16"/>
          <w:szCs w:val="16"/>
          <w:u w:val="single" w:color="auto"/>
          <w:color w:val="auto"/>
        </w:rPr>
        <w:t>4.01</w:t>
      </w:r>
      <w:r>
        <w:rPr>
          <w:rFonts w:ascii="Arial" w:cs="Arial" w:eastAsia="Arial" w:hAnsi="Arial"/>
          <w:sz w:val="16"/>
          <w:szCs w:val="16"/>
          <w:color w:val="auto"/>
        </w:rPr>
        <w:t xml:space="preserve">, </w:t>
      </w:r>
      <w:r>
        <w:rPr>
          <w:rFonts w:ascii="Arial" w:cs="Arial" w:eastAsia="Arial" w:hAnsi="Arial"/>
          <w:sz w:val="16"/>
          <w:szCs w:val="16"/>
          <w:u w:val="single" w:color="auto"/>
          <w:color w:val="auto"/>
        </w:rPr>
        <w:t>4.02</w:t>
      </w:r>
      <w:r>
        <w:rPr>
          <w:rFonts w:ascii="Arial" w:cs="Arial" w:eastAsia="Arial" w:hAnsi="Arial"/>
          <w:sz w:val="16"/>
          <w:szCs w:val="16"/>
          <w:color w:val="auto"/>
        </w:rPr>
        <w:t xml:space="preserve">, </w:t>
      </w:r>
      <w:r>
        <w:rPr>
          <w:rFonts w:ascii="Arial" w:cs="Arial" w:eastAsia="Arial" w:hAnsi="Arial"/>
          <w:sz w:val="16"/>
          <w:szCs w:val="16"/>
          <w:u w:val="single" w:color="auto"/>
          <w:color w:val="auto"/>
        </w:rPr>
        <w:t>4.03</w:t>
      </w:r>
      <w:r>
        <w:rPr>
          <w:rFonts w:ascii="Arial" w:cs="Arial" w:eastAsia="Arial" w:hAnsi="Arial"/>
          <w:sz w:val="16"/>
          <w:szCs w:val="16"/>
          <w:color w:val="auto"/>
        </w:rPr>
        <w:t xml:space="preserve">, </w:t>
      </w:r>
      <w:r>
        <w:rPr>
          <w:rFonts w:ascii="Arial" w:cs="Arial" w:eastAsia="Arial" w:hAnsi="Arial"/>
          <w:sz w:val="16"/>
          <w:szCs w:val="16"/>
          <w:u w:val="single" w:color="auto"/>
          <w:color w:val="auto"/>
        </w:rPr>
        <w:t>7.06</w:t>
      </w:r>
      <w:r>
        <w:rPr>
          <w:rFonts w:ascii="Arial" w:cs="Arial" w:eastAsia="Arial" w:hAnsi="Arial"/>
          <w:sz w:val="16"/>
          <w:szCs w:val="16"/>
          <w:color w:val="auto"/>
        </w:rPr>
        <w:t xml:space="preserve">, </w:t>
      </w:r>
      <w:r>
        <w:rPr>
          <w:rFonts w:ascii="Arial" w:cs="Arial" w:eastAsia="Arial" w:hAnsi="Arial"/>
          <w:sz w:val="16"/>
          <w:szCs w:val="16"/>
          <w:u w:val="single" w:color="auto"/>
          <w:color w:val="auto"/>
        </w:rPr>
        <w:t>7.10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11.05</w:t>
      </w:r>
      <w:r>
        <w:rPr>
          <w:rFonts w:ascii="Arial" w:cs="Arial" w:eastAsia="Arial" w:hAnsi="Arial"/>
          <w:sz w:val="16"/>
          <w:szCs w:val="16"/>
          <w:color w:val="auto"/>
        </w:rPr>
        <w:t xml:space="preserve"> hereof that shall survive until such Securities shall mature and be paid.</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Thereafter, </w:t>
      </w:r>
      <w:r>
        <w:rPr>
          <w:rFonts w:ascii="Arial" w:cs="Arial" w:eastAsia="Arial" w:hAnsi="Arial"/>
          <w:sz w:val="18"/>
          <w:szCs w:val="18"/>
          <w:u w:val="single" w:color="auto"/>
          <w:color w:val="auto"/>
        </w:rPr>
        <w:t>Sections 7.06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11.05</w:t>
      </w:r>
      <w:r>
        <w:rPr>
          <w:rFonts w:ascii="Arial" w:cs="Arial" w:eastAsia="Arial" w:hAnsi="Arial"/>
          <w:sz w:val="18"/>
          <w:szCs w:val="18"/>
          <w:color w:val="auto"/>
        </w:rPr>
        <w:t xml:space="preserve"> shall survive.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Deposited Moneys to be Held in Trust</w:t>
      </w:r>
      <w:r>
        <w:rPr>
          <w:rFonts w:ascii="Arial" w:cs="Arial" w:eastAsia="Arial" w:hAnsi="Arial"/>
          <w:sz w:val="18"/>
          <w:szCs w:val="18"/>
          <w:color w:val="auto"/>
        </w:rPr>
        <w:t>.</w:t>
      </w:r>
    </w:p>
    <w:p>
      <w:pPr>
        <w:spacing w:after="0" w:line="117" w:lineRule="exact"/>
        <w:rPr>
          <w:sz w:val="20"/>
          <w:szCs w:val="20"/>
          <w:color w:val="auto"/>
        </w:rPr>
      </w:pPr>
    </w:p>
    <w:p>
      <w:pPr>
        <w:ind w:right="100" w:firstLine="441"/>
        <w:spacing w:after="0" w:line="312" w:lineRule="auto"/>
        <w:rPr>
          <w:sz w:val="20"/>
          <w:szCs w:val="20"/>
          <w:color w:val="auto"/>
        </w:rPr>
      </w:pPr>
      <w:r>
        <w:rPr>
          <w:rFonts w:ascii="Arial" w:cs="Arial" w:eastAsia="Arial" w:hAnsi="Arial"/>
          <w:sz w:val="16"/>
          <w:szCs w:val="16"/>
          <w:color w:val="auto"/>
        </w:rPr>
        <w:t xml:space="preserve">All moneys or Governmental Obligations deposited with the Trustee pursuant to </w:t>
      </w:r>
      <w:r>
        <w:rPr>
          <w:rFonts w:ascii="Arial" w:cs="Arial" w:eastAsia="Arial" w:hAnsi="Arial"/>
          <w:sz w:val="16"/>
          <w:szCs w:val="16"/>
          <w:u w:val="single" w:color="auto"/>
          <w:color w:val="auto"/>
        </w:rPr>
        <w:t>Sections 11.01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11.02</w:t>
      </w:r>
      <w:r>
        <w:rPr>
          <w:rFonts w:ascii="Arial" w:cs="Arial" w:eastAsia="Arial" w:hAnsi="Arial"/>
          <w:sz w:val="16"/>
          <w:szCs w:val="16"/>
          <w:color w:val="auto"/>
        </w:rPr>
        <w:t xml:space="preserve">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440" w:top="274" w:right="439" w:bottom="1440" w:gutter="0" w:footer="0" w:header="0"/>
        </w:sectPr>
      </w:pPr>
    </w:p>
    <w:bookmarkStart w:id="89" w:name="page90"/>
    <w:bookmarkEnd w:id="8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11.04 </w:t>
      </w:r>
      <w:r>
        <w:rPr>
          <w:rFonts w:ascii="Arial" w:cs="Arial" w:eastAsia="Arial" w:hAnsi="Arial"/>
          <w:sz w:val="18"/>
          <w:szCs w:val="18"/>
          <w:u w:val="single" w:color="auto"/>
          <w:color w:val="auto"/>
        </w:rPr>
        <w:t>Payment of Moneys Held by Paying Agents</w:t>
      </w:r>
      <w:r>
        <w:rPr>
          <w:rFonts w:ascii="Arial" w:cs="Arial" w:eastAsia="Arial" w:hAnsi="Arial"/>
          <w:sz w:val="18"/>
          <w:szCs w:val="18"/>
          <w:color w:val="auto"/>
        </w:rPr>
        <w:t>.</w:t>
      </w:r>
    </w:p>
    <w:p>
      <w:pPr>
        <w:spacing w:after="0" w:line="117" w:lineRule="exact"/>
        <w:rPr>
          <w:sz w:val="20"/>
          <w:szCs w:val="20"/>
          <w:color w:val="auto"/>
        </w:rPr>
      </w:pPr>
    </w:p>
    <w:p>
      <w:pPr>
        <w:jc w:val="both"/>
        <w:ind w:right="180" w:firstLine="441"/>
        <w:spacing w:after="0" w:line="264" w:lineRule="auto"/>
        <w:rPr>
          <w:sz w:val="20"/>
          <w:szCs w:val="20"/>
          <w:color w:val="auto"/>
        </w:rPr>
      </w:pPr>
      <w:r>
        <w:rPr>
          <w:rFonts w:ascii="Arial" w:cs="Arial" w:eastAsia="Arial" w:hAnsi="Arial"/>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Repayment to Company</w:t>
      </w:r>
      <w:r>
        <w:rPr>
          <w:rFonts w:ascii="Arial" w:cs="Arial" w:eastAsia="Arial" w:hAnsi="Arial"/>
          <w:sz w:val="18"/>
          <w:szCs w:val="18"/>
          <w:color w:val="auto"/>
        </w:rPr>
        <w:t>.</w:t>
      </w:r>
    </w:p>
    <w:p>
      <w:pPr>
        <w:spacing w:after="0" w:line="117" w:lineRule="exact"/>
        <w:rPr>
          <w:sz w:val="20"/>
          <w:szCs w:val="20"/>
          <w:color w:val="auto"/>
        </w:rPr>
      </w:pPr>
    </w:p>
    <w:p>
      <w:pPr>
        <w:ind w:right="140" w:firstLine="441"/>
        <w:spacing w:after="0" w:line="291" w:lineRule="auto"/>
        <w:rPr>
          <w:sz w:val="20"/>
          <w:szCs w:val="20"/>
          <w:color w:val="auto"/>
        </w:rPr>
      </w:pPr>
      <w:r>
        <w:rPr>
          <w:rFonts w:ascii="Arial" w:cs="Arial" w:eastAsia="Arial" w:hAnsi="Arial"/>
          <w:sz w:val="16"/>
          <w:szCs w:val="16"/>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IMMUNITY OF INCORPORATORS, STOCKHOLDERS, OFFICERS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DIRECTORS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No Recourse</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440" w:top="274" w:right="439" w:bottom="1440" w:gutter="0" w:footer="0" w:header="0"/>
        </w:sectPr>
      </w:pPr>
    </w:p>
    <w:bookmarkStart w:id="90" w:name="page91"/>
    <w:bookmarkEnd w:id="9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13</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 PROVISIONS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Effect on Successors and Assigns</w:t>
      </w:r>
      <w:r>
        <w:rPr>
          <w:rFonts w:ascii="Arial" w:cs="Arial" w:eastAsia="Arial" w:hAnsi="Arial"/>
          <w:sz w:val="18"/>
          <w:szCs w:val="18"/>
          <w:color w:val="auto"/>
        </w:rPr>
        <w:t>.</w:t>
      </w:r>
    </w:p>
    <w:p>
      <w:pPr>
        <w:spacing w:after="0" w:line="117"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All the covenants, stipulations, promises and agreements in this Indenture made by or on behalf of the Company shall bind its successors and assigns, whether so expressed or not.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u w:val="single" w:color="auto"/>
          <w:color w:val="auto"/>
        </w:rPr>
        <w:t>Actions by Successor</w:t>
      </w:r>
      <w:r>
        <w:rPr>
          <w:rFonts w:ascii="Arial" w:cs="Arial" w:eastAsia="Arial" w:hAnsi="Arial"/>
          <w:sz w:val="18"/>
          <w:szCs w:val="18"/>
          <w:color w:val="auto"/>
        </w:rPr>
        <w:t>.</w:t>
      </w:r>
    </w:p>
    <w:p>
      <w:pPr>
        <w:spacing w:after="0" w:line="117"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u w:val="single" w:color="auto"/>
          <w:color w:val="auto"/>
        </w:rPr>
        <w:t>Surrender of Company Powers</w:t>
      </w:r>
      <w:r>
        <w:rPr>
          <w:rFonts w:ascii="Arial" w:cs="Arial" w:eastAsia="Arial" w:hAnsi="Arial"/>
          <w:sz w:val="18"/>
          <w:szCs w:val="18"/>
          <w:color w:val="auto"/>
        </w:rPr>
        <w:t>.</w:t>
      </w:r>
    </w:p>
    <w:p>
      <w:pPr>
        <w:spacing w:after="0" w:line="117" w:lineRule="exact"/>
        <w:rPr>
          <w:sz w:val="20"/>
          <w:szCs w:val="20"/>
          <w:color w:val="auto"/>
        </w:rPr>
      </w:pPr>
    </w:p>
    <w:p>
      <w:pPr>
        <w:ind w:right="20" w:firstLine="441"/>
        <w:spacing w:after="0" w:line="342" w:lineRule="auto"/>
        <w:rPr>
          <w:sz w:val="20"/>
          <w:szCs w:val="20"/>
          <w:color w:val="auto"/>
        </w:rPr>
      </w:pPr>
      <w:r>
        <w:rPr>
          <w:rFonts w:ascii="Arial" w:cs="Arial" w:eastAsia="Arial" w:hAnsi="Arial"/>
          <w:sz w:val="16"/>
          <w:szCs w:val="16"/>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any standard form of telecommunication or by being deposited in first class mail, postage prepaid, addressed (until another address is filed in writing by the Company with the Trustee), as follows: [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 Notwithstanding anything herein to the contrary, where reference herein is made to notice of any event (including notice of redemption) to a Securityholder of Global Securities, whether by mail or otherwise, such notice shall be sufficiently given when delivered to the Depositary (or its designee) pursuant to the customary procedures of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2900045</wp:posOffset>
            </wp:positionH>
            <wp:positionV relativeFrom="paragraph">
              <wp:posOffset>-596265</wp:posOffset>
            </wp:positionV>
            <wp:extent cx="2286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1">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u w:val="single" w:color="auto"/>
          <w:color w:val="auto"/>
        </w:rPr>
        <w:t>Governing Law; Jury Trial Waiver</w:t>
      </w:r>
      <w:r>
        <w:rPr>
          <w:rFonts w:ascii="Arial" w:cs="Arial" w:eastAsia="Arial" w:hAnsi="Arial"/>
          <w:sz w:val="18"/>
          <w:szCs w:val="18"/>
          <w:color w:val="auto"/>
        </w:rPr>
        <w:t>.</w:t>
      </w:r>
    </w:p>
    <w:p>
      <w:pPr>
        <w:spacing w:after="0" w:line="117"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THIS INDENTURE AND EACH SECURITY, AND ANY CLAIM, CONTROVERSY OR DISPUTE ARISING UNDER OR RELATED TO THIS INDENTURE AND EACH SECURITY, SHALL BE GOVERNED BY, AND CONSTRUED IN ACCORDANCE WITH, THE LAWS OF THE STATE OF NEW YORK (WITHOUT REGARD TO THE CONFLICTS OF LAWS PROVISIONS THEREOF). EACH OF THE COMPANY AND THE TRUSTEE HEREBY IRREVOCABLY WAIVES, TO THE FULLEST EXTENT PERMITTED BY APPLICABLE LAW, ANY AND ALL RIGHT TO TRIAL BY JURY IN ANY LEGAL PROCEEDING ARISING OUT OF OR RELATING TO THIS INDENTURE, THE SECURITIES OR THE TRANSACTION CONTEMPLATED HEREBY.</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40" w:top="270" w:right="479" w:bottom="1440" w:gutter="0" w:footer="0" w:header="0"/>
        </w:sectPr>
      </w:pPr>
    </w:p>
    <w:bookmarkStart w:id="91" w:name="page92"/>
    <w:bookmarkEnd w:id="9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13.06 </w:t>
      </w:r>
      <w:r>
        <w:rPr>
          <w:rFonts w:ascii="Arial" w:cs="Arial" w:eastAsia="Arial" w:hAnsi="Arial"/>
          <w:sz w:val="18"/>
          <w:szCs w:val="18"/>
          <w:u w:val="single" w:color="auto"/>
          <w:color w:val="auto"/>
        </w:rPr>
        <w:t>Treatment of Securities as Debt</w:t>
      </w:r>
      <w:r>
        <w:rPr>
          <w:rFonts w:ascii="Arial" w:cs="Arial" w:eastAsia="Arial" w:hAnsi="Arial"/>
          <w:sz w:val="18"/>
          <w:szCs w:val="18"/>
          <w:color w:val="auto"/>
        </w:rPr>
        <w:t>.</w:t>
      </w:r>
    </w:p>
    <w:p>
      <w:pPr>
        <w:spacing w:after="0" w:line="117"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13.07 </w:t>
      </w:r>
      <w:r>
        <w:rPr>
          <w:rFonts w:ascii="Arial" w:cs="Arial" w:eastAsia="Arial" w:hAnsi="Arial"/>
          <w:sz w:val="18"/>
          <w:szCs w:val="18"/>
          <w:u w:val="single" w:color="auto"/>
          <w:color w:val="auto"/>
        </w:rPr>
        <w:t>Certificates and Opinions as to Conditions Precedent</w:t>
      </w:r>
      <w:r>
        <w:rPr>
          <w:rFonts w:ascii="Arial" w:cs="Arial" w:eastAsia="Arial" w:hAnsi="Arial"/>
          <w:sz w:val="18"/>
          <w:szCs w:val="18"/>
          <w:color w:val="auto"/>
        </w:rPr>
        <w:t>.</w:t>
      </w:r>
    </w:p>
    <w:p>
      <w:pPr>
        <w:spacing w:after="0" w:line="117" w:lineRule="exact"/>
        <w:rPr>
          <w:sz w:val="20"/>
          <w:szCs w:val="20"/>
          <w:color w:val="auto"/>
        </w:rPr>
      </w:pPr>
    </w:p>
    <w:p>
      <w:pPr>
        <w:jc w:val="both"/>
        <w:ind w:right="20" w:firstLine="996"/>
        <w:spacing w:after="0" w:line="279" w:lineRule="auto"/>
        <w:tabs>
          <w:tab w:leader="none" w:pos="1237"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Upon any application or demand by the Company to the Trustee to take any action under any of the provisions of this Indenture, the Company shall furnish to the Trustee an Officer’s Certificate stating that all covenants and conditions precedent provided for in this Indenture (other than the certificate to be delivered pursuant to </w:t>
      </w:r>
      <w:r>
        <w:rPr>
          <w:rFonts w:ascii="Arial" w:cs="Arial" w:eastAsia="Arial" w:hAnsi="Arial"/>
          <w:sz w:val="17"/>
          <w:szCs w:val="17"/>
          <w:u w:val="single" w:color="auto"/>
          <w:color w:val="auto"/>
        </w:rPr>
        <w:t>Section 13.12</w:t>
      </w:r>
      <w:r>
        <w:rPr>
          <w:rFonts w:ascii="Arial" w:cs="Arial" w:eastAsia="Arial" w:hAnsi="Arial"/>
          <w:sz w:val="17"/>
          <w:szCs w:val="17"/>
          <w:color w:val="auto"/>
        </w:rPr>
        <w:t>) relating to the proposed action have been complied with and an Opinion of Counsel stating that in the opinion of such counsel all such covenants and conditions precedent have been complied with.</w:t>
      </w:r>
    </w:p>
    <w:p>
      <w:pPr>
        <w:spacing w:after="0" w:line="63" w:lineRule="exact"/>
        <w:rPr>
          <w:rFonts w:ascii="Arial" w:cs="Arial" w:eastAsia="Arial" w:hAnsi="Arial"/>
          <w:sz w:val="17"/>
          <w:szCs w:val="17"/>
          <w:color w:val="auto"/>
        </w:rPr>
      </w:pPr>
    </w:p>
    <w:p>
      <w:pPr>
        <w:ind w:firstLine="996"/>
        <w:spacing w:after="0" w:line="273" w:lineRule="auto"/>
        <w:tabs>
          <w:tab w:leader="none" w:pos="1247" w:val="left"/>
        </w:tabs>
        <w:numPr>
          <w:ilvl w:val="0"/>
          <w:numId w:val="88"/>
        </w:numPr>
        <w:rPr>
          <w:rFonts w:ascii="Arial" w:cs="Arial" w:eastAsia="Arial" w:hAnsi="Arial"/>
          <w:sz w:val="17"/>
          <w:szCs w:val="17"/>
          <w:color w:val="auto"/>
        </w:rPr>
      </w:pPr>
      <w:r>
        <w:rPr>
          <w:rFonts w:ascii="Arial" w:cs="Arial" w:eastAsia="Arial" w:hAnsi="Arial"/>
          <w:sz w:val="17"/>
          <w:szCs w:val="17"/>
          <w:color w:val="auto"/>
        </w:rPr>
        <w:t>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13.08 </w:t>
      </w:r>
      <w:r>
        <w:rPr>
          <w:rFonts w:ascii="Arial" w:cs="Arial" w:eastAsia="Arial" w:hAnsi="Arial"/>
          <w:sz w:val="18"/>
          <w:szCs w:val="18"/>
          <w:u w:val="single" w:color="auto"/>
          <w:color w:val="auto"/>
        </w:rPr>
        <w:t>Payments on Business Days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Except as provided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pursuant to a Board Resolution, and set forth in an Officer’s Certificate, or established in one or more indentures supplemental to this Indenture, in any case where the date that principal of, interest and/or premium, if any, on any Security is due or otherwise payable shall not be a Business Day or is a day on which the banking institutions in the city of the office of the Paying Agent are authorized or obligated by law to close or be closed, then payment of principal, premium, if any, and/or interest may be made on the next succeeding day that is a Business Day and is not a day on which the banking institutions in the city of the office of the Paying Agent are authorized or obligated by law to close or be closed with the same force and effect as if made on the nominal date of maturity or redemption, and no interest shall accrue for the period after such nominal date.</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13.09 </w:t>
      </w:r>
      <w:r>
        <w:rPr>
          <w:rFonts w:ascii="Arial" w:cs="Arial" w:eastAsia="Arial" w:hAnsi="Arial"/>
          <w:sz w:val="18"/>
          <w:szCs w:val="18"/>
          <w:u w:val="single" w:color="auto"/>
          <w:color w:val="auto"/>
        </w:rPr>
        <w:t>Conflict with Trust Indenture Act</w:t>
      </w:r>
      <w:r>
        <w:rPr>
          <w:rFonts w:ascii="Arial" w:cs="Arial" w:eastAsia="Arial" w:hAnsi="Arial"/>
          <w:sz w:val="18"/>
          <w:szCs w:val="18"/>
          <w:color w:val="auto"/>
        </w:rPr>
        <w:t>.</w:t>
      </w:r>
    </w:p>
    <w:p>
      <w:pPr>
        <w:spacing w:after="0" w:line="117"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If and to the extent that any provision of this Indenture limits, qualifies or conflicts with the duties imposed by Sections 310 to 317, inclusive, of the Trust Indenture Act, such imposed duties shall control.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0"/>
          </w:cols>
          <w:pgMar w:left="440" w:top="274" w:right="439" w:bottom="1440" w:gutter="0" w:footer="0" w:header="0"/>
        </w:sectPr>
      </w:pPr>
    </w:p>
    <w:bookmarkStart w:id="92" w:name="page93"/>
    <w:bookmarkEnd w:id="9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13.10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117"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13.11 </w:t>
      </w:r>
      <w:r>
        <w:rPr>
          <w:rFonts w:ascii="Arial" w:cs="Arial" w:eastAsia="Arial" w:hAnsi="Arial"/>
          <w:sz w:val="18"/>
          <w:szCs w:val="18"/>
          <w:u w:val="single" w:color="auto"/>
          <w:color w:val="auto"/>
        </w:rPr>
        <w:t>Separability</w:t>
      </w:r>
      <w:r>
        <w:rPr>
          <w:rFonts w:ascii="Arial" w:cs="Arial" w:eastAsia="Arial" w:hAnsi="Arial"/>
          <w:sz w:val="18"/>
          <w:szCs w:val="18"/>
          <w:color w:val="auto"/>
        </w:rPr>
        <w:t>.</w:t>
      </w:r>
    </w:p>
    <w:p>
      <w:pPr>
        <w:spacing w:after="0" w:line="117" w:lineRule="exact"/>
        <w:rPr>
          <w:sz w:val="20"/>
          <w:szCs w:val="20"/>
          <w:color w:val="auto"/>
        </w:rPr>
      </w:pPr>
    </w:p>
    <w:p>
      <w:pPr>
        <w:jc w:val="both"/>
        <w:ind w:right="240" w:firstLine="441"/>
        <w:spacing w:after="0" w:line="259" w:lineRule="auto"/>
        <w:rPr>
          <w:sz w:val="20"/>
          <w:szCs w:val="20"/>
          <w:color w:val="auto"/>
        </w:rPr>
      </w:pPr>
      <w:r>
        <w:rPr>
          <w:rFonts w:ascii="Arial" w:cs="Arial" w:eastAsia="Arial" w:hAnsi="Arial"/>
          <w:sz w:val="18"/>
          <w:szCs w:val="18"/>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13.12 </w:t>
      </w:r>
      <w:r>
        <w:rPr>
          <w:rFonts w:ascii="Arial" w:cs="Arial" w:eastAsia="Arial" w:hAnsi="Arial"/>
          <w:sz w:val="18"/>
          <w:szCs w:val="18"/>
          <w:u w:val="single" w:color="auto"/>
          <w:color w:val="auto"/>
        </w:rPr>
        <w:t>Compliance Certificates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 xml:space="preserve">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w:t>
      </w:r>
      <w:r>
        <w:rPr>
          <w:rFonts w:ascii="Arial" w:cs="Arial" w:eastAsia="Arial" w:hAnsi="Arial"/>
          <w:sz w:val="17"/>
          <w:szCs w:val="17"/>
          <w:u w:val="single" w:color="auto"/>
          <w:color w:val="auto"/>
        </w:rPr>
        <w:t>Section 13.12</w:t>
      </w:r>
      <w:r>
        <w:rPr>
          <w:rFonts w:ascii="Arial" w:cs="Arial" w:eastAsia="Arial" w:hAnsi="Arial"/>
          <w:sz w:val="17"/>
          <w:szCs w:val="17"/>
          <w:color w:val="auto"/>
        </w:rPr>
        <w:t>,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13.13 </w:t>
      </w:r>
      <w:r>
        <w:rPr>
          <w:rFonts w:ascii="Arial" w:cs="Arial" w:eastAsia="Arial" w:hAnsi="Arial"/>
          <w:sz w:val="18"/>
          <w:szCs w:val="18"/>
          <w:u w:val="single" w:color="auto"/>
          <w:color w:val="auto"/>
        </w:rPr>
        <w:t>USA PATRIOT ACT</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13.14 </w:t>
      </w:r>
      <w:r>
        <w:rPr>
          <w:rFonts w:ascii="Arial" w:cs="Arial" w:eastAsia="Arial" w:hAnsi="Arial"/>
          <w:sz w:val="18"/>
          <w:szCs w:val="18"/>
          <w:u w:val="single" w:color="auto"/>
          <w:color w:val="auto"/>
        </w:rPr>
        <w:t>Calculations</w:t>
      </w:r>
      <w:r>
        <w:rPr>
          <w:rFonts w:ascii="Arial" w:cs="Arial" w:eastAsia="Arial" w:hAnsi="Arial"/>
          <w:sz w:val="18"/>
          <w:szCs w:val="18"/>
          <w:color w:val="auto"/>
        </w:rPr>
        <w:t>.</w:t>
      </w:r>
    </w:p>
    <w:p>
      <w:pPr>
        <w:spacing w:after="0" w:line="117" w:lineRule="exact"/>
        <w:rPr>
          <w:sz w:val="20"/>
          <w:szCs w:val="20"/>
          <w:color w:val="auto"/>
        </w:rPr>
      </w:pPr>
    </w:p>
    <w:p>
      <w:pPr>
        <w:ind w:right="780" w:firstLine="441"/>
        <w:spacing w:after="0" w:line="277" w:lineRule="auto"/>
        <w:rPr>
          <w:sz w:val="20"/>
          <w:szCs w:val="20"/>
          <w:color w:val="auto"/>
        </w:rPr>
      </w:pPr>
      <w:r>
        <w:rPr>
          <w:rFonts w:ascii="Arial" w:cs="Arial" w:eastAsia="Arial" w:hAnsi="Arial"/>
          <w:sz w:val="18"/>
          <w:szCs w:val="18"/>
          <w:color w:val="auto"/>
        </w:rPr>
        <w:t>It is understood that the Trustee nor the Paying Agent shall have no responsibility for any calculations hereunder and shall be entitled to conclusively rely on the calculations of the Company without any independent verification or investigation.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93" w:name="page94"/>
    <w:bookmarkEnd w:id="93"/>
    <w:p>
      <w:pPr>
        <w:ind w:left="6080" w:hanging="6176"/>
        <w:spacing w:after="0" w:line="519"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Indenture to be duly executed all as of the day and year first above written.</w:t>
      </w:r>
      <w:r>
        <w:rPr>
          <w:rFonts w:ascii="Arial" w:cs="Arial" w:eastAsia="Arial" w:hAnsi="Arial"/>
          <w:sz w:val="18"/>
          <w:szCs w:val="18"/>
          <w:b w:val="1"/>
          <w:bCs w:val="1"/>
          <w:color w:val="auto"/>
        </w:rPr>
        <w:t xml:space="preserve"> AVROBIO, INC.</w:t>
      </w:r>
      <w:r>
        <w:rPr>
          <w:rFonts w:ascii="Arial" w:cs="Arial" w:eastAsia="Arial" w:hAnsi="Arial"/>
          <w:sz w:val="18"/>
          <w:szCs w:val="18"/>
          <w:color w:val="auto"/>
        </w:rPr>
        <w:t>, as Issuer</w:t>
      </w:r>
    </w:p>
    <w:p>
      <w:pPr>
        <w:ind w:left="6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14605</wp:posOffset>
            </wp:positionV>
            <wp:extent cx="25984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5">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4612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0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4612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15"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[TRUSTEE]</w:t>
      </w:r>
      <w:r>
        <w:rPr>
          <w:rFonts w:ascii="Arial" w:cs="Arial" w:eastAsia="Arial" w:hAnsi="Arial"/>
          <w:sz w:val="18"/>
          <w:szCs w:val="18"/>
          <w:color w:val="auto"/>
        </w:rPr>
        <w:t>, as Trustee</w:t>
      </w: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4063365</wp:posOffset>
            </wp:positionH>
            <wp:positionV relativeFrom="paragraph">
              <wp:posOffset>14605</wp:posOffset>
            </wp:positionV>
            <wp:extent cx="25984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4612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1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4140200</wp:posOffset>
            </wp:positionH>
            <wp:positionV relativeFrom="paragraph">
              <wp:posOffset>14605</wp:posOffset>
            </wp:positionV>
            <wp:extent cx="252158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Form of Indenture</w:t>
      </w:r>
    </w:p>
    <w:p>
      <w:pPr>
        <w:sectPr>
          <w:pgSz w:w="11900" w:h="16838" w:orient="portrait"/>
          <w:cols w:equalWidth="0" w:num="1">
            <w:col w:w="9940"/>
          </w:cols>
          <w:pgMar w:left="980" w:top="270" w:right="97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TRUST INDENTURE ACT CROSS-REFERENCE TABLE</w:t>
      </w:r>
      <w:r>
        <w:rPr>
          <w:rFonts w:ascii="Arial" w:cs="Arial" w:eastAsia="Arial" w:hAnsi="Arial"/>
          <w:sz w:val="15"/>
          <w:szCs w:val="15"/>
          <w:b w:val="1"/>
          <w:bCs w:val="1"/>
          <w:color w:val="auto"/>
        </w:rPr>
        <w:t>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600" w:type="dxa"/>
            <w:vAlign w:val="bottom"/>
            <w:gridSpan w:val="3"/>
          </w:tcPr>
          <w:p>
            <w:pPr>
              <w:spacing w:after="0"/>
              <w:rPr>
                <w:sz w:val="20"/>
                <w:szCs w:val="20"/>
                <w:color w:val="auto"/>
              </w:rPr>
            </w:pPr>
            <w:r>
              <w:rPr>
                <w:rFonts w:ascii="Arial" w:cs="Arial" w:eastAsia="Arial" w:hAnsi="Arial"/>
                <w:sz w:val="14"/>
                <w:szCs w:val="14"/>
                <w:b w:val="1"/>
                <w:bCs w:val="1"/>
                <w:color w:val="auto"/>
              </w:rPr>
              <w:t>Section of Trust Indenture Act of 1939, as amended</w:t>
            </w:r>
          </w:p>
        </w:tc>
        <w:tc>
          <w:tcPr>
            <w:tcW w:w="1440" w:type="dxa"/>
            <w:vAlign w:val="bottom"/>
          </w:tcPr>
          <w:p>
            <w:pPr>
              <w:spacing w:after="0"/>
              <w:rPr>
                <w:sz w:val="20"/>
                <w:szCs w:val="20"/>
                <w:color w:val="auto"/>
              </w:rPr>
            </w:pPr>
            <w:r>
              <w:rPr>
                <w:rFonts w:ascii="Arial" w:cs="Arial" w:eastAsia="Arial" w:hAnsi="Arial"/>
                <w:sz w:val="14"/>
                <w:szCs w:val="14"/>
                <w:b w:val="1"/>
                <w:bCs w:val="1"/>
                <w:color w:val="auto"/>
              </w:rPr>
              <w:t>Section of Indenture</w:t>
            </w:r>
          </w:p>
        </w:tc>
      </w:tr>
      <w:tr>
        <w:trPr>
          <w:trHeight w:val="195"/>
        </w:trPr>
        <w:tc>
          <w:tcPr>
            <w:tcW w:w="20" w:type="dxa"/>
            <w:vAlign w:val="bottom"/>
          </w:tcPr>
          <w:p>
            <w:pPr>
              <w:spacing w:after="0"/>
              <w:rPr>
                <w:sz w:val="16"/>
                <w:szCs w:val="16"/>
                <w:color w:val="auto"/>
              </w:rPr>
            </w:pPr>
          </w:p>
        </w:tc>
        <w:tc>
          <w:tcPr>
            <w:tcW w:w="9480" w:type="dxa"/>
            <w:vAlign w:val="bottom"/>
            <w:tcBorders>
              <w:top w:val="single" w:sz="8" w:color="auto"/>
            </w:tcBorders>
          </w:tcPr>
          <w:p>
            <w:pPr>
              <w:jc w:val="right"/>
              <w:ind w:right="8930"/>
              <w:spacing w:after="0" w:line="195" w:lineRule="exact"/>
              <w:rPr>
                <w:sz w:val="20"/>
                <w:szCs w:val="20"/>
                <w:color w:val="auto"/>
              </w:rPr>
            </w:pPr>
            <w:r>
              <w:rPr>
                <w:rFonts w:ascii="Arial" w:cs="Arial" w:eastAsia="Arial" w:hAnsi="Arial"/>
                <w:sz w:val="18"/>
                <w:szCs w:val="18"/>
                <w:color w:val="auto"/>
                <w:w w:val="84"/>
              </w:rPr>
              <w:t>310(a)</w:t>
            </w:r>
          </w:p>
        </w:tc>
        <w:tc>
          <w:tcPr>
            <w:tcW w:w="100" w:type="dxa"/>
            <w:vAlign w:val="bottom"/>
          </w:tcPr>
          <w:p>
            <w:pPr>
              <w:spacing w:after="0"/>
              <w:rPr>
                <w:sz w:val="16"/>
                <w:szCs w:val="16"/>
                <w:color w:val="auto"/>
              </w:rPr>
            </w:pPr>
          </w:p>
        </w:tc>
        <w:tc>
          <w:tcPr>
            <w:tcW w:w="1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7.09</w:t>
            </w:r>
          </w:p>
        </w:tc>
      </w:tr>
      <w:tr>
        <w:trPr>
          <w:trHeight w:val="216"/>
        </w:trPr>
        <w:tc>
          <w:tcPr>
            <w:tcW w:w="9600" w:type="dxa"/>
            <w:vAlign w:val="bottom"/>
            <w:gridSpan w:val="3"/>
          </w:tcPr>
          <w:p>
            <w:pPr>
              <w:jc w:val="right"/>
              <w:ind w:right="9120"/>
              <w:spacing w:after="0"/>
              <w:rPr>
                <w:sz w:val="20"/>
                <w:szCs w:val="20"/>
                <w:color w:val="auto"/>
              </w:rPr>
            </w:pPr>
            <w:r>
              <w:rPr>
                <w:rFonts w:ascii="Arial" w:cs="Arial" w:eastAsia="Arial" w:hAnsi="Arial"/>
                <w:sz w:val="18"/>
                <w:szCs w:val="18"/>
                <w:color w:val="auto"/>
                <w:w w:val="88"/>
              </w:rPr>
              <w:t>310(b)</w:t>
            </w:r>
          </w:p>
        </w:tc>
        <w:tc>
          <w:tcPr>
            <w:tcW w:w="1440" w:type="dxa"/>
            <w:vAlign w:val="bottom"/>
          </w:tcPr>
          <w:p>
            <w:pPr>
              <w:spacing w:after="0"/>
              <w:rPr>
                <w:sz w:val="20"/>
                <w:szCs w:val="20"/>
                <w:color w:val="auto"/>
              </w:rPr>
            </w:pPr>
            <w:r>
              <w:rPr>
                <w:rFonts w:ascii="Arial" w:cs="Arial" w:eastAsia="Arial" w:hAnsi="Arial"/>
                <w:sz w:val="18"/>
                <w:szCs w:val="18"/>
                <w:color w:val="auto"/>
              </w:rPr>
              <w:t>7.08</w:t>
            </w:r>
          </w:p>
        </w:tc>
      </w:tr>
      <w:tr>
        <w:trPr>
          <w:trHeight w:val="230"/>
        </w:trPr>
        <w:tc>
          <w:tcPr>
            <w:tcW w:w="20" w:type="dxa"/>
            <w:vAlign w:val="bottom"/>
          </w:tcPr>
          <w:p>
            <w:pPr>
              <w:spacing w:after="0"/>
              <w:rPr>
                <w:sz w:val="19"/>
                <w:szCs w:val="19"/>
                <w:color w:val="auto"/>
              </w:rPr>
            </w:pPr>
          </w:p>
        </w:tc>
        <w:tc>
          <w:tcPr>
            <w:tcW w:w="9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7.10</w:t>
            </w:r>
          </w:p>
        </w:tc>
      </w:tr>
      <w:tr>
        <w:trPr>
          <w:trHeight w:val="216"/>
        </w:trPr>
        <w:tc>
          <w:tcPr>
            <w:tcW w:w="9600" w:type="dxa"/>
            <w:vAlign w:val="bottom"/>
            <w:gridSpan w:val="3"/>
          </w:tcPr>
          <w:p>
            <w:pPr>
              <w:jc w:val="right"/>
              <w:ind w:right="9120"/>
              <w:spacing w:after="0"/>
              <w:rPr>
                <w:sz w:val="20"/>
                <w:szCs w:val="20"/>
                <w:color w:val="auto"/>
              </w:rPr>
            </w:pPr>
            <w:r>
              <w:rPr>
                <w:rFonts w:ascii="Arial" w:cs="Arial" w:eastAsia="Arial" w:hAnsi="Arial"/>
                <w:sz w:val="18"/>
                <w:szCs w:val="18"/>
                <w:color w:val="auto"/>
                <w:w w:val="90"/>
              </w:rPr>
              <w:t>310(c)</w:t>
            </w:r>
          </w:p>
        </w:tc>
        <w:tc>
          <w:tcPr>
            <w:tcW w:w="1440" w:type="dxa"/>
            <w:vAlign w:val="bottom"/>
          </w:tcPr>
          <w:p>
            <w:pPr>
              <w:spacing w:after="0"/>
              <w:rPr>
                <w:sz w:val="20"/>
                <w:szCs w:val="20"/>
                <w:color w:val="auto"/>
              </w:rPr>
            </w:pPr>
            <w:r>
              <w:rPr>
                <w:rFonts w:ascii="Arial" w:cs="Arial" w:eastAsia="Arial" w:hAnsi="Arial"/>
                <w:sz w:val="18"/>
                <w:szCs w:val="18"/>
                <w:color w:val="auto"/>
              </w:rPr>
              <w:t>Inapplicable</w:t>
            </w:r>
          </w:p>
        </w:tc>
      </w:tr>
      <w:tr>
        <w:trPr>
          <w:trHeight w:val="216"/>
        </w:trPr>
        <w:tc>
          <w:tcPr>
            <w:tcW w:w="9600" w:type="dxa"/>
            <w:vAlign w:val="bottom"/>
            <w:gridSpan w:val="3"/>
          </w:tcPr>
          <w:p>
            <w:pPr>
              <w:jc w:val="right"/>
              <w:ind w:right="9140"/>
              <w:spacing w:after="0"/>
              <w:rPr>
                <w:sz w:val="20"/>
                <w:szCs w:val="20"/>
                <w:color w:val="auto"/>
              </w:rPr>
            </w:pPr>
            <w:r>
              <w:rPr>
                <w:rFonts w:ascii="Arial" w:cs="Arial" w:eastAsia="Arial" w:hAnsi="Arial"/>
                <w:sz w:val="18"/>
                <w:szCs w:val="18"/>
                <w:color w:val="auto"/>
                <w:w w:val="84"/>
              </w:rPr>
              <w:t>311(a)</w:t>
            </w:r>
          </w:p>
        </w:tc>
        <w:tc>
          <w:tcPr>
            <w:tcW w:w="1440" w:type="dxa"/>
            <w:vAlign w:val="bottom"/>
          </w:tcPr>
          <w:p>
            <w:pPr>
              <w:spacing w:after="0"/>
              <w:rPr>
                <w:sz w:val="20"/>
                <w:szCs w:val="20"/>
                <w:color w:val="auto"/>
              </w:rPr>
            </w:pPr>
            <w:r>
              <w:rPr>
                <w:rFonts w:ascii="Arial" w:cs="Arial" w:eastAsia="Arial" w:hAnsi="Arial"/>
                <w:sz w:val="18"/>
                <w:szCs w:val="18"/>
                <w:color w:val="auto"/>
              </w:rPr>
              <w:t>7.13</w:t>
            </w:r>
          </w:p>
        </w:tc>
      </w:tr>
      <w:tr>
        <w:trPr>
          <w:trHeight w:val="216"/>
        </w:trPr>
        <w:tc>
          <w:tcPr>
            <w:tcW w:w="9600" w:type="dxa"/>
            <w:vAlign w:val="bottom"/>
            <w:gridSpan w:val="3"/>
          </w:tcPr>
          <w:p>
            <w:pPr>
              <w:jc w:val="right"/>
              <w:ind w:right="9120"/>
              <w:spacing w:after="0"/>
              <w:rPr>
                <w:sz w:val="20"/>
                <w:szCs w:val="20"/>
                <w:color w:val="auto"/>
              </w:rPr>
            </w:pPr>
            <w:r>
              <w:rPr>
                <w:rFonts w:ascii="Arial" w:cs="Arial" w:eastAsia="Arial" w:hAnsi="Arial"/>
                <w:sz w:val="18"/>
                <w:szCs w:val="18"/>
                <w:color w:val="auto"/>
                <w:w w:val="88"/>
              </w:rPr>
              <w:t>311(b)</w:t>
            </w:r>
          </w:p>
        </w:tc>
        <w:tc>
          <w:tcPr>
            <w:tcW w:w="1440" w:type="dxa"/>
            <w:vAlign w:val="bottom"/>
          </w:tcPr>
          <w:p>
            <w:pPr>
              <w:spacing w:after="0"/>
              <w:rPr>
                <w:sz w:val="20"/>
                <w:szCs w:val="20"/>
                <w:color w:val="auto"/>
              </w:rPr>
            </w:pPr>
            <w:r>
              <w:rPr>
                <w:rFonts w:ascii="Arial" w:cs="Arial" w:eastAsia="Arial" w:hAnsi="Arial"/>
                <w:sz w:val="18"/>
                <w:szCs w:val="18"/>
                <w:color w:val="auto"/>
              </w:rPr>
              <w:t>7.13</w:t>
            </w:r>
          </w:p>
        </w:tc>
      </w:tr>
      <w:tr>
        <w:trPr>
          <w:trHeight w:val="216"/>
        </w:trPr>
        <w:tc>
          <w:tcPr>
            <w:tcW w:w="9600" w:type="dxa"/>
            <w:vAlign w:val="bottom"/>
            <w:gridSpan w:val="3"/>
          </w:tcPr>
          <w:p>
            <w:pPr>
              <w:jc w:val="right"/>
              <w:ind w:right="9140"/>
              <w:spacing w:after="0"/>
              <w:rPr>
                <w:sz w:val="20"/>
                <w:szCs w:val="20"/>
                <w:color w:val="auto"/>
              </w:rPr>
            </w:pPr>
            <w:r>
              <w:rPr>
                <w:rFonts w:ascii="Arial" w:cs="Arial" w:eastAsia="Arial" w:hAnsi="Arial"/>
                <w:sz w:val="18"/>
                <w:szCs w:val="18"/>
                <w:color w:val="auto"/>
                <w:w w:val="86"/>
              </w:rPr>
              <w:t>311(c)</w:t>
            </w:r>
          </w:p>
        </w:tc>
        <w:tc>
          <w:tcPr>
            <w:tcW w:w="1440" w:type="dxa"/>
            <w:vAlign w:val="bottom"/>
          </w:tcPr>
          <w:p>
            <w:pPr>
              <w:spacing w:after="0"/>
              <w:rPr>
                <w:sz w:val="20"/>
                <w:szCs w:val="20"/>
                <w:color w:val="auto"/>
              </w:rPr>
            </w:pPr>
            <w:r>
              <w:rPr>
                <w:rFonts w:ascii="Arial" w:cs="Arial" w:eastAsia="Arial" w:hAnsi="Arial"/>
                <w:sz w:val="18"/>
                <w:szCs w:val="18"/>
                <w:color w:val="auto"/>
              </w:rPr>
              <w:t>Inapplicable</w:t>
            </w:r>
          </w:p>
        </w:tc>
      </w:tr>
      <w:tr>
        <w:trPr>
          <w:trHeight w:val="216"/>
        </w:trPr>
        <w:tc>
          <w:tcPr>
            <w:tcW w:w="9600" w:type="dxa"/>
            <w:vAlign w:val="bottom"/>
            <w:gridSpan w:val="3"/>
          </w:tcPr>
          <w:p>
            <w:pPr>
              <w:jc w:val="right"/>
              <w:ind w:right="9120"/>
              <w:spacing w:after="0"/>
              <w:rPr>
                <w:sz w:val="20"/>
                <w:szCs w:val="20"/>
                <w:color w:val="auto"/>
              </w:rPr>
            </w:pPr>
            <w:r>
              <w:rPr>
                <w:rFonts w:ascii="Arial" w:cs="Arial" w:eastAsia="Arial" w:hAnsi="Arial"/>
                <w:sz w:val="18"/>
                <w:szCs w:val="18"/>
                <w:color w:val="auto"/>
                <w:w w:val="88"/>
              </w:rPr>
              <w:t>312(a)</w:t>
            </w:r>
          </w:p>
        </w:tc>
        <w:tc>
          <w:tcPr>
            <w:tcW w:w="1440" w:type="dxa"/>
            <w:vAlign w:val="bottom"/>
          </w:tcPr>
          <w:p>
            <w:pPr>
              <w:spacing w:after="0"/>
              <w:rPr>
                <w:sz w:val="20"/>
                <w:szCs w:val="20"/>
                <w:color w:val="auto"/>
              </w:rPr>
            </w:pPr>
            <w:r>
              <w:rPr>
                <w:rFonts w:ascii="Arial" w:cs="Arial" w:eastAsia="Arial" w:hAnsi="Arial"/>
                <w:sz w:val="18"/>
                <w:szCs w:val="18"/>
                <w:color w:val="auto"/>
              </w:rPr>
              <w:t>5.01</w:t>
            </w:r>
          </w:p>
        </w:tc>
      </w:tr>
      <w:tr>
        <w:trPr>
          <w:trHeight w:val="230"/>
        </w:trPr>
        <w:tc>
          <w:tcPr>
            <w:tcW w:w="20" w:type="dxa"/>
            <w:vAlign w:val="bottom"/>
          </w:tcPr>
          <w:p>
            <w:pPr>
              <w:spacing w:after="0"/>
              <w:rPr>
                <w:sz w:val="19"/>
                <w:szCs w:val="19"/>
                <w:color w:val="auto"/>
              </w:rPr>
            </w:pPr>
          </w:p>
        </w:tc>
        <w:tc>
          <w:tcPr>
            <w:tcW w:w="9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5.02(a)</w:t>
            </w:r>
          </w:p>
        </w:tc>
      </w:tr>
      <w:tr>
        <w:trPr>
          <w:trHeight w:val="216"/>
        </w:trPr>
        <w:tc>
          <w:tcPr>
            <w:tcW w:w="9600" w:type="dxa"/>
            <w:vAlign w:val="bottom"/>
            <w:gridSpan w:val="3"/>
          </w:tcPr>
          <w:p>
            <w:pPr>
              <w:jc w:val="right"/>
              <w:ind w:right="9120"/>
              <w:spacing w:after="0"/>
              <w:rPr>
                <w:sz w:val="20"/>
                <w:szCs w:val="20"/>
                <w:color w:val="auto"/>
              </w:rPr>
            </w:pPr>
            <w:r>
              <w:rPr>
                <w:rFonts w:ascii="Arial" w:cs="Arial" w:eastAsia="Arial" w:hAnsi="Arial"/>
                <w:sz w:val="18"/>
                <w:szCs w:val="18"/>
                <w:color w:val="auto"/>
                <w:w w:val="88"/>
              </w:rPr>
              <w:t>312(b)</w:t>
            </w:r>
          </w:p>
        </w:tc>
        <w:tc>
          <w:tcPr>
            <w:tcW w:w="1440" w:type="dxa"/>
            <w:vAlign w:val="bottom"/>
          </w:tcPr>
          <w:p>
            <w:pPr>
              <w:spacing w:after="0"/>
              <w:rPr>
                <w:sz w:val="20"/>
                <w:szCs w:val="20"/>
                <w:color w:val="auto"/>
              </w:rPr>
            </w:pPr>
            <w:r>
              <w:rPr>
                <w:rFonts w:ascii="Arial" w:cs="Arial" w:eastAsia="Arial" w:hAnsi="Arial"/>
                <w:sz w:val="18"/>
                <w:szCs w:val="18"/>
                <w:color w:val="auto"/>
              </w:rPr>
              <w:t>5.02(c)</w:t>
            </w:r>
          </w:p>
        </w:tc>
      </w:tr>
      <w:tr>
        <w:trPr>
          <w:trHeight w:val="216"/>
        </w:trPr>
        <w:tc>
          <w:tcPr>
            <w:tcW w:w="9600" w:type="dxa"/>
            <w:vAlign w:val="bottom"/>
            <w:gridSpan w:val="3"/>
          </w:tcPr>
          <w:p>
            <w:pPr>
              <w:jc w:val="right"/>
              <w:ind w:right="9120"/>
              <w:spacing w:after="0"/>
              <w:rPr>
                <w:sz w:val="20"/>
                <w:szCs w:val="20"/>
                <w:color w:val="auto"/>
              </w:rPr>
            </w:pPr>
            <w:r>
              <w:rPr>
                <w:rFonts w:ascii="Arial" w:cs="Arial" w:eastAsia="Arial" w:hAnsi="Arial"/>
                <w:sz w:val="18"/>
                <w:szCs w:val="18"/>
                <w:color w:val="auto"/>
                <w:w w:val="90"/>
              </w:rPr>
              <w:t>312(c)</w:t>
            </w:r>
          </w:p>
        </w:tc>
        <w:tc>
          <w:tcPr>
            <w:tcW w:w="1440" w:type="dxa"/>
            <w:vAlign w:val="bottom"/>
          </w:tcPr>
          <w:p>
            <w:pPr>
              <w:spacing w:after="0"/>
              <w:rPr>
                <w:sz w:val="20"/>
                <w:szCs w:val="20"/>
                <w:color w:val="auto"/>
              </w:rPr>
            </w:pPr>
            <w:r>
              <w:rPr>
                <w:rFonts w:ascii="Arial" w:cs="Arial" w:eastAsia="Arial" w:hAnsi="Arial"/>
                <w:sz w:val="18"/>
                <w:szCs w:val="18"/>
                <w:color w:val="auto"/>
              </w:rPr>
              <w:t>5.02(c)</w:t>
            </w:r>
          </w:p>
        </w:tc>
      </w:tr>
      <w:tr>
        <w:trPr>
          <w:trHeight w:val="216"/>
        </w:trPr>
        <w:tc>
          <w:tcPr>
            <w:tcW w:w="9600" w:type="dxa"/>
            <w:vAlign w:val="bottom"/>
            <w:gridSpan w:val="3"/>
          </w:tcPr>
          <w:p>
            <w:pPr>
              <w:jc w:val="right"/>
              <w:ind w:right="9120"/>
              <w:spacing w:after="0"/>
              <w:rPr>
                <w:sz w:val="20"/>
                <w:szCs w:val="20"/>
                <w:color w:val="auto"/>
              </w:rPr>
            </w:pPr>
            <w:r>
              <w:rPr>
                <w:rFonts w:ascii="Arial" w:cs="Arial" w:eastAsia="Arial" w:hAnsi="Arial"/>
                <w:sz w:val="18"/>
                <w:szCs w:val="18"/>
                <w:color w:val="auto"/>
                <w:w w:val="88"/>
              </w:rPr>
              <w:t>313(a)</w:t>
            </w:r>
          </w:p>
        </w:tc>
        <w:tc>
          <w:tcPr>
            <w:tcW w:w="1440" w:type="dxa"/>
            <w:vAlign w:val="bottom"/>
          </w:tcPr>
          <w:p>
            <w:pPr>
              <w:spacing w:after="0"/>
              <w:rPr>
                <w:sz w:val="20"/>
                <w:szCs w:val="20"/>
                <w:color w:val="auto"/>
              </w:rPr>
            </w:pPr>
            <w:r>
              <w:rPr>
                <w:rFonts w:ascii="Arial" w:cs="Arial" w:eastAsia="Arial" w:hAnsi="Arial"/>
                <w:sz w:val="18"/>
                <w:szCs w:val="18"/>
                <w:color w:val="auto"/>
              </w:rPr>
              <w:t>5.04(a)</w:t>
            </w:r>
          </w:p>
        </w:tc>
      </w:tr>
      <w:tr>
        <w:trPr>
          <w:trHeight w:val="216"/>
        </w:trPr>
        <w:tc>
          <w:tcPr>
            <w:tcW w:w="9600" w:type="dxa"/>
            <w:vAlign w:val="bottom"/>
            <w:gridSpan w:val="3"/>
          </w:tcPr>
          <w:p>
            <w:pPr>
              <w:jc w:val="right"/>
              <w:ind w:right="9120"/>
              <w:spacing w:after="0"/>
              <w:rPr>
                <w:sz w:val="20"/>
                <w:szCs w:val="20"/>
                <w:color w:val="auto"/>
              </w:rPr>
            </w:pPr>
            <w:r>
              <w:rPr>
                <w:rFonts w:ascii="Arial" w:cs="Arial" w:eastAsia="Arial" w:hAnsi="Arial"/>
                <w:sz w:val="18"/>
                <w:szCs w:val="18"/>
                <w:color w:val="auto"/>
                <w:w w:val="88"/>
              </w:rPr>
              <w:t>313(b)</w:t>
            </w:r>
          </w:p>
        </w:tc>
        <w:tc>
          <w:tcPr>
            <w:tcW w:w="1440" w:type="dxa"/>
            <w:vAlign w:val="bottom"/>
          </w:tcPr>
          <w:p>
            <w:pPr>
              <w:spacing w:after="0"/>
              <w:rPr>
                <w:sz w:val="20"/>
                <w:szCs w:val="20"/>
                <w:color w:val="auto"/>
              </w:rPr>
            </w:pPr>
            <w:r>
              <w:rPr>
                <w:rFonts w:ascii="Arial" w:cs="Arial" w:eastAsia="Arial" w:hAnsi="Arial"/>
                <w:sz w:val="18"/>
                <w:szCs w:val="18"/>
                <w:color w:val="auto"/>
              </w:rPr>
              <w:t>5.04(b)</w:t>
            </w:r>
          </w:p>
        </w:tc>
      </w:tr>
      <w:tr>
        <w:trPr>
          <w:trHeight w:val="216"/>
        </w:trPr>
        <w:tc>
          <w:tcPr>
            <w:tcW w:w="9600" w:type="dxa"/>
            <w:vAlign w:val="bottom"/>
            <w:gridSpan w:val="3"/>
          </w:tcPr>
          <w:p>
            <w:pPr>
              <w:jc w:val="right"/>
              <w:ind w:right="9120"/>
              <w:spacing w:after="0"/>
              <w:rPr>
                <w:sz w:val="20"/>
                <w:szCs w:val="20"/>
                <w:color w:val="auto"/>
              </w:rPr>
            </w:pPr>
            <w:r>
              <w:rPr>
                <w:rFonts w:ascii="Arial" w:cs="Arial" w:eastAsia="Arial" w:hAnsi="Arial"/>
                <w:sz w:val="18"/>
                <w:szCs w:val="18"/>
                <w:color w:val="auto"/>
                <w:w w:val="90"/>
              </w:rPr>
              <w:t>313(c)</w:t>
            </w:r>
          </w:p>
        </w:tc>
        <w:tc>
          <w:tcPr>
            <w:tcW w:w="1440" w:type="dxa"/>
            <w:vAlign w:val="bottom"/>
          </w:tcPr>
          <w:p>
            <w:pPr>
              <w:spacing w:after="0"/>
              <w:rPr>
                <w:sz w:val="20"/>
                <w:szCs w:val="20"/>
                <w:color w:val="auto"/>
              </w:rPr>
            </w:pPr>
            <w:r>
              <w:rPr>
                <w:rFonts w:ascii="Arial" w:cs="Arial" w:eastAsia="Arial" w:hAnsi="Arial"/>
                <w:sz w:val="18"/>
                <w:szCs w:val="18"/>
                <w:color w:val="auto"/>
              </w:rPr>
              <w:t>5.04(a)</w:t>
            </w:r>
          </w:p>
        </w:tc>
      </w:tr>
      <w:tr>
        <w:trPr>
          <w:trHeight w:val="230"/>
        </w:trPr>
        <w:tc>
          <w:tcPr>
            <w:tcW w:w="20" w:type="dxa"/>
            <w:vAlign w:val="bottom"/>
          </w:tcPr>
          <w:p>
            <w:pPr>
              <w:spacing w:after="0"/>
              <w:rPr>
                <w:sz w:val="19"/>
                <w:szCs w:val="19"/>
                <w:color w:val="auto"/>
              </w:rPr>
            </w:pPr>
          </w:p>
        </w:tc>
        <w:tc>
          <w:tcPr>
            <w:tcW w:w="9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5.04(b)</w:t>
            </w:r>
          </w:p>
        </w:tc>
      </w:tr>
      <w:tr>
        <w:trPr>
          <w:trHeight w:val="216"/>
        </w:trPr>
        <w:tc>
          <w:tcPr>
            <w:tcW w:w="9600" w:type="dxa"/>
            <w:vAlign w:val="bottom"/>
            <w:gridSpan w:val="3"/>
          </w:tcPr>
          <w:p>
            <w:pPr>
              <w:jc w:val="right"/>
              <w:ind w:right="9120"/>
              <w:spacing w:after="0"/>
              <w:rPr>
                <w:sz w:val="20"/>
                <w:szCs w:val="20"/>
                <w:color w:val="auto"/>
              </w:rPr>
            </w:pPr>
            <w:r>
              <w:rPr>
                <w:rFonts w:ascii="Arial" w:cs="Arial" w:eastAsia="Arial" w:hAnsi="Arial"/>
                <w:sz w:val="18"/>
                <w:szCs w:val="18"/>
                <w:color w:val="auto"/>
                <w:w w:val="88"/>
              </w:rPr>
              <w:t>313(d)</w:t>
            </w:r>
          </w:p>
        </w:tc>
        <w:tc>
          <w:tcPr>
            <w:tcW w:w="1440" w:type="dxa"/>
            <w:vAlign w:val="bottom"/>
          </w:tcPr>
          <w:p>
            <w:pPr>
              <w:spacing w:after="0"/>
              <w:rPr>
                <w:sz w:val="20"/>
                <w:szCs w:val="20"/>
                <w:color w:val="auto"/>
              </w:rPr>
            </w:pPr>
            <w:r>
              <w:rPr>
                <w:rFonts w:ascii="Arial" w:cs="Arial" w:eastAsia="Arial" w:hAnsi="Arial"/>
                <w:sz w:val="18"/>
                <w:szCs w:val="18"/>
                <w:color w:val="auto"/>
              </w:rPr>
              <w:t>5.04(c)</w:t>
            </w:r>
          </w:p>
        </w:tc>
      </w:tr>
      <w:tr>
        <w:trPr>
          <w:trHeight w:val="216"/>
        </w:trPr>
        <w:tc>
          <w:tcPr>
            <w:tcW w:w="9600" w:type="dxa"/>
            <w:vAlign w:val="bottom"/>
            <w:gridSpan w:val="3"/>
          </w:tcPr>
          <w:p>
            <w:pPr>
              <w:jc w:val="right"/>
              <w:ind w:right="9120"/>
              <w:spacing w:after="0"/>
              <w:rPr>
                <w:sz w:val="20"/>
                <w:szCs w:val="20"/>
                <w:color w:val="auto"/>
              </w:rPr>
            </w:pPr>
            <w:r>
              <w:rPr>
                <w:rFonts w:ascii="Arial" w:cs="Arial" w:eastAsia="Arial" w:hAnsi="Arial"/>
                <w:sz w:val="18"/>
                <w:szCs w:val="18"/>
                <w:color w:val="auto"/>
                <w:w w:val="88"/>
              </w:rPr>
              <w:t>314(a)</w:t>
            </w:r>
          </w:p>
        </w:tc>
        <w:tc>
          <w:tcPr>
            <w:tcW w:w="1440" w:type="dxa"/>
            <w:vAlign w:val="bottom"/>
          </w:tcPr>
          <w:p>
            <w:pPr>
              <w:spacing w:after="0"/>
              <w:rPr>
                <w:sz w:val="20"/>
                <w:szCs w:val="20"/>
                <w:color w:val="auto"/>
              </w:rPr>
            </w:pPr>
            <w:r>
              <w:rPr>
                <w:rFonts w:ascii="Arial" w:cs="Arial" w:eastAsia="Arial" w:hAnsi="Arial"/>
                <w:sz w:val="18"/>
                <w:szCs w:val="18"/>
                <w:color w:val="auto"/>
              </w:rPr>
              <w:t>5.03</w:t>
            </w:r>
          </w:p>
        </w:tc>
      </w:tr>
      <w:tr>
        <w:trPr>
          <w:trHeight w:val="230"/>
        </w:trPr>
        <w:tc>
          <w:tcPr>
            <w:tcW w:w="20" w:type="dxa"/>
            <w:vAlign w:val="bottom"/>
          </w:tcPr>
          <w:p>
            <w:pPr>
              <w:spacing w:after="0"/>
              <w:rPr>
                <w:sz w:val="19"/>
                <w:szCs w:val="19"/>
                <w:color w:val="auto"/>
              </w:rPr>
            </w:pPr>
          </w:p>
        </w:tc>
        <w:tc>
          <w:tcPr>
            <w:tcW w:w="9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13.12</w:t>
            </w:r>
          </w:p>
        </w:tc>
      </w:tr>
      <w:tr>
        <w:trPr>
          <w:trHeight w:val="216"/>
        </w:trPr>
        <w:tc>
          <w:tcPr>
            <w:tcW w:w="9600" w:type="dxa"/>
            <w:vAlign w:val="bottom"/>
            <w:gridSpan w:val="3"/>
          </w:tcPr>
          <w:p>
            <w:pPr>
              <w:jc w:val="right"/>
              <w:ind w:right="9120"/>
              <w:spacing w:after="0"/>
              <w:rPr>
                <w:sz w:val="20"/>
                <w:szCs w:val="20"/>
                <w:color w:val="auto"/>
              </w:rPr>
            </w:pPr>
            <w:r>
              <w:rPr>
                <w:rFonts w:ascii="Arial" w:cs="Arial" w:eastAsia="Arial" w:hAnsi="Arial"/>
                <w:sz w:val="18"/>
                <w:szCs w:val="18"/>
                <w:color w:val="auto"/>
                <w:w w:val="88"/>
              </w:rPr>
              <w:t>314(b)</w:t>
            </w:r>
          </w:p>
        </w:tc>
        <w:tc>
          <w:tcPr>
            <w:tcW w:w="1440" w:type="dxa"/>
            <w:vAlign w:val="bottom"/>
          </w:tcPr>
          <w:p>
            <w:pPr>
              <w:spacing w:after="0"/>
              <w:rPr>
                <w:sz w:val="20"/>
                <w:szCs w:val="20"/>
                <w:color w:val="auto"/>
              </w:rPr>
            </w:pPr>
            <w:r>
              <w:rPr>
                <w:rFonts w:ascii="Arial" w:cs="Arial" w:eastAsia="Arial" w:hAnsi="Arial"/>
                <w:sz w:val="18"/>
                <w:szCs w:val="18"/>
                <w:color w:val="auto"/>
              </w:rPr>
              <w:t>Inapplicable</w:t>
            </w:r>
          </w:p>
        </w:tc>
      </w:tr>
      <w:tr>
        <w:trPr>
          <w:trHeight w:val="216"/>
        </w:trPr>
        <w:tc>
          <w:tcPr>
            <w:tcW w:w="9600" w:type="dxa"/>
            <w:vAlign w:val="bottom"/>
            <w:gridSpan w:val="3"/>
          </w:tcPr>
          <w:p>
            <w:pPr>
              <w:jc w:val="right"/>
              <w:ind w:right="9120"/>
              <w:spacing w:after="0"/>
              <w:rPr>
                <w:sz w:val="20"/>
                <w:szCs w:val="20"/>
                <w:color w:val="auto"/>
              </w:rPr>
            </w:pPr>
            <w:r>
              <w:rPr>
                <w:rFonts w:ascii="Arial" w:cs="Arial" w:eastAsia="Arial" w:hAnsi="Arial"/>
                <w:sz w:val="18"/>
                <w:szCs w:val="18"/>
                <w:color w:val="auto"/>
                <w:w w:val="90"/>
              </w:rPr>
              <w:t>314(c)</w:t>
            </w:r>
          </w:p>
        </w:tc>
        <w:tc>
          <w:tcPr>
            <w:tcW w:w="1440" w:type="dxa"/>
            <w:vAlign w:val="bottom"/>
          </w:tcPr>
          <w:p>
            <w:pPr>
              <w:spacing w:after="0"/>
              <w:rPr>
                <w:sz w:val="20"/>
                <w:szCs w:val="20"/>
                <w:color w:val="auto"/>
              </w:rPr>
            </w:pPr>
            <w:r>
              <w:rPr>
                <w:rFonts w:ascii="Arial" w:cs="Arial" w:eastAsia="Arial" w:hAnsi="Arial"/>
                <w:sz w:val="18"/>
                <w:szCs w:val="18"/>
                <w:color w:val="auto"/>
              </w:rPr>
              <w:t>13.07(a)</w:t>
            </w:r>
          </w:p>
        </w:tc>
      </w:tr>
      <w:tr>
        <w:trPr>
          <w:trHeight w:val="216"/>
        </w:trPr>
        <w:tc>
          <w:tcPr>
            <w:tcW w:w="9600" w:type="dxa"/>
            <w:vAlign w:val="bottom"/>
            <w:gridSpan w:val="3"/>
          </w:tcPr>
          <w:p>
            <w:pPr>
              <w:jc w:val="right"/>
              <w:ind w:right="9120"/>
              <w:spacing w:after="0"/>
              <w:rPr>
                <w:sz w:val="20"/>
                <w:szCs w:val="20"/>
                <w:color w:val="auto"/>
              </w:rPr>
            </w:pPr>
            <w:r>
              <w:rPr>
                <w:rFonts w:ascii="Arial" w:cs="Arial" w:eastAsia="Arial" w:hAnsi="Arial"/>
                <w:sz w:val="18"/>
                <w:szCs w:val="18"/>
                <w:color w:val="auto"/>
                <w:w w:val="88"/>
              </w:rPr>
              <w:t>314(d)</w:t>
            </w:r>
          </w:p>
        </w:tc>
        <w:tc>
          <w:tcPr>
            <w:tcW w:w="1440" w:type="dxa"/>
            <w:vAlign w:val="bottom"/>
          </w:tcPr>
          <w:p>
            <w:pPr>
              <w:spacing w:after="0"/>
              <w:rPr>
                <w:sz w:val="20"/>
                <w:szCs w:val="20"/>
                <w:color w:val="auto"/>
              </w:rPr>
            </w:pPr>
            <w:r>
              <w:rPr>
                <w:rFonts w:ascii="Arial" w:cs="Arial" w:eastAsia="Arial" w:hAnsi="Arial"/>
                <w:sz w:val="18"/>
                <w:szCs w:val="18"/>
                <w:color w:val="auto"/>
              </w:rPr>
              <w:t>Inapplicable</w:t>
            </w:r>
          </w:p>
        </w:tc>
      </w:tr>
      <w:tr>
        <w:trPr>
          <w:trHeight w:val="216"/>
        </w:trPr>
        <w:tc>
          <w:tcPr>
            <w:tcW w:w="9600" w:type="dxa"/>
            <w:vAlign w:val="bottom"/>
            <w:gridSpan w:val="3"/>
          </w:tcPr>
          <w:p>
            <w:pPr>
              <w:jc w:val="right"/>
              <w:ind w:right="9120"/>
              <w:spacing w:after="0"/>
              <w:rPr>
                <w:sz w:val="20"/>
                <w:szCs w:val="20"/>
                <w:color w:val="auto"/>
              </w:rPr>
            </w:pPr>
            <w:r>
              <w:rPr>
                <w:rFonts w:ascii="Arial" w:cs="Arial" w:eastAsia="Arial" w:hAnsi="Arial"/>
                <w:sz w:val="18"/>
                <w:szCs w:val="18"/>
                <w:color w:val="auto"/>
                <w:w w:val="88"/>
              </w:rPr>
              <w:t>314(e)</w:t>
            </w:r>
          </w:p>
        </w:tc>
        <w:tc>
          <w:tcPr>
            <w:tcW w:w="1440" w:type="dxa"/>
            <w:vAlign w:val="bottom"/>
          </w:tcPr>
          <w:p>
            <w:pPr>
              <w:spacing w:after="0"/>
              <w:rPr>
                <w:sz w:val="20"/>
                <w:szCs w:val="20"/>
                <w:color w:val="auto"/>
              </w:rPr>
            </w:pPr>
            <w:r>
              <w:rPr>
                <w:rFonts w:ascii="Arial" w:cs="Arial" w:eastAsia="Arial" w:hAnsi="Arial"/>
                <w:sz w:val="18"/>
                <w:szCs w:val="18"/>
                <w:color w:val="auto"/>
              </w:rPr>
              <w:t>13.07(b)</w:t>
            </w:r>
          </w:p>
        </w:tc>
      </w:tr>
      <w:tr>
        <w:trPr>
          <w:trHeight w:val="216"/>
        </w:trPr>
        <w:tc>
          <w:tcPr>
            <w:tcW w:w="9600" w:type="dxa"/>
            <w:vAlign w:val="bottom"/>
            <w:gridSpan w:val="3"/>
          </w:tcPr>
          <w:p>
            <w:pPr>
              <w:jc w:val="right"/>
              <w:ind w:right="9140"/>
              <w:spacing w:after="0"/>
              <w:rPr>
                <w:sz w:val="20"/>
                <w:szCs w:val="20"/>
                <w:color w:val="auto"/>
              </w:rPr>
            </w:pPr>
            <w:r>
              <w:rPr>
                <w:rFonts w:ascii="Arial" w:cs="Arial" w:eastAsia="Arial" w:hAnsi="Arial"/>
                <w:sz w:val="18"/>
                <w:szCs w:val="18"/>
                <w:color w:val="auto"/>
                <w:w w:val="93"/>
              </w:rPr>
              <w:t>314(f)</w:t>
            </w:r>
          </w:p>
        </w:tc>
        <w:tc>
          <w:tcPr>
            <w:tcW w:w="1440" w:type="dxa"/>
            <w:vAlign w:val="bottom"/>
          </w:tcPr>
          <w:p>
            <w:pPr>
              <w:spacing w:after="0"/>
              <w:rPr>
                <w:sz w:val="20"/>
                <w:szCs w:val="20"/>
                <w:color w:val="auto"/>
              </w:rPr>
            </w:pPr>
            <w:r>
              <w:rPr>
                <w:rFonts w:ascii="Arial" w:cs="Arial" w:eastAsia="Arial" w:hAnsi="Arial"/>
                <w:sz w:val="18"/>
                <w:szCs w:val="18"/>
                <w:color w:val="auto"/>
              </w:rPr>
              <w:t>Inapplicable</w:t>
            </w:r>
          </w:p>
        </w:tc>
      </w:tr>
      <w:tr>
        <w:trPr>
          <w:trHeight w:val="216"/>
        </w:trPr>
        <w:tc>
          <w:tcPr>
            <w:tcW w:w="9600" w:type="dxa"/>
            <w:vAlign w:val="bottom"/>
            <w:gridSpan w:val="3"/>
          </w:tcPr>
          <w:p>
            <w:pPr>
              <w:jc w:val="right"/>
              <w:ind w:right="9120"/>
              <w:spacing w:after="0"/>
              <w:rPr>
                <w:sz w:val="20"/>
                <w:szCs w:val="20"/>
                <w:color w:val="auto"/>
              </w:rPr>
            </w:pPr>
            <w:r>
              <w:rPr>
                <w:rFonts w:ascii="Arial" w:cs="Arial" w:eastAsia="Arial" w:hAnsi="Arial"/>
                <w:sz w:val="18"/>
                <w:szCs w:val="18"/>
                <w:color w:val="auto"/>
                <w:w w:val="88"/>
              </w:rPr>
              <w:t>315(a)</w:t>
            </w:r>
          </w:p>
        </w:tc>
        <w:tc>
          <w:tcPr>
            <w:tcW w:w="1440" w:type="dxa"/>
            <w:vAlign w:val="bottom"/>
          </w:tcPr>
          <w:p>
            <w:pPr>
              <w:spacing w:after="0"/>
              <w:rPr>
                <w:sz w:val="20"/>
                <w:szCs w:val="20"/>
                <w:color w:val="auto"/>
              </w:rPr>
            </w:pPr>
            <w:r>
              <w:rPr>
                <w:rFonts w:ascii="Arial" w:cs="Arial" w:eastAsia="Arial" w:hAnsi="Arial"/>
                <w:sz w:val="18"/>
                <w:szCs w:val="18"/>
                <w:color w:val="auto"/>
              </w:rPr>
              <w:t>7.01(a)</w:t>
            </w:r>
          </w:p>
        </w:tc>
      </w:tr>
      <w:tr>
        <w:trPr>
          <w:trHeight w:val="230"/>
        </w:trPr>
        <w:tc>
          <w:tcPr>
            <w:tcW w:w="20" w:type="dxa"/>
            <w:vAlign w:val="bottom"/>
          </w:tcPr>
          <w:p>
            <w:pPr>
              <w:spacing w:after="0"/>
              <w:rPr>
                <w:sz w:val="19"/>
                <w:szCs w:val="19"/>
                <w:color w:val="auto"/>
              </w:rPr>
            </w:pPr>
          </w:p>
        </w:tc>
        <w:tc>
          <w:tcPr>
            <w:tcW w:w="9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7.01(b)</w:t>
            </w:r>
          </w:p>
        </w:tc>
      </w:tr>
      <w:tr>
        <w:trPr>
          <w:trHeight w:val="216"/>
        </w:trPr>
        <w:tc>
          <w:tcPr>
            <w:tcW w:w="9600" w:type="dxa"/>
            <w:vAlign w:val="bottom"/>
            <w:gridSpan w:val="3"/>
          </w:tcPr>
          <w:p>
            <w:pPr>
              <w:jc w:val="right"/>
              <w:ind w:right="9120"/>
              <w:spacing w:after="0"/>
              <w:rPr>
                <w:sz w:val="20"/>
                <w:szCs w:val="20"/>
                <w:color w:val="auto"/>
              </w:rPr>
            </w:pPr>
            <w:r>
              <w:rPr>
                <w:rFonts w:ascii="Arial" w:cs="Arial" w:eastAsia="Arial" w:hAnsi="Arial"/>
                <w:sz w:val="18"/>
                <w:szCs w:val="18"/>
                <w:color w:val="auto"/>
                <w:w w:val="88"/>
              </w:rPr>
              <w:t>315(b)</w:t>
            </w:r>
          </w:p>
        </w:tc>
        <w:tc>
          <w:tcPr>
            <w:tcW w:w="1440" w:type="dxa"/>
            <w:vAlign w:val="bottom"/>
          </w:tcPr>
          <w:p>
            <w:pPr>
              <w:spacing w:after="0"/>
              <w:rPr>
                <w:sz w:val="20"/>
                <w:szCs w:val="20"/>
                <w:color w:val="auto"/>
              </w:rPr>
            </w:pPr>
            <w:r>
              <w:rPr>
                <w:rFonts w:ascii="Arial" w:cs="Arial" w:eastAsia="Arial" w:hAnsi="Arial"/>
                <w:sz w:val="18"/>
                <w:szCs w:val="18"/>
                <w:color w:val="auto"/>
              </w:rPr>
              <w:t>7.14</w:t>
            </w:r>
          </w:p>
        </w:tc>
      </w:tr>
      <w:tr>
        <w:trPr>
          <w:trHeight w:val="216"/>
        </w:trPr>
        <w:tc>
          <w:tcPr>
            <w:tcW w:w="9600" w:type="dxa"/>
            <w:vAlign w:val="bottom"/>
            <w:gridSpan w:val="3"/>
          </w:tcPr>
          <w:p>
            <w:pPr>
              <w:jc w:val="right"/>
              <w:ind w:right="9120"/>
              <w:spacing w:after="0"/>
              <w:rPr>
                <w:sz w:val="20"/>
                <w:szCs w:val="20"/>
                <w:color w:val="auto"/>
              </w:rPr>
            </w:pPr>
            <w:r>
              <w:rPr>
                <w:rFonts w:ascii="Arial" w:cs="Arial" w:eastAsia="Arial" w:hAnsi="Arial"/>
                <w:sz w:val="18"/>
                <w:szCs w:val="18"/>
                <w:color w:val="auto"/>
                <w:w w:val="90"/>
              </w:rPr>
              <w:t>315(c)</w:t>
            </w:r>
          </w:p>
        </w:tc>
        <w:tc>
          <w:tcPr>
            <w:tcW w:w="1440" w:type="dxa"/>
            <w:vAlign w:val="bottom"/>
          </w:tcPr>
          <w:p>
            <w:pPr>
              <w:spacing w:after="0"/>
              <w:rPr>
                <w:sz w:val="20"/>
                <w:szCs w:val="20"/>
                <w:color w:val="auto"/>
              </w:rPr>
            </w:pPr>
            <w:r>
              <w:rPr>
                <w:rFonts w:ascii="Arial" w:cs="Arial" w:eastAsia="Arial" w:hAnsi="Arial"/>
                <w:sz w:val="18"/>
                <w:szCs w:val="18"/>
                <w:color w:val="auto"/>
              </w:rPr>
              <w:t>7.01(a)</w:t>
            </w:r>
          </w:p>
        </w:tc>
      </w:tr>
      <w:tr>
        <w:trPr>
          <w:trHeight w:val="216"/>
        </w:trPr>
        <w:tc>
          <w:tcPr>
            <w:tcW w:w="9600" w:type="dxa"/>
            <w:vAlign w:val="bottom"/>
            <w:gridSpan w:val="3"/>
          </w:tcPr>
          <w:p>
            <w:pPr>
              <w:jc w:val="right"/>
              <w:ind w:right="9120"/>
              <w:spacing w:after="0"/>
              <w:rPr>
                <w:sz w:val="20"/>
                <w:szCs w:val="20"/>
                <w:color w:val="auto"/>
              </w:rPr>
            </w:pPr>
            <w:r>
              <w:rPr>
                <w:rFonts w:ascii="Arial" w:cs="Arial" w:eastAsia="Arial" w:hAnsi="Arial"/>
                <w:sz w:val="18"/>
                <w:szCs w:val="18"/>
                <w:color w:val="auto"/>
                <w:w w:val="88"/>
              </w:rPr>
              <w:t>315(d)</w:t>
            </w:r>
          </w:p>
        </w:tc>
        <w:tc>
          <w:tcPr>
            <w:tcW w:w="1440" w:type="dxa"/>
            <w:vAlign w:val="bottom"/>
          </w:tcPr>
          <w:p>
            <w:pPr>
              <w:spacing w:after="0"/>
              <w:rPr>
                <w:sz w:val="20"/>
                <w:szCs w:val="20"/>
                <w:color w:val="auto"/>
              </w:rPr>
            </w:pPr>
            <w:r>
              <w:rPr>
                <w:rFonts w:ascii="Arial" w:cs="Arial" w:eastAsia="Arial" w:hAnsi="Arial"/>
                <w:sz w:val="18"/>
                <w:szCs w:val="18"/>
                <w:color w:val="auto"/>
              </w:rPr>
              <w:t>7.01(b)</w:t>
            </w:r>
          </w:p>
        </w:tc>
      </w:tr>
      <w:tr>
        <w:trPr>
          <w:trHeight w:val="216"/>
        </w:trPr>
        <w:tc>
          <w:tcPr>
            <w:tcW w:w="9600" w:type="dxa"/>
            <w:vAlign w:val="bottom"/>
            <w:gridSpan w:val="3"/>
          </w:tcPr>
          <w:p>
            <w:pPr>
              <w:jc w:val="right"/>
              <w:ind w:right="9120"/>
              <w:spacing w:after="0"/>
              <w:rPr>
                <w:sz w:val="20"/>
                <w:szCs w:val="20"/>
                <w:color w:val="auto"/>
              </w:rPr>
            </w:pPr>
            <w:r>
              <w:rPr>
                <w:rFonts w:ascii="Arial" w:cs="Arial" w:eastAsia="Arial" w:hAnsi="Arial"/>
                <w:sz w:val="18"/>
                <w:szCs w:val="18"/>
                <w:color w:val="auto"/>
                <w:w w:val="88"/>
              </w:rPr>
              <w:t>315(e)</w:t>
            </w:r>
          </w:p>
        </w:tc>
        <w:tc>
          <w:tcPr>
            <w:tcW w:w="1440" w:type="dxa"/>
            <w:vAlign w:val="bottom"/>
          </w:tcPr>
          <w:p>
            <w:pPr>
              <w:spacing w:after="0"/>
              <w:rPr>
                <w:sz w:val="20"/>
                <w:szCs w:val="20"/>
                <w:color w:val="auto"/>
              </w:rPr>
            </w:pPr>
            <w:r>
              <w:rPr>
                <w:rFonts w:ascii="Arial" w:cs="Arial" w:eastAsia="Arial" w:hAnsi="Arial"/>
                <w:sz w:val="18"/>
                <w:szCs w:val="18"/>
                <w:color w:val="auto"/>
              </w:rPr>
              <w:t>6.07</w:t>
            </w:r>
          </w:p>
        </w:tc>
      </w:tr>
      <w:tr>
        <w:trPr>
          <w:trHeight w:val="216"/>
        </w:trPr>
        <w:tc>
          <w:tcPr>
            <w:tcW w:w="9600" w:type="dxa"/>
            <w:vAlign w:val="bottom"/>
            <w:gridSpan w:val="3"/>
          </w:tcPr>
          <w:p>
            <w:pPr>
              <w:jc w:val="right"/>
              <w:ind w:right="9120"/>
              <w:spacing w:after="0"/>
              <w:rPr>
                <w:sz w:val="20"/>
                <w:szCs w:val="20"/>
                <w:color w:val="auto"/>
              </w:rPr>
            </w:pPr>
            <w:r>
              <w:rPr>
                <w:rFonts w:ascii="Arial" w:cs="Arial" w:eastAsia="Arial" w:hAnsi="Arial"/>
                <w:sz w:val="18"/>
                <w:szCs w:val="18"/>
                <w:color w:val="auto"/>
                <w:w w:val="88"/>
              </w:rPr>
              <w:t>316(a)</w:t>
            </w:r>
          </w:p>
        </w:tc>
        <w:tc>
          <w:tcPr>
            <w:tcW w:w="1440" w:type="dxa"/>
            <w:vAlign w:val="bottom"/>
          </w:tcPr>
          <w:p>
            <w:pPr>
              <w:spacing w:after="0"/>
              <w:rPr>
                <w:sz w:val="20"/>
                <w:szCs w:val="20"/>
                <w:color w:val="auto"/>
              </w:rPr>
            </w:pPr>
            <w:r>
              <w:rPr>
                <w:rFonts w:ascii="Arial" w:cs="Arial" w:eastAsia="Arial" w:hAnsi="Arial"/>
                <w:sz w:val="18"/>
                <w:szCs w:val="18"/>
                <w:color w:val="auto"/>
              </w:rPr>
              <w:t>6.06</w:t>
            </w:r>
          </w:p>
        </w:tc>
      </w:tr>
      <w:tr>
        <w:trPr>
          <w:trHeight w:val="230"/>
        </w:trPr>
        <w:tc>
          <w:tcPr>
            <w:tcW w:w="20" w:type="dxa"/>
            <w:vAlign w:val="bottom"/>
          </w:tcPr>
          <w:p>
            <w:pPr>
              <w:spacing w:after="0"/>
              <w:rPr>
                <w:sz w:val="19"/>
                <w:szCs w:val="19"/>
                <w:color w:val="auto"/>
              </w:rPr>
            </w:pPr>
          </w:p>
        </w:tc>
        <w:tc>
          <w:tcPr>
            <w:tcW w:w="9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8.04</w:t>
            </w:r>
          </w:p>
        </w:tc>
      </w:tr>
      <w:tr>
        <w:trPr>
          <w:trHeight w:val="216"/>
        </w:trPr>
        <w:tc>
          <w:tcPr>
            <w:tcW w:w="9600" w:type="dxa"/>
            <w:vAlign w:val="bottom"/>
            <w:gridSpan w:val="3"/>
          </w:tcPr>
          <w:p>
            <w:pPr>
              <w:jc w:val="right"/>
              <w:ind w:right="9120"/>
              <w:spacing w:after="0"/>
              <w:rPr>
                <w:sz w:val="20"/>
                <w:szCs w:val="20"/>
                <w:color w:val="auto"/>
              </w:rPr>
            </w:pPr>
            <w:r>
              <w:rPr>
                <w:rFonts w:ascii="Arial" w:cs="Arial" w:eastAsia="Arial" w:hAnsi="Arial"/>
                <w:sz w:val="18"/>
                <w:szCs w:val="18"/>
                <w:color w:val="auto"/>
                <w:w w:val="88"/>
              </w:rPr>
              <w:t>316(b)</w:t>
            </w:r>
          </w:p>
        </w:tc>
        <w:tc>
          <w:tcPr>
            <w:tcW w:w="1440" w:type="dxa"/>
            <w:vAlign w:val="bottom"/>
          </w:tcPr>
          <w:p>
            <w:pPr>
              <w:spacing w:after="0"/>
              <w:rPr>
                <w:sz w:val="20"/>
                <w:szCs w:val="20"/>
                <w:color w:val="auto"/>
              </w:rPr>
            </w:pPr>
            <w:r>
              <w:rPr>
                <w:rFonts w:ascii="Arial" w:cs="Arial" w:eastAsia="Arial" w:hAnsi="Arial"/>
                <w:sz w:val="18"/>
                <w:szCs w:val="18"/>
                <w:color w:val="auto"/>
              </w:rPr>
              <w:t>6.04</w:t>
            </w:r>
          </w:p>
        </w:tc>
      </w:tr>
      <w:tr>
        <w:trPr>
          <w:trHeight w:val="216"/>
        </w:trPr>
        <w:tc>
          <w:tcPr>
            <w:tcW w:w="9600" w:type="dxa"/>
            <w:vAlign w:val="bottom"/>
            <w:gridSpan w:val="3"/>
          </w:tcPr>
          <w:p>
            <w:pPr>
              <w:jc w:val="right"/>
              <w:ind w:right="9120"/>
              <w:spacing w:after="0"/>
              <w:rPr>
                <w:sz w:val="20"/>
                <w:szCs w:val="20"/>
                <w:color w:val="auto"/>
              </w:rPr>
            </w:pPr>
            <w:r>
              <w:rPr>
                <w:rFonts w:ascii="Arial" w:cs="Arial" w:eastAsia="Arial" w:hAnsi="Arial"/>
                <w:sz w:val="18"/>
                <w:szCs w:val="18"/>
                <w:color w:val="auto"/>
                <w:w w:val="90"/>
              </w:rPr>
              <w:t>316(c)</w:t>
            </w:r>
          </w:p>
        </w:tc>
        <w:tc>
          <w:tcPr>
            <w:tcW w:w="1440" w:type="dxa"/>
            <w:vAlign w:val="bottom"/>
          </w:tcPr>
          <w:p>
            <w:pPr>
              <w:spacing w:after="0"/>
              <w:rPr>
                <w:sz w:val="20"/>
                <w:szCs w:val="20"/>
                <w:color w:val="auto"/>
              </w:rPr>
            </w:pPr>
            <w:r>
              <w:rPr>
                <w:rFonts w:ascii="Arial" w:cs="Arial" w:eastAsia="Arial" w:hAnsi="Arial"/>
                <w:sz w:val="18"/>
                <w:szCs w:val="18"/>
                <w:color w:val="auto"/>
              </w:rPr>
              <w:t>8.01</w:t>
            </w:r>
          </w:p>
        </w:tc>
      </w:tr>
      <w:tr>
        <w:trPr>
          <w:trHeight w:val="216"/>
        </w:trPr>
        <w:tc>
          <w:tcPr>
            <w:tcW w:w="9600" w:type="dxa"/>
            <w:vAlign w:val="bottom"/>
            <w:gridSpan w:val="3"/>
          </w:tcPr>
          <w:p>
            <w:pPr>
              <w:jc w:val="right"/>
              <w:ind w:right="9120"/>
              <w:spacing w:after="0"/>
              <w:rPr>
                <w:sz w:val="20"/>
                <w:szCs w:val="20"/>
                <w:color w:val="auto"/>
              </w:rPr>
            </w:pPr>
            <w:r>
              <w:rPr>
                <w:rFonts w:ascii="Arial" w:cs="Arial" w:eastAsia="Arial" w:hAnsi="Arial"/>
                <w:sz w:val="18"/>
                <w:szCs w:val="18"/>
                <w:color w:val="auto"/>
                <w:w w:val="88"/>
              </w:rPr>
              <w:t>317(a)</w:t>
            </w:r>
          </w:p>
        </w:tc>
        <w:tc>
          <w:tcPr>
            <w:tcW w:w="1440" w:type="dxa"/>
            <w:vAlign w:val="bottom"/>
          </w:tcPr>
          <w:p>
            <w:pPr>
              <w:spacing w:after="0"/>
              <w:rPr>
                <w:sz w:val="20"/>
                <w:szCs w:val="20"/>
                <w:color w:val="auto"/>
              </w:rPr>
            </w:pPr>
            <w:r>
              <w:rPr>
                <w:rFonts w:ascii="Arial" w:cs="Arial" w:eastAsia="Arial" w:hAnsi="Arial"/>
                <w:sz w:val="18"/>
                <w:szCs w:val="18"/>
                <w:color w:val="auto"/>
              </w:rPr>
              <w:t>6.02</w:t>
            </w:r>
          </w:p>
        </w:tc>
      </w:tr>
      <w:tr>
        <w:trPr>
          <w:trHeight w:val="216"/>
        </w:trPr>
        <w:tc>
          <w:tcPr>
            <w:tcW w:w="9600" w:type="dxa"/>
            <w:vAlign w:val="bottom"/>
            <w:gridSpan w:val="3"/>
          </w:tcPr>
          <w:p>
            <w:pPr>
              <w:jc w:val="right"/>
              <w:ind w:right="9120"/>
              <w:spacing w:after="0"/>
              <w:rPr>
                <w:sz w:val="20"/>
                <w:szCs w:val="20"/>
                <w:color w:val="auto"/>
              </w:rPr>
            </w:pPr>
            <w:r>
              <w:rPr>
                <w:rFonts w:ascii="Arial" w:cs="Arial" w:eastAsia="Arial" w:hAnsi="Arial"/>
                <w:sz w:val="18"/>
                <w:szCs w:val="18"/>
                <w:color w:val="auto"/>
                <w:w w:val="88"/>
              </w:rPr>
              <w:t>317(b)</w:t>
            </w:r>
          </w:p>
        </w:tc>
        <w:tc>
          <w:tcPr>
            <w:tcW w:w="1440" w:type="dxa"/>
            <w:vAlign w:val="bottom"/>
          </w:tcPr>
          <w:p>
            <w:pPr>
              <w:spacing w:after="0"/>
              <w:rPr>
                <w:sz w:val="20"/>
                <w:szCs w:val="20"/>
                <w:color w:val="auto"/>
              </w:rPr>
            </w:pPr>
            <w:r>
              <w:rPr>
                <w:rFonts w:ascii="Arial" w:cs="Arial" w:eastAsia="Arial" w:hAnsi="Arial"/>
                <w:sz w:val="18"/>
                <w:szCs w:val="18"/>
                <w:color w:val="auto"/>
              </w:rPr>
              <w:t>4.03</w:t>
            </w:r>
          </w:p>
        </w:tc>
      </w:tr>
      <w:tr>
        <w:trPr>
          <w:trHeight w:val="230"/>
        </w:trPr>
        <w:tc>
          <w:tcPr>
            <w:tcW w:w="9600" w:type="dxa"/>
            <w:vAlign w:val="bottom"/>
            <w:gridSpan w:val="3"/>
          </w:tcPr>
          <w:p>
            <w:pPr>
              <w:jc w:val="right"/>
              <w:ind w:right="9120"/>
              <w:spacing w:after="0"/>
              <w:rPr>
                <w:sz w:val="20"/>
                <w:szCs w:val="20"/>
                <w:color w:val="auto"/>
              </w:rPr>
            </w:pPr>
            <w:r>
              <w:rPr>
                <w:rFonts w:ascii="Arial" w:cs="Arial" w:eastAsia="Arial" w:hAnsi="Arial"/>
                <w:sz w:val="18"/>
                <w:szCs w:val="18"/>
                <w:color w:val="auto"/>
                <w:w w:val="88"/>
              </w:rPr>
              <w:t>318(a)</w:t>
            </w:r>
          </w:p>
        </w:tc>
        <w:tc>
          <w:tcPr>
            <w:tcW w:w="1440" w:type="dxa"/>
            <w:vAlign w:val="bottom"/>
          </w:tcPr>
          <w:p>
            <w:pPr>
              <w:spacing w:after="0"/>
              <w:rPr>
                <w:sz w:val="20"/>
                <w:szCs w:val="20"/>
                <w:color w:val="auto"/>
              </w:rPr>
            </w:pPr>
            <w:r>
              <w:rPr>
                <w:rFonts w:ascii="Arial" w:cs="Arial" w:eastAsia="Arial" w:hAnsi="Arial"/>
                <w:sz w:val="18"/>
                <w:szCs w:val="18"/>
                <w:color w:val="auto"/>
              </w:rPr>
              <w:t>13.09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240030</wp:posOffset>
            </wp:positionV>
            <wp:extent cx="76327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398" w:lineRule="exact"/>
        <w:rPr>
          <w:sz w:val="20"/>
          <w:szCs w:val="20"/>
          <w:color w:val="auto"/>
        </w:rPr>
      </w:pPr>
    </w:p>
    <w:p>
      <w:pPr>
        <w:ind w:left="440" w:right="380" w:hanging="436"/>
        <w:spacing w:after="0" w:line="277" w:lineRule="auto"/>
        <w:tabs>
          <w:tab w:leader="none" w:pos="440" w:val="left"/>
        </w:tabs>
        <w:numPr>
          <w:ilvl w:val="0"/>
          <w:numId w:val="89"/>
        </w:numPr>
        <w:rPr>
          <w:rFonts w:ascii="Arial" w:cs="Arial" w:eastAsia="Arial" w:hAnsi="Arial"/>
          <w:sz w:val="15"/>
          <w:szCs w:val="15"/>
          <w:color w:val="auto"/>
        </w:rPr>
      </w:pPr>
      <w:r>
        <w:rPr>
          <w:rFonts w:ascii="Arial" w:cs="Arial" w:eastAsia="Arial" w:hAnsi="Arial"/>
          <w:sz w:val="18"/>
          <w:szCs w:val="18"/>
          <w:color w:val="auto"/>
        </w:rPr>
        <w:t>This Cross-Reference Table does not constitute part of the Indenture and shall not have any bearing on the interpretation of any of its terms or provisions.</w:t>
      </w:r>
    </w:p>
    <w:p>
      <w:pPr>
        <w:sectPr>
          <w:pgSz w:w="11900" w:h="16838" w:orient="portrait"/>
          <w:cols w:equalWidth="0" w:num="1">
            <w:col w:w="11040"/>
          </w:cols>
          <w:pgMar w:left="440" w:top="270" w:right="41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AVROBIO, INC.,</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Issuer</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[TRUSTEE],</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240665</wp:posOffset>
            </wp:positionV>
            <wp:extent cx="146621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Dated as of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248920</wp:posOffset>
            </wp:positionV>
            <wp:extent cx="146621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Subordinated Debt Securities</w:t>
      </w:r>
    </w:p>
    <w:p>
      <w:pPr>
        <w:sectPr>
          <w:pgSz w:w="11900" w:h="16838" w:orient="portrait"/>
          <w:cols w:equalWidth="0" w:num="1">
            <w:col w:w="10020"/>
          </w:cols>
          <w:pgMar w:left="1440" w:top="121" w:right="4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8280" w:type="dxa"/>
            <w:vAlign w:val="bottom"/>
          </w:tcPr>
          <w:p>
            <w:pPr>
              <w:ind w:left="3020"/>
              <w:spacing w:after="0"/>
              <w:rPr>
                <w:sz w:val="20"/>
                <w:szCs w:val="20"/>
                <w:color w:val="auto"/>
              </w:rPr>
            </w:pPr>
            <w:r>
              <w:rPr>
                <w:rFonts w:ascii="Arial" w:cs="Arial" w:eastAsia="Arial" w:hAnsi="Arial"/>
                <w:sz w:val="18"/>
                <w:szCs w:val="18"/>
                <w:b w:val="1"/>
                <w:bCs w:val="1"/>
                <w:color w:val="auto"/>
              </w:rPr>
              <w:t>TABLE OF CONTENTS</w:t>
            </w:r>
            <w:r>
              <w:rPr>
                <w:rFonts w:ascii="Arial" w:cs="Arial" w:eastAsia="Arial" w:hAnsi="Arial"/>
                <w:sz w:val="15"/>
                <w:szCs w:val="15"/>
                <w:b w:val="1"/>
                <w:bCs w:val="1"/>
                <w:color w:val="auto"/>
              </w:rPr>
              <w:t>1</w:t>
            </w:r>
          </w:p>
        </w:tc>
        <w:tc>
          <w:tcPr>
            <w:tcW w:w="1200" w:type="dxa"/>
            <w:vAlign w:val="bottom"/>
          </w:tcPr>
          <w:p>
            <w:pPr>
              <w:spacing w:after="0"/>
              <w:rPr>
                <w:sz w:val="20"/>
                <w:szCs w:val="20"/>
                <w:color w:val="auto"/>
              </w:rPr>
            </w:pPr>
          </w:p>
        </w:tc>
      </w:tr>
      <w:tr>
        <w:trPr>
          <w:trHeight w:val="459"/>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1 </w:t>
            </w:r>
            <w:r>
              <w:rPr>
                <w:rFonts w:ascii="Arial" w:cs="Arial" w:eastAsia="Arial" w:hAnsi="Arial"/>
                <w:sz w:val="18"/>
                <w:szCs w:val="18"/>
                <w:color w:val="auto"/>
              </w:rPr>
              <w:t>DEFINITIONS</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50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8280" w:type="dxa"/>
            <w:vAlign w:val="bottom"/>
          </w:tcPr>
          <w:p>
            <w:pPr>
              <w:ind w:left="240"/>
              <w:spacing w:after="0"/>
              <w:rPr>
                <w:sz w:val="20"/>
                <w:szCs w:val="20"/>
                <w:color w:val="auto"/>
              </w:rPr>
            </w:pPr>
            <w:r>
              <w:rPr>
                <w:rFonts w:ascii="Arial" w:cs="Arial" w:eastAsia="Arial" w:hAnsi="Arial"/>
                <w:sz w:val="18"/>
                <w:szCs w:val="18"/>
                <w:color w:val="auto"/>
              </w:rPr>
              <w:t>Definitions of Terms</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2 </w:t>
            </w:r>
            <w:r>
              <w:rPr>
                <w:rFonts w:ascii="Arial" w:cs="Arial" w:eastAsia="Arial" w:hAnsi="Arial"/>
                <w:sz w:val="18"/>
                <w:szCs w:val="18"/>
                <w:color w:val="auto"/>
              </w:rPr>
              <w:t>ISSUE, DESCRIPTION, TERMS, EXECUTION, REGISTRATION AND EXCHANGE OF SECURITIES</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2.01</w:t>
            </w:r>
          </w:p>
        </w:tc>
        <w:tc>
          <w:tcPr>
            <w:tcW w:w="8280" w:type="dxa"/>
            <w:vAlign w:val="bottom"/>
          </w:tcPr>
          <w:p>
            <w:pPr>
              <w:ind w:left="240"/>
              <w:spacing w:after="0"/>
              <w:rPr>
                <w:sz w:val="20"/>
                <w:szCs w:val="20"/>
                <w:color w:val="auto"/>
              </w:rPr>
            </w:pPr>
            <w:r>
              <w:rPr>
                <w:rFonts w:ascii="Arial" w:cs="Arial" w:eastAsia="Arial" w:hAnsi="Arial"/>
                <w:sz w:val="18"/>
                <w:szCs w:val="18"/>
                <w:color w:val="auto"/>
              </w:rPr>
              <w:t>Designation and Terms of Securities</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2.02</w:t>
            </w:r>
          </w:p>
        </w:tc>
        <w:tc>
          <w:tcPr>
            <w:tcW w:w="8280" w:type="dxa"/>
            <w:vAlign w:val="bottom"/>
          </w:tcPr>
          <w:p>
            <w:pPr>
              <w:ind w:left="240"/>
              <w:spacing w:after="0"/>
              <w:rPr>
                <w:sz w:val="20"/>
                <w:szCs w:val="20"/>
                <w:color w:val="auto"/>
              </w:rPr>
            </w:pPr>
            <w:r>
              <w:rPr>
                <w:rFonts w:ascii="Arial" w:cs="Arial" w:eastAsia="Arial" w:hAnsi="Arial"/>
                <w:sz w:val="18"/>
                <w:szCs w:val="18"/>
                <w:color w:val="auto"/>
              </w:rPr>
              <w:t>Form of Securities and Trustee’s Certificate</w:t>
            </w: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2.03</w:t>
            </w:r>
          </w:p>
        </w:tc>
        <w:tc>
          <w:tcPr>
            <w:tcW w:w="8280" w:type="dxa"/>
            <w:vAlign w:val="bottom"/>
          </w:tcPr>
          <w:p>
            <w:pPr>
              <w:ind w:left="240"/>
              <w:spacing w:after="0"/>
              <w:rPr>
                <w:sz w:val="20"/>
                <w:szCs w:val="20"/>
                <w:color w:val="auto"/>
              </w:rPr>
            </w:pPr>
            <w:r>
              <w:rPr>
                <w:rFonts w:ascii="Arial" w:cs="Arial" w:eastAsia="Arial" w:hAnsi="Arial"/>
                <w:sz w:val="18"/>
                <w:szCs w:val="18"/>
                <w:color w:val="auto"/>
              </w:rPr>
              <w:t>Denominations: Provisions for Payment</w:t>
            </w: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2.04</w:t>
            </w:r>
          </w:p>
        </w:tc>
        <w:tc>
          <w:tcPr>
            <w:tcW w:w="8280" w:type="dxa"/>
            <w:vAlign w:val="bottom"/>
          </w:tcPr>
          <w:p>
            <w:pPr>
              <w:ind w:left="240"/>
              <w:spacing w:after="0"/>
              <w:rPr>
                <w:sz w:val="20"/>
                <w:szCs w:val="20"/>
                <w:color w:val="auto"/>
              </w:rPr>
            </w:pPr>
            <w:r>
              <w:rPr>
                <w:rFonts w:ascii="Arial" w:cs="Arial" w:eastAsia="Arial" w:hAnsi="Arial"/>
                <w:sz w:val="18"/>
                <w:szCs w:val="18"/>
                <w:color w:val="auto"/>
              </w:rPr>
              <w:t>Execution and Authentications</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2.05</w:t>
            </w:r>
          </w:p>
        </w:tc>
        <w:tc>
          <w:tcPr>
            <w:tcW w:w="8280" w:type="dxa"/>
            <w:vAlign w:val="bottom"/>
          </w:tcPr>
          <w:p>
            <w:pPr>
              <w:ind w:left="240"/>
              <w:spacing w:after="0"/>
              <w:rPr>
                <w:sz w:val="20"/>
                <w:szCs w:val="20"/>
                <w:color w:val="auto"/>
              </w:rPr>
            </w:pPr>
            <w:r>
              <w:rPr>
                <w:rFonts w:ascii="Arial" w:cs="Arial" w:eastAsia="Arial" w:hAnsi="Arial"/>
                <w:sz w:val="18"/>
                <w:szCs w:val="18"/>
                <w:color w:val="auto"/>
              </w:rPr>
              <w:t>Registration of Transfer and Exchange</w:t>
            </w: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2.06</w:t>
            </w:r>
          </w:p>
        </w:tc>
        <w:tc>
          <w:tcPr>
            <w:tcW w:w="8280" w:type="dxa"/>
            <w:vAlign w:val="bottom"/>
          </w:tcPr>
          <w:p>
            <w:pPr>
              <w:ind w:left="240"/>
              <w:spacing w:after="0"/>
              <w:rPr>
                <w:sz w:val="20"/>
                <w:szCs w:val="20"/>
                <w:color w:val="auto"/>
              </w:rPr>
            </w:pPr>
            <w:r>
              <w:rPr>
                <w:rFonts w:ascii="Arial" w:cs="Arial" w:eastAsia="Arial" w:hAnsi="Arial"/>
                <w:sz w:val="18"/>
                <w:szCs w:val="18"/>
                <w:color w:val="auto"/>
              </w:rPr>
              <w:t>Temporary Securities</w:t>
            </w: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2.07</w:t>
            </w:r>
          </w:p>
        </w:tc>
        <w:tc>
          <w:tcPr>
            <w:tcW w:w="8280" w:type="dxa"/>
            <w:vAlign w:val="bottom"/>
          </w:tcPr>
          <w:p>
            <w:pPr>
              <w:ind w:left="240"/>
              <w:spacing w:after="0"/>
              <w:rPr>
                <w:sz w:val="20"/>
                <w:szCs w:val="20"/>
                <w:color w:val="auto"/>
              </w:rPr>
            </w:pPr>
            <w:r>
              <w:rPr>
                <w:rFonts w:ascii="Arial" w:cs="Arial" w:eastAsia="Arial" w:hAnsi="Arial"/>
                <w:sz w:val="18"/>
                <w:szCs w:val="18"/>
                <w:color w:val="auto"/>
              </w:rPr>
              <w:t>Mutilated, Destroyed, Lost or Stolen Securities</w:t>
            </w: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2.08</w:t>
            </w:r>
          </w:p>
        </w:tc>
        <w:tc>
          <w:tcPr>
            <w:tcW w:w="8280" w:type="dxa"/>
            <w:vAlign w:val="bottom"/>
          </w:tcPr>
          <w:p>
            <w:pPr>
              <w:ind w:left="240"/>
              <w:spacing w:after="0"/>
              <w:rPr>
                <w:sz w:val="20"/>
                <w:szCs w:val="20"/>
                <w:color w:val="auto"/>
              </w:rPr>
            </w:pPr>
            <w:r>
              <w:rPr>
                <w:rFonts w:ascii="Arial" w:cs="Arial" w:eastAsia="Arial" w:hAnsi="Arial"/>
                <w:sz w:val="18"/>
                <w:szCs w:val="18"/>
                <w:color w:val="auto"/>
              </w:rPr>
              <w:t>Cancellation</w:t>
            </w: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2.09</w:t>
            </w:r>
          </w:p>
        </w:tc>
        <w:tc>
          <w:tcPr>
            <w:tcW w:w="8280" w:type="dxa"/>
            <w:vAlign w:val="bottom"/>
          </w:tcPr>
          <w:p>
            <w:pPr>
              <w:ind w:left="240"/>
              <w:spacing w:after="0"/>
              <w:rPr>
                <w:sz w:val="20"/>
                <w:szCs w:val="20"/>
                <w:color w:val="auto"/>
              </w:rPr>
            </w:pPr>
            <w:r>
              <w:rPr>
                <w:rFonts w:ascii="Arial" w:cs="Arial" w:eastAsia="Arial" w:hAnsi="Arial"/>
                <w:sz w:val="18"/>
                <w:szCs w:val="18"/>
                <w:color w:val="auto"/>
              </w:rPr>
              <w:t>Benefits of Indenture</w:t>
            </w: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2.10</w:t>
            </w:r>
          </w:p>
        </w:tc>
        <w:tc>
          <w:tcPr>
            <w:tcW w:w="8280" w:type="dxa"/>
            <w:vAlign w:val="bottom"/>
          </w:tcPr>
          <w:p>
            <w:pPr>
              <w:ind w:left="240"/>
              <w:spacing w:after="0"/>
              <w:rPr>
                <w:sz w:val="20"/>
                <w:szCs w:val="20"/>
                <w:color w:val="auto"/>
              </w:rPr>
            </w:pPr>
            <w:r>
              <w:rPr>
                <w:rFonts w:ascii="Arial" w:cs="Arial" w:eastAsia="Arial" w:hAnsi="Arial"/>
                <w:sz w:val="18"/>
                <w:szCs w:val="18"/>
                <w:color w:val="auto"/>
              </w:rPr>
              <w:t>Authenticating Agent</w:t>
            </w: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2.11</w:t>
            </w:r>
          </w:p>
        </w:tc>
        <w:tc>
          <w:tcPr>
            <w:tcW w:w="8280" w:type="dxa"/>
            <w:vAlign w:val="bottom"/>
          </w:tcPr>
          <w:p>
            <w:pPr>
              <w:ind w:left="240"/>
              <w:spacing w:after="0"/>
              <w:rPr>
                <w:sz w:val="20"/>
                <w:szCs w:val="20"/>
                <w:color w:val="auto"/>
              </w:rPr>
            </w:pPr>
            <w:r>
              <w:rPr>
                <w:rFonts w:ascii="Arial" w:cs="Arial" w:eastAsia="Arial" w:hAnsi="Arial"/>
                <w:sz w:val="18"/>
                <w:szCs w:val="18"/>
                <w:color w:val="auto"/>
              </w:rPr>
              <w:t>Global Securities</w:t>
            </w: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3 </w:t>
            </w:r>
            <w:r>
              <w:rPr>
                <w:rFonts w:ascii="Arial" w:cs="Arial" w:eastAsia="Arial" w:hAnsi="Arial"/>
                <w:sz w:val="18"/>
                <w:szCs w:val="18"/>
                <w:color w:val="auto"/>
              </w:rPr>
              <w:t>REDEMPTION OF SECURITIES AND SINKING FUND PROVISIONS</w:t>
            </w: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3.01</w:t>
            </w:r>
          </w:p>
        </w:tc>
        <w:tc>
          <w:tcPr>
            <w:tcW w:w="8280" w:type="dxa"/>
            <w:vAlign w:val="bottom"/>
          </w:tcPr>
          <w:p>
            <w:pPr>
              <w:ind w:left="240"/>
              <w:spacing w:after="0"/>
              <w:rPr>
                <w:sz w:val="20"/>
                <w:szCs w:val="20"/>
                <w:color w:val="auto"/>
              </w:rPr>
            </w:pPr>
            <w:r>
              <w:rPr>
                <w:rFonts w:ascii="Arial" w:cs="Arial" w:eastAsia="Arial" w:hAnsi="Arial"/>
                <w:sz w:val="18"/>
                <w:szCs w:val="18"/>
                <w:color w:val="auto"/>
              </w:rPr>
              <w:t>Redemption</w:t>
            </w: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3.02</w:t>
            </w:r>
          </w:p>
        </w:tc>
        <w:tc>
          <w:tcPr>
            <w:tcW w:w="8280" w:type="dxa"/>
            <w:vAlign w:val="bottom"/>
          </w:tcPr>
          <w:p>
            <w:pPr>
              <w:ind w:left="240"/>
              <w:spacing w:after="0"/>
              <w:rPr>
                <w:sz w:val="20"/>
                <w:szCs w:val="20"/>
                <w:color w:val="auto"/>
              </w:rPr>
            </w:pPr>
            <w:r>
              <w:rPr>
                <w:rFonts w:ascii="Arial" w:cs="Arial" w:eastAsia="Arial" w:hAnsi="Arial"/>
                <w:sz w:val="18"/>
                <w:szCs w:val="18"/>
                <w:color w:val="auto"/>
              </w:rPr>
              <w:t>Notice of Redemption</w:t>
            </w: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3.03</w:t>
            </w:r>
          </w:p>
        </w:tc>
        <w:tc>
          <w:tcPr>
            <w:tcW w:w="8280" w:type="dxa"/>
            <w:vAlign w:val="bottom"/>
          </w:tcPr>
          <w:p>
            <w:pPr>
              <w:ind w:left="240"/>
              <w:spacing w:after="0"/>
              <w:rPr>
                <w:sz w:val="20"/>
                <w:szCs w:val="20"/>
                <w:color w:val="auto"/>
              </w:rPr>
            </w:pPr>
            <w:r>
              <w:rPr>
                <w:rFonts w:ascii="Arial" w:cs="Arial" w:eastAsia="Arial" w:hAnsi="Arial"/>
                <w:sz w:val="18"/>
                <w:szCs w:val="18"/>
                <w:color w:val="auto"/>
              </w:rPr>
              <w:t>Payment Upon Redemption</w:t>
            </w: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3.04</w:t>
            </w:r>
          </w:p>
        </w:tc>
        <w:tc>
          <w:tcPr>
            <w:tcW w:w="8280" w:type="dxa"/>
            <w:vAlign w:val="bottom"/>
          </w:tcPr>
          <w:p>
            <w:pPr>
              <w:ind w:left="240"/>
              <w:spacing w:after="0"/>
              <w:rPr>
                <w:sz w:val="20"/>
                <w:szCs w:val="20"/>
                <w:color w:val="auto"/>
              </w:rPr>
            </w:pPr>
            <w:r>
              <w:rPr>
                <w:rFonts w:ascii="Arial" w:cs="Arial" w:eastAsia="Arial" w:hAnsi="Arial"/>
                <w:sz w:val="18"/>
                <w:szCs w:val="18"/>
                <w:color w:val="auto"/>
              </w:rPr>
              <w:t>Sinking Fund</w:t>
            </w: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3.05</w:t>
            </w:r>
          </w:p>
        </w:tc>
        <w:tc>
          <w:tcPr>
            <w:tcW w:w="8280" w:type="dxa"/>
            <w:vAlign w:val="bottom"/>
          </w:tcPr>
          <w:p>
            <w:pPr>
              <w:ind w:left="240"/>
              <w:spacing w:after="0"/>
              <w:rPr>
                <w:sz w:val="20"/>
                <w:szCs w:val="20"/>
                <w:color w:val="auto"/>
              </w:rPr>
            </w:pPr>
            <w:r>
              <w:rPr>
                <w:rFonts w:ascii="Arial" w:cs="Arial" w:eastAsia="Arial" w:hAnsi="Arial"/>
                <w:sz w:val="18"/>
                <w:szCs w:val="18"/>
                <w:color w:val="auto"/>
              </w:rPr>
              <w:t>Satisfaction of Sinking Fund Payments with Securities</w:t>
            </w: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3.06</w:t>
            </w:r>
          </w:p>
        </w:tc>
        <w:tc>
          <w:tcPr>
            <w:tcW w:w="8280" w:type="dxa"/>
            <w:vAlign w:val="bottom"/>
          </w:tcPr>
          <w:p>
            <w:pPr>
              <w:ind w:left="240"/>
              <w:spacing w:after="0"/>
              <w:rPr>
                <w:sz w:val="20"/>
                <w:szCs w:val="20"/>
                <w:color w:val="auto"/>
              </w:rPr>
            </w:pPr>
            <w:r>
              <w:rPr>
                <w:rFonts w:ascii="Arial" w:cs="Arial" w:eastAsia="Arial" w:hAnsi="Arial"/>
                <w:sz w:val="18"/>
                <w:szCs w:val="18"/>
                <w:color w:val="auto"/>
              </w:rPr>
              <w:t>Redemption of Securities for Sinking Fund</w:t>
            </w: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4 </w:t>
            </w:r>
            <w:r>
              <w:rPr>
                <w:rFonts w:ascii="Arial" w:cs="Arial" w:eastAsia="Arial" w:hAnsi="Arial"/>
                <w:sz w:val="18"/>
                <w:szCs w:val="18"/>
                <w:color w:val="auto"/>
              </w:rPr>
              <w:t>COVENANTS</w:t>
            </w: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4.01</w:t>
            </w:r>
          </w:p>
        </w:tc>
        <w:tc>
          <w:tcPr>
            <w:tcW w:w="8280" w:type="dxa"/>
            <w:vAlign w:val="bottom"/>
          </w:tcPr>
          <w:p>
            <w:pPr>
              <w:ind w:left="240"/>
              <w:spacing w:after="0"/>
              <w:rPr>
                <w:sz w:val="20"/>
                <w:szCs w:val="20"/>
                <w:color w:val="auto"/>
              </w:rPr>
            </w:pPr>
            <w:r>
              <w:rPr>
                <w:rFonts w:ascii="Arial" w:cs="Arial" w:eastAsia="Arial" w:hAnsi="Arial"/>
                <w:sz w:val="18"/>
                <w:szCs w:val="18"/>
                <w:color w:val="auto"/>
              </w:rPr>
              <w:t>Payment of Principal, Premium and Interest</w:t>
            </w: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4.02</w:t>
            </w:r>
          </w:p>
        </w:tc>
        <w:tc>
          <w:tcPr>
            <w:tcW w:w="8280" w:type="dxa"/>
            <w:vAlign w:val="bottom"/>
          </w:tcPr>
          <w:p>
            <w:pPr>
              <w:ind w:left="240"/>
              <w:spacing w:after="0"/>
              <w:rPr>
                <w:sz w:val="20"/>
                <w:szCs w:val="20"/>
                <w:color w:val="auto"/>
              </w:rPr>
            </w:pPr>
            <w:r>
              <w:rPr>
                <w:rFonts w:ascii="Arial" w:cs="Arial" w:eastAsia="Arial" w:hAnsi="Arial"/>
                <w:sz w:val="18"/>
                <w:szCs w:val="18"/>
                <w:color w:val="auto"/>
              </w:rPr>
              <w:t>Maintenance of Office or Agency</w:t>
            </w: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4.03</w:t>
            </w:r>
          </w:p>
        </w:tc>
        <w:tc>
          <w:tcPr>
            <w:tcW w:w="8280" w:type="dxa"/>
            <w:vAlign w:val="bottom"/>
          </w:tcPr>
          <w:p>
            <w:pPr>
              <w:ind w:left="240"/>
              <w:spacing w:after="0"/>
              <w:rPr>
                <w:sz w:val="20"/>
                <w:szCs w:val="20"/>
                <w:color w:val="auto"/>
              </w:rPr>
            </w:pPr>
            <w:r>
              <w:rPr>
                <w:rFonts w:ascii="Arial" w:cs="Arial" w:eastAsia="Arial" w:hAnsi="Arial"/>
                <w:sz w:val="18"/>
                <w:szCs w:val="18"/>
                <w:color w:val="auto"/>
              </w:rPr>
              <w:t>Paying Agents</w:t>
            </w:r>
          </w:p>
        </w:tc>
        <w:tc>
          <w:tcPr>
            <w:tcW w:w="12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4.04</w:t>
            </w:r>
          </w:p>
        </w:tc>
        <w:tc>
          <w:tcPr>
            <w:tcW w:w="8280" w:type="dxa"/>
            <w:vAlign w:val="bottom"/>
          </w:tcPr>
          <w:p>
            <w:pPr>
              <w:ind w:left="240"/>
              <w:spacing w:after="0"/>
              <w:rPr>
                <w:sz w:val="20"/>
                <w:szCs w:val="20"/>
                <w:color w:val="auto"/>
              </w:rPr>
            </w:pPr>
            <w:r>
              <w:rPr>
                <w:rFonts w:ascii="Arial" w:cs="Arial" w:eastAsia="Arial" w:hAnsi="Arial"/>
                <w:sz w:val="18"/>
                <w:szCs w:val="18"/>
                <w:color w:val="auto"/>
              </w:rPr>
              <w:t>Appointment to Fill Vacancy in Office of Trustee</w:t>
            </w: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4.05</w:t>
            </w:r>
          </w:p>
        </w:tc>
        <w:tc>
          <w:tcPr>
            <w:tcW w:w="8280" w:type="dxa"/>
            <w:vAlign w:val="bottom"/>
          </w:tcPr>
          <w:p>
            <w:pPr>
              <w:ind w:left="240"/>
              <w:spacing w:after="0"/>
              <w:rPr>
                <w:sz w:val="20"/>
                <w:szCs w:val="20"/>
                <w:color w:val="auto"/>
              </w:rPr>
            </w:pPr>
            <w:r>
              <w:rPr>
                <w:rFonts w:ascii="Arial" w:cs="Arial" w:eastAsia="Arial" w:hAnsi="Arial"/>
                <w:sz w:val="18"/>
                <w:szCs w:val="18"/>
                <w:color w:val="auto"/>
              </w:rPr>
              <w:t>Compliance with Consolidation Provisions</w:t>
            </w: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5 </w:t>
            </w:r>
            <w:r>
              <w:rPr>
                <w:rFonts w:ascii="Arial" w:cs="Arial" w:eastAsia="Arial" w:hAnsi="Arial"/>
                <w:sz w:val="18"/>
                <w:szCs w:val="18"/>
                <w:color w:val="auto"/>
              </w:rPr>
              <w:t>SECURITYHOLDERS’ LISTS AND REPORTS BY THE COMPANY AND THE TRUSTEE</w:t>
            </w: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8280" w:type="dxa"/>
            <w:vAlign w:val="bottom"/>
          </w:tcPr>
          <w:p>
            <w:pPr>
              <w:ind w:left="240"/>
              <w:spacing w:after="0"/>
              <w:rPr>
                <w:sz w:val="20"/>
                <w:szCs w:val="20"/>
                <w:color w:val="auto"/>
              </w:rPr>
            </w:pPr>
            <w:r>
              <w:rPr>
                <w:rFonts w:ascii="Arial" w:cs="Arial" w:eastAsia="Arial" w:hAnsi="Arial"/>
                <w:sz w:val="18"/>
                <w:szCs w:val="18"/>
                <w:color w:val="auto"/>
              </w:rPr>
              <w:t>Company to Furnish Trustee Names and Addresses of Securityholders</w:t>
            </w: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5.02</w:t>
            </w:r>
          </w:p>
        </w:tc>
        <w:tc>
          <w:tcPr>
            <w:tcW w:w="8280" w:type="dxa"/>
            <w:vAlign w:val="bottom"/>
          </w:tcPr>
          <w:p>
            <w:pPr>
              <w:ind w:left="240"/>
              <w:spacing w:after="0"/>
              <w:rPr>
                <w:sz w:val="20"/>
                <w:szCs w:val="20"/>
                <w:color w:val="auto"/>
              </w:rPr>
            </w:pPr>
            <w:r>
              <w:rPr>
                <w:rFonts w:ascii="Arial" w:cs="Arial" w:eastAsia="Arial" w:hAnsi="Arial"/>
                <w:sz w:val="18"/>
                <w:szCs w:val="18"/>
                <w:color w:val="auto"/>
              </w:rPr>
              <w:t>Preservation Of Information; Communications With Securityholders</w:t>
            </w: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5.03</w:t>
            </w:r>
          </w:p>
        </w:tc>
        <w:tc>
          <w:tcPr>
            <w:tcW w:w="8280" w:type="dxa"/>
            <w:vAlign w:val="bottom"/>
          </w:tcPr>
          <w:p>
            <w:pPr>
              <w:ind w:left="240"/>
              <w:spacing w:after="0"/>
              <w:rPr>
                <w:sz w:val="20"/>
                <w:szCs w:val="20"/>
                <w:color w:val="auto"/>
              </w:rPr>
            </w:pPr>
            <w:r>
              <w:rPr>
                <w:rFonts w:ascii="Arial" w:cs="Arial" w:eastAsia="Arial" w:hAnsi="Arial"/>
                <w:sz w:val="18"/>
                <w:szCs w:val="18"/>
                <w:color w:val="auto"/>
              </w:rPr>
              <w:t>Reports by the Company</w:t>
            </w: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5.04</w:t>
            </w:r>
          </w:p>
        </w:tc>
        <w:tc>
          <w:tcPr>
            <w:tcW w:w="8280" w:type="dxa"/>
            <w:vAlign w:val="bottom"/>
          </w:tcPr>
          <w:p>
            <w:pPr>
              <w:ind w:left="240"/>
              <w:spacing w:after="0"/>
              <w:rPr>
                <w:sz w:val="20"/>
                <w:szCs w:val="20"/>
                <w:color w:val="auto"/>
              </w:rPr>
            </w:pPr>
            <w:r>
              <w:rPr>
                <w:rFonts w:ascii="Arial" w:cs="Arial" w:eastAsia="Arial" w:hAnsi="Arial"/>
                <w:sz w:val="18"/>
                <w:szCs w:val="18"/>
                <w:color w:val="auto"/>
              </w:rPr>
              <w:t>Reports by the Trustee</w:t>
            </w: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6 </w:t>
            </w:r>
            <w:r>
              <w:rPr>
                <w:rFonts w:ascii="Arial" w:cs="Arial" w:eastAsia="Arial" w:hAnsi="Arial"/>
                <w:sz w:val="18"/>
                <w:szCs w:val="18"/>
                <w:color w:val="auto"/>
              </w:rPr>
              <w:t>REMEDIES OF THE TRUSTEE AND SECURITYHOLDERS ON EVENT OF DEFAULT</w:t>
            </w: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8280" w:type="dxa"/>
            <w:vAlign w:val="bottom"/>
          </w:tcPr>
          <w:p>
            <w:pPr>
              <w:ind w:left="240"/>
              <w:spacing w:after="0"/>
              <w:rPr>
                <w:sz w:val="20"/>
                <w:szCs w:val="20"/>
                <w:color w:val="auto"/>
              </w:rPr>
            </w:pPr>
            <w:r>
              <w:rPr>
                <w:rFonts w:ascii="Arial" w:cs="Arial" w:eastAsia="Arial" w:hAnsi="Arial"/>
                <w:sz w:val="18"/>
                <w:szCs w:val="18"/>
                <w:color w:val="auto"/>
              </w:rPr>
              <w:t>Events of Default</w:t>
            </w: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6.02</w:t>
            </w:r>
          </w:p>
        </w:tc>
        <w:tc>
          <w:tcPr>
            <w:tcW w:w="8280" w:type="dxa"/>
            <w:vAlign w:val="bottom"/>
          </w:tcPr>
          <w:p>
            <w:pPr>
              <w:ind w:left="240"/>
              <w:spacing w:after="0"/>
              <w:rPr>
                <w:sz w:val="20"/>
                <w:szCs w:val="20"/>
                <w:color w:val="auto"/>
              </w:rPr>
            </w:pPr>
            <w:r>
              <w:rPr>
                <w:rFonts w:ascii="Arial" w:cs="Arial" w:eastAsia="Arial" w:hAnsi="Arial"/>
                <w:sz w:val="18"/>
                <w:szCs w:val="18"/>
                <w:color w:val="auto"/>
              </w:rPr>
              <w:t>Collection of Indebtedness and Suits for Enforcement by Trustee</w:t>
            </w: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85725</wp:posOffset>
            </wp:positionV>
            <wp:extent cx="76327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440" w:right="700" w:hanging="436"/>
        <w:spacing w:after="0" w:line="277" w:lineRule="auto"/>
        <w:tabs>
          <w:tab w:leader="none" w:pos="440" w:val="left"/>
        </w:tabs>
        <w:numPr>
          <w:ilvl w:val="0"/>
          <w:numId w:val="90"/>
        </w:numPr>
        <w:rPr>
          <w:rFonts w:ascii="Arial" w:cs="Arial" w:eastAsia="Arial" w:hAnsi="Arial"/>
          <w:sz w:val="15"/>
          <w:szCs w:val="15"/>
          <w:color w:val="auto"/>
        </w:rPr>
      </w:pPr>
      <w:r>
        <w:rPr>
          <w:rFonts w:ascii="Arial" w:cs="Arial" w:eastAsia="Arial" w:hAnsi="Arial"/>
          <w:sz w:val="18"/>
          <w:szCs w:val="18"/>
          <w:color w:val="auto"/>
        </w:rPr>
        <w:t>This Table of Contents does not constitute part of the Indenture and shall not have any bearing on the interpretation of any of its terms or provisions.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6.03</w:t>
            </w:r>
          </w:p>
        </w:tc>
        <w:tc>
          <w:tcPr>
            <w:tcW w:w="7080" w:type="dxa"/>
            <w:vAlign w:val="bottom"/>
          </w:tcPr>
          <w:p>
            <w:pPr>
              <w:ind w:left="180"/>
              <w:spacing w:after="0"/>
              <w:rPr>
                <w:sz w:val="20"/>
                <w:szCs w:val="20"/>
                <w:color w:val="auto"/>
              </w:rPr>
            </w:pPr>
            <w:r>
              <w:rPr>
                <w:rFonts w:ascii="Arial" w:cs="Arial" w:eastAsia="Arial" w:hAnsi="Arial"/>
                <w:sz w:val="18"/>
                <w:szCs w:val="18"/>
                <w:color w:val="auto"/>
              </w:rPr>
              <w:t>Application of Moneys Collected</w:t>
            </w:r>
          </w:p>
        </w:tc>
        <w:tc>
          <w:tcPr>
            <w:tcW w:w="2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6.04</w:t>
            </w:r>
          </w:p>
        </w:tc>
        <w:tc>
          <w:tcPr>
            <w:tcW w:w="7080" w:type="dxa"/>
            <w:vAlign w:val="bottom"/>
          </w:tcPr>
          <w:p>
            <w:pPr>
              <w:ind w:left="180"/>
              <w:spacing w:after="0"/>
              <w:rPr>
                <w:sz w:val="20"/>
                <w:szCs w:val="20"/>
                <w:color w:val="auto"/>
              </w:rPr>
            </w:pPr>
            <w:r>
              <w:rPr>
                <w:rFonts w:ascii="Arial" w:cs="Arial" w:eastAsia="Arial" w:hAnsi="Arial"/>
                <w:sz w:val="18"/>
                <w:szCs w:val="18"/>
                <w:color w:val="auto"/>
              </w:rPr>
              <w:t>Limitation on Suits</w:t>
            </w:r>
          </w:p>
        </w:tc>
        <w:tc>
          <w:tcPr>
            <w:tcW w:w="2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6.05</w:t>
            </w:r>
          </w:p>
        </w:tc>
        <w:tc>
          <w:tcPr>
            <w:tcW w:w="7080" w:type="dxa"/>
            <w:vAlign w:val="bottom"/>
          </w:tcPr>
          <w:p>
            <w:pPr>
              <w:ind w:left="180"/>
              <w:spacing w:after="0"/>
              <w:rPr>
                <w:sz w:val="20"/>
                <w:szCs w:val="20"/>
                <w:color w:val="auto"/>
              </w:rPr>
            </w:pPr>
            <w:r>
              <w:rPr>
                <w:rFonts w:ascii="Arial" w:cs="Arial" w:eastAsia="Arial" w:hAnsi="Arial"/>
                <w:sz w:val="18"/>
                <w:szCs w:val="18"/>
                <w:color w:val="auto"/>
              </w:rPr>
              <w:t>Rights and Remedies Cumulative; Delay or Omission Not Waiver</w:t>
            </w:r>
          </w:p>
        </w:tc>
        <w:tc>
          <w:tcPr>
            <w:tcW w:w="2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6.06</w:t>
            </w:r>
          </w:p>
        </w:tc>
        <w:tc>
          <w:tcPr>
            <w:tcW w:w="7080" w:type="dxa"/>
            <w:vAlign w:val="bottom"/>
          </w:tcPr>
          <w:p>
            <w:pPr>
              <w:ind w:left="180"/>
              <w:spacing w:after="0"/>
              <w:rPr>
                <w:sz w:val="20"/>
                <w:szCs w:val="20"/>
                <w:color w:val="auto"/>
              </w:rPr>
            </w:pPr>
            <w:r>
              <w:rPr>
                <w:rFonts w:ascii="Arial" w:cs="Arial" w:eastAsia="Arial" w:hAnsi="Arial"/>
                <w:sz w:val="18"/>
                <w:szCs w:val="18"/>
                <w:color w:val="auto"/>
              </w:rPr>
              <w:t>Control by Securityholders</w:t>
            </w:r>
          </w:p>
        </w:tc>
        <w:tc>
          <w:tcPr>
            <w:tcW w:w="2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560" w:type="dxa"/>
            <w:vAlign w:val="bottom"/>
          </w:tcPr>
          <w:p>
            <w:pPr>
              <w:ind w:left="360"/>
              <w:spacing w:after="0"/>
              <w:rPr>
                <w:sz w:val="20"/>
                <w:szCs w:val="20"/>
                <w:color w:val="auto"/>
              </w:rPr>
            </w:pPr>
            <w:r>
              <w:rPr>
                <w:rFonts w:ascii="Arial" w:cs="Arial" w:eastAsia="Arial" w:hAnsi="Arial"/>
                <w:sz w:val="18"/>
                <w:szCs w:val="18"/>
                <w:color w:val="auto"/>
              </w:rPr>
              <w:t>Section 6.07</w:t>
            </w:r>
          </w:p>
        </w:tc>
        <w:tc>
          <w:tcPr>
            <w:tcW w:w="7080" w:type="dxa"/>
            <w:vAlign w:val="bottom"/>
          </w:tcPr>
          <w:p>
            <w:pPr>
              <w:ind w:left="180"/>
              <w:spacing w:after="0"/>
              <w:rPr>
                <w:sz w:val="20"/>
                <w:szCs w:val="20"/>
                <w:color w:val="auto"/>
              </w:rPr>
            </w:pPr>
            <w:r>
              <w:rPr>
                <w:rFonts w:ascii="Arial" w:cs="Arial" w:eastAsia="Arial" w:hAnsi="Arial"/>
                <w:sz w:val="18"/>
                <w:szCs w:val="18"/>
                <w:color w:val="auto"/>
              </w:rPr>
              <w:t>Undertaking to Pay Costs</w:t>
            </w:r>
          </w:p>
        </w:tc>
        <w:tc>
          <w:tcPr>
            <w:tcW w:w="2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7 </w:t>
            </w:r>
            <w:r>
              <w:rPr>
                <w:rFonts w:ascii="Arial" w:cs="Arial" w:eastAsia="Arial" w:hAnsi="Arial"/>
                <w:sz w:val="18"/>
                <w:szCs w:val="18"/>
                <w:color w:val="auto"/>
              </w:rPr>
              <w:t>CONCERNING THE TRUSTEE</w:t>
            </w:r>
          </w:p>
        </w:tc>
        <w:tc>
          <w:tcPr>
            <w:tcW w:w="2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10"/>
        </w:trPr>
        <w:tc>
          <w:tcPr>
            <w:tcW w:w="156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7080" w:type="dxa"/>
            <w:vAlign w:val="bottom"/>
          </w:tcPr>
          <w:p>
            <w:pPr>
              <w:ind w:left="180"/>
              <w:spacing w:after="0"/>
              <w:rPr>
                <w:sz w:val="20"/>
                <w:szCs w:val="20"/>
                <w:color w:val="auto"/>
              </w:rPr>
            </w:pPr>
            <w:r>
              <w:rPr>
                <w:rFonts w:ascii="Arial" w:cs="Arial" w:eastAsia="Arial" w:hAnsi="Arial"/>
                <w:sz w:val="18"/>
                <w:szCs w:val="18"/>
                <w:color w:val="auto"/>
              </w:rPr>
              <w:t>Certain Duties and Responsibilities of Trustee</w:t>
            </w:r>
          </w:p>
        </w:tc>
        <w:tc>
          <w:tcPr>
            <w:tcW w:w="2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7080" w:type="dxa"/>
            <w:vAlign w:val="bottom"/>
          </w:tcPr>
          <w:p>
            <w:pPr>
              <w:ind w:left="180"/>
              <w:spacing w:after="0"/>
              <w:rPr>
                <w:sz w:val="20"/>
                <w:szCs w:val="20"/>
                <w:color w:val="auto"/>
              </w:rPr>
            </w:pPr>
            <w:r>
              <w:rPr>
                <w:rFonts w:ascii="Arial" w:cs="Arial" w:eastAsia="Arial" w:hAnsi="Arial"/>
                <w:sz w:val="18"/>
                <w:szCs w:val="18"/>
                <w:color w:val="auto"/>
              </w:rPr>
              <w:t>Certain Rights of Trustee</w:t>
            </w:r>
          </w:p>
        </w:tc>
        <w:tc>
          <w:tcPr>
            <w:tcW w:w="2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7080" w:type="dxa"/>
            <w:vAlign w:val="bottom"/>
          </w:tcPr>
          <w:p>
            <w:pPr>
              <w:ind w:left="180"/>
              <w:spacing w:after="0"/>
              <w:rPr>
                <w:sz w:val="20"/>
                <w:szCs w:val="20"/>
                <w:color w:val="auto"/>
              </w:rPr>
            </w:pPr>
            <w:r>
              <w:rPr>
                <w:rFonts w:ascii="Arial" w:cs="Arial" w:eastAsia="Arial" w:hAnsi="Arial"/>
                <w:sz w:val="18"/>
                <w:szCs w:val="18"/>
                <w:color w:val="auto"/>
              </w:rPr>
              <w:t>Trustee Not Responsible for Recitals or Issuance or Securities</w:t>
            </w:r>
          </w:p>
        </w:tc>
        <w:tc>
          <w:tcPr>
            <w:tcW w:w="2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7080" w:type="dxa"/>
            <w:vAlign w:val="bottom"/>
          </w:tcPr>
          <w:p>
            <w:pPr>
              <w:ind w:left="180"/>
              <w:spacing w:after="0"/>
              <w:rPr>
                <w:sz w:val="20"/>
                <w:szCs w:val="20"/>
                <w:color w:val="auto"/>
              </w:rPr>
            </w:pPr>
            <w:r>
              <w:rPr>
                <w:rFonts w:ascii="Arial" w:cs="Arial" w:eastAsia="Arial" w:hAnsi="Arial"/>
                <w:sz w:val="18"/>
                <w:szCs w:val="18"/>
                <w:color w:val="auto"/>
              </w:rPr>
              <w:t>May Hold Securities</w:t>
            </w:r>
          </w:p>
        </w:tc>
        <w:tc>
          <w:tcPr>
            <w:tcW w:w="2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7.05</w:t>
            </w:r>
          </w:p>
        </w:tc>
        <w:tc>
          <w:tcPr>
            <w:tcW w:w="7080" w:type="dxa"/>
            <w:vAlign w:val="bottom"/>
          </w:tcPr>
          <w:p>
            <w:pPr>
              <w:ind w:left="180"/>
              <w:spacing w:after="0"/>
              <w:rPr>
                <w:sz w:val="20"/>
                <w:szCs w:val="20"/>
                <w:color w:val="auto"/>
              </w:rPr>
            </w:pPr>
            <w:r>
              <w:rPr>
                <w:rFonts w:ascii="Arial" w:cs="Arial" w:eastAsia="Arial" w:hAnsi="Arial"/>
                <w:sz w:val="18"/>
                <w:szCs w:val="18"/>
                <w:color w:val="auto"/>
              </w:rPr>
              <w:t>Moneys Held in Trust</w:t>
            </w:r>
          </w:p>
        </w:tc>
        <w:tc>
          <w:tcPr>
            <w:tcW w:w="2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7.06</w:t>
            </w:r>
          </w:p>
        </w:tc>
        <w:tc>
          <w:tcPr>
            <w:tcW w:w="7080" w:type="dxa"/>
            <w:vAlign w:val="bottom"/>
          </w:tcPr>
          <w:p>
            <w:pPr>
              <w:ind w:left="180"/>
              <w:spacing w:after="0"/>
              <w:rPr>
                <w:sz w:val="20"/>
                <w:szCs w:val="20"/>
                <w:color w:val="auto"/>
              </w:rPr>
            </w:pPr>
            <w:r>
              <w:rPr>
                <w:rFonts w:ascii="Arial" w:cs="Arial" w:eastAsia="Arial" w:hAnsi="Arial"/>
                <w:sz w:val="18"/>
                <w:szCs w:val="18"/>
                <w:color w:val="auto"/>
              </w:rPr>
              <w:t>Compensation and Reimbursement</w:t>
            </w:r>
          </w:p>
        </w:tc>
        <w:tc>
          <w:tcPr>
            <w:tcW w:w="2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7.07</w:t>
            </w:r>
          </w:p>
        </w:tc>
        <w:tc>
          <w:tcPr>
            <w:tcW w:w="7080" w:type="dxa"/>
            <w:vAlign w:val="bottom"/>
          </w:tcPr>
          <w:p>
            <w:pPr>
              <w:ind w:left="180"/>
              <w:spacing w:after="0"/>
              <w:rPr>
                <w:sz w:val="20"/>
                <w:szCs w:val="20"/>
                <w:color w:val="auto"/>
              </w:rPr>
            </w:pPr>
            <w:r>
              <w:rPr>
                <w:rFonts w:ascii="Arial" w:cs="Arial" w:eastAsia="Arial" w:hAnsi="Arial"/>
                <w:sz w:val="18"/>
                <w:szCs w:val="18"/>
                <w:color w:val="auto"/>
              </w:rPr>
              <w:t>Reliance on Officer’s Certificate or Opinion of Counsel</w:t>
            </w:r>
          </w:p>
        </w:tc>
        <w:tc>
          <w:tcPr>
            <w:tcW w:w="2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7.08</w:t>
            </w:r>
          </w:p>
        </w:tc>
        <w:tc>
          <w:tcPr>
            <w:tcW w:w="7080" w:type="dxa"/>
            <w:vAlign w:val="bottom"/>
          </w:tcPr>
          <w:p>
            <w:pPr>
              <w:ind w:left="180"/>
              <w:spacing w:after="0"/>
              <w:rPr>
                <w:sz w:val="20"/>
                <w:szCs w:val="20"/>
                <w:color w:val="auto"/>
              </w:rPr>
            </w:pPr>
            <w:r>
              <w:rPr>
                <w:rFonts w:ascii="Arial" w:cs="Arial" w:eastAsia="Arial" w:hAnsi="Arial"/>
                <w:sz w:val="18"/>
                <w:szCs w:val="18"/>
                <w:color w:val="auto"/>
              </w:rPr>
              <w:t>Disqualification; Conflicting Interests</w:t>
            </w:r>
          </w:p>
        </w:tc>
        <w:tc>
          <w:tcPr>
            <w:tcW w:w="2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7.09</w:t>
            </w:r>
          </w:p>
        </w:tc>
        <w:tc>
          <w:tcPr>
            <w:tcW w:w="7080" w:type="dxa"/>
            <w:vAlign w:val="bottom"/>
          </w:tcPr>
          <w:p>
            <w:pPr>
              <w:ind w:left="180"/>
              <w:spacing w:after="0"/>
              <w:rPr>
                <w:sz w:val="20"/>
                <w:szCs w:val="20"/>
                <w:color w:val="auto"/>
              </w:rPr>
            </w:pPr>
            <w:r>
              <w:rPr>
                <w:rFonts w:ascii="Arial" w:cs="Arial" w:eastAsia="Arial" w:hAnsi="Arial"/>
                <w:sz w:val="18"/>
                <w:szCs w:val="18"/>
                <w:color w:val="auto"/>
              </w:rPr>
              <w:t>Corporate Trustee Required; Eligibility</w:t>
            </w:r>
          </w:p>
        </w:tc>
        <w:tc>
          <w:tcPr>
            <w:tcW w:w="2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7.10</w:t>
            </w:r>
          </w:p>
        </w:tc>
        <w:tc>
          <w:tcPr>
            <w:tcW w:w="7080" w:type="dxa"/>
            <w:vAlign w:val="bottom"/>
          </w:tcPr>
          <w:p>
            <w:pPr>
              <w:ind w:left="180"/>
              <w:spacing w:after="0"/>
              <w:rPr>
                <w:sz w:val="20"/>
                <w:szCs w:val="20"/>
                <w:color w:val="auto"/>
              </w:rPr>
            </w:pPr>
            <w:r>
              <w:rPr>
                <w:rFonts w:ascii="Arial" w:cs="Arial" w:eastAsia="Arial" w:hAnsi="Arial"/>
                <w:sz w:val="18"/>
                <w:szCs w:val="18"/>
                <w:color w:val="auto"/>
              </w:rPr>
              <w:t>Resignation and Removal; Appointment of Successor</w:t>
            </w:r>
          </w:p>
        </w:tc>
        <w:tc>
          <w:tcPr>
            <w:tcW w:w="2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7.11</w:t>
            </w:r>
          </w:p>
        </w:tc>
        <w:tc>
          <w:tcPr>
            <w:tcW w:w="7080" w:type="dxa"/>
            <w:vAlign w:val="bottom"/>
          </w:tcPr>
          <w:p>
            <w:pPr>
              <w:ind w:left="180"/>
              <w:spacing w:after="0"/>
              <w:rPr>
                <w:sz w:val="20"/>
                <w:szCs w:val="20"/>
                <w:color w:val="auto"/>
              </w:rPr>
            </w:pPr>
            <w:r>
              <w:rPr>
                <w:rFonts w:ascii="Arial" w:cs="Arial" w:eastAsia="Arial" w:hAnsi="Arial"/>
                <w:sz w:val="18"/>
                <w:szCs w:val="18"/>
                <w:color w:val="auto"/>
              </w:rPr>
              <w:t>Acceptance of Appointment By Successor</w:t>
            </w:r>
          </w:p>
        </w:tc>
        <w:tc>
          <w:tcPr>
            <w:tcW w:w="23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7.12</w:t>
            </w:r>
          </w:p>
        </w:tc>
        <w:tc>
          <w:tcPr>
            <w:tcW w:w="7080" w:type="dxa"/>
            <w:vAlign w:val="bottom"/>
          </w:tcPr>
          <w:p>
            <w:pPr>
              <w:ind w:left="180"/>
              <w:spacing w:after="0"/>
              <w:rPr>
                <w:sz w:val="20"/>
                <w:szCs w:val="20"/>
                <w:color w:val="auto"/>
              </w:rPr>
            </w:pPr>
            <w:r>
              <w:rPr>
                <w:rFonts w:ascii="Arial" w:cs="Arial" w:eastAsia="Arial" w:hAnsi="Arial"/>
                <w:sz w:val="18"/>
                <w:szCs w:val="18"/>
                <w:color w:val="auto"/>
              </w:rPr>
              <w:t>Merger, Conversion, Consolidation or Succession to Business</w:t>
            </w:r>
          </w:p>
        </w:tc>
        <w:tc>
          <w:tcPr>
            <w:tcW w:w="2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7.13</w:t>
            </w:r>
          </w:p>
        </w:tc>
        <w:tc>
          <w:tcPr>
            <w:tcW w:w="7080" w:type="dxa"/>
            <w:vAlign w:val="bottom"/>
          </w:tcPr>
          <w:p>
            <w:pPr>
              <w:ind w:left="180"/>
              <w:spacing w:after="0"/>
              <w:rPr>
                <w:sz w:val="20"/>
                <w:szCs w:val="20"/>
                <w:color w:val="auto"/>
              </w:rPr>
            </w:pPr>
            <w:r>
              <w:rPr>
                <w:rFonts w:ascii="Arial" w:cs="Arial" w:eastAsia="Arial" w:hAnsi="Arial"/>
                <w:sz w:val="18"/>
                <w:szCs w:val="18"/>
                <w:color w:val="auto"/>
              </w:rPr>
              <w:t>Preferential Collection of Claims Against the Company</w:t>
            </w:r>
          </w:p>
        </w:tc>
        <w:tc>
          <w:tcPr>
            <w:tcW w:w="2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1560" w:type="dxa"/>
            <w:vAlign w:val="bottom"/>
          </w:tcPr>
          <w:p>
            <w:pPr>
              <w:ind w:left="360"/>
              <w:spacing w:after="0"/>
              <w:rPr>
                <w:sz w:val="20"/>
                <w:szCs w:val="20"/>
                <w:color w:val="auto"/>
              </w:rPr>
            </w:pPr>
            <w:r>
              <w:rPr>
                <w:rFonts w:ascii="Arial" w:cs="Arial" w:eastAsia="Arial" w:hAnsi="Arial"/>
                <w:sz w:val="18"/>
                <w:szCs w:val="18"/>
                <w:color w:val="auto"/>
              </w:rPr>
              <w:t>Section 7.14</w:t>
            </w:r>
          </w:p>
        </w:tc>
        <w:tc>
          <w:tcPr>
            <w:tcW w:w="7080" w:type="dxa"/>
            <w:vAlign w:val="bottom"/>
          </w:tcPr>
          <w:p>
            <w:pPr>
              <w:ind w:left="180"/>
              <w:spacing w:after="0"/>
              <w:rPr>
                <w:sz w:val="20"/>
                <w:szCs w:val="20"/>
                <w:color w:val="auto"/>
              </w:rPr>
            </w:pPr>
            <w:r>
              <w:rPr>
                <w:rFonts w:ascii="Arial" w:cs="Arial" w:eastAsia="Arial" w:hAnsi="Arial"/>
                <w:sz w:val="18"/>
                <w:szCs w:val="18"/>
                <w:color w:val="auto"/>
              </w:rPr>
              <w:t>Notice of Default</w:t>
            </w:r>
          </w:p>
        </w:tc>
        <w:tc>
          <w:tcPr>
            <w:tcW w:w="2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8 </w:t>
            </w:r>
            <w:r>
              <w:rPr>
                <w:rFonts w:ascii="Arial" w:cs="Arial" w:eastAsia="Arial" w:hAnsi="Arial"/>
                <w:sz w:val="18"/>
                <w:szCs w:val="18"/>
                <w:color w:val="auto"/>
              </w:rPr>
              <w:t>CONCERNING THE SECURITYHOLDERS</w:t>
            </w:r>
          </w:p>
        </w:tc>
        <w:tc>
          <w:tcPr>
            <w:tcW w:w="2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0"/>
        </w:trPr>
        <w:tc>
          <w:tcPr>
            <w:tcW w:w="156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7080" w:type="dxa"/>
            <w:vAlign w:val="bottom"/>
          </w:tcPr>
          <w:p>
            <w:pPr>
              <w:ind w:left="180"/>
              <w:spacing w:after="0"/>
              <w:rPr>
                <w:sz w:val="20"/>
                <w:szCs w:val="20"/>
                <w:color w:val="auto"/>
              </w:rPr>
            </w:pPr>
            <w:r>
              <w:rPr>
                <w:rFonts w:ascii="Arial" w:cs="Arial" w:eastAsia="Arial" w:hAnsi="Arial"/>
                <w:sz w:val="18"/>
                <w:szCs w:val="18"/>
                <w:color w:val="auto"/>
              </w:rPr>
              <w:t>Evidence of Action by Securityholders</w:t>
            </w:r>
          </w:p>
        </w:tc>
        <w:tc>
          <w:tcPr>
            <w:tcW w:w="2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7080" w:type="dxa"/>
            <w:vAlign w:val="bottom"/>
          </w:tcPr>
          <w:p>
            <w:pPr>
              <w:ind w:left="180"/>
              <w:spacing w:after="0"/>
              <w:rPr>
                <w:sz w:val="20"/>
                <w:szCs w:val="20"/>
                <w:color w:val="auto"/>
              </w:rPr>
            </w:pPr>
            <w:r>
              <w:rPr>
                <w:rFonts w:ascii="Arial" w:cs="Arial" w:eastAsia="Arial" w:hAnsi="Arial"/>
                <w:sz w:val="18"/>
                <w:szCs w:val="18"/>
                <w:color w:val="auto"/>
              </w:rPr>
              <w:t>Proof of Execution by Securityholders</w:t>
            </w:r>
          </w:p>
        </w:tc>
        <w:tc>
          <w:tcPr>
            <w:tcW w:w="23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8.03</w:t>
            </w:r>
          </w:p>
        </w:tc>
        <w:tc>
          <w:tcPr>
            <w:tcW w:w="7080" w:type="dxa"/>
            <w:vAlign w:val="bottom"/>
          </w:tcPr>
          <w:p>
            <w:pPr>
              <w:ind w:left="180"/>
              <w:spacing w:after="0"/>
              <w:rPr>
                <w:sz w:val="20"/>
                <w:szCs w:val="20"/>
                <w:color w:val="auto"/>
              </w:rPr>
            </w:pPr>
            <w:r>
              <w:rPr>
                <w:rFonts w:ascii="Arial" w:cs="Arial" w:eastAsia="Arial" w:hAnsi="Arial"/>
                <w:sz w:val="18"/>
                <w:szCs w:val="18"/>
                <w:color w:val="auto"/>
              </w:rPr>
              <w:t>Who May be Deemed Owners</w:t>
            </w:r>
          </w:p>
        </w:tc>
        <w:tc>
          <w:tcPr>
            <w:tcW w:w="23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8.04</w:t>
            </w:r>
          </w:p>
        </w:tc>
        <w:tc>
          <w:tcPr>
            <w:tcW w:w="7080" w:type="dxa"/>
            <w:vAlign w:val="bottom"/>
          </w:tcPr>
          <w:p>
            <w:pPr>
              <w:ind w:left="180"/>
              <w:spacing w:after="0"/>
              <w:rPr>
                <w:sz w:val="20"/>
                <w:szCs w:val="20"/>
                <w:color w:val="auto"/>
              </w:rPr>
            </w:pPr>
            <w:r>
              <w:rPr>
                <w:rFonts w:ascii="Arial" w:cs="Arial" w:eastAsia="Arial" w:hAnsi="Arial"/>
                <w:sz w:val="18"/>
                <w:szCs w:val="18"/>
                <w:color w:val="auto"/>
              </w:rPr>
              <w:t>Certain Securities Owned by Company Disregarded</w:t>
            </w:r>
          </w:p>
        </w:tc>
        <w:tc>
          <w:tcPr>
            <w:tcW w:w="23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560" w:type="dxa"/>
            <w:vAlign w:val="bottom"/>
          </w:tcPr>
          <w:p>
            <w:pPr>
              <w:ind w:left="360"/>
              <w:spacing w:after="0"/>
              <w:rPr>
                <w:sz w:val="20"/>
                <w:szCs w:val="20"/>
                <w:color w:val="auto"/>
              </w:rPr>
            </w:pPr>
            <w:r>
              <w:rPr>
                <w:rFonts w:ascii="Arial" w:cs="Arial" w:eastAsia="Arial" w:hAnsi="Arial"/>
                <w:sz w:val="18"/>
                <w:szCs w:val="18"/>
                <w:color w:val="auto"/>
              </w:rPr>
              <w:t>Section 8.05</w:t>
            </w:r>
          </w:p>
        </w:tc>
        <w:tc>
          <w:tcPr>
            <w:tcW w:w="7080" w:type="dxa"/>
            <w:vAlign w:val="bottom"/>
          </w:tcPr>
          <w:p>
            <w:pPr>
              <w:ind w:left="180"/>
              <w:spacing w:after="0"/>
              <w:rPr>
                <w:sz w:val="20"/>
                <w:szCs w:val="20"/>
                <w:color w:val="auto"/>
              </w:rPr>
            </w:pPr>
            <w:r>
              <w:rPr>
                <w:rFonts w:ascii="Arial" w:cs="Arial" w:eastAsia="Arial" w:hAnsi="Arial"/>
                <w:sz w:val="18"/>
                <w:szCs w:val="18"/>
                <w:color w:val="auto"/>
              </w:rPr>
              <w:t>Actions Binding on Future Securityholders</w:t>
            </w:r>
          </w:p>
        </w:tc>
        <w:tc>
          <w:tcPr>
            <w:tcW w:w="23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9 </w:t>
            </w:r>
            <w:r>
              <w:rPr>
                <w:rFonts w:ascii="Arial" w:cs="Arial" w:eastAsia="Arial" w:hAnsi="Arial"/>
                <w:sz w:val="18"/>
                <w:szCs w:val="18"/>
                <w:color w:val="auto"/>
              </w:rPr>
              <w:t>SUPPLEMENTAL INDENTURES</w:t>
            </w:r>
          </w:p>
        </w:tc>
        <w:tc>
          <w:tcPr>
            <w:tcW w:w="23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0"/>
        </w:trPr>
        <w:tc>
          <w:tcPr>
            <w:tcW w:w="156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7080" w:type="dxa"/>
            <w:vAlign w:val="bottom"/>
          </w:tcPr>
          <w:p>
            <w:pPr>
              <w:ind w:left="180"/>
              <w:spacing w:after="0"/>
              <w:rPr>
                <w:sz w:val="20"/>
                <w:szCs w:val="20"/>
                <w:color w:val="auto"/>
              </w:rPr>
            </w:pPr>
            <w:r>
              <w:rPr>
                <w:rFonts w:ascii="Arial" w:cs="Arial" w:eastAsia="Arial" w:hAnsi="Arial"/>
                <w:sz w:val="18"/>
                <w:szCs w:val="18"/>
                <w:color w:val="auto"/>
              </w:rPr>
              <w:t>Supplemental Indentures Without the Consent of Securityholders</w:t>
            </w:r>
          </w:p>
        </w:tc>
        <w:tc>
          <w:tcPr>
            <w:tcW w:w="23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7080" w:type="dxa"/>
            <w:vAlign w:val="bottom"/>
          </w:tcPr>
          <w:p>
            <w:pPr>
              <w:ind w:left="180"/>
              <w:spacing w:after="0"/>
              <w:rPr>
                <w:sz w:val="20"/>
                <w:szCs w:val="20"/>
                <w:color w:val="auto"/>
              </w:rPr>
            </w:pPr>
            <w:r>
              <w:rPr>
                <w:rFonts w:ascii="Arial" w:cs="Arial" w:eastAsia="Arial" w:hAnsi="Arial"/>
                <w:sz w:val="18"/>
                <w:szCs w:val="18"/>
                <w:color w:val="auto"/>
              </w:rPr>
              <w:t>Supplemental Indentures With Consent of Securityholders</w:t>
            </w:r>
          </w:p>
        </w:tc>
        <w:tc>
          <w:tcPr>
            <w:tcW w:w="23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9.03</w:t>
            </w:r>
          </w:p>
        </w:tc>
        <w:tc>
          <w:tcPr>
            <w:tcW w:w="7080" w:type="dxa"/>
            <w:vAlign w:val="bottom"/>
          </w:tcPr>
          <w:p>
            <w:pPr>
              <w:ind w:left="180"/>
              <w:spacing w:after="0"/>
              <w:rPr>
                <w:sz w:val="20"/>
                <w:szCs w:val="20"/>
                <w:color w:val="auto"/>
              </w:rPr>
            </w:pPr>
            <w:r>
              <w:rPr>
                <w:rFonts w:ascii="Arial" w:cs="Arial" w:eastAsia="Arial" w:hAnsi="Arial"/>
                <w:sz w:val="18"/>
                <w:szCs w:val="18"/>
                <w:color w:val="auto"/>
              </w:rPr>
              <w:t>Effect of Supplemental Indentures</w:t>
            </w:r>
          </w:p>
        </w:tc>
        <w:tc>
          <w:tcPr>
            <w:tcW w:w="23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9.04</w:t>
            </w:r>
          </w:p>
        </w:tc>
        <w:tc>
          <w:tcPr>
            <w:tcW w:w="7080" w:type="dxa"/>
            <w:vAlign w:val="bottom"/>
          </w:tcPr>
          <w:p>
            <w:pPr>
              <w:ind w:left="180"/>
              <w:spacing w:after="0"/>
              <w:rPr>
                <w:sz w:val="20"/>
                <w:szCs w:val="20"/>
                <w:color w:val="auto"/>
              </w:rPr>
            </w:pPr>
            <w:r>
              <w:rPr>
                <w:rFonts w:ascii="Arial" w:cs="Arial" w:eastAsia="Arial" w:hAnsi="Arial"/>
                <w:sz w:val="18"/>
                <w:szCs w:val="18"/>
                <w:color w:val="auto"/>
              </w:rPr>
              <w:t>Securities Affected by Supplemental Indentures</w:t>
            </w:r>
          </w:p>
        </w:tc>
        <w:tc>
          <w:tcPr>
            <w:tcW w:w="23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560" w:type="dxa"/>
            <w:vAlign w:val="bottom"/>
          </w:tcPr>
          <w:p>
            <w:pPr>
              <w:ind w:left="360"/>
              <w:spacing w:after="0"/>
              <w:rPr>
                <w:sz w:val="20"/>
                <w:szCs w:val="20"/>
                <w:color w:val="auto"/>
              </w:rPr>
            </w:pPr>
            <w:r>
              <w:rPr>
                <w:rFonts w:ascii="Arial" w:cs="Arial" w:eastAsia="Arial" w:hAnsi="Arial"/>
                <w:sz w:val="18"/>
                <w:szCs w:val="18"/>
                <w:color w:val="auto"/>
              </w:rPr>
              <w:t>Section 9.05</w:t>
            </w:r>
          </w:p>
        </w:tc>
        <w:tc>
          <w:tcPr>
            <w:tcW w:w="7080" w:type="dxa"/>
            <w:vAlign w:val="bottom"/>
          </w:tcPr>
          <w:p>
            <w:pPr>
              <w:ind w:left="180"/>
              <w:spacing w:after="0"/>
              <w:rPr>
                <w:sz w:val="20"/>
                <w:szCs w:val="20"/>
                <w:color w:val="auto"/>
              </w:rPr>
            </w:pPr>
            <w:r>
              <w:rPr>
                <w:rFonts w:ascii="Arial" w:cs="Arial" w:eastAsia="Arial" w:hAnsi="Arial"/>
                <w:sz w:val="18"/>
                <w:szCs w:val="18"/>
                <w:color w:val="auto"/>
              </w:rPr>
              <w:t>Execution of Supplemental Indentures</w:t>
            </w:r>
          </w:p>
        </w:tc>
        <w:tc>
          <w:tcPr>
            <w:tcW w:w="23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10 </w:t>
            </w:r>
            <w:r>
              <w:rPr>
                <w:rFonts w:ascii="Arial" w:cs="Arial" w:eastAsia="Arial" w:hAnsi="Arial"/>
                <w:sz w:val="18"/>
                <w:szCs w:val="18"/>
                <w:color w:val="auto"/>
              </w:rPr>
              <w:t>SUCCESSOR ENTITY</w:t>
            </w:r>
          </w:p>
        </w:tc>
        <w:tc>
          <w:tcPr>
            <w:tcW w:w="23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10"/>
        </w:trPr>
        <w:tc>
          <w:tcPr>
            <w:tcW w:w="1560" w:type="dxa"/>
            <w:vAlign w:val="bottom"/>
          </w:tcPr>
          <w:p>
            <w:pPr>
              <w:ind w:left="360"/>
              <w:spacing w:after="0"/>
              <w:rPr>
                <w:sz w:val="20"/>
                <w:szCs w:val="20"/>
                <w:color w:val="auto"/>
              </w:rPr>
            </w:pPr>
            <w:r>
              <w:rPr>
                <w:rFonts w:ascii="Arial" w:cs="Arial" w:eastAsia="Arial" w:hAnsi="Arial"/>
                <w:sz w:val="18"/>
                <w:szCs w:val="18"/>
                <w:color w:val="auto"/>
              </w:rPr>
              <w:t>Section 10.01</w:t>
            </w:r>
          </w:p>
        </w:tc>
        <w:tc>
          <w:tcPr>
            <w:tcW w:w="7080" w:type="dxa"/>
            <w:vAlign w:val="bottom"/>
          </w:tcPr>
          <w:p>
            <w:pPr>
              <w:ind w:left="180"/>
              <w:spacing w:after="0"/>
              <w:rPr>
                <w:sz w:val="20"/>
                <w:szCs w:val="20"/>
                <w:color w:val="auto"/>
              </w:rPr>
            </w:pPr>
            <w:r>
              <w:rPr>
                <w:rFonts w:ascii="Arial" w:cs="Arial" w:eastAsia="Arial" w:hAnsi="Arial"/>
                <w:sz w:val="18"/>
                <w:szCs w:val="18"/>
                <w:color w:val="auto"/>
              </w:rPr>
              <w:t>Company May Consolidate, Etc</w:t>
            </w:r>
          </w:p>
        </w:tc>
        <w:tc>
          <w:tcPr>
            <w:tcW w:w="23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560" w:type="dxa"/>
            <w:vAlign w:val="bottom"/>
          </w:tcPr>
          <w:p>
            <w:pPr>
              <w:ind w:left="360"/>
              <w:spacing w:after="0"/>
              <w:rPr>
                <w:sz w:val="20"/>
                <w:szCs w:val="20"/>
                <w:color w:val="auto"/>
              </w:rPr>
            </w:pPr>
            <w:r>
              <w:rPr>
                <w:rFonts w:ascii="Arial" w:cs="Arial" w:eastAsia="Arial" w:hAnsi="Arial"/>
                <w:sz w:val="18"/>
                <w:szCs w:val="18"/>
                <w:color w:val="auto"/>
              </w:rPr>
              <w:t>Section 10.02</w:t>
            </w:r>
          </w:p>
        </w:tc>
        <w:tc>
          <w:tcPr>
            <w:tcW w:w="7080" w:type="dxa"/>
            <w:vAlign w:val="bottom"/>
          </w:tcPr>
          <w:p>
            <w:pPr>
              <w:ind w:left="180"/>
              <w:spacing w:after="0"/>
              <w:rPr>
                <w:sz w:val="20"/>
                <w:szCs w:val="20"/>
                <w:color w:val="auto"/>
              </w:rPr>
            </w:pPr>
            <w:r>
              <w:rPr>
                <w:rFonts w:ascii="Arial" w:cs="Arial" w:eastAsia="Arial" w:hAnsi="Arial"/>
                <w:sz w:val="18"/>
                <w:szCs w:val="18"/>
                <w:color w:val="auto"/>
              </w:rPr>
              <w:t>Successor Entity Substituted</w:t>
            </w:r>
          </w:p>
        </w:tc>
        <w:tc>
          <w:tcPr>
            <w:tcW w:w="23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11 </w:t>
            </w:r>
            <w:r>
              <w:rPr>
                <w:rFonts w:ascii="Arial" w:cs="Arial" w:eastAsia="Arial" w:hAnsi="Arial"/>
                <w:sz w:val="18"/>
                <w:szCs w:val="18"/>
                <w:color w:val="auto"/>
              </w:rPr>
              <w:t>SATISFACTION AND DISCHARGE</w:t>
            </w:r>
          </w:p>
        </w:tc>
        <w:tc>
          <w:tcPr>
            <w:tcW w:w="2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0"/>
        </w:trPr>
        <w:tc>
          <w:tcPr>
            <w:tcW w:w="1560" w:type="dxa"/>
            <w:vAlign w:val="bottom"/>
          </w:tcPr>
          <w:p>
            <w:pPr>
              <w:ind w:left="360"/>
              <w:spacing w:after="0"/>
              <w:rPr>
                <w:sz w:val="20"/>
                <w:szCs w:val="20"/>
                <w:color w:val="auto"/>
              </w:rPr>
            </w:pPr>
            <w:r>
              <w:rPr>
                <w:rFonts w:ascii="Arial" w:cs="Arial" w:eastAsia="Arial" w:hAnsi="Arial"/>
                <w:sz w:val="18"/>
                <w:szCs w:val="18"/>
                <w:color w:val="auto"/>
              </w:rPr>
              <w:t>Section 11.01</w:t>
            </w:r>
          </w:p>
        </w:tc>
        <w:tc>
          <w:tcPr>
            <w:tcW w:w="7080" w:type="dxa"/>
            <w:vAlign w:val="bottom"/>
          </w:tcPr>
          <w:p>
            <w:pPr>
              <w:ind w:left="180"/>
              <w:spacing w:after="0"/>
              <w:rPr>
                <w:sz w:val="20"/>
                <w:szCs w:val="20"/>
                <w:color w:val="auto"/>
              </w:rPr>
            </w:pPr>
            <w:r>
              <w:rPr>
                <w:rFonts w:ascii="Arial" w:cs="Arial" w:eastAsia="Arial" w:hAnsi="Arial"/>
                <w:sz w:val="18"/>
                <w:szCs w:val="18"/>
                <w:color w:val="auto"/>
              </w:rPr>
              <w:t>Satisfaction and Discharge of Indenture</w:t>
            </w:r>
          </w:p>
        </w:tc>
        <w:tc>
          <w:tcPr>
            <w:tcW w:w="2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11.02</w:t>
            </w:r>
          </w:p>
        </w:tc>
        <w:tc>
          <w:tcPr>
            <w:tcW w:w="7080" w:type="dxa"/>
            <w:vAlign w:val="bottom"/>
          </w:tcPr>
          <w:p>
            <w:pPr>
              <w:ind w:left="180"/>
              <w:spacing w:after="0"/>
              <w:rPr>
                <w:sz w:val="20"/>
                <w:szCs w:val="20"/>
                <w:color w:val="auto"/>
              </w:rPr>
            </w:pPr>
            <w:r>
              <w:rPr>
                <w:rFonts w:ascii="Arial" w:cs="Arial" w:eastAsia="Arial" w:hAnsi="Arial"/>
                <w:sz w:val="18"/>
                <w:szCs w:val="18"/>
                <w:color w:val="auto"/>
              </w:rPr>
              <w:t>Discharge of Obligations</w:t>
            </w:r>
          </w:p>
        </w:tc>
        <w:tc>
          <w:tcPr>
            <w:tcW w:w="23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11.03</w:t>
            </w:r>
          </w:p>
        </w:tc>
        <w:tc>
          <w:tcPr>
            <w:tcW w:w="7080" w:type="dxa"/>
            <w:vAlign w:val="bottom"/>
          </w:tcPr>
          <w:p>
            <w:pPr>
              <w:ind w:left="180"/>
              <w:spacing w:after="0"/>
              <w:rPr>
                <w:sz w:val="20"/>
                <w:szCs w:val="20"/>
                <w:color w:val="auto"/>
              </w:rPr>
            </w:pPr>
            <w:r>
              <w:rPr>
                <w:rFonts w:ascii="Arial" w:cs="Arial" w:eastAsia="Arial" w:hAnsi="Arial"/>
                <w:sz w:val="18"/>
                <w:szCs w:val="18"/>
                <w:color w:val="auto"/>
              </w:rPr>
              <w:t>Deposited Moneys to be Held in Trust</w:t>
            </w:r>
          </w:p>
        </w:tc>
        <w:tc>
          <w:tcPr>
            <w:tcW w:w="2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11.04</w:t>
            </w:r>
          </w:p>
        </w:tc>
        <w:tc>
          <w:tcPr>
            <w:tcW w:w="7080" w:type="dxa"/>
            <w:vAlign w:val="bottom"/>
          </w:tcPr>
          <w:p>
            <w:pPr>
              <w:ind w:left="180"/>
              <w:spacing w:after="0"/>
              <w:rPr>
                <w:sz w:val="20"/>
                <w:szCs w:val="20"/>
                <w:color w:val="auto"/>
              </w:rPr>
            </w:pPr>
            <w:r>
              <w:rPr>
                <w:rFonts w:ascii="Arial" w:cs="Arial" w:eastAsia="Arial" w:hAnsi="Arial"/>
                <w:sz w:val="18"/>
                <w:szCs w:val="18"/>
                <w:color w:val="auto"/>
              </w:rPr>
              <w:t>Payment of Moneys Held by Paying Agents</w:t>
            </w:r>
          </w:p>
        </w:tc>
        <w:tc>
          <w:tcPr>
            <w:tcW w:w="23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560" w:type="dxa"/>
            <w:vAlign w:val="bottom"/>
          </w:tcPr>
          <w:p>
            <w:pPr>
              <w:ind w:left="360"/>
              <w:spacing w:after="0"/>
              <w:rPr>
                <w:sz w:val="20"/>
                <w:szCs w:val="20"/>
                <w:color w:val="auto"/>
              </w:rPr>
            </w:pPr>
            <w:r>
              <w:rPr>
                <w:rFonts w:ascii="Arial" w:cs="Arial" w:eastAsia="Arial" w:hAnsi="Arial"/>
                <w:sz w:val="18"/>
                <w:szCs w:val="18"/>
                <w:color w:val="auto"/>
              </w:rPr>
              <w:t>Section 11.05</w:t>
            </w:r>
          </w:p>
        </w:tc>
        <w:tc>
          <w:tcPr>
            <w:tcW w:w="7080" w:type="dxa"/>
            <w:vAlign w:val="bottom"/>
          </w:tcPr>
          <w:p>
            <w:pPr>
              <w:ind w:left="180"/>
              <w:spacing w:after="0"/>
              <w:rPr>
                <w:sz w:val="20"/>
                <w:szCs w:val="20"/>
                <w:color w:val="auto"/>
              </w:rPr>
            </w:pPr>
            <w:r>
              <w:rPr>
                <w:rFonts w:ascii="Arial" w:cs="Arial" w:eastAsia="Arial" w:hAnsi="Arial"/>
                <w:sz w:val="18"/>
                <w:szCs w:val="18"/>
                <w:color w:val="auto"/>
              </w:rPr>
              <w:t>Repayment to Company</w:t>
            </w:r>
          </w:p>
        </w:tc>
        <w:tc>
          <w:tcPr>
            <w:tcW w:w="2340" w:type="dxa"/>
            <w:vAlign w:val="bottom"/>
          </w:tcPr>
          <w:p>
            <w:pPr>
              <w:jc w:val="right"/>
              <w:spacing w:after="0"/>
              <w:rPr>
                <w:sz w:val="20"/>
                <w:szCs w:val="20"/>
                <w:color w:val="auto"/>
              </w:rPr>
            </w:pPr>
            <w:r>
              <w:rPr>
                <w:rFonts w:ascii="Arial" w:cs="Arial" w:eastAsia="Arial" w:hAnsi="Arial"/>
                <w:sz w:val="18"/>
                <w:szCs w:val="18"/>
                <w:color w:val="auto"/>
              </w:rPr>
              <w:t>43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274" w:right="47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4"/>
        </w:trPr>
        <w:tc>
          <w:tcPr>
            <w:tcW w:w="92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12 </w:t>
            </w:r>
            <w:r>
              <w:rPr>
                <w:rFonts w:ascii="Arial" w:cs="Arial" w:eastAsia="Arial" w:hAnsi="Arial"/>
                <w:sz w:val="18"/>
                <w:szCs w:val="18"/>
                <w:color w:val="auto"/>
              </w:rPr>
              <w:t>IMMUNITY OF INCORPORATORS, STOCKHOLDERS, OFFICERS AND DIRECTORS</w:t>
            </w:r>
          </w:p>
        </w:tc>
        <w:tc>
          <w:tcPr>
            <w:tcW w:w="17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1560" w:type="dxa"/>
            <w:vAlign w:val="bottom"/>
          </w:tcPr>
          <w:p>
            <w:pPr>
              <w:ind w:left="360"/>
              <w:spacing w:after="0"/>
              <w:rPr>
                <w:sz w:val="20"/>
                <w:szCs w:val="20"/>
                <w:color w:val="auto"/>
              </w:rPr>
            </w:pPr>
            <w:r>
              <w:rPr>
                <w:rFonts w:ascii="Arial" w:cs="Arial" w:eastAsia="Arial" w:hAnsi="Arial"/>
                <w:sz w:val="18"/>
                <w:szCs w:val="18"/>
                <w:color w:val="auto"/>
              </w:rPr>
              <w:t>Section 12.01</w:t>
            </w:r>
          </w:p>
        </w:tc>
        <w:tc>
          <w:tcPr>
            <w:tcW w:w="7660" w:type="dxa"/>
            <w:vAlign w:val="bottom"/>
          </w:tcPr>
          <w:p>
            <w:pPr>
              <w:ind w:left="180"/>
              <w:spacing w:after="0"/>
              <w:rPr>
                <w:sz w:val="20"/>
                <w:szCs w:val="20"/>
                <w:color w:val="auto"/>
              </w:rPr>
            </w:pPr>
            <w:r>
              <w:rPr>
                <w:rFonts w:ascii="Arial" w:cs="Arial" w:eastAsia="Arial" w:hAnsi="Arial"/>
                <w:sz w:val="18"/>
                <w:szCs w:val="18"/>
                <w:color w:val="auto"/>
              </w:rPr>
              <w:t>No Recourse</w:t>
            </w:r>
          </w:p>
        </w:tc>
        <w:tc>
          <w:tcPr>
            <w:tcW w:w="17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92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ARTICLE 13 </w:t>
            </w:r>
            <w:r>
              <w:rPr>
                <w:rFonts w:ascii="Arial" w:cs="Arial" w:eastAsia="Arial" w:hAnsi="Arial"/>
                <w:sz w:val="18"/>
                <w:szCs w:val="18"/>
                <w:color w:val="auto"/>
              </w:rPr>
              <w:t>MISCELLANEOUS PROVISIONS</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310"/>
        </w:trPr>
        <w:tc>
          <w:tcPr>
            <w:tcW w:w="1560" w:type="dxa"/>
            <w:vAlign w:val="bottom"/>
          </w:tcPr>
          <w:p>
            <w:pPr>
              <w:ind w:left="360"/>
              <w:spacing w:after="0"/>
              <w:rPr>
                <w:sz w:val="20"/>
                <w:szCs w:val="20"/>
                <w:color w:val="auto"/>
              </w:rPr>
            </w:pPr>
            <w:r>
              <w:rPr>
                <w:rFonts w:ascii="Arial" w:cs="Arial" w:eastAsia="Arial" w:hAnsi="Arial"/>
                <w:sz w:val="18"/>
                <w:szCs w:val="18"/>
                <w:color w:val="auto"/>
              </w:rPr>
              <w:t>Section 13.01</w:t>
            </w:r>
          </w:p>
        </w:tc>
        <w:tc>
          <w:tcPr>
            <w:tcW w:w="7660" w:type="dxa"/>
            <w:vAlign w:val="bottom"/>
          </w:tcPr>
          <w:p>
            <w:pPr>
              <w:ind w:left="180"/>
              <w:spacing w:after="0"/>
              <w:rPr>
                <w:sz w:val="20"/>
                <w:szCs w:val="20"/>
                <w:color w:val="auto"/>
              </w:rPr>
            </w:pPr>
            <w:r>
              <w:rPr>
                <w:rFonts w:ascii="Arial" w:cs="Arial" w:eastAsia="Arial" w:hAnsi="Arial"/>
                <w:sz w:val="18"/>
                <w:szCs w:val="18"/>
                <w:color w:val="auto"/>
              </w:rPr>
              <w:t>Effect on Successors and Assigns</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13.02</w:t>
            </w:r>
          </w:p>
        </w:tc>
        <w:tc>
          <w:tcPr>
            <w:tcW w:w="7660" w:type="dxa"/>
            <w:vAlign w:val="bottom"/>
          </w:tcPr>
          <w:p>
            <w:pPr>
              <w:ind w:left="180"/>
              <w:spacing w:after="0"/>
              <w:rPr>
                <w:sz w:val="20"/>
                <w:szCs w:val="20"/>
                <w:color w:val="auto"/>
              </w:rPr>
            </w:pPr>
            <w:r>
              <w:rPr>
                <w:rFonts w:ascii="Arial" w:cs="Arial" w:eastAsia="Arial" w:hAnsi="Arial"/>
                <w:sz w:val="18"/>
                <w:szCs w:val="18"/>
                <w:color w:val="auto"/>
              </w:rPr>
              <w:t>Actions by Successor</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13.03</w:t>
            </w:r>
          </w:p>
        </w:tc>
        <w:tc>
          <w:tcPr>
            <w:tcW w:w="7660" w:type="dxa"/>
            <w:vAlign w:val="bottom"/>
          </w:tcPr>
          <w:p>
            <w:pPr>
              <w:ind w:left="180"/>
              <w:spacing w:after="0"/>
              <w:rPr>
                <w:sz w:val="20"/>
                <w:szCs w:val="20"/>
                <w:color w:val="auto"/>
              </w:rPr>
            </w:pPr>
            <w:r>
              <w:rPr>
                <w:rFonts w:ascii="Arial" w:cs="Arial" w:eastAsia="Arial" w:hAnsi="Arial"/>
                <w:sz w:val="18"/>
                <w:szCs w:val="18"/>
                <w:color w:val="auto"/>
              </w:rPr>
              <w:t>Surrender of Company Powers</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13.04</w:t>
            </w:r>
          </w:p>
        </w:tc>
        <w:tc>
          <w:tcPr>
            <w:tcW w:w="7660" w:type="dxa"/>
            <w:vAlign w:val="bottom"/>
          </w:tcPr>
          <w:p>
            <w:pPr>
              <w:ind w:left="180"/>
              <w:spacing w:after="0"/>
              <w:rPr>
                <w:sz w:val="20"/>
                <w:szCs w:val="20"/>
                <w:color w:val="auto"/>
              </w:rPr>
            </w:pPr>
            <w:r>
              <w:rPr>
                <w:rFonts w:ascii="Arial" w:cs="Arial" w:eastAsia="Arial" w:hAnsi="Arial"/>
                <w:sz w:val="18"/>
                <w:szCs w:val="18"/>
                <w:color w:val="auto"/>
              </w:rPr>
              <w:t>Notices</w:t>
            </w:r>
          </w:p>
        </w:tc>
        <w:tc>
          <w:tcPr>
            <w:tcW w:w="17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13.05</w:t>
            </w:r>
          </w:p>
        </w:tc>
        <w:tc>
          <w:tcPr>
            <w:tcW w:w="7660" w:type="dxa"/>
            <w:vAlign w:val="bottom"/>
          </w:tcPr>
          <w:p>
            <w:pPr>
              <w:ind w:left="180"/>
              <w:spacing w:after="0"/>
              <w:rPr>
                <w:sz w:val="20"/>
                <w:szCs w:val="20"/>
                <w:color w:val="auto"/>
              </w:rPr>
            </w:pPr>
            <w:r>
              <w:rPr>
                <w:rFonts w:ascii="Arial" w:cs="Arial" w:eastAsia="Arial" w:hAnsi="Arial"/>
                <w:sz w:val="18"/>
                <w:szCs w:val="18"/>
                <w:color w:val="auto"/>
              </w:rPr>
              <w:t>Governing Law; Jury Trial Waiver</w:t>
            </w:r>
          </w:p>
        </w:tc>
        <w:tc>
          <w:tcPr>
            <w:tcW w:w="1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13.06</w:t>
            </w:r>
          </w:p>
        </w:tc>
        <w:tc>
          <w:tcPr>
            <w:tcW w:w="7660" w:type="dxa"/>
            <w:vAlign w:val="bottom"/>
          </w:tcPr>
          <w:p>
            <w:pPr>
              <w:ind w:left="180"/>
              <w:spacing w:after="0"/>
              <w:rPr>
                <w:sz w:val="20"/>
                <w:szCs w:val="20"/>
                <w:color w:val="auto"/>
              </w:rPr>
            </w:pPr>
            <w:r>
              <w:rPr>
                <w:rFonts w:ascii="Arial" w:cs="Arial" w:eastAsia="Arial" w:hAnsi="Arial"/>
                <w:sz w:val="18"/>
                <w:szCs w:val="18"/>
                <w:color w:val="auto"/>
              </w:rPr>
              <w:t>Treatment of Securities as Debt</w:t>
            </w:r>
          </w:p>
        </w:tc>
        <w:tc>
          <w:tcPr>
            <w:tcW w:w="1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13.07</w:t>
            </w:r>
          </w:p>
        </w:tc>
        <w:tc>
          <w:tcPr>
            <w:tcW w:w="7660" w:type="dxa"/>
            <w:vAlign w:val="bottom"/>
          </w:tcPr>
          <w:p>
            <w:pPr>
              <w:ind w:left="180"/>
              <w:spacing w:after="0"/>
              <w:rPr>
                <w:sz w:val="20"/>
                <w:szCs w:val="20"/>
                <w:color w:val="auto"/>
              </w:rPr>
            </w:pPr>
            <w:r>
              <w:rPr>
                <w:rFonts w:ascii="Arial" w:cs="Arial" w:eastAsia="Arial" w:hAnsi="Arial"/>
                <w:sz w:val="18"/>
                <w:szCs w:val="18"/>
                <w:color w:val="auto"/>
              </w:rPr>
              <w:t>Certificates and Opinions as to Conditions Precedent</w:t>
            </w:r>
          </w:p>
        </w:tc>
        <w:tc>
          <w:tcPr>
            <w:tcW w:w="1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13.08</w:t>
            </w:r>
          </w:p>
        </w:tc>
        <w:tc>
          <w:tcPr>
            <w:tcW w:w="7660" w:type="dxa"/>
            <w:vAlign w:val="bottom"/>
          </w:tcPr>
          <w:p>
            <w:pPr>
              <w:ind w:left="180"/>
              <w:spacing w:after="0"/>
              <w:rPr>
                <w:sz w:val="20"/>
                <w:szCs w:val="20"/>
                <w:color w:val="auto"/>
              </w:rPr>
            </w:pPr>
            <w:r>
              <w:rPr>
                <w:rFonts w:ascii="Arial" w:cs="Arial" w:eastAsia="Arial" w:hAnsi="Arial"/>
                <w:sz w:val="18"/>
                <w:szCs w:val="18"/>
                <w:color w:val="auto"/>
              </w:rPr>
              <w:t>Payments on Business Days</w:t>
            </w:r>
          </w:p>
        </w:tc>
        <w:tc>
          <w:tcPr>
            <w:tcW w:w="1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13.09</w:t>
            </w:r>
          </w:p>
        </w:tc>
        <w:tc>
          <w:tcPr>
            <w:tcW w:w="7660" w:type="dxa"/>
            <w:vAlign w:val="bottom"/>
          </w:tcPr>
          <w:p>
            <w:pPr>
              <w:ind w:left="180"/>
              <w:spacing w:after="0"/>
              <w:rPr>
                <w:sz w:val="20"/>
                <w:szCs w:val="20"/>
                <w:color w:val="auto"/>
              </w:rPr>
            </w:pPr>
            <w:r>
              <w:rPr>
                <w:rFonts w:ascii="Arial" w:cs="Arial" w:eastAsia="Arial" w:hAnsi="Arial"/>
                <w:sz w:val="18"/>
                <w:szCs w:val="18"/>
                <w:color w:val="auto"/>
              </w:rPr>
              <w:t>Conflict with Trust Indenture Act</w:t>
            </w:r>
          </w:p>
        </w:tc>
        <w:tc>
          <w:tcPr>
            <w:tcW w:w="17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13.10</w:t>
            </w:r>
          </w:p>
        </w:tc>
        <w:tc>
          <w:tcPr>
            <w:tcW w:w="7660" w:type="dxa"/>
            <w:vAlign w:val="bottom"/>
          </w:tcPr>
          <w:p>
            <w:pPr>
              <w:ind w:left="180"/>
              <w:spacing w:after="0"/>
              <w:rPr>
                <w:sz w:val="20"/>
                <w:szCs w:val="20"/>
                <w:color w:val="auto"/>
              </w:rPr>
            </w:pPr>
            <w:r>
              <w:rPr>
                <w:rFonts w:ascii="Arial" w:cs="Arial" w:eastAsia="Arial" w:hAnsi="Arial"/>
                <w:sz w:val="18"/>
                <w:szCs w:val="18"/>
                <w:color w:val="auto"/>
              </w:rPr>
              <w:t>Counterparts</w:t>
            </w:r>
          </w:p>
        </w:tc>
        <w:tc>
          <w:tcPr>
            <w:tcW w:w="17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13.11</w:t>
            </w:r>
          </w:p>
        </w:tc>
        <w:tc>
          <w:tcPr>
            <w:tcW w:w="7660" w:type="dxa"/>
            <w:vAlign w:val="bottom"/>
          </w:tcPr>
          <w:p>
            <w:pPr>
              <w:ind w:left="180"/>
              <w:spacing w:after="0"/>
              <w:rPr>
                <w:sz w:val="20"/>
                <w:szCs w:val="20"/>
                <w:color w:val="auto"/>
              </w:rPr>
            </w:pPr>
            <w:r>
              <w:rPr>
                <w:rFonts w:ascii="Arial" w:cs="Arial" w:eastAsia="Arial" w:hAnsi="Arial"/>
                <w:sz w:val="18"/>
                <w:szCs w:val="18"/>
                <w:color w:val="auto"/>
              </w:rPr>
              <w:t>Separability</w:t>
            </w:r>
          </w:p>
        </w:tc>
        <w:tc>
          <w:tcPr>
            <w:tcW w:w="17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13.12</w:t>
            </w:r>
          </w:p>
        </w:tc>
        <w:tc>
          <w:tcPr>
            <w:tcW w:w="7660" w:type="dxa"/>
            <w:vAlign w:val="bottom"/>
          </w:tcPr>
          <w:p>
            <w:pPr>
              <w:ind w:left="180"/>
              <w:spacing w:after="0"/>
              <w:rPr>
                <w:sz w:val="20"/>
                <w:szCs w:val="20"/>
                <w:color w:val="auto"/>
              </w:rPr>
            </w:pPr>
            <w:r>
              <w:rPr>
                <w:rFonts w:ascii="Arial" w:cs="Arial" w:eastAsia="Arial" w:hAnsi="Arial"/>
                <w:sz w:val="18"/>
                <w:szCs w:val="18"/>
                <w:color w:val="auto"/>
              </w:rPr>
              <w:t>Compliance Certificates</w:t>
            </w:r>
          </w:p>
        </w:tc>
        <w:tc>
          <w:tcPr>
            <w:tcW w:w="17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560" w:type="dxa"/>
            <w:vAlign w:val="bottom"/>
          </w:tcPr>
          <w:p>
            <w:pPr>
              <w:ind w:left="360"/>
              <w:spacing w:after="0"/>
              <w:rPr>
                <w:sz w:val="20"/>
                <w:szCs w:val="20"/>
                <w:color w:val="auto"/>
              </w:rPr>
            </w:pPr>
            <w:r>
              <w:rPr>
                <w:rFonts w:ascii="Arial" w:cs="Arial" w:eastAsia="Arial" w:hAnsi="Arial"/>
                <w:sz w:val="18"/>
                <w:szCs w:val="18"/>
                <w:color w:val="auto"/>
              </w:rPr>
              <w:t>Section 13.13</w:t>
            </w:r>
          </w:p>
        </w:tc>
        <w:tc>
          <w:tcPr>
            <w:tcW w:w="7660" w:type="dxa"/>
            <w:vAlign w:val="bottom"/>
          </w:tcPr>
          <w:p>
            <w:pPr>
              <w:ind w:left="180"/>
              <w:spacing w:after="0"/>
              <w:rPr>
                <w:sz w:val="20"/>
                <w:szCs w:val="20"/>
                <w:color w:val="auto"/>
              </w:rPr>
            </w:pPr>
            <w:r>
              <w:rPr>
                <w:rFonts w:ascii="Arial" w:cs="Arial" w:eastAsia="Arial" w:hAnsi="Arial"/>
                <w:sz w:val="18"/>
                <w:szCs w:val="18"/>
                <w:color w:val="auto"/>
              </w:rPr>
              <w:t>USA PATRIOT ACT</w:t>
            </w:r>
          </w:p>
        </w:tc>
        <w:tc>
          <w:tcPr>
            <w:tcW w:w="17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1560" w:type="dxa"/>
            <w:vAlign w:val="bottom"/>
          </w:tcPr>
          <w:p>
            <w:pPr>
              <w:ind w:left="360"/>
              <w:spacing w:after="0"/>
              <w:rPr>
                <w:sz w:val="20"/>
                <w:szCs w:val="20"/>
                <w:color w:val="auto"/>
              </w:rPr>
            </w:pPr>
            <w:r>
              <w:rPr>
                <w:rFonts w:ascii="Arial" w:cs="Arial" w:eastAsia="Arial" w:hAnsi="Arial"/>
                <w:sz w:val="18"/>
                <w:szCs w:val="18"/>
                <w:color w:val="auto"/>
              </w:rPr>
              <w:t>Section 13.14</w:t>
            </w:r>
          </w:p>
        </w:tc>
        <w:tc>
          <w:tcPr>
            <w:tcW w:w="7660" w:type="dxa"/>
            <w:vAlign w:val="bottom"/>
          </w:tcPr>
          <w:p>
            <w:pPr>
              <w:ind w:left="180"/>
              <w:spacing w:after="0"/>
              <w:rPr>
                <w:sz w:val="20"/>
                <w:szCs w:val="20"/>
                <w:color w:val="auto"/>
              </w:rPr>
            </w:pPr>
            <w:r>
              <w:rPr>
                <w:rFonts w:ascii="Arial" w:cs="Arial" w:eastAsia="Arial" w:hAnsi="Arial"/>
                <w:sz w:val="18"/>
                <w:szCs w:val="18"/>
                <w:color w:val="auto"/>
              </w:rPr>
              <w:t>Calculations</w:t>
            </w:r>
          </w:p>
        </w:tc>
        <w:tc>
          <w:tcPr>
            <w:tcW w:w="17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9220" w:type="dxa"/>
            <w:vAlign w:val="bottom"/>
            <w:gridSpan w:val="2"/>
          </w:tcPr>
          <w:p>
            <w:pPr>
              <w:spacing w:after="0"/>
              <w:rPr>
                <w:sz w:val="20"/>
                <w:szCs w:val="20"/>
                <w:color w:val="auto"/>
              </w:rPr>
            </w:pPr>
            <w:r>
              <w:rPr>
                <w:rFonts w:ascii="Arial" w:cs="Arial" w:eastAsia="Arial" w:hAnsi="Arial"/>
                <w:sz w:val="18"/>
                <w:szCs w:val="18"/>
                <w:color w:val="auto"/>
              </w:rPr>
              <w:t>TRUST INDENTURE ACT CROSS-REFERENCE TABLE</w:t>
            </w:r>
          </w:p>
        </w:tc>
        <w:tc>
          <w:tcPr>
            <w:tcW w:w="1760" w:type="dxa"/>
            <w:vAlign w:val="bottom"/>
          </w:tcPr>
          <w:p>
            <w:pPr>
              <w:jc w:val="right"/>
              <w:spacing w:after="0"/>
              <w:rPr>
                <w:sz w:val="20"/>
                <w:szCs w:val="20"/>
                <w:color w:val="auto"/>
              </w:rPr>
            </w:pPr>
            <w:r>
              <w:rPr>
                <w:rFonts w:ascii="Arial" w:cs="Arial" w:eastAsia="Arial" w:hAnsi="Arial"/>
                <w:sz w:val="18"/>
                <w:szCs w:val="18"/>
                <w:color w:val="auto"/>
              </w:rPr>
              <w:t>A-1</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80"/>
          </w:cols>
          <w:pgMar w:left="440" w:top="270" w:right="479" w:bottom="1440" w:gutter="0" w:footer="0" w:header="0"/>
        </w:sectPr>
      </w:pPr>
    </w:p>
    <w:bookmarkStart w:id="99" w:name="page100"/>
    <w:bookmarkEnd w:id="9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INDENTURE</w:t>
      </w:r>
    </w:p>
    <w:p>
      <w:pPr>
        <w:spacing w:after="0" w:line="225" w:lineRule="exact"/>
        <w:rPr>
          <w:sz w:val="20"/>
          <w:szCs w:val="20"/>
          <w:color w:val="auto"/>
        </w:rPr>
      </w:pPr>
    </w:p>
    <w:p>
      <w:pPr>
        <w:ind w:right="440" w:firstLine="441"/>
        <w:spacing w:after="0" w:line="282" w:lineRule="auto"/>
        <w:rPr>
          <w:sz w:val="20"/>
          <w:szCs w:val="20"/>
          <w:color w:val="auto"/>
        </w:rPr>
      </w:pPr>
      <w:r>
        <w:rPr>
          <w:rFonts w:ascii="Arial" w:cs="Arial" w:eastAsia="Arial" w:hAnsi="Arial"/>
          <w:sz w:val="18"/>
          <w:szCs w:val="18"/>
          <w:b w:val="1"/>
          <w:bCs w:val="1"/>
          <w:color w:val="auto"/>
        </w:rPr>
        <w:t>INDENTURE</w:t>
      </w:r>
      <w:r>
        <w:rPr>
          <w:rFonts w:ascii="Arial" w:cs="Arial" w:eastAsia="Arial" w:hAnsi="Arial"/>
          <w:sz w:val="18"/>
          <w:szCs w:val="18"/>
          <w:color w:val="auto"/>
        </w:rPr>
        <w:t>, dated as of [•], 20[•], among</w:t>
      </w:r>
      <w:r>
        <w:rPr>
          <w:rFonts w:ascii="Arial" w:cs="Arial" w:eastAsia="Arial" w:hAnsi="Arial"/>
          <w:sz w:val="18"/>
          <w:szCs w:val="18"/>
          <w:b w:val="1"/>
          <w:bCs w:val="1"/>
          <w:color w:val="auto"/>
        </w:rPr>
        <w:t xml:space="preserve"> AVROBIO, INC.</w:t>
      </w:r>
      <w:r>
        <w:rPr>
          <w:rFonts w:ascii="Arial" w:cs="Arial" w:eastAsia="Arial" w:hAnsi="Arial"/>
          <w:sz w:val="18"/>
          <w:szCs w:val="18"/>
          <w:color w:val="auto"/>
        </w:rPr>
        <w:t>,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w:t>
      </w:r>
      <w:r>
        <w:rPr>
          <w:rFonts w:ascii="Arial" w:cs="Arial" w:eastAsia="Arial" w:hAnsi="Arial"/>
          <w:sz w:val="18"/>
          <w:szCs w:val="18"/>
          <w:b w:val="1"/>
          <w:bCs w:val="1"/>
          <w:color w:val="auto"/>
        </w:rPr>
        <w:t>TRUSTEE</w:t>
      </w:r>
      <w:r>
        <w:rPr>
          <w:rFonts w:ascii="Arial" w:cs="Arial" w:eastAsia="Arial" w:hAnsi="Arial"/>
          <w:sz w:val="18"/>
          <w:szCs w:val="18"/>
          <w:color w:val="auto"/>
        </w:rPr>
        <w:t>] as trustee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162" w:lineRule="exact"/>
        <w:rPr>
          <w:sz w:val="20"/>
          <w:szCs w:val="20"/>
          <w:color w:val="auto"/>
        </w:rPr>
      </w:pPr>
    </w:p>
    <w:p>
      <w:pPr>
        <w:jc w:val="both"/>
        <w:ind w:right="20" w:firstLine="441"/>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for its lawful corporate purposes, the Company has duly authorized the execution and delivery of this Indenture to provide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of subordinated debt securities (hereinafter referred to as the “</w:t>
      </w:r>
      <w:r>
        <w:rPr>
          <w:rFonts w:ascii="Arial" w:cs="Arial" w:eastAsia="Arial" w:hAnsi="Arial"/>
          <w:sz w:val="16"/>
          <w:szCs w:val="16"/>
          <w:b w:val="1"/>
          <w:bCs w:val="1"/>
          <w:color w:val="auto"/>
        </w:rPr>
        <w:t>Securities</w:t>
      </w:r>
      <w:r>
        <w:rPr>
          <w:rFonts w:ascii="Arial" w:cs="Arial" w:eastAsia="Arial" w:hAnsi="Arial"/>
          <w:sz w:val="16"/>
          <w:szCs w:val="16"/>
          <w:color w:val="auto"/>
        </w:rPr>
        <w:t>”), in an unlimited aggregate principal amount to be issued from time to time in one or more series as in this Indenture provided, as registered Securities without coupons, to be authenticated by the certificate of the Trustee;</w:t>
      </w:r>
    </w:p>
    <w:p>
      <w:pPr>
        <w:spacing w:after="0" w:line="142" w:lineRule="exact"/>
        <w:rPr>
          <w:sz w:val="20"/>
          <w:szCs w:val="20"/>
          <w:color w:val="auto"/>
        </w:rPr>
      </w:pPr>
    </w:p>
    <w:p>
      <w:pPr>
        <w:ind w:right="120" w:firstLine="441"/>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to provide the terms and conditions upon which the Securities are to be authenticated, issued and delivered, the Company has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the execution of this Indenture; and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all things necessary to make this Indenture a valid and binding agreement of the Company, in accordance with its terms, have been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done.</w:t>
      </w:r>
    </w:p>
    <w:p>
      <w:pPr>
        <w:spacing w:after="0" w:line="207" w:lineRule="exact"/>
        <w:rPr>
          <w:sz w:val="20"/>
          <w:szCs w:val="20"/>
          <w:color w:val="auto"/>
        </w:rPr>
      </w:pPr>
    </w:p>
    <w:p>
      <w:pPr>
        <w:ind w:right="180" w:firstLine="441"/>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purchase of the Securities by the holders thereof, it is mutually covenanted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agreed as follows for the equal and ratable benefit of the holders of Securities:</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 of Terms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74" w:lineRule="exact"/>
        <w:rPr>
          <w:sz w:val="20"/>
          <w:szCs w:val="20"/>
          <w:color w:val="auto"/>
        </w:rPr>
      </w:pPr>
    </w:p>
    <w:p>
      <w:pPr>
        <w:ind w:right="1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Authenticating Agent</w:t>
      </w:r>
      <w:r>
        <w:rPr>
          <w:rFonts w:ascii="Arial" w:cs="Arial" w:eastAsia="Arial" w:hAnsi="Arial"/>
          <w:sz w:val="18"/>
          <w:szCs w:val="18"/>
          <w:color w:val="auto"/>
        </w:rPr>
        <w:t xml:space="preserve">” means an authenticating agent with respect to all or any of the series of Securities appointed by the Trustee pursuant to </w:t>
      </w:r>
      <w:r>
        <w:rPr>
          <w:rFonts w:ascii="Arial" w:cs="Arial" w:eastAsia="Arial" w:hAnsi="Arial"/>
          <w:sz w:val="18"/>
          <w:szCs w:val="18"/>
          <w:u w:val="single" w:color="auto"/>
          <w:color w:val="auto"/>
        </w:rPr>
        <w:t>Section 2.10</w:t>
      </w:r>
      <w:r>
        <w:rPr>
          <w:rFonts w:ascii="Arial" w:cs="Arial" w:eastAsia="Arial" w:hAnsi="Arial"/>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Law</w:t>
      </w:r>
      <w:r>
        <w:rPr>
          <w:rFonts w:ascii="Arial" w:cs="Arial" w:eastAsia="Arial" w:hAnsi="Arial"/>
          <w:sz w:val="18"/>
          <w:szCs w:val="18"/>
          <w:color w:val="auto"/>
        </w:rPr>
        <w:t>” means Title 11, U.S. Code, or any similar federal or state law for the relief of debtors.</w:t>
      </w:r>
    </w:p>
    <w:p>
      <w:pPr>
        <w:spacing w:after="0" w:line="225" w:lineRule="exact"/>
        <w:rPr>
          <w:sz w:val="20"/>
          <w:szCs w:val="20"/>
          <w:color w:val="auto"/>
        </w:rPr>
      </w:pPr>
    </w:p>
    <w:p>
      <w:pPr>
        <w:ind w:right="1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(or the functional equivalent thereof) of the Company or any duly authorized committee of such Board.</w:t>
      </w:r>
    </w:p>
    <w:p>
      <w:pPr>
        <w:sectPr>
          <w:pgSz w:w="11900" w:h="16838" w:orient="portrait"/>
          <w:cols w:equalWidth="0" w:num="1">
            <w:col w:w="10960"/>
          </w:cols>
          <w:pgMar w:left="440" w:top="270" w:right="499" w:bottom="1440" w:gutter="0" w:footer="0" w:header="0"/>
        </w:sectPr>
      </w:pPr>
    </w:p>
    <w:bookmarkStart w:id="100" w:name="page101"/>
    <w:bookmarkEnd w:id="100"/>
    <w:p>
      <w:pPr>
        <w:ind w:right="100" w:firstLine="441"/>
        <w:spacing w:after="0" w:line="31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Board Resolution</w:t>
      </w:r>
      <w:r>
        <w:rPr>
          <w:rFonts w:ascii="Arial" w:cs="Arial" w:eastAsia="Arial" w:hAnsi="Arial"/>
          <w:sz w:val="17"/>
          <w:szCs w:val="17"/>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38" w:lineRule="exact"/>
        <w:rPr>
          <w:sz w:val="20"/>
          <w:szCs w:val="20"/>
          <w:color w:val="auto"/>
        </w:rPr>
      </w:pPr>
    </w:p>
    <w:p>
      <w:pPr>
        <w:ind w:right="42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with respect to any series of Securities, any day other than a day on which federal or state banking institutions in the Borough of Manhattan, the City of New York, or at a place of payment, are authorized or obligated by law, executive order or regulation to close.</w:t>
      </w:r>
    </w:p>
    <w:p>
      <w:pPr>
        <w:spacing w:after="0" w:line="116" w:lineRule="exact"/>
        <w:rPr>
          <w:sz w:val="20"/>
          <w:szCs w:val="20"/>
          <w:color w:val="auto"/>
        </w:rPr>
      </w:pPr>
    </w:p>
    <w:p>
      <w:pPr>
        <w:ind w:right="1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76" w:lineRule="exact"/>
        <w:rPr>
          <w:sz w:val="20"/>
          <w:szCs w:val="20"/>
          <w:color w:val="auto"/>
        </w:rPr>
      </w:pPr>
    </w:p>
    <w:p>
      <w:pPr>
        <w:ind w:right="5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xml:space="preserve">” means AVROBIO, Inc., a corporation duly organized and existing under the laws of the State of Delaware, and, subject to the provisions of </w:t>
      </w:r>
      <w:r>
        <w:rPr>
          <w:rFonts w:ascii="Arial" w:cs="Arial" w:eastAsia="Arial" w:hAnsi="Arial"/>
          <w:sz w:val="18"/>
          <w:szCs w:val="18"/>
          <w:u w:val="single" w:color="auto"/>
          <w:color w:val="auto"/>
        </w:rPr>
        <w:t>Article 10</w:t>
      </w:r>
      <w:r>
        <w:rPr>
          <w:rFonts w:ascii="Arial" w:cs="Arial" w:eastAsia="Arial" w:hAnsi="Arial"/>
          <w:sz w:val="18"/>
          <w:szCs w:val="18"/>
          <w:color w:val="auto"/>
        </w:rPr>
        <w:t>, shall also include its successors and assigns.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Order</w:t>
      </w:r>
      <w:r>
        <w:rPr>
          <w:rFonts w:ascii="Arial" w:cs="Arial" w:eastAsia="Arial" w:hAnsi="Arial"/>
          <w:sz w:val="18"/>
          <w:szCs w:val="18"/>
          <w:color w:val="auto"/>
        </w:rPr>
        <w:t>” means a written order of the Company, signed by an Officer of the Company, and delivered to the Trustee.</w:t>
      </w:r>
    </w:p>
    <w:p>
      <w:pPr>
        <w:spacing w:after="0" w:line="225" w:lineRule="exact"/>
        <w:rPr>
          <w:sz w:val="20"/>
          <w:szCs w:val="20"/>
          <w:color w:val="auto"/>
        </w:rPr>
      </w:pPr>
    </w:p>
    <w:p>
      <w:pPr>
        <w:ind w:right="4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Corporate Trust Office</w:t>
      </w:r>
      <w:r>
        <w:rPr>
          <w:rFonts w:ascii="Arial" w:cs="Arial" w:eastAsia="Arial" w:hAnsi="Arial"/>
          <w:sz w:val="18"/>
          <w:szCs w:val="18"/>
          <w:color w:val="auto"/>
        </w:rPr>
        <w:t>” means the office of the Trustee at which, at any particular time, its corporate trust business shall be administered, which office at the date hereof is located at .</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Custodian</w:t>
      </w:r>
      <w:r>
        <w:rPr>
          <w:rFonts w:ascii="Arial" w:cs="Arial" w:eastAsia="Arial" w:hAnsi="Arial"/>
          <w:sz w:val="18"/>
          <w:szCs w:val="18"/>
          <w:color w:val="auto"/>
        </w:rPr>
        <w:t>” means any receiver, trustee, assignee, liquidator or similar official under any Bankruptcy Law.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Defaulted Interest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25" w:lineRule="exact"/>
        <w:rPr>
          <w:sz w:val="20"/>
          <w:szCs w:val="20"/>
          <w:color w:val="auto"/>
        </w:rPr>
      </w:pPr>
    </w:p>
    <w:p>
      <w:pPr>
        <w:ind w:right="160" w:firstLine="44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Depositary</w:t>
      </w:r>
      <w:r>
        <w:rPr>
          <w:rFonts w:ascii="Arial" w:cs="Arial" w:eastAsia="Arial" w:hAnsi="Arial"/>
          <w:sz w:val="16"/>
          <w:szCs w:val="16"/>
          <w:color w:val="auto"/>
        </w:rPr>
        <w:t xml:space="preserve">”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2.11</w:t>
      </w:r>
      <w:r>
        <w:rPr>
          <w:rFonts w:ascii="Arial" w:cs="Arial" w:eastAsia="Arial" w:hAnsi="Arial"/>
          <w:sz w:val="16"/>
          <w:szCs w:val="16"/>
          <w:color w:val="auto"/>
        </w:rPr>
        <w:t>.</w:t>
      </w:r>
    </w:p>
    <w:p>
      <w:pPr>
        <w:spacing w:after="0" w:line="142" w:lineRule="exact"/>
        <w:rPr>
          <w:sz w:val="20"/>
          <w:szCs w:val="20"/>
          <w:color w:val="auto"/>
        </w:rPr>
      </w:pPr>
    </w:p>
    <w:p>
      <w:pPr>
        <w:ind w:right="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xml:space="preserve">” means, with respect to Securities of a particular series, any event specified in </w:t>
      </w:r>
      <w:r>
        <w:rPr>
          <w:rFonts w:ascii="Arial" w:cs="Arial" w:eastAsia="Arial" w:hAnsi="Arial"/>
          <w:sz w:val="18"/>
          <w:szCs w:val="18"/>
          <w:u w:val="single" w:color="auto"/>
          <w:color w:val="auto"/>
        </w:rPr>
        <w:t>Section 6.01</w:t>
      </w:r>
      <w:r>
        <w:rPr>
          <w:rFonts w:ascii="Arial" w:cs="Arial" w:eastAsia="Arial" w:hAnsi="Arial"/>
          <w:sz w:val="18"/>
          <w:szCs w:val="18"/>
          <w:color w:val="auto"/>
        </w:rPr>
        <w:t>, continued for the period of time, if any, therein designated.</w:t>
      </w:r>
    </w:p>
    <w:p>
      <w:pPr>
        <w:spacing w:after="0" w:line="162" w:lineRule="exact"/>
        <w:rPr>
          <w:sz w:val="20"/>
          <w:szCs w:val="20"/>
          <w:color w:val="auto"/>
        </w:rPr>
      </w:pPr>
    </w:p>
    <w:p>
      <w:pPr>
        <w:ind w:right="3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United States Securities and Exchange Act of 1934, as amended, and the rules and regulations promulgated by the Commission thereunder.</w:t>
      </w:r>
    </w:p>
    <w:p>
      <w:pPr>
        <w:spacing w:after="0" w:line="162"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Security</w:t>
      </w:r>
      <w:r>
        <w:rPr>
          <w:rFonts w:ascii="Arial" w:cs="Arial" w:eastAsia="Arial" w:hAnsi="Arial"/>
          <w:sz w:val="18"/>
          <w:szCs w:val="18"/>
          <w:color w:val="auto"/>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101" w:name="page102"/>
    <w:bookmarkEnd w:id="101"/>
    <w:p>
      <w:pPr>
        <w:ind w:firstLine="44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Governmenta</w:t>
      </w:r>
      <w:r>
        <w:rPr>
          <w:rFonts w:ascii="Arial" w:cs="Arial" w:eastAsia="Arial" w:hAnsi="Arial"/>
          <w:sz w:val="17"/>
          <w:szCs w:val="17"/>
          <w:color w:val="auto"/>
        </w:rPr>
        <w:t xml:space="preserve">l </w:t>
      </w:r>
      <w:r>
        <w:rPr>
          <w:rFonts w:ascii="Arial" w:cs="Arial" w:eastAsia="Arial" w:hAnsi="Arial"/>
          <w:sz w:val="17"/>
          <w:szCs w:val="17"/>
          <w:b w:val="1"/>
          <w:bCs w:val="1"/>
          <w:color w:val="auto"/>
        </w:rPr>
        <w:t>Obligations</w:t>
      </w:r>
      <w:r>
        <w:rPr>
          <w:rFonts w:ascii="Arial" w:cs="Arial" w:eastAsia="Arial" w:hAnsi="Arial"/>
          <w:sz w:val="17"/>
          <w:szCs w:val="17"/>
          <w:color w:val="auto"/>
        </w:rPr>
        <w:t xml:space="preserve">”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applicable series of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(except as required by law) such custodian is not authorized to make any deduction from the amount payable to the holder of such</w:t>
      </w:r>
      <w:r>
        <w:rPr>
          <w:rFonts w:ascii="Arial" w:cs="Arial" w:eastAsia="Arial" w:hAnsi="Arial"/>
          <w:sz w:val="17"/>
          <w:szCs w:val="17"/>
          <w:i w:val="1"/>
          <w:iCs w:val="1"/>
          <w:color w:val="auto"/>
        </w:rPr>
        <w:t xml:space="preserve"> </w:t>
      </w:r>
      <w:r>
        <w:rPr>
          <w:rFonts w:ascii="Arial" w:cs="Arial" w:eastAsia="Arial" w:hAnsi="Arial"/>
          <w:sz w:val="17"/>
          <w:szCs w:val="17"/>
          <w:color w:val="auto"/>
        </w:rPr>
        <w:t>depositary receipt from any amount received by the custodian in respect of the Governmental Obligation or the specific payment of principal of or interest on the Governmental Obligation evidenced by such depositary receipt.</w:t>
      </w:r>
    </w:p>
    <w:p>
      <w:pPr>
        <w:spacing w:after="0" w:line="174" w:lineRule="exact"/>
        <w:rPr>
          <w:sz w:val="20"/>
          <w:szCs w:val="20"/>
          <w:color w:val="auto"/>
        </w:rPr>
      </w:pPr>
    </w:p>
    <w:p>
      <w:pPr>
        <w:ind w:right="5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herein</w:t>
      </w:r>
      <w:r>
        <w:rPr>
          <w:rFonts w:ascii="Arial" w:cs="Arial" w:eastAsia="Arial" w:hAnsi="Arial"/>
          <w:sz w:val="18"/>
          <w:szCs w:val="18"/>
          <w:color w:val="auto"/>
        </w:rPr>
        <w:t>”, “</w:t>
      </w:r>
      <w:r>
        <w:rPr>
          <w:rFonts w:ascii="Arial" w:cs="Arial" w:eastAsia="Arial" w:hAnsi="Arial"/>
          <w:sz w:val="18"/>
          <w:szCs w:val="18"/>
          <w:b w:val="1"/>
          <w:bCs w:val="1"/>
          <w:color w:val="auto"/>
        </w:rPr>
        <w:t>hereof</w:t>
      </w:r>
      <w:r>
        <w:rPr>
          <w:rFonts w:ascii="Arial" w:cs="Arial" w:eastAsia="Arial" w:hAnsi="Arial"/>
          <w:sz w:val="18"/>
          <w:szCs w:val="18"/>
          <w:color w:val="auto"/>
        </w:rPr>
        <w:t>” and “</w:t>
      </w:r>
      <w:r>
        <w:rPr>
          <w:rFonts w:ascii="Arial" w:cs="Arial" w:eastAsia="Arial" w:hAnsi="Arial"/>
          <w:sz w:val="18"/>
          <w:szCs w:val="18"/>
          <w:b w:val="1"/>
          <w:bCs w:val="1"/>
          <w:color w:val="auto"/>
        </w:rPr>
        <w:t>hereunder</w:t>
      </w:r>
      <w:r>
        <w:rPr>
          <w:rFonts w:ascii="Arial" w:cs="Arial" w:eastAsia="Arial" w:hAnsi="Arial"/>
          <w:sz w:val="18"/>
          <w:szCs w:val="18"/>
          <w:color w:val="auto"/>
        </w:rPr>
        <w:t>”, and other words of similar import, refer to this Indenture as a whole and not to any particular Article, Section or other subdivision.</w:t>
      </w:r>
    </w:p>
    <w:p>
      <w:pPr>
        <w:spacing w:after="0" w:line="162" w:lineRule="exact"/>
        <w:rPr>
          <w:sz w:val="20"/>
          <w:szCs w:val="20"/>
          <w:color w:val="auto"/>
        </w:rPr>
      </w:pPr>
    </w:p>
    <w:p>
      <w:pPr>
        <w:ind w:right="10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xml:space="preserve">”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76" w:lineRule="exact"/>
        <w:rPr>
          <w:sz w:val="20"/>
          <w:szCs w:val="20"/>
          <w:color w:val="auto"/>
        </w:rPr>
      </w:pPr>
    </w:p>
    <w:p>
      <w:pPr>
        <w:jc w:val="both"/>
        <w:ind w:right="24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76" w:lineRule="exact"/>
        <w:rPr>
          <w:sz w:val="20"/>
          <w:szCs w:val="20"/>
          <w:color w:val="auto"/>
        </w:rPr>
      </w:pPr>
    </w:p>
    <w:p>
      <w:pPr>
        <w:ind w:right="1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spacing w:after="0" w:line="176" w:lineRule="exact"/>
        <w:rPr>
          <w:sz w:val="20"/>
          <w:szCs w:val="20"/>
          <w:color w:val="auto"/>
        </w:rPr>
      </w:pPr>
    </w:p>
    <w:p>
      <w:pPr>
        <w:ind w:right="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xml:space="preserve">” means a certificate signed by any Officer. Each such certificate shall include the statements provided for in </w:t>
      </w:r>
      <w:r>
        <w:rPr>
          <w:rFonts w:ascii="Arial" w:cs="Arial" w:eastAsia="Arial" w:hAnsi="Arial"/>
          <w:sz w:val="18"/>
          <w:szCs w:val="18"/>
          <w:u w:val="single" w:color="auto"/>
          <w:color w:val="auto"/>
        </w:rPr>
        <w:t>Section 13.07</w:t>
      </w:r>
      <w:r>
        <w:rPr>
          <w:rFonts w:ascii="Arial" w:cs="Arial" w:eastAsia="Arial" w:hAnsi="Arial"/>
          <w:sz w:val="18"/>
          <w:szCs w:val="18"/>
          <w:color w:val="auto"/>
        </w:rPr>
        <w:t>, if and to the extent required by the provisions thereof.</w:t>
      </w:r>
    </w:p>
    <w:p>
      <w:pPr>
        <w:spacing w:after="0" w:line="162" w:lineRule="exact"/>
        <w:rPr>
          <w:sz w:val="20"/>
          <w:szCs w:val="20"/>
          <w:color w:val="auto"/>
        </w:rPr>
      </w:pPr>
    </w:p>
    <w:p>
      <w:pPr>
        <w:ind w:right="14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xml:space="preserve">” means an opinion in writing subject to customary exceptions of legal counsel, who may be an employee of or counsel for the Company, that is delivered to the Trustee in accordance with the terms hereof. Each such opinion shall include the statements provided for in </w:t>
      </w:r>
      <w:r>
        <w:rPr>
          <w:rFonts w:ascii="Arial" w:cs="Arial" w:eastAsia="Arial" w:hAnsi="Arial"/>
          <w:sz w:val="18"/>
          <w:szCs w:val="18"/>
          <w:u w:val="single" w:color="auto"/>
          <w:color w:val="auto"/>
        </w:rPr>
        <w:t>Section 13.07</w:t>
      </w:r>
      <w:r>
        <w:rPr>
          <w:rFonts w:ascii="Arial" w:cs="Arial" w:eastAsia="Arial" w:hAnsi="Arial"/>
          <w:sz w:val="18"/>
          <w:szCs w:val="18"/>
          <w:color w:val="auto"/>
        </w:rPr>
        <w:t>, if and to the extent required by the provisions thereof.</w:t>
      </w:r>
    </w:p>
    <w:p>
      <w:pPr>
        <w:spacing w:after="0" w:line="176" w:lineRule="exact"/>
        <w:rPr>
          <w:sz w:val="20"/>
          <w:szCs w:val="20"/>
          <w:color w:val="auto"/>
        </w:rPr>
      </w:pPr>
    </w:p>
    <w:p>
      <w:pPr>
        <w:jc w:val="both"/>
        <w:ind w:right="1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w:t>
      </w:r>
      <w:r>
        <w:rPr>
          <w:rFonts w:ascii="Arial" w:cs="Arial" w:eastAsia="Arial" w:hAnsi="Arial"/>
          <w:sz w:val="18"/>
          <w:szCs w:val="18"/>
          <w:color w:val="auto"/>
        </w:rPr>
        <w:t xml:space="preserve">”, when used with reference to Securities of any series, means, subject to the provisions of </w:t>
      </w:r>
      <w:r>
        <w:rPr>
          <w:rFonts w:ascii="Arial" w:cs="Arial" w:eastAsia="Arial" w:hAnsi="Arial"/>
          <w:sz w:val="18"/>
          <w:szCs w:val="18"/>
          <w:u w:val="single" w:color="auto"/>
          <w:color w:val="auto"/>
        </w:rPr>
        <w:t>Section 8.04</w:t>
      </w:r>
      <w:r>
        <w:rPr>
          <w:rFonts w:ascii="Arial" w:cs="Arial" w:eastAsia="Arial" w:hAnsi="Arial"/>
          <w:sz w:val="18"/>
          <w:szCs w:val="18"/>
          <w:color w:val="auto"/>
        </w:rPr>
        <w:t>, as of any particular time, all Securities of that series theretofore authenticated and delivered by the Trustee under this Indenture, except (a) Securities theretofore canceled by the Trustee or any paying agent, or delivered to the Trustee or any paying agent for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102" w:name="page103"/>
    <w:bookmarkEnd w:id="102"/>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such Securities or portions of such Securities are to be redeemed prior to the maturity thereof, notice of such redemption shall have been given as provided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or provision satisfactory to the Trustee shall have been made for giving such notice; and (c) Securities in lieu of or in substitution for which other Securities shall have been authenticated and delivered pursuant to the terms of </w:t>
      </w:r>
      <w:r>
        <w:rPr>
          <w:rFonts w:ascii="Arial" w:cs="Arial" w:eastAsia="Arial" w:hAnsi="Arial"/>
          <w:sz w:val="17"/>
          <w:szCs w:val="17"/>
          <w:u w:val="single" w:color="auto"/>
          <w:color w:val="auto"/>
        </w:rPr>
        <w:t>Section 2.07</w:t>
      </w:r>
      <w:r>
        <w:rPr>
          <w:rFonts w:ascii="Arial" w:cs="Arial" w:eastAsia="Arial" w:hAnsi="Arial"/>
          <w:sz w:val="17"/>
          <w:szCs w:val="17"/>
          <w:color w:val="auto"/>
        </w:rPr>
        <w:t>.</w:t>
      </w:r>
    </w:p>
    <w:p>
      <w:pPr>
        <w:spacing w:after="0" w:line="174" w:lineRule="exact"/>
        <w:rPr>
          <w:sz w:val="20"/>
          <w:szCs w:val="20"/>
          <w:color w:val="auto"/>
        </w:rPr>
      </w:pPr>
    </w:p>
    <w:p>
      <w:pPr>
        <w:jc w:val="center"/>
        <w:ind w:right="2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16" w:lineRule="exact"/>
        <w:rPr>
          <w:sz w:val="20"/>
          <w:szCs w:val="20"/>
          <w:color w:val="auto"/>
        </w:rPr>
      </w:pPr>
    </w:p>
    <w:p>
      <w:pPr>
        <w:ind w:right="220" w:firstLine="44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Predecessor Security</w:t>
      </w:r>
      <w:r>
        <w:rPr>
          <w:rFonts w:ascii="Arial" w:cs="Arial" w:eastAsia="Arial" w:hAnsi="Arial"/>
          <w:sz w:val="17"/>
          <w:szCs w:val="17"/>
          <w:color w:val="auto"/>
        </w:rPr>
        <w:t xml:space="preserve">” of any particular Security means every previous Security evidencing all or a portion of the same debt as that evidenced by such particular Security; and, for the purposes of this definition, any Security authenticated and delivered under </w:t>
      </w:r>
      <w:r>
        <w:rPr>
          <w:rFonts w:ascii="Arial" w:cs="Arial" w:eastAsia="Arial" w:hAnsi="Arial"/>
          <w:sz w:val="17"/>
          <w:szCs w:val="17"/>
          <w:u w:val="single" w:color="auto"/>
          <w:color w:val="auto"/>
        </w:rPr>
        <w:t>Section 2.07</w:t>
      </w:r>
      <w:r>
        <w:rPr>
          <w:rFonts w:ascii="Arial" w:cs="Arial" w:eastAsia="Arial" w:hAnsi="Arial"/>
          <w:sz w:val="17"/>
          <w:szCs w:val="17"/>
          <w:color w:val="auto"/>
        </w:rPr>
        <w:t xml:space="preserve"> in lieu of a lost, destroyed or stolen Security shall be deemed to evidence the same debt as the lost, destroyed or stolen Security.</w:t>
      </w:r>
    </w:p>
    <w:p>
      <w:pPr>
        <w:spacing w:after="0" w:line="158" w:lineRule="exact"/>
        <w:rPr>
          <w:sz w:val="20"/>
          <w:szCs w:val="20"/>
          <w:color w:val="auto"/>
        </w:rPr>
      </w:pPr>
    </w:p>
    <w:p>
      <w:pPr>
        <w:ind w:right="120"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when used with respect to the Trustee means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in each case, who shall have direct responsibility for the administration of this Indenture (which, for the avoidance of doubt, includes without limitation any supplemental indenture hereto).</w:t>
      </w:r>
    </w:p>
    <w:p>
      <w:pPr>
        <w:spacing w:after="0" w:line="188" w:lineRule="exact"/>
        <w:rPr>
          <w:sz w:val="20"/>
          <w:szCs w:val="20"/>
          <w:color w:val="auto"/>
        </w:rPr>
      </w:pPr>
    </w:p>
    <w:p>
      <w:pPr>
        <w:ind w:right="2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w:t>
      </w:r>
      <w:r>
        <w:rPr>
          <w:rFonts w:ascii="Arial" w:cs="Arial" w:eastAsia="Arial" w:hAnsi="Arial"/>
          <w:sz w:val="18"/>
          <w:szCs w:val="18"/>
          <w:color w:val="auto"/>
        </w:rPr>
        <w:t>” has the meaning stated in the first recital of this Indenture and more particularly means any Securities authenticated and delivered under this Indenture.</w:t>
      </w:r>
    </w:p>
    <w:p>
      <w:pPr>
        <w:spacing w:after="0" w:line="162" w:lineRule="exact"/>
        <w:rPr>
          <w:sz w:val="20"/>
          <w:szCs w:val="20"/>
          <w:color w:val="auto"/>
        </w:rPr>
      </w:pPr>
    </w:p>
    <w:p>
      <w:pPr>
        <w:ind w:right="56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Securityholder</w:t>
      </w:r>
      <w:r>
        <w:rPr>
          <w:rFonts w:ascii="Arial" w:cs="Arial" w:eastAsia="Arial" w:hAnsi="Arial"/>
          <w:sz w:val="17"/>
          <w:szCs w:val="17"/>
          <w:color w:val="auto"/>
        </w:rPr>
        <w:t>”, “</w:t>
      </w:r>
      <w:r>
        <w:rPr>
          <w:rFonts w:ascii="Arial" w:cs="Arial" w:eastAsia="Arial" w:hAnsi="Arial"/>
          <w:sz w:val="17"/>
          <w:szCs w:val="17"/>
          <w:b w:val="1"/>
          <w:bCs w:val="1"/>
          <w:color w:val="auto"/>
        </w:rPr>
        <w:t>holder</w:t>
      </w:r>
      <w:r>
        <w:rPr>
          <w:rFonts w:ascii="Arial" w:cs="Arial" w:eastAsia="Arial" w:hAnsi="Arial"/>
          <w:sz w:val="17"/>
          <w:szCs w:val="17"/>
          <w:color w:val="auto"/>
        </w:rPr>
        <w:t>”, “</w:t>
      </w:r>
      <w:r>
        <w:rPr>
          <w:rFonts w:ascii="Arial" w:cs="Arial" w:eastAsia="Arial" w:hAnsi="Arial"/>
          <w:sz w:val="17"/>
          <w:szCs w:val="17"/>
          <w:b w:val="1"/>
          <w:bCs w:val="1"/>
          <w:color w:val="auto"/>
        </w:rPr>
        <w:t>registered holder</w:t>
      </w:r>
      <w:r>
        <w:rPr>
          <w:rFonts w:ascii="Arial" w:cs="Arial" w:eastAsia="Arial" w:hAnsi="Arial"/>
          <w:sz w:val="17"/>
          <w:szCs w:val="17"/>
          <w:color w:val="auto"/>
        </w:rPr>
        <w:t>”, or other similar term, means the Person or Persons in whose name or names a particular Security is registered on the Security Register kept for that purpose in accordance with the terms of this Indenture.</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Register</w:t>
      </w:r>
      <w:r>
        <w:rPr>
          <w:rFonts w:ascii="Arial" w:cs="Arial" w:eastAsia="Arial" w:hAnsi="Arial"/>
          <w:sz w:val="18"/>
          <w:szCs w:val="18"/>
          <w:color w:val="auto"/>
        </w:rPr>
        <w:t>” and “</w:t>
      </w:r>
      <w:r>
        <w:rPr>
          <w:rFonts w:ascii="Arial" w:cs="Arial" w:eastAsia="Arial" w:hAnsi="Arial"/>
          <w:sz w:val="18"/>
          <w:szCs w:val="18"/>
          <w:b w:val="1"/>
          <w:bCs w:val="1"/>
          <w:color w:val="auto"/>
        </w:rPr>
        <w:t>Security Registrar</w:t>
      </w:r>
      <w:r>
        <w:rPr>
          <w:rFonts w:ascii="Arial" w:cs="Arial" w:eastAsia="Arial" w:hAnsi="Arial"/>
          <w:sz w:val="18"/>
          <w:szCs w:val="18"/>
          <w:color w:val="auto"/>
        </w:rPr>
        <w:t xml:space="preserve">” shall have the meanings as set forth in </w:t>
      </w:r>
      <w:r>
        <w:rPr>
          <w:rFonts w:ascii="Arial" w:cs="Arial" w:eastAsia="Arial" w:hAnsi="Arial"/>
          <w:sz w:val="18"/>
          <w:szCs w:val="18"/>
          <w:u w:val="single" w:color="auto"/>
          <w:color w:val="auto"/>
        </w:rPr>
        <w:t>Section 2.05</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Person:</w:t>
      </w:r>
    </w:p>
    <w:p>
      <w:pPr>
        <w:spacing w:after="0" w:line="121" w:lineRule="exact"/>
        <w:rPr>
          <w:sz w:val="20"/>
          <w:szCs w:val="20"/>
          <w:color w:val="auto"/>
        </w:rPr>
      </w:pPr>
    </w:p>
    <w:p>
      <w:pPr>
        <w:ind w:left="440" w:right="180" w:firstLine="428"/>
        <w:spacing w:after="0" w:line="264" w:lineRule="auto"/>
        <w:tabs>
          <w:tab w:leader="none" w:pos="1118"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any corporation or company a majority of whose capital stock with voting power, under ordinary circumstances, to elect directors is, at the date of determination, directly or indirectly, owned by such Person (a </w:t>
      </w:r>
      <w:r>
        <w:rPr>
          <w:rFonts w:ascii="Arial" w:cs="Arial" w:eastAsia="Arial" w:hAnsi="Arial"/>
          <w:sz w:val="18"/>
          <w:szCs w:val="18"/>
          <w:b w:val="1"/>
          <w:bCs w:val="1"/>
          <w:color w:val="auto"/>
        </w:rPr>
        <w:t>“subsidiary</w:t>
      </w:r>
      <w:r>
        <w:rPr>
          <w:rFonts w:ascii="Arial" w:cs="Arial" w:eastAsia="Arial" w:hAnsi="Arial"/>
          <w:sz w:val="18"/>
          <w:szCs w:val="18"/>
          <w:color w:val="auto"/>
        </w:rPr>
        <w:t>”), by one or more subsidiaries of such Person or by such Person and one or more subsidiaries of such Person;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103" w:name="page104"/>
    <w:bookmarkEnd w:id="103"/>
    <w:p>
      <w:pPr>
        <w:ind w:left="8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 a partnership in which such Person or a subsidiary of such Person is, at the date of determination, a general partner of such partnership;</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or</w:t>
      </w:r>
    </w:p>
    <w:p>
      <w:pPr>
        <w:spacing w:after="0" w:line="103" w:lineRule="exact"/>
        <w:rPr>
          <w:sz w:val="20"/>
          <w:szCs w:val="20"/>
          <w:color w:val="auto"/>
        </w:rPr>
      </w:pPr>
    </w:p>
    <w:p>
      <w:pPr>
        <w:ind w:left="440" w:right="160" w:firstLine="428"/>
        <w:spacing w:after="0" w:line="259" w:lineRule="auto"/>
        <w:tabs>
          <w:tab w:leader="none" w:pos="1118"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partnership, limited liability company or other Person in which such Person, a subsidiary of such Person or such Person and one or more subsidiaries of such Person, directly or indirectly, at the date of determination, have (x) at least a majority ownership interest or (y) the power to elect or appoint or direct the election or appointment of the managing partner or member of such Person or, if applicable, a majority of the directors or other governing body of such Person.</w:t>
      </w:r>
    </w:p>
    <w:p>
      <w:pPr>
        <w:spacing w:after="0" w:line="183" w:lineRule="exact"/>
        <w:rPr>
          <w:sz w:val="20"/>
          <w:szCs w:val="20"/>
          <w:color w:val="auto"/>
        </w:rPr>
      </w:pPr>
    </w:p>
    <w:p>
      <w:pPr>
        <w:ind w:right="4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Trustee</w:t>
      </w:r>
      <w:r>
        <w:rPr>
          <w:rFonts w:ascii="Arial" w:cs="Arial" w:eastAsia="Arial" w:hAnsi="Arial"/>
          <w:sz w:val="18"/>
          <w:szCs w:val="18"/>
          <w:color w:val="auto"/>
        </w:rPr>
        <w:t xml:space="preserve">” means , and, subject to the provisions of </w:t>
      </w:r>
      <w:r>
        <w:rPr>
          <w:rFonts w:ascii="Arial" w:cs="Arial" w:eastAsia="Arial" w:hAnsi="Arial"/>
          <w:sz w:val="18"/>
          <w:szCs w:val="18"/>
          <w:u w:val="single" w:color="auto"/>
          <w:color w:val="auto"/>
        </w:rPr>
        <w:t>Article 7</w:t>
      </w:r>
      <w:r>
        <w:rPr>
          <w:rFonts w:ascii="Arial" w:cs="Arial" w:eastAsia="Arial" w:hAnsi="Arial"/>
          <w:sz w:val="18"/>
          <w:szCs w:val="18"/>
          <w:color w:val="auto"/>
        </w:rPr>
        <w:t>,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means the Trust Indenture Act of 1939, as amended and in effect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dollar</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lawful currency of the United States of America.</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ISSUE, DESCRIPTION, TERMS, EXECUTION, REGISTRATION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EXCHANGE OF SECURITIES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Designation and Terms of Securities</w:t>
      </w:r>
      <w:r>
        <w:rPr>
          <w:rFonts w:ascii="Arial" w:cs="Arial" w:eastAsia="Arial" w:hAnsi="Arial"/>
          <w:sz w:val="18"/>
          <w:szCs w:val="18"/>
          <w:color w:val="auto"/>
        </w:rPr>
        <w:t>.</w:t>
      </w:r>
    </w:p>
    <w:p>
      <w:pPr>
        <w:spacing w:after="0" w:line="117" w:lineRule="exact"/>
        <w:rPr>
          <w:sz w:val="20"/>
          <w:szCs w:val="20"/>
          <w:color w:val="auto"/>
        </w:rPr>
      </w:pPr>
    </w:p>
    <w:p>
      <w:pPr>
        <w:ind w:right="80" w:firstLine="996"/>
        <w:spacing w:after="0" w:line="302" w:lineRule="auto"/>
        <w:tabs>
          <w:tab w:leader="none" w:pos="1237"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46" w:lineRule="exact"/>
        <w:rPr>
          <w:rFonts w:ascii="Arial" w:cs="Arial" w:eastAsia="Arial" w:hAnsi="Arial"/>
          <w:sz w:val="16"/>
          <w:szCs w:val="16"/>
          <w:color w:val="auto"/>
        </w:rPr>
      </w:pPr>
    </w:p>
    <w:p>
      <w:pPr>
        <w:ind w:left="1660" w:hanging="263"/>
        <w:spacing w:after="0"/>
        <w:tabs>
          <w:tab w:leader="none" w:pos="16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title of the Securities of the series (which shall distinguish the Securities of that series from all other Securities);</w:t>
      </w:r>
    </w:p>
    <w:p>
      <w:pPr>
        <w:spacing w:after="0" w:line="117" w:lineRule="exact"/>
        <w:rPr>
          <w:rFonts w:ascii="Arial" w:cs="Arial" w:eastAsia="Arial" w:hAnsi="Arial"/>
          <w:sz w:val="18"/>
          <w:szCs w:val="18"/>
          <w:color w:val="auto"/>
        </w:rPr>
      </w:pPr>
    </w:p>
    <w:p>
      <w:pPr>
        <w:ind w:left="440" w:firstLine="957"/>
        <w:spacing w:after="0" w:line="264" w:lineRule="auto"/>
        <w:tabs>
          <w:tab w:leader="none" w:pos="1647" w:val="left"/>
        </w:tabs>
        <w:numPr>
          <w:ilvl w:val="1"/>
          <w:numId w:val="93"/>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that series which may be authenticated and delivered under this Indenture (except for Securities authenticated and delivered upon registration of transfer of, or in exchange for, or in lieu of, other Securities of that series);</w:t>
      </w:r>
    </w:p>
    <w:p>
      <w:pPr>
        <w:spacing w:after="0" w:line="73" w:lineRule="exact"/>
        <w:rPr>
          <w:rFonts w:ascii="Arial" w:cs="Arial" w:eastAsia="Arial" w:hAnsi="Arial"/>
          <w:sz w:val="18"/>
          <w:szCs w:val="18"/>
          <w:color w:val="auto"/>
        </w:rPr>
      </w:pPr>
    </w:p>
    <w:p>
      <w:pPr>
        <w:ind w:left="1660" w:hanging="263"/>
        <w:spacing w:after="0"/>
        <w:tabs>
          <w:tab w:leader="none" w:pos="166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17" w:lineRule="exact"/>
        <w:rPr>
          <w:rFonts w:ascii="Arial" w:cs="Arial" w:eastAsia="Arial" w:hAnsi="Arial"/>
          <w:sz w:val="18"/>
          <w:szCs w:val="18"/>
          <w:color w:val="auto"/>
        </w:rPr>
      </w:pPr>
    </w:p>
    <w:p>
      <w:pPr>
        <w:ind w:left="440" w:firstLine="957"/>
        <w:spacing w:after="0" w:line="259" w:lineRule="auto"/>
        <w:tabs>
          <w:tab w:leader="none" w:pos="1647" w:val="left"/>
        </w:tabs>
        <w:numPr>
          <w:ilvl w:val="1"/>
          <w:numId w:val="93"/>
        </w:numPr>
        <w:rPr>
          <w:rFonts w:ascii="Arial" w:cs="Arial" w:eastAsia="Arial" w:hAnsi="Arial"/>
          <w:sz w:val="18"/>
          <w:szCs w:val="18"/>
          <w:color w:val="auto"/>
        </w:rPr>
      </w:pPr>
      <w:r>
        <w:rPr>
          <w:rFonts w:ascii="Arial" w:cs="Arial" w:eastAsia="Arial" w:hAnsi="Arial"/>
          <w:sz w:val="18"/>
          <w:szCs w:val="18"/>
          <w:color w:val="auto"/>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04" w:name="page105"/>
    <w:bookmarkEnd w:id="104"/>
    <w:p>
      <w:pPr>
        <w:ind w:left="1220" w:hanging="263"/>
        <w:spacing w:after="0"/>
        <w:tabs>
          <w:tab w:leader="none" w:pos="1220" w:val="left"/>
        </w:tabs>
        <w:numPr>
          <w:ilvl w:val="0"/>
          <w:numId w:val="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rate or rates at which the Securities of the series shall bear interest or the manner of calculation of such rate or rates, if any;</w:t>
      </w:r>
    </w:p>
    <w:p>
      <w:pPr>
        <w:spacing w:after="0" w:line="140" w:lineRule="exact"/>
        <w:rPr>
          <w:rFonts w:ascii="Arial" w:cs="Arial" w:eastAsia="Arial" w:hAnsi="Arial"/>
          <w:sz w:val="16"/>
          <w:szCs w:val="16"/>
          <w:color w:val="auto"/>
        </w:rPr>
      </w:pPr>
    </w:p>
    <w:p>
      <w:pPr>
        <w:ind w:right="180" w:firstLine="957"/>
        <w:spacing w:after="0" w:line="286" w:lineRule="auto"/>
        <w:tabs>
          <w:tab w:leader="none" w:pos="1207"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57" w:lineRule="exact"/>
        <w:rPr>
          <w:rFonts w:ascii="Arial" w:cs="Arial" w:eastAsia="Arial" w:hAnsi="Arial"/>
          <w:sz w:val="17"/>
          <w:szCs w:val="17"/>
          <w:color w:val="auto"/>
        </w:rPr>
      </w:pPr>
    </w:p>
    <w:p>
      <w:pPr>
        <w:ind w:left="1220" w:hanging="263"/>
        <w:spacing w:after="0"/>
        <w:tabs>
          <w:tab w:leader="none" w:pos="12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such extension;</w:t>
      </w:r>
    </w:p>
    <w:p>
      <w:pPr>
        <w:spacing w:after="0" w:line="117" w:lineRule="exact"/>
        <w:rPr>
          <w:rFonts w:ascii="Arial" w:cs="Arial" w:eastAsia="Arial" w:hAnsi="Arial"/>
          <w:sz w:val="18"/>
          <w:szCs w:val="18"/>
          <w:color w:val="auto"/>
        </w:rPr>
      </w:pPr>
    </w:p>
    <w:p>
      <w:pPr>
        <w:ind w:right="160" w:firstLine="957"/>
        <w:spacing w:after="0" w:line="277" w:lineRule="auto"/>
        <w:tabs>
          <w:tab w:leader="none" w:pos="1207"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Securities of the series may be redeemed, converted or exchanged, in whole or in part;</w:t>
      </w:r>
    </w:p>
    <w:p>
      <w:pPr>
        <w:spacing w:after="0" w:line="62" w:lineRule="exact"/>
        <w:rPr>
          <w:rFonts w:ascii="Arial" w:cs="Arial" w:eastAsia="Arial" w:hAnsi="Arial"/>
          <w:sz w:val="18"/>
          <w:szCs w:val="18"/>
          <w:color w:val="auto"/>
        </w:rPr>
      </w:pPr>
    </w:p>
    <w:p>
      <w:pPr>
        <w:jc w:val="both"/>
        <w:ind w:right="360" w:firstLine="957"/>
        <w:spacing w:after="0" w:line="279" w:lineRule="auto"/>
        <w:tabs>
          <w:tab w:leader="none" w:pos="1207"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63" w:lineRule="exact"/>
        <w:rPr>
          <w:rFonts w:ascii="Arial" w:cs="Arial" w:eastAsia="Arial" w:hAnsi="Arial"/>
          <w:sz w:val="17"/>
          <w:szCs w:val="17"/>
          <w:color w:val="auto"/>
        </w:rPr>
      </w:pPr>
    </w:p>
    <w:p>
      <w:pPr>
        <w:ind w:left="1300" w:hanging="343"/>
        <w:spacing w:after="0"/>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form of the Securities of the series including the form of the Certificate of Authentication for such series;</w:t>
      </w:r>
    </w:p>
    <w:p>
      <w:pPr>
        <w:spacing w:after="0" w:line="117" w:lineRule="exact"/>
        <w:rPr>
          <w:rFonts w:ascii="Arial" w:cs="Arial" w:eastAsia="Arial" w:hAnsi="Arial"/>
          <w:sz w:val="18"/>
          <w:szCs w:val="18"/>
          <w:color w:val="auto"/>
        </w:rPr>
      </w:pPr>
    </w:p>
    <w:p>
      <w:pPr>
        <w:ind w:right="460" w:firstLine="957"/>
        <w:spacing w:after="0" w:line="277" w:lineRule="auto"/>
        <w:tabs>
          <w:tab w:leader="none" w:pos="129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other than minimum denominations of one thousand U.S. dollars ($1,000) or any integral multiple of $1,000 thereof, the denominations in which the Securities of the series shall be issuable;</w:t>
      </w:r>
    </w:p>
    <w:p>
      <w:pPr>
        <w:spacing w:after="0" w:line="62" w:lineRule="exact"/>
        <w:rPr>
          <w:rFonts w:ascii="Arial" w:cs="Arial" w:eastAsia="Arial" w:hAnsi="Arial"/>
          <w:sz w:val="18"/>
          <w:szCs w:val="18"/>
          <w:color w:val="auto"/>
        </w:rPr>
      </w:pPr>
    </w:p>
    <w:p>
      <w:pPr>
        <w:ind w:right="100" w:firstLine="957"/>
        <w:spacing w:after="0" w:line="279" w:lineRule="auto"/>
        <w:tabs>
          <w:tab w:leader="none" w:pos="1297" w:val="left"/>
        </w:tabs>
        <w:numPr>
          <w:ilvl w:val="0"/>
          <w:numId w:val="94"/>
        </w:numPr>
        <w:rPr>
          <w:rFonts w:ascii="Arial" w:cs="Arial" w:eastAsia="Arial" w:hAnsi="Arial"/>
          <w:sz w:val="17"/>
          <w:szCs w:val="17"/>
          <w:color w:val="auto"/>
        </w:rPr>
      </w:pPr>
      <w:r>
        <w:rPr>
          <w:rFonts w:ascii="Arial" w:cs="Arial" w:eastAsia="Arial" w:hAnsi="Arial"/>
          <w:sz w:val="17"/>
          <w:szCs w:val="17"/>
          <w:color w:val="auto"/>
        </w:rPr>
        <w:t>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63" w:lineRule="exact"/>
        <w:rPr>
          <w:rFonts w:ascii="Arial" w:cs="Arial" w:eastAsia="Arial" w:hAnsi="Arial"/>
          <w:sz w:val="17"/>
          <w:szCs w:val="17"/>
          <w:color w:val="auto"/>
        </w:rPr>
      </w:pPr>
    </w:p>
    <w:p>
      <w:pPr>
        <w:ind w:firstLine="957"/>
        <w:spacing w:after="0" w:line="264" w:lineRule="auto"/>
        <w:tabs>
          <w:tab w:leader="none" w:pos="1297" w:val="left"/>
        </w:tabs>
        <w:numPr>
          <w:ilvl w:val="0"/>
          <w:numId w:val="94"/>
        </w:numPr>
        <w:rPr>
          <w:rFonts w:ascii="Arial" w:cs="Arial" w:eastAsia="Arial" w:hAnsi="Arial"/>
          <w:sz w:val="18"/>
          <w:szCs w:val="18"/>
          <w:color w:val="auto"/>
        </w:rPr>
      </w:pPr>
      <w:r>
        <w:rPr>
          <w:rFonts w:ascii="Arial" w:cs="Arial" w:eastAsia="Arial" w:hAnsi="Arial"/>
          <w:sz w:val="18"/>
          <w:szCs w:val="18"/>
          <w:color w:val="auto"/>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80"/>
          </w:cols>
          <w:pgMar w:left="880" w:top="274" w:right="439" w:bottom="1440" w:gutter="0" w:footer="0" w:header="0"/>
        </w:sectPr>
      </w:pPr>
    </w:p>
    <w:bookmarkStart w:id="105" w:name="page106"/>
    <w:bookmarkEnd w:id="105"/>
    <w:p>
      <w:pPr>
        <w:ind w:right="120" w:firstLine="957"/>
        <w:spacing w:after="0" w:line="302" w:lineRule="auto"/>
        <w:tabs>
          <w:tab w:leader="none" w:pos="1297" w:val="left"/>
        </w:tabs>
        <w:numPr>
          <w:ilvl w:val="0"/>
          <w:numId w:val="9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whether the Securities will be convertible into or exchangeable for shares of common stock, preferred stock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spacing w:after="0" w:line="46" w:lineRule="exact"/>
        <w:rPr>
          <w:rFonts w:ascii="Arial" w:cs="Arial" w:eastAsia="Arial" w:hAnsi="Arial"/>
          <w:sz w:val="16"/>
          <w:szCs w:val="16"/>
          <w:color w:val="auto"/>
        </w:rPr>
      </w:pPr>
    </w:p>
    <w:p>
      <w:pPr>
        <w:ind w:right="400" w:firstLine="957"/>
        <w:spacing w:after="0" w:line="277" w:lineRule="auto"/>
        <w:tabs>
          <w:tab w:leader="none" w:pos="1297"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if other than the full principal amount thereof, the portion of the principal amount of Securities of the series which shall be payable upon declaration of acceleration of the maturity thereof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300" w:hanging="343"/>
        <w:spacing w:after="0"/>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additional or alternative Events of Default;</w:t>
      </w:r>
    </w:p>
    <w:p>
      <w:pPr>
        <w:spacing w:after="0" w:line="117" w:lineRule="exact"/>
        <w:rPr>
          <w:rFonts w:ascii="Arial" w:cs="Arial" w:eastAsia="Arial" w:hAnsi="Arial"/>
          <w:sz w:val="18"/>
          <w:szCs w:val="18"/>
          <w:color w:val="auto"/>
        </w:rPr>
      </w:pPr>
    </w:p>
    <w:p>
      <w:pPr>
        <w:ind w:right="100" w:firstLine="957"/>
        <w:spacing w:after="0" w:line="271" w:lineRule="auto"/>
        <w:tabs>
          <w:tab w:leader="none" w:pos="1297" w:val="left"/>
        </w:tabs>
        <w:numPr>
          <w:ilvl w:val="0"/>
          <w:numId w:val="95"/>
        </w:numPr>
        <w:rPr>
          <w:rFonts w:ascii="Arial" w:cs="Arial" w:eastAsia="Arial" w:hAnsi="Arial"/>
          <w:sz w:val="17"/>
          <w:szCs w:val="17"/>
          <w:color w:val="auto"/>
        </w:rPr>
      </w:pPr>
      <w:r>
        <w:rPr>
          <w:rFonts w:ascii="Arial" w:cs="Arial" w:eastAsia="Arial" w:hAnsi="Arial"/>
          <w:sz w:val="17"/>
          <w:szCs w:val="17"/>
          <w:color w:val="auto"/>
        </w:rPr>
        <w:t>additional or alternative covenants (which may include, among other restrictions, restrictions on the Company’s ability or the ability of the Company’s Subsidiaries to: incur additional indebtedness; issue additional securities; create liens; pay dividends or make distributions in respect of the capital stock of the Company or the Company’s Subsidiaries; redeem capital stock; place restrictions on the Company’s Subsidiaries’ ability to pay dividends, make distributions or transfer assets; make investments or other restricted payments; sell or otherwise dispose of assets; enter into sale-leaseback transactions; engage in transactions with stockholders or affiliates; issue or sell stock of the Company’s Subsidiaries; or effect a consolidation or merger) or financial covenants (which may include, among other financial covenants, financial covenants that require the Company and its Subsidiaries to maintain specified interest coverage, fixed charge, cash flow-based, asset-based or other financial ratios) provided for with respect to the Securities of the series;</w:t>
      </w:r>
    </w:p>
    <w:p>
      <w:pPr>
        <w:spacing w:after="0" w:line="70" w:lineRule="exact"/>
        <w:rPr>
          <w:rFonts w:ascii="Arial" w:cs="Arial" w:eastAsia="Arial" w:hAnsi="Arial"/>
          <w:sz w:val="17"/>
          <w:szCs w:val="17"/>
          <w:color w:val="auto"/>
        </w:rPr>
      </w:pPr>
    </w:p>
    <w:p>
      <w:pPr>
        <w:ind w:right="120" w:firstLine="957"/>
        <w:spacing w:after="0" w:line="312" w:lineRule="auto"/>
        <w:tabs>
          <w:tab w:leader="none" w:pos="1297"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currency or currencies, including composite currencies, in which payment of the principal of (and premium, if any) and interest, if any, on such Securities shall be payable (if other than the currency of the United States of America), which unless otherwise specified shall be the currency of the United States of America as at the time of payment is legal tender for payment of public or private debts;</w:t>
      </w:r>
    </w:p>
    <w:p>
      <w:pPr>
        <w:spacing w:after="0" w:line="38" w:lineRule="exact"/>
        <w:rPr>
          <w:rFonts w:ascii="Arial" w:cs="Arial" w:eastAsia="Arial" w:hAnsi="Arial"/>
          <w:sz w:val="16"/>
          <w:szCs w:val="16"/>
          <w:color w:val="auto"/>
        </w:rPr>
      </w:pPr>
    </w:p>
    <w:p>
      <w:pPr>
        <w:jc w:val="both"/>
        <w:ind w:firstLine="957"/>
        <w:spacing w:after="0" w:line="264" w:lineRule="auto"/>
        <w:tabs>
          <w:tab w:leader="none" w:pos="1297"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the principal of (and premium, if any) or interest, if any, on such Securities is to be payable, at the election of the Company or any holder thereof, in a coin or currency other than that in which such Securities are stated to be payable, then the period or periods within which, and the terms and conditions upon which, such election may be made;</w:t>
      </w:r>
    </w:p>
    <w:p>
      <w:pPr>
        <w:spacing w:after="0" w:line="73" w:lineRule="exact"/>
        <w:rPr>
          <w:rFonts w:ascii="Arial" w:cs="Arial" w:eastAsia="Arial" w:hAnsi="Arial"/>
          <w:sz w:val="18"/>
          <w:szCs w:val="18"/>
          <w:color w:val="auto"/>
        </w:rPr>
      </w:pPr>
    </w:p>
    <w:p>
      <w:pPr>
        <w:ind w:right="140" w:firstLine="957"/>
        <w:spacing w:after="0" w:line="277" w:lineRule="auto"/>
        <w:tabs>
          <w:tab w:leader="none" w:pos="1297" w:val="left"/>
        </w:tabs>
        <w:numPr>
          <w:ilvl w:val="0"/>
          <w:numId w:val="95"/>
        </w:numPr>
        <w:rPr>
          <w:rFonts w:ascii="Arial" w:cs="Arial" w:eastAsia="Arial" w:hAnsi="Arial"/>
          <w:sz w:val="18"/>
          <w:szCs w:val="18"/>
          <w:color w:val="auto"/>
        </w:rPr>
      </w:pPr>
      <w:r>
        <w:rPr>
          <w:rFonts w:ascii="Arial" w:cs="Arial" w:eastAsia="Arial" w:hAnsi="Arial"/>
          <w:sz w:val="18"/>
          <w:szCs w:val="18"/>
          <w:color w:val="auto"/>
        </w:rPr>
        <w:t>whether interest will be payable in cash or additional Securities at the Company’s or the Securityholders’ option and the terms and conditions upon which the election may be made;</w:t>
      </w:r>
    </w:p>
    <w:p>
      <w:pPr>
        <w:spacing w:after="0" w:line="62" w:lineRule="exact"/>
        <w:rPr>
          <w:rFonts w:ascii="Arial" w:cs="Arial" w:eastAsia="Arial" w:hAnsi="Arial"/>
          <w:sz w:val="18"/>
          <w:szCs w:val="18"/>
          <w:color w:val="auto"/>
        </w:rPr>
      </w:pPr>
    </w:p>
    <w:p>
      <w:pPr>
        <w:ind w:right="120" w:firstLine="957"/>
        <w:spacing w:after="0" w:line="342" w:lineRule="auto"/>
        <w:tabs>
          <w:tab w:leader="none" w:pos="1297"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5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20"/>
          </w:cols>
          <w:pgMar w:left="880" w:top="274" w:right="499" w:bottom="1440" w:gutter="0" w:footer="0" w:header="0"/>
        </w:sectPr>
      </w:pPr>
    </w:p>
    <w:bookmarkStart w:id="106" w:name="page107"/>
    <w:bookmarkEnd w:id="106"/>
    <w:p>
      <w:pPr>
        <w:ind w:left="1740" w:hanging="343"/>
        <w:spacing w:after="0"/>
        <w:tabs>
          <w:tab w:leader="none" w:pos="1740" w:val="left"/>
        </w:tabs>
        <w:numPr>
          <w:ilvl w:val="0"/>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or alternative provisions, if any, related to defeasance and discharge of the offered Securities;</w:t>
      </w:r>
    </w:p>
    <w:p>
      <w:pPr>
        <w:spacing w:after="0" w:line="117" w:lineRule="exact"/>
        <w:rPr>
          <w:rFonts w:ascii="Arial" w:cs="Arial" w:eastAsia="Arial" w:hAnsi="Arial"/>
          <w:sz w:val="18"/>
          <w:szCs w:val="18"/>
          <w:color w:val="auto"/>
        </w:rPr>
      </w:pPr>
    </w:p>
    <w:p>
      <w:pPr>
        <w:ind w:left="1740" w:hanging="343"/>
        <w:spacing w:after="0"/>
        <w:tabs>
          <w:tab w:leader="none" w:pos="17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applicability of any guarantees;</w:t>
      </w:r>
    </w:p>
    <w:p>
      <w:pPr>
        <w:spacing w:after="0" w:line="117" w:lineRule="exact"/>
        <w:rPr>
          <w:rFonts w:ascii="Arial" w:cs="Arial" w:eastAsia="Arial" w:hAnsi="Arial"/>
          <w:sz w:val="18"/>
          <w:szCs w:val="18"/>
          <w:color w:val="auto"/>
        </w:rPr>
      </w:pPr>
    </w:p>
    <w:p>
      <w:pPr>
        <w:ind w:left="1740" w:hanging="343"/>
        <w:spacing w:after="0"/>
        <w:tabs>
          <w:tab w:leader="none" w:pos="17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restrictions on transfer, sale or assignment of the Securities of the series; and</w:t>
      </w:r>
    </w:p>
    <w:p>
      <w:pPr>
        <w:spacing w:after="0" w:line="117" w:lineRule="exact"/>
        <w:rPr>
          <w:rFonts w:ascii="Arial" w:cs="Arial" w:eastAsia="Arial" w:hAnsi="Arial"/>
          <w:sz w:val="18"/>
          <w:szCs w:val="18"/>
          <w:color w:val="auto"/>
        </w:rPr>
      </w:pPr>
    </w:p>
    <w:p>
      <w:pPr>
        <w:ind w:left="1740" w:hanging="343"/>
        <w:spacing w:after="0"/>
        <w:tabs>
          <w:tab w:leader="none" w:pos="17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other terms of the series.</w:t>
      </w:r>
    </w:p>
    <w:p>
      <w:pPr>
        <w:spacing w:after="0" w:line="225"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All Securities of any one series shall be substantially identical except as may otherwise be provided in or pursuant to any such Board Resolution or in any indentures supplemental hereto.</w:t>
      </w:r>
    </w:p>
    <w:p>
      <w:pPr>
        <w:spacing w:after="0" w:line="170"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81" w:lineRule="exact"/>
        <w:rPr>
          <w:sz w:val="20"/>
          <w:szCs w:val="20"/>
          <w:color w:val="auto"/>
        </w:rPr>
      </w:pPr>
    </w:p>
    <w:p>
      <w:pPr>
        <w:jc w:val="both"/>
        <w:ind w:right="280" w:firstLine="441"/>
        <w:spacing w:after="0" w:line="264" w:lineRule="auto"/>
        <w:rPr>
          <w:sz w:val="20"/>
          <w:szCs w:val="20"/>
          <w:color w:val="auto"/>
        </w:rPr>
      </w:pPr>
      <w:r>
        <w:rPr>
          <w:rFonts w:ascii="Arial" w:cs="Arial" w:eastAsia="Arial" w:hAnsi="Arial"/>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Form of Securities and Trustee’s Certificate</w:t>
      </w:r>
      <w:r>
        <w:rPr>
          <w:rFonts w:ascii="Arial" w:cs="Arial" w:eastAsia="Arial" w:hAnsi="Arial"/>
          <w:sz w:val="18"/>
          <w:szCs w:val="18"/>
          <w:color w:val="auto"/>
        </w:rPr>
        <w:t>.</w:t>
      </w:r>
    </w:p>
    <w:p>
      <w:pPr>
        <w:spacing w:after="0" w:line="117"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Denominations: Provisions for Payment</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 xml:space="preserve">The Securities shall be issuable as registered Securities and in the minimum denominations of one thousand U.S. dollars ($1,000) or any integral multiple of $1,000 thereof, subject to Section 2.01(a)(11). The Securities of a particular series shall bear interest payable on the dates and at the rate specified with respect to that series. Subject to </w:t>
      </w:r>
      <w:r>
        <w:rPr>
          <w:rFonts w:ascii="Arial" w:cs="Arial" w:eastAsia="Arial" w:hAnsi="Arial"/>
          <w:sz w:val="16"/>
          <w:szCs w:val="16"/>
          <w:u w:val="single" w:color="auto"/>
          <w:color w:val="auto"/>
        </w:rPr>
        <w:t>Section 2.01(a)(18)</w:t>
      </w:r>
      <w:r>
        <w:rPr>
          <w:rFonts w:ascii="Arial" w:cs="Arial" w:eastAsia="Arial" w:hAnsi="Arial"/>
          <w:sz w:val="16"/>
          <w:szCs w:val="16"/>
          <w:color w:val="auto"/>
        </w:rPr>
        <w:t>,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Each Security shall be dated the date of its authentication. Interest on the Securities shall be computed on the basis of a 360-day year composed of twelve 30-day months.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107" w:name="page108"/>
    <w:bookmarkEnd w:id="107"/>
    <w:p>
      <w:pPr>
        <w:ind w:right="20" w:firstLine="441"/>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w:t>
      </w:r>
      <w:r>
        <w:rPr>
          <w:rFonts w:ascii="Arial" w:cs="Arial" w:eastAsia="Arial" w:hAnsi="Arial"/>
          <w:sz w:val="17"/>
          <w:szCs w:val="17"/>
          <w:u w:val="single" w:color="auto"/>
          <w:color w:val="auto"/>
        </w:rPr>
        <w:t>Section 3.03</w:t>
      </w:r>
      <w:r>
        <w:rPr>
          <w:rFonts w:ascii="Arial" w:cs="Arial" w:eastAsia="Arial" w:hAnsi="Arial"/>
          <w:sz w:val="17"/>
          <w:szCs w:val="17"/>
          <w:color w:val="auto"/>
        </w:rPr>
        <w:t>.</w:t>
      </w:r>
    </w:p>
    <w:p>
      <w:pPr>
        <w:spacing w:after="0" w:line="173"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Any interest on any Security that is payable, but is not punctually paid or duly provided for, on any Interest Payment Date for Securities of the same series (herein called “</w:t>
      </w:r>
      <w:r>
        <w:rPr>
          <w:rFonts w:ascii="Arial" w:cs="Arial" w:eastAsia="Arial" w:hAnsi="Arial"/>
          <w:sz w:val="16"/>
          <w:szCs w:val="16"/>
          <w:b w:val="1"/>
          <w:bCs w:val="1"/>
          <w:color w:val="auto"/>
        </w:rPr>
        <w:t>Defaulted Interest</w:t>
      </w:r>
      <w:r>
        <w:rPr>
          <w:rFonts w:ascii="Arial" w:cs="Arial" w:eastAsia="Arial" w:hAnsi="Arial"/>
          <w:sz w:val="16"/>
          <w:szCs w:val="16"/>
          <w:color w:val="auto"/>
        </w:rPr>
        <w: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39" w:lineRule="exact"/>
        <w:rPr>
          <w:sz w:val="20"/>
          <w:szCs w:val="20"/>
          <w:color w:val="auto"/>
        </w:rPr>
      </w:pPr>
    </w:p>
    <w:p>
      <w:pPr>
        <w:ind w:left="440" w:firstLine="957"/>
        <w:spacing w:after="0" w:line="286" w:lineRule="auto"/>
        <w:tabs>
          <w:tab w:leader="none" w:pos="1647"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not be more than 15 nor less than 10 days prior to the date of the proposed payment and not less than 10 days after the receipt by the Trustee of the notice of the proposed payment. The Company shall promptly notify the Trustee in writing of such special record date and in such notice, instruct the Trustee to send such notice to holders, in the name and at the expense of the Company, shall cause notice of the proposed payment of such Defaulted Interest and the special record date therefor to be sent electronically or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on such special record date.</w:t>
      </w:r>
    </w:p>
    <w:p>
      <w:pPr>
        <w:spacing w:after="0" w:line="60" w:lineRule="exact"/>
        <w:rPr>
          <w:rFonts w:ascii="Arial" w:cs="Arial" w:eastAsia="Arial" w:hAnsi="Arial"/>
          <w:sz w:val="16"/>
          <w:szCs w:val="16"/>
          <w:color w:val="auto"/>
        </w:rPr>
      </w:pPr>
    </w:p>
    <w:p>
      <w:pPr>
        <w:jc w:val="both"/>
        <w:ind w:left="440" w:right="20" w:firstLine="957"/>
        <w:spacing w:after="0" w:line="259" w:lineRule="auto"/>
        <w:tabs>
          <w:tab w:leader="none" w:pos="1647"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may make or cause to be made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08" w:name="page109"/>
    <w:bookmarkEnd w:id="108"/>
    <w:p>
      <w:pPr>
        <w:ind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Unless otherwise set forth in a Board Resolution or one or more indentures supplemental hereto establishing the terms of any series of Securities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hereof, the term “regular record date” as used in this Section with respect to a series of Securities and any Interest Payment Date for such series shall mean either (i) the fifteenth day of the month immediately preceding the month in which an Interest Payment Date established for such series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hereof shall occur, if such Interest Payment Date is the first day of a month, or (ii) the first day of the month in which an Interest Payment Date established for such series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hereof shall occur, if such Interest Payment Date is the fifteenth day of a month, whether or not such date is a Business Day.</w:t>
      </w:r>
    </w:p>
    <w:p>
      <w:pPr>
        <w:spacing w:after="0" w:line="193" w:lineRule="exact"/>
        <w:rPr>
          <w:sz w:val="20"/>
          <w:szCs w:val="20"/>
          <w:color w:val="auto"/>
        </w:rPr>
      </w:pPr>
    </w:p>
    <w:p>
      <w:pPr>
        <w:jc w:val="both"/>
        <w:ind w:right="100" w:firstLine="441"/>
        <w:spacing w:after="0" w:line="342" w:lineRule="auto"/>
        <w:rPr>
          <w:sz w:val="20"/>
          <w:szCs w:val="20"/>
          <w:color w:val="auto"/>
        </w:rPr>
      </w:pPr>
      <w:r>
        <w:rPr>
          <w:rFonts w:ascii="Arial" w:cs="Arial" w:eastAsia="Arial" w:hAnsi="Arial"/>
          <w:sz w:val="16"/>
          <w:szCs w:val="16"/>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Execution and Authentications</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Securities shall be signed on behalf of the Company by one of its Officers. Signatures may be in the form of a manual or facsimile signature.</w:t>
      </w:r>
    </w:p>
    <w:p>
      <w:pPr>
        <w:spacing w:after="0" w:line="248" w:lineRule="exact"/>
        <w:rPr>
          <w:sz w:val="20"/>
          <w:szCs w:val="20"/>
          <w:color w:val="auto"/>
        </w:rPr>
      </w:pPr>
    </w:p>
    <w:p>
      <w:pPr>
        <w:ind w:right="160" w:firstLine="441"/>
        <w:spacing w:after="0" w:line="259" w:lineRule="auto"/>
        <w:rPr>
          <w:sz w:val="20"/>
          <w:szCs w:val="20"/>
          <w:color w:val="auto"/>
        </w:rPr>
      </w:pPr>
      <w:r>
        <w:rPr>
          <w:rFonts w:ascii="Arial" w:cs="Arial" w:eastAsia="Arial" w:hAnsi="Arial"/>
          <w:sz w:val="18"/>
          <w:szCs w:val="18"/>
          <w:color w:val="auto"/>
        </w:rPr>
        <w:t>The Company may use the facsimile signature of any Person who shall have been an Officer,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87"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Company Order for the authentication and delivery of such Securities, signed by an Officer, and the Trustee in accordance with such Company Order shall authenticate and deliver such Securities.</w:t>
      </w:r>
    </w:p>
    <w:p>
      <w:pPr>
        <w:spacing w:after="0" w:line="158" w:lineRule="exact"/>
        <w:rPr>
          <w:sz w:val="20"/>
          <w:szCs w:val="20"/>
          <w:color w:val="auto"/>
        </w:rPr>
      </w:pPr>
    </w:p>
    <w:p>
      <w:pPr>
        <w:ind w:right="100" w:firstLine="441"/>
        <w:spacing w:after="0" w:line="297" w:lineRule="auto"/>
        <w:rPr>
          <w:sz w:val="20"/>
          <w:szCs w:val="20"/>
          <w:color w:val="auto"/>
        </w:rPr>
      </w:pPr>
      <w:r>
        <w:rPr>
          <w:rFonts w:ascii="Arial" w:cs="Arial" w:eastAsia="Arial" w:hAnsi="Arial"/>
          <w:sz w:val="16"/>
          <w:szCs w:val="16"/>
          <w:color w:val="auto"/>
        </w:rPr>
        <w:t xml:space="preserve">In authenticating such Securities and accepting the additional responsibilities under this Indenture in relation to such Securities, the Trustee shall receive, and (subject to </w:t>
      </w:r>
      <w:r>
        <w:rPr>
          <w:rFonts w:ascii="Arial" w:cs="Arial" w:eastAsia="Arial" w:hAnsi="Arial"/>
          <w:sz w:val="16"/>
          <w:szCs w:val="16"/>
          <w:u w:val="single" w:color="auto"/>
          <w:color w:val="auto"/>
        </w:rPr>
        <w:t>Section 7.01</w:t>
      </w:r>
      <w:r>
        <w:rPr>
          <w:rFonts w:ascii="Arial" w:cs="Arial" w:eastAsia="Arial" w:hAnsi="Arial"/>
          <w:sz w:val="16"/>
          <w:szCs w:val="16"/>
          <w:color w:val="auto"/>
        </w:rPr>
        <w:t>) shall be fully protected in conclusively relying upon, an Officer’s Certificate and an Opinion of Counsel stating that the form and terms thereof have been established in conformity with the provisions of this Indenture, that all conditions precedent in connection with the issuance, authentication and delivery of such Securities have been met and that such Securities are legal, valid and binding obligations against the Company, enforceable against it in accordance with its terms, subject to customary exceptions and qualifications.</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4" w:right="499" w:bottom="1440" w:gutter="0" w:footer="0" w:header="0"/>
        </w:sectPr>
      </w:pPr>
    </w:p>
    <w:bookmarkStart w:id="109" w:name="page110"/>
    <w:bookmarkEnd w:id="109"/>
    <w:p>
      <w:pPr>
        <w:ind w:right="160" w:firstLine="441"/>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Registration of Transfer and Exchange</w:t>
      </w:r>
      <w:r>
        <w:rPr>
          <w:rFonts w:ascii="Arial" w:cs="Arial" w:eastAsia="Arial" w:hAnsi="Arial"/>
          <w:sz w:val="18"/>
          <w:szCs w:val="18"/>
          <w:color w:val="auto"/>
        </w:rPr>
        <w:t>.</w:t>
      </w:r>
    </w:p>
    <w:p>
      <w:pPr>
        <w:spacing w:after="0" w:line="117" w:lineRule="exact"/>
        <w:rPr>
          <w:sz w:val="20"/>
          <w:szCs w:val="20"/>
          <w:color w:val="auto"/>
        </w:rPr>
      </w:pPr>
    </w:p>
    <w:p>
      <w:pPr>
        <w:ind w:right="80" w:firstLine="996"/>
        <w:spacing w:after="0" w:line="297" w:lineRule="auto"/>
        <w:tabs>
          <w:tab w:leader="none" w:pos="1237" w:val="left"/>
        </w:tabs>
        <w:numPr>
          <w:ilvl w:val="0"/>
          <w:numId w:val="98"/>
        </w:numPr>
        <w:rPr>
          <w:rFonts w:ascii="Arial" w:cs="Arial" w:eastAsia="Arial" w:hAnsi="Arial"/>
          <w:sz w:val="16"/>
          <w:szCs w:val="16"/>
          <w:color w:val="auto"/>
        </w:rPr>
      </w:pPr>
      <w:r>
        <w:rPr>
          <w:rFonts w:ascii="Arial" w:cs="Arial" w:eastAsia="Arial" w:hAnsi="Arial"/>
          <w:sz w:val="16"/>
          <w:szCs w:val="16"/>
          <w:color w:val="auto"/>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50" w:lineRule="exact"/>
        <w:rPr>
          <w:rFonts w:ascii="Arial" w:cs="Arial" w:eastAsia="Arial" w:hAnsi="Arial"/>
          <w:sz w:val="16"/>
          <w:szCs w:val="16"/>
          <w:color w:val="auto"/>
        </w:rPr>
      </w:pPr>
    </w:p>
    <w:p>
      <w:pPr>
        <w:ind w:right="80" w:firstLine="996"/>
        <w:spacing w:after="0" w:line="257" w:lineRule="auto"/>
        <w:tabs>
          <w:tab w:leader="none" w:pos="1247"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w:t>
      </w:r>
      <w:r>
        <w:rPr>
          <w:rFonts w:ascii="Arial" w:cs="Arial" w:eastAsia="Arial" w:hAnsi="Arial"/>
          <w:sz w:val="18"/>
          <w:szCs w:val="18"/>
          <w:b w:val="1"/>
          <w:bCs w:val="1"/>
          <w:color w:val="auto"/>
        </w:rPr>
        <w:t>Security</w:t>
      </w:r>
      <w:r>
        <w:rPr>
          <w:rFonts w:ascii="Arial" w:cs="Arial" w:eastAsia="Arial" w:hAnsi="Arial"/>
          <w:sz w:val="18"/>
          <w:szCs w:val="18"/>
          <w:color w:val="auto"/>
        </w:rPr>
        <w:t xml:space="preserve"> </w:t>
      </w:r>
      <w:r>
        <w:rPr>
          <w:rFonts w:ascii="Arial" w:cs="Arial" w:eastAsia="Arial" w:hAnsi="Arial"/>
          <w:sz w:val="18"/>
          <w:szCs w:val="18"/>
          <w:b w:val="1"/>
          <w:bCs w:val="1"/>
          <w:color w:val="auto"/>
        </w:rPr>
        <w:t>Registrar</w:t>
      </w:r>
      <w:r>
        <w:rPr>
          <w:rFonts w:ascii="Arial" w:cs="Arial" w:eastAsia="Arial" w:hAnsi="Arial"/>
          <w:sz w:val="18"/>
          <w:szCs w:val="18"/>
          <w:color w:val="auto"/>
        </w:rPr>
        <w:t>”).</w:t>
      </w:r>
    </w:p>
    <w:p>
      <w:pPr>
        <w:spacing w:after="0" w:line="188"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81"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73" w:lineRule="exact"/>
        <w:rPr>
          <w:sz w:val="20"/>
          <w:szCs w:val="20"/>
          <w:color w:val="auto"/>
        </w:rPr>
      </w:pPr>
    </w:p>
    <w:p>
      <w:pPr>
        <w:ind w:firstLine="996"/>
        <w:spacing w:after="0" w:line="302" w:lineRule="auto"/>
        <w:tabs>
          <w:tab w:leader="none" w:pos="1237"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Except as provided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w:t>
      </w:r>
      <w:r>
        <w:rPr>
          <w:rFonts w:ascii="Arial" w:cs="Arial" w:eastAsia="Arial" w:hAnsi="Arial"/>
          <w:sz w:val="16"/>
          <w:szCs w:val="16"/>
          <w:u w:val="single" w:color="auto"/>
          <w:color w:val="auto"/>
        </w:rPr>
        <w:t>Section 2.06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3.03(b)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not involving any transfer.</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110" w:name="page111"/>
    <w:bookmarkEnd w:id="110"/>
    <w:p>
      <w:pPr>
        <w:ind w:right="80" w:firstLine="996"/>
        <w:spacing w:after="0" w:line="276" w:lineRule="auto"/>
        <w:tabs>
          <w:tab w:leader="none" w:pos="1247" w:val="left"/>
        </w:tabs>
        <w:numPr>
          <w:ilvl w:val="0"/>
          <w:numId w:val="10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are, with respect to any Global Security, subject to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hereof.</w:t>
      </w:r>
    </w:p>
    <w:p>
      <w:pPr>
        <w:spacing w:after="0" w:line="173"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Neither the Trustee nor any Agent shall have any responsibility or liability for any actions taken or not taken by the Depositary.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Temporary Securities</w:t>
      </w:r>
      <w:r>
        <w:rPr>
          <w:rFonts w:ascii="Arial" w:cs="Arial" w:eastAsia="Arial" w:hAnsi="Arial"/>
          <w:sz w:val="18"/>
          <w:szCs w:val="18"/>
          <w:color w:val="auto"/>
        </w:rPr>
        <w:t>.</w:t>
      </w:r>
    </w:p>
    <w:p>
      <w:pPr>
        <w:spacing w:after="0" w:line="117"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Pending the preparation of definitive Securities of any series, the Company may execute, and the Trustee shall, upon receipt of a Company Order,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and the Trustee shall, upon receipt of a Company Order,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Mutilated, Destroyed, Lost or Stolen Securities</w:t>
      </w:r>
      <w:r>
        <w:rPr>
          <w:rFonts w:ascii="Arial" w:cs="Arial" w:eastAsia="Arial" w:hAnsi="Arial"/>
          <w:sz w:val="18"/>
          <w:szCs w:val="18"/>
          <w:color w:val="auto"/>
        </w:rPr>
        <w:t>.</w:t>
      </w:r>
    </w:p>
    <w:p>
      <w:pPr>
        <w:spacing w:after="0" w:line="117" w:lineRule="exact"/>
        <w:rPr>
          <w:sz w:val="20"/>
          <w:szCs w:val="20"/>
          <w:color w:val="auto"/>
        </w:rPr>
      </w:pPr>
    </w:p>
    <w:p>
      <w:pPr>
        <w:ind w:right="160" w:firstLine="441"/>
        <w:spacing w:after="0" w:line="302" w:lineRule="auto"/>
        <w:rPr>
          <w:sz w:val="20"/>
          <w:szCs w:val="20"/>
          <w:color w:val="auto"/>
        </w:rPr>
      </w:pPr>
      <w:r>
        <w:rPr>
          <w:rFonts w:ascii="Arial" w:cs="Arial" w:eastAsia="Arial" w:hAnsi="Arial"/>
          <w:sz w:val="16"/>
          <w:szCs w:val="16"/>
          <w:color w:val="auto"/>
        </w:rPr>
        <w:t>In case any temporary or definitive Security shall become mutilated or be destroyed, lost or stolen, the Company (subject to the next succeeding sentence) shall execute, and upon receipt of a Company Order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111" w:name="page112"/>
    <w:bookmarkEnd w:id="111"/>
    <w:p>
      <w:pPr>
        <w:ind w:right="1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receipt of a Company Order.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58"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In case any Security that has or is about to become due and payable, whether upon maturity of the Securities of a series or upon declaration or otherwise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73" w:lineRule="exact"/>
        <w:rPr>
          <w:sz w:val="20"/>
          <w:szCs w:val="20"/>
          <w:color w:val="auto"/>
        </w:rPr>
      </w:pPr>
    </w:p>
    <w:p>
      <w:pPr>
        <w:ind w:right="160" w:firstLine="441"/>
        <w:spacing w:after="0" w:line="255" w:lineRule="auto"/>
        <w:rPr>
          <w:sz w:val="20"/>
          <w:szCs w:val="20"/>
          <w:color w:val="auto"/>
        </w:rPr>
      </w:pPr>
      <w:r>
        <w:rPr>
          <w:rFonts w:ascii="Arial" w:cs="Arial" w:eastAsia="Arial" w:hAnsi="Arial"/>
          <w:sz w:val="18"/>
          <w:szCs w:val="18"/>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Cancellation</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written request of the Company at the time of such surrender, the Trustee shall deliver to the Company evidence of cancellation for such canceled Securities held by the Trustee. The Trustee shall cancel and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112" w:name="page113"/>
    <w:bookmarkEnd w:id="11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2.09 </w:t>
      </w:r>
      <w:r>
        <w:rPr>
          <w:rFonts w:ascii="Arial" w:cs="Arial" w:eastAsia="Arial" w:hAnsi="Arial"/>
          <w:sz w:val="18"/>
          <w:szCs w:val="18"/>
          <w:u w:val="single" w:color="auto"/>
          <w:color w:val="auto"/>
        </w:rPr>
        <w:t>Benefits of Indenture</w:t>
      </w:r>
      <w:r>
        <w:rPr>
          <w:rFonts w:ascii="Arial" w:cs="Arial" w:eastAsia="Arial" w:hAnsi="Arial"/>
          <w:sz w:val="18"/>
          <w:szCs w:val="18"/>
          <w:color w:val="auto"/>
        </w:rPr>
        <w:t>.</w:t>
      </w:r>
    </w:p>
    <w:p>
      <w:pPr>
        <w:spacing w:after="0" w:line="117"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 xml:space="preserve">Nothing in this Indenture or in the Securities, express or implied, shall give or be construed to give to any Person, other than the parties hereto and the holders of the Securities (and, with respect to the provisions of </w:t>
      </w:r>
      <w:r>
        <w:rPr>
          <w:rFonts w:ascii="Arial" w:cs="Arial" w:eastAsia="Arial" w:hAnsi="Arial"/>
          <w:sz w:val="18"/>
          <w:szCs w:val="18"/>
          <w:u w:val="single" w:color="auto"/>
          <w:color w:val="auto"/>
        </w:rPr>
        <w:t>Article 14</w:t>
      </w:r>
      <w:r>
        <w:rPr>
          <w:rFonts w:ascii="Arial" w:cs="Arial" w:eastAsia="Arial" w:hAnsi="Arial"/>
          <w:sz w:val="18"/>
          <w:szCs w:val="18"/>
          <w:color w:val="auto"/>
        </w:rPr>
        <w:t xml:space="preserve">, the holders of any indebtedness of the Company to which the Securities of any series are subordinated) any legal or equitable right, remedy or claim under or in respect of this Indenture, or under any covenant, condition or provision herein contained; all such covenants, conditions and provisions being for the sole benefit of the parties hereto and of the holders of the Securities (and, with respect to the provisions of </w:t>
      </w:r>
      <w:r>
        <w:rPr>
          <w:rFonts w:ascii="Arial" w:cs="Arial" w:eastAsia="Arial" w:hAnsi="Arial"/>
          <w:sz w:val="18"/>
          <w:szCs w:val="18"/>
          <w:u w:val="single" w:color="auto"/>
          <w:color w:val="auto"/>
        </w:rPr>
        <w:t>Article 14</w:t>
      </w:r>
      <w:r>
        <w:rPr>
          <w:rFonts w:ascii="Arial" w:cs="Arial" w:eastAsia="Arial" w:hAnsi="Arial"/>
          <w:sz w:val="18"/>
          <w:szCs w:val="18"/>
          <w:color w:val="auto"/>
        </w:rPr>
        <w:t>, the holders of any indebtedness of the Company to which the Securities of any series are subordinated).</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Authenticating Agent</w:t>
      </w:r>
      <w:r>
        <w:rPr>
          <w:rFonts w:ascii="Arial" w:cs="Arial" w:eastAsia="Arial" w:hAnsi="Arial"/>
          <w:sz w:val="18"/>
          <w:szCs w:val="18"/>
          <w:color w:val="auto"/>
        </w:rPr>
        <w:t>.</w:t>
      </w:r>
    </w:p>
    <w:p>
      <w:pPr>
        <w:spacing w:after="0" w:line="117" w:lineRule="exact"/>
        <w:rPr>
          <w:sz w:val="20"/>
          <w:szCs w:val="20"/>
          <w:color w:val="auto"/>
        </w:rPr>
      </w:pPr>
    </w:p>
    <w:p>
      <w:pPr>
        <w:ind w:right="20" w:firstLine="441"/>
        <w:spacing w:after="0" w:line="289" w:lineRule="auto"/>
        <w:rPr>
          <w:sz w:val="20"/>
          <w:szCs w:val="20"/>
          <w:color w:val="auto"/>
        </w:rPr>
      </w:pPr>
      <w:r>
        <w:rPr>
          <w:rFonts w:ascii="Arial" w:cs="Arial" w:eastAsia="Arial" w:hAnsi="Arial"/>
          <w:sz w:val="16"/>
          <w:szCs w:val="16"/>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67" w:lineRule="exact"/>
        <w:rPr>
          <w:sz w:val="20"/>
          <w:szCs w:val="20"/>
          <w:color w:val="auto"/>
        </w:rPr>
      </w:pPr>
    </w:p>
    <w:p>
      <w:pPr>
        <w:ind w:right="180" w:firstLine="441"/>
        <w:spacing w:after="0" w:line="255" w:lineRule="auto"/>
        <w:rPr>
          <w:sz w:val="20"/>
          <w:szCs w:val="20"/>
          <w:color w:val="auto"/>
        </w:rPr>
      </w:pPr>
      <w:r>
        <w:rPr>
          <w:rFonts w:ascii="Arial" w:cs="Arial" w:eastAsia="Arial" w:hAnsi="Arial"/>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Global Securities</w:t>
      </w:r>
      <w:r>
        <w:rPr>
          <w:rFonts w:ascii="Arial" w:cs="Arial" w:eastAsia="Arial" w:hAnsi="Arial"/>
          <w:sz w:val="18"/>
          <w:szCs w:val="18"/>
          <w:color w:val="auto"/>
        </w:rPr>
        <w:t>.</w:t>
      </w:r>
    </w:p>
    <w:p>
      <w:pPr>
        <w:spacing w:after="0" w:line="117" w:lineRule="exact"/>
        <w:rPr>
          <w:sz w:val="20"/>
          <w:szCs w:val="20"/>
          <w:color w:val="auto"/>
        </w:rPr>
      </w:pPr>
    </w:p>
    <w:p>
      <w:pPr>
        <w:ind w:firstLine="996"/>
        <w:spacing w:after="0" w:line="255" w:lineRule="auto"/>
        <w:tabs>
          <w:tab w:leader="none" w:pos="123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If the Company shall establish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that the Securities of a particular series are to be issued as a Global Security, then the Company shall execute and the Trustee shall, in accordance with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held by it, pursuant to the Depositary’s instruction and (iv) shall bear a legend substantially to the following effect: “Except as otherwise provided in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of the Indenture, this Security may be transferred, in whole but not in part, only to another nominee of the Depositary or to a successor Depositary or to a nominee of such successor Depositary.”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113" w:name="page114"/>
    <w:bookmarkEnd w:id="113"/>
    <w:p>
      <w:pPr>
        <w:ind w:right="180" w:firstLine="996"/>
        <w:spacing w:after="0" w:line="264" w:lineRule="auto"/>
        <w:tabs>
          <w:tab w:leader="none" w:pos="1247" w:val="left"/>
        </w:tabs>
        <w:numPr>
          <w:ilvl w:val="0"/>
          <w:numId w:val="1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the provisions of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the Global Security of a series may be transferred, in whole but not in part and in the manner provided in </w:t>
      </w:r>
      <w:r>
        <w:rPr>
          <w:rFonts w:ascii="Arial" w:cs="Arial" w:eastAsia="Arial" w:hAnsi="Arial"/>
          <w:sz w:val="18"/>
          <w:szCs w:val="18"/>
          <w:u w:val="single" w:color="auto"/>
          <w:color w:val="auto"/>
        </w:rPr>
        <w:t>Section 2.05</w:t>
      </w:r>
      <w:r>
        <w:rPr>
          <w:rFonts w:ascii="Arial" w:cs="Arial" w:eastAsia="Arial" w:hAnsi="Arial"/>
          <w:sz w:val="18"/>
          <w:szCs w:val="18"/>
          <w:color w:val="auto"/>
        </w:rPr>
        <w:t>, only to another nominee of the Depositary for such series, or to a successor Depositary for such series selected or approved by the Company or to a nominee of such successor Depositary.</w:t>
      </w:r>
    </w:p>
    <w:p>
      <w:pPr>
        <w:spacing w:after="0" w:line="73" w:lineRule="exact"/>
        <w:rPr>
          <w:rFonts w:ascii="Arial" w:cs="Arial" w:eastAsia="Arial" w:hAnsi="Arial"/>
          <w:sz w:val="18"/>
          <w:szCs w:val="18"/>
          <w:color w:val="auto"/>
        </w:rPr>
      </w:pPr>
    </w:p>
    <w:p>
      <w:pPr>
        <w:ind w:firstLine="996"/>
        <w:spacing w:after="0" w:line="267" w:lineRule="auto"/>
        <w:tabs>
          <w:tab w:leader="none" w:pos="1237"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shall no longer be applicable to the Securities of such series and the Company will execute, and subject to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shall no longer apply to the Securities of such series. In such event the Company will execute and, subject to </w:t>
      </w:r>
      <w:r>
        <w:rPr>
          <w:rFonts w:ascii="Arial" w:cs="Arial" w:eastAsia="Arial" w:hAnsi="Arial"/>
          <w:sz w:val="17"/>
          <w:szCs w:val="17"/>
          <w:u w:val="single" w:color="auto"/>
          <w:color w:val="auto"/>
        </w:rPr>
        <w:t>Section 2.04</w:t>
      </w:r>
      <w:r>
        <w:rPr>
          <w:rFonts w:ascii="Arial" w:cs="Arial" w:eastAsia="Arial" w:hAnsi="Arial"/>
          <w:sz w:val="17"/>
          <w:szCs w:val="17"/>
          <w:color w:val="auto"/>
        </w:rPr>
        <w:t xml:space="preserve">, the Trustee, upon receipt of an Officer’s Certificate and a Company Order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w:t>
      </w:r>
      <w:r>
        <w:rPr>
          <w:rFonts w:ascii="Arial" w:cs="Arial" w:eastAsia="Arial" w:hAnsi="Arial"/>
          <w:sz w:val="17"/>
          <w:szCs w:val="17"/>
          <w:u w:val="single" w:color="auto"/>
          <w:color w:val="auto"/>
        </w:rPr>
        <w:t>Section 2.11(c)</w:t>
      </w:r>
      <w:r>
        <w:rPr>
          <w:rFonts w:ascii="Arial" w:cs="Arial" w:eastAsia="Arial" w:hAnsi="Arial"/>
          <w:sz w:val="17"/>
          <w:szCs w:val="17"/>
          <w:color w:val="auto"/>
        </w:rPr>
        <w:t xml:space="preserve"> shall be registered in such names and in such authorized denominations as the Depositary, pursuant to instructions from its direct or indirect participants or otherwise, shall instruct the Trustee in writing. The Trustee shall deliver such Securities to the Depositary for delivery to the Persons in whose names such Securities are so registered.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OF SECURITIES AND SINKING FUND PROVISIONS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117"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 xml:space="preserve">The Company may redeem the Securities of any series issued hereunder on and after the dates and in accordance with the terms established for such series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114" w:name="page115"/>
    <w:bookmarkEnd w:id="11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3.02 </w:t>
      </w:r>
      <w:r>
        <w:rPr>
          <w:rFonts w:ascii="Arial" w:cs="Arial" w:eastAsia="Arial" w:hAnsi="Arial"/>
          <w:sz w:val="18"/>
          <w:szCs w:val="18"/>
          <w:u w:val="single" w:color="auto"/>
          <w:color w:val="auto"/>
        </w:rPr>
        <w:t>Notice of Redemption</w:t>
      </w:r>
      <w:r>
        <w:rPr>
          <w:rFonts w:ascii="Arial" w:cs="Arial" w:eastAsia="Arial" w:hAnsi="Arial"/>
          <w:sz w:val="18"/>
          <w:szCs w:val="18"/>
          <w:color w:val="auto"/>
        </w:rPr>
        <w:t>.</w:t>
      </w:r>
    </w:p>
    <w:p>
      <w:pPr>
        <w:spacing w:after="0" w:line="117" w:lineRule="exact"/>
        <w:rPr>
          <w:sz w:val="20"/>
          <w:szCs w:val="20"/>
          <w:color w:val="auto"/>
        </w:rPr>
      </w:pPr>
    </w:p>
    <w:p>
      <w:pPr>
        <w:ind w:right="20" w:firstLine="996"/>
        <w:spacing w:after="0" w:line="287" w:lineRule="auto"/>
        <w:tabs>
          <w:tab w:leader="none" w:pos="1237"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In case the Company shall desire to exercise such right to redeem all or, as the case may be, a portion of the Securities of any series in accordance with any right the Company reserved for itself to do so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hereof, the Company shall, or shall cause the Trustee (upon 5 Business Days written notice, unless a shorter period shall be satisfactory to the Trustee) to, give notice of such redemption to holders of the Securities of such series to be redeemed by mailing, electronically or by first class postage prepaid mail, a notice of such redemption not less than 15 days and not more than 90 days, except that redemption notices may be sent more than 90 days prior to the redemption date if the notice is issued in connection with a defeasance of the Securities or a satisfaction and discharge, before the date fixed for redemption of that series to such holders (with a copy to the Trustee)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69"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Each such notice of redemption shall specify the date fixed for redemption, if applicable, any record date with respect to such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spacing w:after="0" w:line="178"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73" w:lineRule="exact"/>
        <w:rPr>
          <w:sz w:val="20"/>
          <w:szCs w:val="20"/>
          <w:color w:val="auto"/>
        </w:rPr>
      </w:pPr>
    </w:p>
    <w:p>
      <w:pPr>
        <w:ind w:firstLine="996"/>
        <w:spacing w:after="0" w:line="271" w:lineRule="auto"/>
        <w:tabs>
          <w:tab w:leader="none" w:pos="1247"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If less than all the Securities of a series are to be redeemed, the Company shall give the Trustee at least 20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subject to the applicable procedures of the Depositary)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send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15" w:name="page116"/>
    <w:bookmarkEnd w:id="115"/>
    <w:p>
      <w:pPr>
        <w:ind w:right="2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of redemption in the manner set forth in this Section, such notice to be in the name and at the expense of the Company. In any case in which notice of redemption is to be sent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Payment Upon Redemption</w:t>
      </w:r>
      <w:r>
        <w:rPr>
          <w:rFonts w:ascii="Arial" w:cs="Arial" w:eastAsia="Arial" w:hAnsi="Arial"/>
          <w:sz w:val="18"/>
          <w:szCs w:val="18"/>
          <w:color w:val="auto"/>
        </w:rPr>
        <w:t>.</w:t>
      </w:r>
    </w:p>
    <w:p>
      <w:pPr>
        <w:spacing w:after="0" w:line="117" w:lineRule="exact"/>
        <w:rPr>
          <w:sz w:val="20"/>
          <w:szCs w:val="20"/>
          <w:color w:val="auto"/>
        </w:rPr>
      </w:pPr>
    </w:p>
    <w:p>
      <w:pPr>
        <w:ind w:right="20" w:firstLine="996"/>
        <w:spacing w:after="0" w:line="290" w:lineRule="auto"/>
        <w:tabs>
          <w:tab w:leader="none" w:pos="123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right="180" w:firstLine="996"/>
        <w:spacing w:after="0" w:line="312" w:lineRule="auto"/>
        <w:tabs>
          <w:tab w:leader="none" w:pos="1247" w:val="left"/>
        </w:tabs>
        <w:numPr>
          <w:ilvl w:val="0"/>
          <w:numId w:val="105"/>
        </w:numPr>
        <w:rPr>
          <w:rFonts w:ascii="Arial" w:cs="Arial" w:eastAsia="Arial" w:hAnsi="Arial"/>
          <w:sz w:val="16"/>
          <w:szCs w:val="16"/>
          <w:color w:val="auto"/>
        </w:rPr>
      </w:pPr>
      <w:r>
        <w:rPr>
          <w:rFonts w:ascii="Arial" w:cs="Arial" w:eastAsia="Arial" w:hAnsi="Arial"/>
          <w:sz w:val="16"/>
          <w:szCs w:val="16"/>
          <w:color w:val="auto"/>
        </w:rPr>
        <w:t>Upon presentation of any physical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Sinking Fund</w:t>
      </w:r>
      <w:r>
        <w:rPr>
          <w:rFonts w:ascii="Arial" w:cs="Arial" w:eastAsia="Arial" w:hAnsi="Arial"/>
          <w:sz w:val="18"/>
          <w:szCs w:val="18"/>
          <w:color w:val="auto"/>
        </w:rPr>
        <w:t>.</w:t>
      </w:r>
    </w:p>
    <w:p>
      <w:pPr>
        <w:spacing w:after="0" w:line="117"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Sections 3.04</w:t>
      </w:r>
      <w:r>
        <w:rPr>
          <w:rFonts w:ascii="Arial" w:cs="Arial" w:eastAsia="Arial" w:hAnsi="Arial"/>
          <w:sz w:val="18"/>
          <w:szCs w:val="18"/>
          <w:color w:val="auto"/>
        </w:rPr>
        <w:t xml:space="preserve">,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3.06</w:t>
      </w:r>
      <w:r>
        <w:rPr>
          <w:rFonts w:ascii="Arial" w:cs="Arial" w:eastAsia="Arial" w:hAnsi="Arial"/>
          <w:sz w:val="18"/>
          <w:szCs w:val="18"/>
          <w:color w:val="auto"/>
        </w:rPr>
        <w:t xml:space="preserve"> shall be applicable to any sinking fund for the retirement of Securities of a series, except as otherwise specified as contemplated by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for Securities of such series.</w:t>
      </w:r>
    </w:p>
    <w:p>
      <w:pPr>
        <w:spacing w:after="0" w:line="170"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w:t>
      </w:r>
      <w:r>
        <w:rPr>
          <w:rFonts w:ascii="Arial" w:cs="Arial" w:eastAsia="Arial" w:hAnsi="Arial"/>
          <w:sz w:val="18"/>
          <w:szCs w:val="18"/>
          <w:u w:val="single" w:color="auto"/>
          <w:color w:val="auto"/>
        </w:rPr>
        <w:t>Section 3.05</w:t>
      </w:r>
      <w:r>
        <w:rPr>
          <w:rFonts w:ascii="Arial" w:cs="Arial" w:eastAsia="Arial" w:hAnsi="Arial"/>
          <w:sz w:val="18"/>
          <w:szCs w:val="18"/>
          <w:color w:val="auto"/>
        </w:rPr>
        <w:t>. Each sinking fund payment shall be applied to the redemption of Securities of any series as provided for by the terms of Securities of such series.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116" w:name="page117"/>
    <w:bookmarkEnd w:id="11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3.05 </w:t>
      </w:r>
      <w:r>
        <w:rPr>
          <w:rFonts w:ascii="Arial" w:cs="Arial" w:eastAsia="Arial" w:hAnsi="Arial"/>
          <w:sz w:val="18"/>
          <w:szCs w:val="18"/>
          <w:u w:val="single" w:color="auto"/>
          <w:color w:val="auto"/>
        </w:rPr>
        <w:t>Satisfaction of Sinking Fund Payments with Securities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Redemption of Securities for Sinking Fund</w:t>
      </w:r>
      <w:r>
        <w:rPr>
          <w:rFonts w:ascii="Arial" w:cs="Arial" w:eastAsia="Arial" w:hAnsi="Arial"/>
          <w:sz w:val="18"/>
          <w:szCs w:val="18"/>
          <w:color w:val="auto"/>
        </w:rPr>
        <w:t>.</w:t>
      </w:r>
    </w:p>
    <w:p>
      <w:pPr>
        <w:spacing w:after="0" w:line="117" w:lineRule="exact"/>
        <w:rPr>
          <w:sz w:val="20"/>
          <w:szCs w:val="20"/>
          <w:color w:val="auto"/>
        </w:rPr>
      </w:pPr>
    </w:p>
    <w:p>
      <w:pPr>
        <w:ind w:right="60" w:firstLine="441"/>
        <w:spacing w:after="0" w:line="254" w:lineRule="auto"/>
        <w:rPr>
          <w:sz w:val="20"/>
          <w:szCs w:val="20"/>
          <w:color w:val="auto"/>
        </w:rPr>
      </w:pPr>
      <w:r>
        <w:rPr>
          <w:rFonts w:ascii="Arial" w:cs="Arial" w:eastAsia="Arial" w:hAnsi="Arial"/>
          <w:sz w:val="18"/>
          <w:szCs w:val="18"/>
          <w:color w:val="auto"/>
        </w:rPr>
        <w:t xml:space="preserve">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and cause notice of the redemption thereof to be given in the name of and at the expense of the Company in the manner provided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Such notice having been duly given, the redemption of such Securities shall be made upon the terms and in the manner stated in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Payment of Principal, Premium and Interest</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53" w:lineRule="auto"/>
        <w:rPr>
          <w:sz w:val="20"/>
          <w:szCs w:val="20"/>
          <w:color w:val="auto"/>
        </w:rPr>
      </w:pPr>
      <w:r>
        <w:rPr>
          <w:rFonts w:ascii="Arial" w:cs="Arial" w:eastAsia="Arial" w:hAnsi="Arial"/>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physical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an account in the United States if such Securityholder shall have furnished wire instructions in writing to the Security Registrar and the Trustee no later than 15 days prior to the relevant payment date.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117" w:name="page118"/>
    <w:bookmarkEnd w:id="11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4.02 </w:t>
      </w:r>
      <w:r>
        <w:rPr>
          <w:rFonts w:ascii="Arial" w:cs="Arial" w:eastAsia="Arial" w:hAnsi="Arial"/>
          <w:sz w:val="18"/>
          <w:szCs w:val="18"/>
          <w:u w:val="single" w:color="auto"/>
          <w:color w:val="auto"/>
        </w:rPr>
        <w:t>Maintenance of Office or Agency</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 xml:space="preserve">So long as any series of the Securities remain Outstanding, the Company agrees to maintain an office or agency with respect to each such series and at such other location or locations as may be designated as provided in this </w:t>
      </w:r>
      <w:r>
        <w:rPr>
          <w:rFonts w:ascii="Arial" w:cs="Arial" w:eastAsia="Arial" w:hAnsi="Arial"/>
          <w:sz w:val="16"/>
          <w:szCs w:val="16"/>
          <w:u w:val="single" w:color="auto"/>
          <w:color w:val="auto"/>
        </w:rPr>
        <w:t>Section 4.02</w:t>
      </w:r>
      <w:r>
        <w:rPr>
          <w:rFonts w:ascii="Arial" w:cs="Arial" w:eastAsia="Arial" w:hAnsi="Arial"/>
          <w:sz w:val="16"/>
          <w:szCs w:val="16"/>
          <w:color w:val="auto"/>
        </w:rPr>
        <w:t>, where (i) Securities of that series may be presented for payment, (ii) Securities of that series may be presented as herein above authorized for registration of transfer and exchange, and (iii) notices in respect of the Securities of that series and this Indenture may be given or made, such designation to continue with respect to such office or agency until the Company shall, by written notice in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and notices may be made at the Corporate Trust Office of the Trustee, and the Company hereby appoints the Trustee as its agent to receive all such presentations and notices; provided, however, the Trustee shall not be considered an agent of the Company for service of process.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Paying Agents</w:t>
      </w:r>
      <w:r>
        <w:rPr>
          <w:rFonts w:ascii="Arial" w:cs="Arial" w:eastAsia="Arial" w:hAnsi="Arial"/>
          <w:sz w:val="18"/>
          <w:szCs w:val="18"/>
          <w:color w:val="auto"/>
        </w:rPr>
        <w:t>.</w:t>
      </w:r>
    </w:p>
    <w:p>
      <w:pPr>
        <w:spacing w:after="0" w:line="117" w:lineRule="exact"/>
        <w:rPr>
          <w:sz w:val="20"/>
          <w:szCs w:val="20"/>
          <w:color w:val="auto"/>
        </w:rPr>
      </w:pPr>
    </w:p>
    <w:p>
      <w:pPr>
        <w:ind w:right="40" w:firstLine="996"/>
        <w:spacing w:after="0" w:line="264" w:lineRule="auto"/>
        <w:tabs>
          <w:tab w:leader="none" w:pos="123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73" w:lineRule="exact"/>
        <w:rPr>
          <w:rFonts w:ascii="Arial" w:cs="Arial" w:eastAsia="Arial" w:hAnsi="Arial"/>
          <w:sz w:val="18"/>
          <w:szCs w:val="18"/>
          <w:color w:val="auto"/>
        </w:rPr>
      </w:pPr>
    </w:p>
    <w:p>
      <w:pPr>
        <w:ind w:left="440" w:right="40" w:firstLine="957"/>
        <w:spacing w:after="0" w:line="264" w:lineRule="auto"/>
        <w:tabs>
          <w:tab w:leader="none" w:pos="1647"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73" w:lineRule="exact"/>
        <w:rPr>
          <w:rFonts w:ascii="Arial" w:cs="Arial" w:eastAsia="Arial" w:hAnsi="Arial"/>
          <w:sz w:val="18"/>
          <w:szCs w:val="18"/>
          <w:color w:val="auto"/>
        </w:rPr>
      </w:pPr>
    </w:p>
    <w:p>
      <w:pPr>
        <w:ind w:left="440" w:right="620" w:firstLine="957"/>
        <w:spacing w:after="0" w:line="342" w:lineRule="auto"/>
        <w:tabs>
          <w:tab w:leader="none" w:pos="1647" w:val="left"/>
        </w:tabs>
        <w:numPr>
          <w:ilvl w:val="1"/>
          <w:numId w:val="106"/>
        </w:numPr>
        <w:rPr>
          <w:rFonts w:ascii="Arial" w:cs="Arial" w:eastAsia="Arial" w:hAnsi="Arial"/>
          <w:sz w:val="16"/>
          <w:szCs w:val="16"/>
          <w:color w:val="auto"/>
        </w:rPr>
      </w:pPr>
      <w:r>
        <w:rPr>
          <w:rFonts w:ascii="Arial" w:cs="Arial" w:eastAsia="Arial" w:hAnsi="Arial"/>
          <w:sz w:val="16"/>
          <w:szCs w:val="16"/>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5" w:lineRule="exact"/>
        <w:rPr>
          <w:rFonts w:ascii="Arial" w:cs="Arial" w:eastAsia="Arial" w:hAnsi="Arial"/>
          <w:sz w:val="16"/>
          <w:szCs w:val="16"/>
          <w:color w:val="auto"/>
        </w:rPr>
      </w:pPr>
    </w:p>
    <w:p>
      <w:pPr>
        <w:ind w:left="440" w:right="60" w:firstLine="957"/>
        <w:spacing w:after="0" w:line="277" w:lineRule="auto"/>
        <w:tabs>
          <w:tab w:leader="none" w:pos="1647"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that it will, at any time during the continuance of any failure referred to in the preceding paragraph (a)(2) above, upon the written request of the Trustee, forthwith pay to the Trustee all sums so held in trust by such paying agent;</w:t>
      </w:r>
    </w:p>
    <w:p>
      <w:pPr>
        <w:spacing w:after="0" w:line="62" w:lineRule="exact"/>
        <w:rPr>
          <w:rFonts w:ascii="Arial" w:cs="Arial" w:eastAsia="Arial" w:hAnsi="Arial"/>
          <w:sz w:val="18"/>
          <w:szCs w:val="18"/>
          <w:color w:val="auto"/>
        </w:rPr>
      </w:pPr>
    </w:p>
    <w:p>
      <w:pPr>
        <w:ind w:left="440" w:right="540" w:firstLine="957"/>
        <w:spacing w:after="0" w:line="277" w:lineRule="auto"/>
        <w:tabs>
          <w:tab w:leader="none" w:pos="1647"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that upon any receivership, insolvency, liquidation, bankruptcy, reorganization, readjustment, arrangement, composition or judicial proceedings affecting the Company, the Trustee will automatically be the Paying Agent; and</w:t>
      </w:r>
    </w:p>
    <w:p>
      <w:pPr>
        <w:spacing w:after="0" w:line="62" w:lineRule="exact"/>
        <w:rPr>
          <w:rFonts w:ascii="Arial" w:cs="Arial" w:eastAsia="Arial" w:hAnsi="Arial"/>
          <w:sz w:val="18"/>
          <w:szCs w:val="18"/>
          <w:color w:val="auto"/>
        </w:rPr>
      </w:pPr>
    </w:p>
    <w:p>
      <w:pPr>
        <w:ind w:left="1660" w:hanging="263"/>
        <w:spacing w:after="0"/>
        <w:tabs>
          <w:tab w:leader="none" w:pos="166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that it will perform all other duties of paying agent as set forth in this Indenture.</w:t>
      </w:r>
    </w:p>
    <w:p>
      <w:pPr>
        <w:spacing w:after="0" w:line="117" w:lineRule="exact"/>
        <w:rPr>
          <w:rFonts w:ascii="Arial" w:cs="Arial" w:eastAsia="Arial" w:hAnsi="Arial"/>
          <w:sz w:val="18"/>
          <w:szCs w:val="18"/>
          <w:color w:val="auto"/>
        </w:rPr>
      </w:pPr>
    </w:p>
    <w:p>
      <w:pPr>
        <w:ind w:right="40" w:firstLine="996"/>
        <w:spacing w:after="0" w:line="297" w:lineRule="auto"/>
        <w:tabs>
          <w:tab w:leader="none" w:pos="1247"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118" w:name="page119"/>
    <w:bookmarkEnd w:id="118"/>
    <w:p>
      <w:pPr>
        <w:ind w:right="2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39" w:lineRule="exact"/>
        <w:rPr>
          <w:sz w:val="20"/>
          <w:szCs w:val="20"/>
          <w:color w:val="auto"/>
        </w:rPr>
      </w:pPr>
    </w:p>
    <w:p>
      <w:pPr>
        <w:ind w:firstLine="996"/>
        <w:spacing w:after="0" w:line="255" w:lineRule="auto"/>
        <w:tabs>
          <w:tab w:leader="none" w:pos="1237"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Section to the contrary, (i) the agreement to hold sums in trust as provided in this Section is subject to the provisions of </w:t>
      </w:r>
      <w:r>
        <w:rPr>
          <w:rFonts w:ascii="Arial" w:cs="Arial" w:eastAsia="Arial" w:hAnsi="Arial"/>
          <w:sz w:val="18"/>
          <w:szCs w:val="18"/>
          <w:u w:val="single" w:color="auto"/>
          <w:color w:val="auto"/>
        </w:rPr>
        <w:t>Section 11.05</w:t>
      </w:r>
      <w:r>
        <w:rPr>
          <w:rFonts w:ascii="Arial" w:cs="Arial" w:eastAsia="Arial" w:hAnsi="Arial"/>
          <w:sz w:val="18"/>
          <w:szCs w:val="18"/>
          <w:color w:val="auto"/>
        </w:rPr>
        <w:t>,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85" w:lineRule="exact"/>
        <w:rPr>
          <w:rFonts w:ascii="Arial" w:cs="Arial" w:eastAsia="Arial" w:hAnsi="Arial"/>
          <w:sz w:val="18"/>
          <w:szCs w:val="18"/>
          <w:color w:val="auto"/>
        </w:rPr>
      </w:pPr>
    </w:p>
    <w:p>
      <w:pPr>
        <w:ind w:left="1260" w:hanging="264"/>
        <w:spacing w:after="0"/>
        <w:tabs>
          <w:tab w:leader="none" w:pos="12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Company initially appoints the Trustee at its Corporate Trust Office as its paying agent with respect to the Securities.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Appointment to Fill Vacancy in Office of Trustee</w:t>
      </w:r>
      <w:r>
        <w:rPr>
          <w:rFonts w:ascii="Arial" w:cs="Arial" w:eastAsia="Arial" w:hAnsi="Arial"/>
          <w:sz w:val="18"/>
          <w:szCs w:val="18"/>
          <w:color w:val="auto"/>
        </w:rPr>
        <w:t>.</w:t>
      </w:r>
    </w:p>
    <w:p>
      <w:pPr>
        <w:spacing w:after="0" w:line="117" w:lineRule="exact"/>
        <w:rPr>
          <w:sz w:val="20"/>
          <w:szCs w:val="20"/>
          <w:color w:val="auto"/>
        </w:rPr>
      </w:pPr>
    </w:p>
    <w:p>
      <w:pPr>
        <w:ind w:right="480" w:firstLine="441"/>
        <w:spacing w:after="0" w:line="277" w:lineRule="auto"/>
        <w:rPr>
          <w:sz w:val="20"/>
          <w:szCs w:val="20"/>
          <w:color w:val="auto"/>
        </w:rPr>
      </w:pPr>
      <w:r>
        <w:rPr>
          <w:rFonts w:ascii="Arial" w:cs="Arial" w:eastAsia="Arial" w:hAnsi="Arial"/>
          <w:sz w:val="18"/>
          <w:szCs w:val="18"/>
          <w:color w:val="auto"/>
        </w:rPr>
        <w:t xml:space="preserve">The Company, whenever necessary to avoid or fill a vacancy in the office of Trustee, will appoint, in the manner provided in </w:t>
      </w:r>
      <w:r>
        <w:rPr>
          <w:rFonts w:ascii="Arial" w:cs="Arial" w:eastAsia="Arial" w:hAnsi="Arial"/>
          <w:sz w:val="18"/>
          <w:szCs w:val="18"/>
          <w:u w:val="single" w:color="auto"/>
          <w:color w:val="auto"/>
        </w:rPr>
        <w:t>Section 7.10</w:t>
      </w:r>
      <w:r>
        <w:rPr>
          <w:rFonts w:ascii="Arial" w:cs="Arial" w:eastAsia="Arial" w:hAnsi="Arial"/>
          <w:sz w:val="18"/>
          <w:szCs w:val="18"/>
          <w:color w:val="auto"/>
        </w:rPr>
        <w:t>, a Trustee, so that there shall at all times be a Trustee 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Compliance with Consolidation Provisions</w:t>
      </w:r>
      <w:r>
        <w:rPr>
          <w:rFonts w:ascii="Arial" w:cs="Arial" w:eastAsia="Arial" w:hAnsi="Arial"/>
          <w:sz w:val="18"/>
          <w:szCs w:val="18"/>
          <w:color w:val="auto"/>
        </w:rPr>
        <w:t>.</w:t>
      </w:r>
    </w:p>
    <w:p>
      <w:pPr>
        <w:spacing w:after="0" w:line="117"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 xml:space="preserve">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w:t>
      </w:r>
      <w:r>
        <w:rPr>
          <w:rFonts w:ascii="Arial" w:cs="Arial" w:eastAsia="Arial" w:hAnsi="Arial"/>
          <w:sz w:val="18"/>
          <w:szCs w:val="18"/>
          <w:u w:val="single" w:color="auto"/>
          <w:color w:val="auto"/>
        </w:rPr>
        <w:t>Article 10</w:t>
      </w:r>
      <w:r>
        <w:rPr>
          <w:rFonts w:ascii="Arial" w:cs="Arial" w:eastAsia="Arial" w:hAnsi="Arial"/>
          <w:sz w:val="18"/>
          <w:szCs w:val="18"/>
          <w:color w:val="auto"/>
        </w:rPr>
        <w:t xml:space="preserve"> hereof are complied with.</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SECURITYHOLDERS’ LISTS AND REPORTS BY THE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TRUSTEE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Company to Furnish Trustee Names and Addresses of Securityholder</w:t>
      </w:r>
      <w:r>
        <w:rPr>
          <w:rFonts w:ascii="Arial" w:cs="Arial" w:eastAsia="Arial" w:hAnsi="Arial"/>
          <w:sz w:val="18"/>
          <w:szCs w:val="18"/>
          <w:color w:val="auto"/>
        </w:rPr>
        <w:t>s.</w:t>
      </w:r>
    </w:p>
    <w:p>
      <w:pPr>
        <w:spacing w:after="0" w:line="117"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 xml:space="preserve">The Company will furnish or cause to be furnished to the Trustee (a) within 5 days after each regular record date (as defined in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a list, in such form as the Trustee may reasonably require, of the names and addresses of the holders of each series of Securities as of such regular record date,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Company shall not be obligated to furnish or cause to be furnished such list at any time that the list shall not differ in any respect from</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in either case, no such list need be furnished for any series for which the Trustee shall be the Security Registrar.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119" w:name="page120"/>
    <w:bookmarkEnd w:id="119"/>
    <w:p>
      <w:pPr>
        <w:ind w:lef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5.02 </w:t>
      </w:r>
      <w:r>
        <w:rPr>
          <w:rFonts w:ascii="Arial" w:cs="Arial" w:eastAsia="Arial" w:hAnsi="Arial"/>
          <w:sz w:val="18"/>
          <w:szCs w:val="18"/>
          <w:u w:val="single" w:color="auto"/>
          <w:color w:val="auto"/>
        </w:rPr>
        <w:t>Preservation Of Information; Communications With Securityholders</w:t>
      </w:r>
      <w:r>
        <w:rPr>
          <w:rFonts w:ascii="Arial" w:cs="Arial" w:eastAsia="Arial" w:hAnsi="Arial"/>
          <w:sz w:val="18"/>
          <w:szCs w:val="18"/>
          <w:color w:val="auto"/>
        </w:rPr>
        <w:t>.</w:t>
      </w:r>
    </w:p>
    <w:p>
      <w:pPr>
        <w:spacing w:after="0" w:line="117" w:lineRule="exact"/>
        <w:rPr>
          <w:sz w:val="20"/>
          <w:szCs w:val="20"/>
          <w:color w:val="auto"/>
        </w:rPr>
      </w:pPr>
    </w:p>
    <w:p>
      <w:pPr>
        <w:ind w:left="-40" w:right="500" w:firstLine="996"/>
        <w:spacing w:after="0" w:line="286" w:lineRule="auto"/>
        <w:tabs>
          <w:tab w:leader="none" w:pos="1197" w:val="left"/>
        </w:tabs>
        <w:numPr>
          <w:ilvl w:val="0"/>
          <w:numId w:val="108"/>
        </w:numPr>
        <w:rPr>
          <w:rFonts w:ascii="Arial" w:cs="Arial" w:eastAsia="Arial" w:hAnsi="Arial"/>
          <w:sz w:val="17"/>
          <w:szCs w:val="17"/>
          <w:color w:val="auto"/>
        </w:rPr>
      </w:pPr>
      <w:r>
        <w:rPr>
          <w:rFonts w:ascii="Arial" w:cs="Arial" w:eastAsia="Arial" w:hAnsi="Arial"/>
          <w:sz w:val="17"/>
          <w:szCs w:val="17"/>
          <w:color w:val="auto"/>
        </w:rPr>
        <w:t xml:space="preserve">The Trustee shall preserve, in as current a form as is reasonably practicable, all information as to the names and addresses of the holders of Securities contained in the most recent list furnished to it as provided in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and as to the names and addresses of holders of Securities received by the Trustee in its capacity as Security Registrar (if acting in such capacity).</w:t>
      </w:r>
    </w:p>
    <w:p>
      <w:pPr>
        <w:spacing w:after="0" w:line="57" w:lineRule="exact"/>
        <w:rPr>
          <w:rFonts w:ascii="Arial" w:cs="Arial" w:eastAsia="Arial" w:hAnsi="Arial"/>
          <w:sz w:val="17"/>
          <w:szCs w:val="17"/>
          <w:color w:val="auto"/>
        </w:rPr>
      </w:pPr>
    </w:p>
    <w:p>
      <w:pPr>
        <w:ind w:left="1220" w:hanging="264"/>
        <w:spacing w:after="0"/>
        <w:tabs>
          <w:tab w:leader="none" w:pos="12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The Trustee may destroy any list furnished to it as provided in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upon receipt of a new list so furnished.</w:t>
      </w:r>
    </w:p>
    <w:p>
      <w:pPr>
        <w:spacing w:after="0" w:line="117" w:lineRule="exact"/>
        <w:rPr>
          <w:rFonts w:ascii="Arial" w:cs="Arial" w:eastAsia="Arial" w:hAnsi="Arial"/>
          <w:sz w:val="18"/>
          <w:szCs w:val="18"/>
          <w:color w:val="auto"/>
        </w:rPr>
      </w:pPr>
    </w:p>
    <w:p>
      <w:pPr>
        <w:jc w:val="both"/>
        <w:ind w:left="-40" w:right="20" w:firstLine="996"/>
        <w:spacing w:after="0" w:line="286" w:lineRule="auto"/>
        <w:tabs>
          <w:tab w:leader="none" w:pos="1197" w:val="left"/>
        </w:tabs>
        <w:numPr>
          <w:ilvl w:val="0"/>
          <w:numId w:val="108"/>
        </w:numPr>
        <w:rPr>
          <w:rFonts w:ascii="Arial" w:cs="Arial" w:eastAsia="Arial" w:hAnsi="Arial"/>
          <w:sz w:val="17"/>
          <w:szCs w:val="17"/>
          <w:color w:val="auto"/>
        </w:rPr>
      </w:pPr>
      <w:r>
        <w:rPr>
          <w:rFonts w:ascii="Arial" w:cs="Arial" w:eastAsia="Arial" w:hAnsi="Arial"/>
          <w:sz w:val="17"/>
          <w:szCs w:val="17"/>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Reports by the Company</w:t>
      </w:r>
      <w:r>
        <w:rPr>
          <w:rFonts w:ascii="Arial" w:cs="Arial" w:eastAsia="Arial" w:hAnsi="Arial"/>
          <w:sz w:val="18"/>
          <w:szCs w:val="18"/>
          <w:color w:val="auto"/>
        </w:rPr>
        <w:t>.</w:t>
      </w:r>
    </w:p>
    <w:p>
      <w:pPr>
        <w:spacing w:after="0" w:line="117" w:lineRule="exact"/>
        <w:rPr>
          <w:sz w:val="20"/>
          <w:szCs w:val="20"/>
          <w:color w:val="auto"/>
        </w:rPr>
      </w:pPr>
    </w:p>
    <w:p>
      <w:pPr>
        <w:ind w:left="-40" w:firstLine="996"/>
        <w:spacing w:after="0" w:line="269" w:lineRule="auto"/>
        <w:tabs>
          <w:tab w:leader="none" w:pos="1197"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the Company shall not be required to deliver to the Trustee any materials for which the Company has sought and received confidential treatment by the Commission;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so long as such filings by the Company are available on the Commission’s Electronic Data Gathering, Analysis and Retrieval System (EDGAR), or Interactive Data Electronic Applications (IDEA), or any successor system, such filings shall be deemed to have been filed with the Trustee for purposes hereof without any further action required by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 electronic link to such filing, together with an electronic notice of such filing have been sent to the Trustee it being understood that the Trustee shall have no responsibility to determine whether such filings have been made. For the avoidance of doubt, a failure by the Company to file annual reports, information and other reports with the Commission within the time period prescribed thereof by the Commission shall not be deemed a breach of this </w:t>
      </w:r>
      <w:r>
        <w:rPr>
          <w:rFonts w:ascii="Arial" w:cs="Arial" w:eastAsia="Arial" w:hAnsi="Arial"/>
          <w:sz w:val="17"/>
          <w:szCs w:val="17"/>
          <w:u w:val="single" w:color="auto"/>
          <w:color w:val="auto"/>
        </w:rPr>
        <w:t>Section 5.03</w:t>
      </w:r>
      <w:r>
        <w:rPr>
          <w:rFonts w:ascii="Arial" w:cs="Arial" w:eastAsia="Arial" w:hAnsi="Arial"/>
          <w:sz w:val="17"/>
          <w:szCs w:val="17"/>
          <w:color w:val="auto"/>
        </w:rPr>
        <w:t>.</w:t>
      </w:r>
    </w:p>
    <w:p>
      <w:pPr>
        <w:spacing w:after="0" w:line="74" w:lineRule="exact"/>
        <w:rPr>
          <w:rFonts w:ascii="Arial" w:cs="Arial" w:eastAsia="Arial" w:hAnsi="Arial"/>
          <w:sz w:val="17"/>
          <w:szCs w:val="17"/>
          <w:color w:val="auto"/>
        </w:rPr>
      </w:pPr>
    </w:p>
    <w:p>
      <w:pPr>
        <w:ind w:left="-40" w:firstLine="996"/>
        <w:spacing w:after="0" w:line="259" w:lineRule="auto"/>
        <w:tabs>
          <w:tab w:leader="none" w:pos="120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Delivery of reports, information and documents to the Trustee under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480" w:top="274" w:right="479" w:bottom="1440" w:gutter="0" w:footer="0" w:header="0"/>
        </w:sectPr>
      </w:pPr>
    </w:p>
    <w:bookmarkStart w:id="120" w:name="page121"/>
    <w:bookmarkEnd w:id="12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5.04 </w:t>
      </w:r>
      <w:r>
        <w:rPr>
          <w:rFonts w:ascii="Arial" w:cs="Arial" w:eastAsia="Arial" w:hAnsi="Arial"/>
          <w:sz w:val="18"/>
          <w:szCs w:val="18"/>
          <w:u w:val="single" w:color="auto"/>
          <w:color w:val="auto"/>
        </w:rPr>
        <w:t>Reports by the Trustee</w:t>
      </w:r>
      <w:r>
        <w:rPr>
          <w:rFonts w:ascii="Arial" w:cs="Arial" w:eastAsia="Arial" w:hAnsi="Arial"/>
          <w:sz w:val="18"/>
          <w:szCs w:val="18"/>
          <w:color w:val="auto"/>
        </w:rPr>
        <w:t>.</w:t>
      </w:r>
    </w:p>
    <w:p>
      <w:pPr>
        <w:spacing w:after="0" w:line="117" w:lineRule="exact"/>
        <w:rPr>
          <w:sz w:val="20"/>
          <w:szCs w:val="20"/>
          <w:color w:val="auto"/>
        </w:rPr>
      </w:pPr>
    </w:p>
    <w:p>
      <w:pPr>
        <w:ind w:firstLine="996"/>
        <w:spacing w:after="0" w:line="259" w:lineRule="auto"/>
        <w:tabs>
          <w:tab w:leader="none" w:pos="123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required by Section 313(a) of the Trust Indenture Act, the Trustee, within sixty (60) days after each May 15, commencing the calendar year after the year in which the first Securities are issued hereunder, shall transmit by mail, first class postage prepaid, to the Securityholders, as their names and addresses appear upon the Security Register, a brief report dated as of such May 15, which complies with Section 313(a) of the Trust Indenture Act.</w:t>
      </w:r>
    </w:p>
    <w:p>
      <w:pPr>
        <w:spacing w:after="0" w:line="78" w:lineRule="exact"/>
        <w:rPr>
          <w:rFonts w:ascii="Arial" w:cs="Arial" w:eastAsia="Arial" w:hAnsi="Arial"/>
          <w:sz w:val="18"/>
          <w:szCs w:val="18"/>
          <w:color w:val="auto"/>
        </w:rPr>
      </w:pPr>
    </w:p>
    <w:p>
      <w:pPr>
        <w:ind w:left="1260" w:hanging="264"/>
        <w:spacing w:after="0"/>
        <w:tabs>
          <w:tab w:leader="none" w:pos="12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Trustee shall comply with Section 313(b) and 313(c) of the Trust Indenture Act.</w:t>
      </w:r>
    </w:p>
    <w:p>
      <w:pPr>
        <w:spacing w:after="0" w:line="117" w:lineRule="exact"/>
        <w:rPr>
          <w:rFonts w:ascii="Arial" w:cs="Arial" w:eastAsia="Arial" w:hAnsi="Arial"/>
          <w:sz w:val="18"/>
          <w:szCs w:val="18"/>
          <w:color w:val="auto"/>
        </w:rPr>
      </w:pPr>
    </w:p>
    <w:p>
      <w:pPr>
        <w:ind w:right="140" w:firstLine="996"/>
        <w:spacing w:after="0" w:line="264" w:lineRule="auto"/>
        <w:tabs>
          <w:tab w:leader="none" w:pos="123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in writing when any Securities become listed on any securities exchange or of any delisting thereof.</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REMEDIES OF THE TRUSTEE AND SECURITYHOLDERS 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EVENT OF DEFAULT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113" w:lineRule="exact"/>
        <w:rPr>
          <w:sz w:val="20"/>
          <w:szCs w:val="20"/>
          <w:color w:val="auto"/>
        </w:rPr>
      </w:pPr>
    </w:p>
    <w:p>
      <w:pPr>
        <w:ind w:right="360" w:firstLine="996"/>
        <w:spacing w:after="0" w:line="282" w:lineRule="auto"/>
        <w:tabs>
          <w:tab w:leader="none" w:pos="123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Whenever used herein with respect to Securities of a particular series, “</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one or more of the following events that has occurred and is continuing:</w:t>
      </w:r>
    </w:p>
    <w:p>
      <w:pPr>
        <w:spacing w:after="0" w:line="57" w:lineRule="exact"/>
        <w:rPr>
          <w:rFonts w:ascii="Arial" w:cs="Arial" w:eastAsia="Arial" w:hAnsi="Arial"/>
          <w:sz w:val="18"/>
          <w:szCs w:val="18"/>
          <w:color w:val="auto"/>
        </w:rPr>
      </w:pPr>
    </w:p>
    <w:p>
      <w:pPr>
        <w:jc w:val="both"/>
        <w:ind w:left="440" w:right="20" w:firstLine="957"/>
        <w:spacing w:after="0" w:line="259" w:lineRule="auto"/>
        <w:tabs>
          <w:tab w:leader="none" w:pos="1647" w:val="left"/>
        </w:tabs>
        <w:numPr>
          <w:ilvl w:val="1"/>
          <w:numId w:val="111"/>
        </w:numPr>
        <w:rPr>
          <w:rFonts w:ascii="Arial" w:cs="Arial" w:eastAsia="Arial" w:hAnsi="Arial"/>
          <w:sz w:val="18"/>
          <w:szCs w:val="18"/>
          <w:color w:val="auto"/>
        </w:rPr>
      </w:pPr>
      <w:r>
        <w:rPr>
          <w:rFonts w:ascii="Arial" w:cs="Arial" w:eastAsia="Arial" w:hAnsi="Arial"/>
          <w:sz w:val="18"/>
          <w:szCs w:val="18"/>
          <w:color w:val="auto"/>
        </w:rPr>
        <w:t xml:space="preserve">the Company defaults in the payment of any installment of interest upon any of the Securities of that series, as and when the same shall become due and payable, and such default continues for a period of 90 days;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valid extension of an interest payment period by the Company in accordance with the terms of any indenture supplemental hereto shall not constitute a default in the payment of interest for this purpose;</w:t>
      </w:r>
    </w:p>
    <w:p>
      <w:pPr>
        <w:spacing w:after="0" w:line="78" w:lineRule="exact"/>
        <w:rPr>
          <w:rFonts w:ascii="Arial" w:cs="Arial" w:eastAsia="Arial" w:hAnsi="Arial"/>
          <w:sz w:val="18"/>
          <w:szCs w:val="18"/>
          <w:color w:val="auto"/>
        </w:rPr>
      </w:pPr>
    </w:p>
    <w:p>
      <w:pPr>
        <w:ind w:left="440" w:right="140" w:firstLine="957"/>
        <w:spacing w:after="0" w:line="302" w:lineRule="auto"/>
        <w:tabs>
          <w:tab w:leader="none" w:pos="1647" w:val="left"/>
        </w:tabs>
        <w:numPr>
          <w:ilvl w:val="1"/>
          <w:numId w:val="111"/>
        </w:numPr>
        <w:rPr>
          <w:rFonts w:ascii="Arial" w:cs="Arial" w:eastAsia="Arial" w:hAnsi="Arial"/>
          <w:sz w:val="16"/>
          <w:szCs w:val="16"/>
          <w:color w:val="auto"/>
        </w:rPr>
      </w:pPr>
      <w:r>
        <w:rPr>
          <w:rFonts w:ascii="Arial" w:cs="Arial" w:eastAsia="Arial" w:hAnsi="Arial"/>
          <w:sz w:val="16"/>
          <w:szCs w:val="16"/>
          <w:color w:val="auto"/>
        </w:rPr>
        <w:t xml:space="preserve">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valid extension of the maturity of such Securities in accordance with the terms of any indenture supplemental hereto shall not constitute a default in the payment of principal or premium, if any;</w:t>
      </w:r>
    </w:p>
    <w:p>
      <w:pPr>
        <w:spacing w:after="0" w:line="46" w:lineRule="exact"/>
        <w:rPr>
          <w:rFonts w:ascii="Arial" w:cs="Arial" w:eastAsia="Arial" w:hAnsi="Arial"/>
          <w:sz w:val="16"/>
          <w:szCs w:val="16"/>
          <w:color w:val="auto"/>
        </w:rPr>
      </w:pPr>
    </w:p>
    <w:p>
      <w:pPr>
        <w:ind w:left="440" w:right="20" w:firstLine="957"/>
        <w:spacing w:after="0" w:line="273" w:lineRule="auto"/>
        <w:tabs>
          <w:tab w:leader="none" w:pos="1647" w:val="left"/>
        </w:tabs>
        <w:numPr>
          <w:ilvl w:val="1"/>
          <w:numId w:val="111"/>
        </w:numPr>
        <w:rPr>
          <w:rFonts w:ascii="Arial" w:cs="Arial" w:eastAsia="Arial" w:hAnsi="Arial"/>
          <w:sz w:val="17"/>
          <w:szCs w:val="17"/>
          <w:color w:val="auto"/>
        </w:rPr>
      </w:pPr>
      <w:r>
        <w:rPr>
          <w:rFonts w:ascii="Arial" w:cs="Arial" w:eastAsia="Arial" w:hAnsi="Arial"/>
          <w:sz w:val="17"/>
          <w:szCs w:val="17"/>
          <w:color w:val="auto"/>
        </w:rPr>
        <w:t xml:space="preserve">the Company fails to observe or perform any other of its covenants or agreements with respect to that series contained in this Indenture or otherwise established with respect to that series of Securities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w:t>
      </w:r>
      <w:r>
        <w:rPr>
          <w:rFonts w:ascii="Arial" w:cs="Arial" w:eastAsia="Arial" w:hAnsi="Arial"/>
          <w:sz w:val="17"/>
          <w:szCs w:val="17"/>
          <w:b w:val="1"/>
          <w:bCs w:val="1"/>
          <w:color w:val="auto"/>
        </w:rPr>
        <w:t>Notice of Default</w:t>
      </w:r>
      <w:r>
        <w:rPr>
          <w:rFonts w:ascii="Arial" w:cs="Arial" w:eastAsia="Arial" w:hAnsi="Arial"/>
          <w:sz w:val="17"/>
          <w:szCs w:val="17"/>
          <w:color w:val="auto"/>
        </w:rPr>
        <w:t>” hereunder, shall have been given to the Company by the Trustee or to the Company and the Trustee by the holders of at least 25% in principal amount of the Securities of that series at the time Outstanding;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121" w:name="page122"/>
    <w:bookmarkEnd w:id="121"/>
    <w:p>
      <w:pPr>
        <w:ind w:left="436" w:right="20" w:firstLine="957"/>
        <w:spacing w:after="0" w:line="264" w:lineRule="auto"/>
        <w:tabs>
          <w:tab w:leader="none" w:pos="1643" w:val="left"/>
        </w:tabs>
        <w:numPr>
          <w:ilvl w:val="2"/>
          <w:numId w:val="1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73" w:lineRule="exact"/>
        <w:rPr>
          <w:rFonts w:ascii="Arial" w:cs="Arial" w:eastAsia="Arial" w:hAnsi="Arial"/>
          <w:sz w:val="18"/>
          <w:szCs w:val="18"/>
          <w:color w:val="auto"/>
        </w:rPr>
      </w:pPr>
    </w:p>
    <w:p>
      <w:pPr>
        <w:ind w:left="436" w:right="60" w:firstLine="957"/>
        <w:spacing w:after="0" w:line="264" w:lineRule="auto"/>
        <w:tabs>
          <w:tab w:leader="none" w:pos="1643" w:val="left"/>
        </w:tabs>
        <w:numPr>
          <w:ilvl w:val="2"/>
          <w:numId w:val="112"/>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73" w:lineRule="exact"/>
        <w:rPr>
          <w:rFonts w:ascii="Arial" w:cs="Arial" w:eastAsia="Arial" w:hAnsi="Arial"/>
          <w:sz w:val="18"/>
          <w:szCs w:val="18"/>
          <w:color w:val="auto"/>
        </w:rPr>
      </w:pPr>
    </w:p>
    <w:p>
      <w:pPr>
        <w:ind w:left="-4" w:right="80" w:firstLine="996"/>
        <w:spacing w:after="0" w:line="285" w:lineRule="auto"/>
        <w:tabs>
          <w:tab w:leader="none" w:pos="1243" w:val="left"/>
        </w:tabs>
        <w:numPr>
          <w:ilvl w:val="1"/>
          <w:numId w:val="113"/>
        </w:numPr>
        <w:rPr>
          <w:rFonts w:ascii="Arial" w:cs="Arial" w:eastAsia="Arial" w:hAnsi="Arial"/>
          <w:sz w:val="16"/>
          <w:szCs w:val="16"/>
          <w:color w:val="auto"/>
        </w:rPr>
      </w:pPr>
      <w:r>
        <w:rPr>
          <w:rFonts w:ascii="Arial" w:cs="Arial" w:eastAsia="Arial" w:hAnsi="Arial"/>
          <w:sz w:val="16"/>
          <w:szCs w:val="16"/>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w:t>
      </w:r>
    </w:p>
    <w:p>
      <w:pPr>
        <w:spacing w:after="0" w:line="2" w:lineRule="exact"/>
        <w:rPr>
          <w:rFonts w:ascii="Arial" w:cs="Arial" w:eastAsia="Arial" w:hAnsi="Arial"/>
          <w:sz w:val="16"/>
          <w:szCs w:val="16"/>
          <w:color w:val="auto"/>
        </w:rPr>
      </w:pPr>
    </w:p>
    <w:p>
      <w:pPr>
        <w:ind w:left="-4" w:right="60" w:firstLine="4"/>
        <w:spacing w:after="0" w:line="261" w:lineRule="auto"/>
        <w:tabs>
          <w:tab w:leader="none" w:pos="25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75" w:lineRule="exact"/>
        <w:rPr>
          <w:rFonts w:ascii="Arial" w:cs="Arial" w:eastAsia="Arial" w:hAnsi="Arial"/>
          <w:sz w:val="18"/>
          <w:szCs w:val="18"/>
          <w:color w:val="auto"/>
        </w:rPr>
      </w:pPr>
    </w:p>
    <w:p>
      <w:pPr>
        <w:ind w:left="-4" w:firstLine="996"/>
        <w:spacing w:after="0" w:line="288" w:lineRule="auto"/>
        <w:tabs>
          <w:tab w:leader="none" w:pos="1233" w:val="left"/>
        </w:tabs>
        <w:numPr>
          <w:ilvl w:val="1"/>
          <w:numId w:val="114"/>
        </w:numPr>
        <w:rPr>
          <w:rFonts w:ascii="Arial" w:cs="Arial" w:eastAsia="Arial" w:hAnsi="Arial"/>
          <w:sz w:val="16"/>
          <w:szCs w:val="16"/>
          <w:color w:val="auto"/>
        </w:rPr>
      </w:pPr>
      <w:r>
        <w:rPr>
          <w:rFonts w:ascii="Arial" w:cs="Arial" w:eastAsia="Arial" w:hAnsi="Arial"/>
          <w:sz w:val="16"/>
          <w:szCs w:val="16"/>
          <w:color w:val="auto"/>
        </w:rPr>
        <w:t xml:space="preserve">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w:t>
      </w:r>
      <w:r>
        <w:rPr>
          <w:rFonts w:ascii="Arial" w:cs="Arial" w:eastAsia="Arial" w:hAnsi="Arial"/>
          <w:sz w:val="16"/>
          <w:szCs w:val="16"/>
          <w:u w:val="single" w:color="auto"/>
          <w:color w:val="auto"/>
        </w:rPr>
        <w:t>Section 6.06</w:t>
      </w:r>
      <w:r>
        <w:rPr>
          <w:rFonts w:ascii="Arial" w:cs="Arial" w:eastAsia="Arial" w:hAnsi="Arial"/>
          <w:sz w:val="16"/>
          <w:szCs w:val="16"/>
          <w:color w:val="auto"/>
        </w:rPr>
        <w:t>.</w:t>
      </w:r>
    </w:p>
    <w:p>
      <w:pPr>
        <w:spacing w:after="0" w:line="169" w:lineRule="exact"/>
        <w:rPr>
          <w:sz w:val="20"/>
          <w:szCs w:val="20"/>
          <w:color w:val="auto"/>
        </w:rPr>
      </w:pPr>
    </w:p>
    <w:p>
      <w:pPr>
        <w:ind w:left="436"/>
        <w:spacing w:after="0"/>
        <w:rPr>
          <w:sz w:val="20"/>
          <w:szCs w:val="20"/>
          <w:color w:val="auto"/>
        </w:rPr>
      </w:pPr>
      <w:r>
        <w:rPr>
          <w:rFonts w:ascii="Arial" w:cs="Arial" w:eastAsia="Arial" w:hAnsi="Arial"/>
          <w:sz w:val="18"/>
          <w:szCs w:val="18"/>
          <w:color w:val="auto"/>
        </w:rPr>
        <w:t>No such rescission and annulment shall extend to or shall affect any subsequent default or impair any right consequent thereon.</w:t>
      </w:r>
    </w:p>
    <w:p>
      <w:pPr>
        <w:spacing w:after="0" w:line="158" w:lineRule="exact"/>
        <w:rPr>
          <w:sz w:val="20"/>
          <w:szCs w:val="20"/>
          <w:color w:val="auto"/>
        </w:rPr>
      </w:pPr>
    </w:p>
    <w:p>
      <w:pPr>
        <w:ind w:left="5416"/>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16"/>
          </w:cols>
          <w:pgMar w:left="444" w:top="274" w:right="439" w:bottom="1440" w:gutter="0" w:footer="0" w:header="0"/>
        </w:sectPr>
      </w:pPr>
    </w:p>
    <w:bookmarkStart w:id="122" w:name="page123"/>
    <w:bookmarkEnd w:id="122"/>
    <w:p>
      <w:pPr>
        <w:ind w:left="-20" w:right="60" w:firstLine="996"/>
        <w:spacing w:after="0" w:line="257" w:lineRule="auto"/>
        <w:tabs>
          <w:tab w:leader="none" w:pos="1227" w:val="left"/>
        </w:tabs>
        <w:numPr>
          <w:ilvl w:val="0"/>
          <w:numId w:val="1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Collection of Indebtedness and Suits for Enforcement by Trustee</w:t>
      </w:r>
      <w:r>
        <w:rPr>
          <w:rFonts w:ascii="Arial" w:cs="Arial" w:eastAsia="Arial" w:hAnsi="Arial"/>
          <w:sz w:val="18"/>
          <w:szCs w:val="18"/>
          <w:color w:val="auto"/>
        </w:rPr>
        <w:t>.</w:t>
      </w:r>
    </w:p>
    <w:p>
      <w:pPr>
        <w:spacing w:after="0" w:line="117" w:lineRule="exact"/>
        <w:rPr>
          <w:sz w:val="20"/>
          <w:szCs w:val="20"/>
          <w:color w:val="auto"/>
        </w:rPr>
      </w:pPr>
    </w:p>
    <w:p>
      <w:pPr>
        <w:ind w:left="-20" w:right="60" w:firstLine="996"/>
        <w:spacing w:after="0" w:line="273" w:lineRule="auto"/>
        <w:tabs>
          <w:tab w:leader="none" w:pos="121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 xml:space="preserve">The Company covenants that if an Event of Default described in Section 6.01(a) or 6.01(b) shall have occurred with respect to the Securities of any series,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w:t>
      </w:r>
      <w:r>
        <w:rPr>
          <w:rFonts w:ascii="Arial" w:cs="Arial" w:eastAsia="Arial" w:hAnsi="Arial"/>
          <w:sz w:val="17"/>
          <w:szCs w:val="17"/>
          <w:u w:val="single" w:color="auto"/>
          <w:color w:val="auto"/>
        </w:rPr>
        <w:t>Section 7.06</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20" w:firstLine="996"/>
        <w:spacing w:after="0" w:line="276" w:lineRule="auto"/>
        <w:tabs>
          <w:tab w:leader="none" w:pos="1227"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64" w:lineRule="exact"/>
        <w:rPr>
          <w:rFonts w:ascii="Arial" w:cs="Arial" w:eastAsia="Arial" w:hAnsi="Arial"/>
          <w:sz w:val="17"/>
          <w:szCs w:val="17"/>
          <w:color w:val="auto"/>
        </w:rPr>
      </w:pPr>
    </w:p>
    <w:p>
      <w:pPr>
        <w:ind w:left="-20" w:right="20" w:firstLine="996"/>
        <w:spacing w:after="0" w:line="288" w:lineRule="auto"/>
        <w:tabs>
          <w:tab w:leader="none" w:pos="1217"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In case of any receivership, insolvency, liquidation, bankruptcy, reorganization, readjustment, arrangement, composition or judicial proceedings affecting the Company, or its creditors or property, irrespective of whether the Trustee shall have made any demand pursuant to this Section 6.02,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w:t>
      </w:r>
      <w:r>
        <w:rPr>
          <w:rFonts w:ascii="Arial" w:cs="Arial" w:eastAsia="Arial" w:hAnsi="Arial"/>
          <w:sz w:val="16"/>
          <w:szCs w:val="16"/>
          <w:u w:val="single" w:color="auto"/>
          <w:color w:val="auto"/>
        </w:rPr>
        <w:t>Section 7.06</w:t>
      </w:r>
      <w:r>
        <w:rPr>
          <w:rFonts w:ascii="Arial" w:cs="Arial" w:eastAsia="Arial" w:hAnsi="Arial"/>
          <w:sz w:val="16"/>
          <w:szCs w:val="16"/>
          <w:color w:val="auto"/>
        </w:rPr>
        <w: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60" w:top="274" w:right="439" w:bottom="1440" w:gutter="0" w:footer="0" w:header="0"/>
        </w:sectPr>
      </w:pPr>
    </w:p>
    <w:bookmarkStart w:id="123" w:name="page124"/>
    <w:bookmarkEnd w:id="123"/>
    <w:p>
      <w:pPr>
        <w:ind w:firstLine="996"/>
        <w:spacing w:after="0" w:line="257" w:lineRule="auto"/>
        <w:tabs>
          <w:tab w:leader="none" w:pos="1247" w:val="left"/>
        </w:tabs>
        <w:numPr>
          <w:ilvl w:val="0"/>
          <w:numId w:val="1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w:t>
      </w:r>
      <w:r>
        <w:rPr>
          <w:rFonts w:ascii="Arial" w:cs="Arial" w:eastAsia="Arial" w:hAnsi="Arial"/>
          <w:sz w:val="18"/>
          <w:szCs w:val="18"/>
          <w:u w:val="single" w:color="auto"/>
          <w:color w:val="auto"/>
        </w:rPr>
        <w:t>Section 7.06</w:t>
      </w:r>
      <w:r>
        <w:rPr>
          <w:rFonts w:ascii="Arial" w:cs="Arial" w:eastAsia="Arial" w:hAnsi="Arial"/>
          <w:sz w:val="18"/>
          <w:szCs w:val="18"/>
          <w:color w:val="auto"/>
        </w:rPr>
        <w:t>, be for the ratable benefit of the holders of the Securities of such series.</w:t>
      </w:r>
    </w:p>
    <w:p>
      <w:pPr>
        <w:spacing w:after="0" w:line="188" w:lineRule="exact"/>
        <w:rPr>
          <w:sz w:val="20"/>
          <w:szCs w:val="20"/>
          <w:color w:val="auto"/>
        </w:rPr>
      </w:pPr>
    </w:p>
    <w:p>
      <w:pPr>
        <w:ind w:right="160" w:firstLine="441"/>
        <w:spacing w:after="0" w:line="302" w:lineRule="auto"/>
        <w:rPr>
          <w:sz w:val="20"/>
          <w:szCs w:val="20"/>
          <w:color w:val="auto"/>
        </w:rPr>
      </w:pPr>
      <w:r>
        <w:rPr>
          <w:rFonts w:ascii="Arial" w:cs="Arial" w:eastAsia="Arial" w:hAnsi="Arial"/>
          <w:sz w:val="16"/>
          <w:szCs w:val="16"/>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54"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Application of Moneys Collected</w:t>
      </w:r>
      <w:r>
        <w:rPr>
          <w:rFonts w:ascii="Arial" w:cs="Arial" w:eastAsia="Arial" w:hAnsi="Arial"/>
          <w:sz w:val="18"/>
          <w:szCs w:val="18"/>
          <w:color w:val="auto"/>
        </w:rPr>
        <w:t>.</w:t>
      </w:r>
    </w:p>
    <w:p>
      <w:pPr>
        <w:spacing w:after="0" w:line="117" w:lineRule="exact"/>
        <w:rPr>
          <w:sz w:val="20"/>
          <w:szCs w:val="20"/>
          <w:color w:val="auto"/>
        </w:rPr>
      </w:pPr>
    </w:p>
    <w:p>
      <w:pPr>
        <w:jc w:val="both"/>
        <w:ind w:right="80" w:firstLine="441"/>
        <w:spacing w:after="0" w:line="259" w:lineRule="auto"/>
        <w:rPr>
          <w:sz w:val="20"/>
          <w:szCs w:val="20"/>
          <w:color w:val="auto"/>
        </w:rPr>
      </w:pPr>
      <w:r>
        <w:rPr>
          <w:rFonts w:ascii="Arial" w:cs="Arial" w:eastAsia="Arial" w:hAnsi="Arial"/>
          <w:sz w:val="18"/>
          <w:szCs w:val="18"/>
          <w:color w:val="auto"/>
        </w:rPr>
        <w:t>Any moneys or properties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83" w:lineRule="exact"/>
        <w:rPr>
          <w:sz w:val="20"/>
          <w:szCs w:val="20"/>
          <w:color w:val="auto"/>
        </w:rPr>
      </w:pPr>
    </w:p>
    <w:p>
      <w:pPr>
        <w:ind w:right="820" w:firstLine="441"/>
        <w:spacing w:after="0" w:line="282" w:lineRule="auto"/>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To the payment of all indebtedness of the Company to which such series of Securities is subordinated to the extent required by</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and any subordination terms of the series specified as contemplated by </w:t>
      </w:r>
      <w:r>
        <w:rPr>
          <w:rFonts w:ascii="Arial" w:cs="Arial" w:eastAsia="Arial" w:hAnsi="Arial"/>
          <w:sz w:val="18"/>
          <w:szCs w:val="18"/>
          <w:u w:val="single" w:color="auto"/>
          <w:color w:val="auto"/>
        </w:rPr>
        <w:t>Article 14</w:t>
      </w:r>
      <w:r>
        <w:rPr>
          <w:rFonts w:ascii="Arial" w:cs="Arial" w:eastAsia="Arial" w:hAnsi="Arial"/>
          <w:sz w:val="18"/>
          <w:szCs w:val="18"/>
          <w:color w:val="auto"/>
        </w:rPr>
        <w:t>;</w:t>
      </w:r>
    </w:p>
    <w:p>
      <w:pPr>
        <w:spacing w:after="0" w:line="162" w:lineRule="exact"/>
        <w:rPr>
          <w:sz w:val="20"/>
          <w:szCs w:val="20"/>
          <w:color w:val="auto"/>
        </w:rPr>
      </w:pPr>
    </w:p>
    <w:p>
      <w:pPr>
        <w:jc w:val="both"/>
        <w:ind w:right="20" w:firstLine="441"/>
        <w:spacing w:after="0" w:line="266"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To the payment of the amounts then due and unpaid upon Securities of such series for principal (and premium, if any) and interest,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To the payment of the remainder, if any, to the Company or any other Person lawfully entitled thereto.</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Limitation on Suits</w:t>
      </w:r>
      <w:r>
        <w:rPr>
          <w:rFonts w:ascii="Arial" w:cs="Arial" w:eastAsia="Arial" w:hAnsi="Arial"/>
          <w:sz w:val="18"/>
          <w:szCs w:val="18"/>
          <w:color w:val="auto"/>
        </w:rPr>
        <w:t>.</w:t>
      </w:r>
    </w:p>
    <w:p>
      <w:pPr>
        <w:spacing w:after="0" w:line="117" w:lineRule="exact"/>
        <w:rPr>
          <w:sz w:val="20"/>
          <w:szCs w:val="20"/>
          <w:color w:val="auto"/>
        </w:rPr>
      </w:pPr>
    </w:p>
    <w:p>
      <w:pPr>
        <w:ind w:right="120" w:firstLine="441"/>
        <w:spacing w:after="0" w:line="302" w:lineRule="auto"/>
        <w:rPr>
          <w:sz w:val="20"/>
          <w:szCs w:val="20"/>
          <w:color w:val="auto"/>
        </w:rPr>
      </w:pPr>
      <w:r>
        <w:rPr>
          <w:rFonts w:ascii="Arial" w:cs="Arial" w:eastAsia="Arial" w:hAnsi="Arial"/>
          <w:sz w:val="16"/>
          <w:szCs w:val="16"/>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124" w:name="page125"/>
    <w:bookmarkEnd w:id="124"/>
    <w:p>
      <w:pPr>
        <w:ind w:right="2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indemnity reasonably satisfactory to it as it may require against the costs, expenses, claims and liabilities to be incurred therein or thereby; (iv) the Trustee for 90 days after its receipt of such notice, request and offer of indemnity, shall have failed to institute any such action, suit or proceeding and</w:t>
      </w:r>
    </w:p>
    <w:p>
      <w:pPr>
        <w:spacing w:after="0" w:line="2" w:lineRule="exact"/>
        <w:rPr>
          <w:sz w:val="20"/>
          <w:szCs w:val="20"/>
          <w:color w:val="auto"/>
        </w:rPr>
      </w:pPr>
    </w:p>
    <w:p>
      <w:pPr>
        <w:ind w:right="880" w:firstLine="4"/>
        <w:spacing w:after="0" w:line="261" w:lineRule="auto"/>
        <w:tabs>
          <w:tab w:leader="none" w:pos="2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during such 90 day period, the holders of a majority in principal amount of the Securities of that series do not give the Trustee a direction inconsistent with the request.</w:t>
      </w:r>
    </w:p>
    <w:p>
      <w:pPr>
        <w:spacing w:after="0" w:line="184"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(it being understood that the Trustee does not have an affirmative duty to ascertain whether or not such actions or forbearances are unduly prejudicial to such holders),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Rights and Remedies Cumulative; Delay or Omission Not Waiver</w:t>
      </w:r>
      <w:r>
        <w:rPr>
          <w:rFonts w:ascii="Arial" w:cs="Arial" w:eastAsia="Arial" w:hAnsi="Arial"/>
          <w:sz w:val="18"/>
          <w:szCs w:val="18"/>
          <w:color w:val="auto"/>
        </w:rPr>
        <w:t>.</w:t>
      </w:r>
    </w:p>
    <w:p>
      <w:pPr>
        <w:spacing w:after="0" w:line="117" w:lineRule="exact"/>
        <w:rPr>
          <w:sz w:val="20"/>
          <w:szCs w:val="20"/>
          <w:color w:val="auto"/>
        </w:rPr>
      </w:pPr>
    </w:p>
    <w:p>
      <w:pPr>
        <w:ind w:firstLine="996"/>
        <w:spacing w:after="0" w:line="259" w:lineRule="auto"/>
        <w:tabs>
          <w:tab w:leader="none" w:pos="1237"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Section 2.07</w:t>
      </w:r>
      <w:r>
        <w:rPr>
          <w:rFonts w:ascii="Arial" w:cs="Arial" w:eastAsia="Arial" w:hAnsi="Arial"/>
          <w:sz w:val="18"/>
          <w:szCs w:val="18"/>
          <w:color w:val="auto"/>
        </w:rPr>
        <w:t>,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78" w:lineRule="exact"/>
        <w:rPr>
          <w:rFonts w:ascii="Arial" w:cs="Arial" w:eastAsia="Arial" w:hAnsi="Arial"/>
          <w:sz w:val="18"/>
          <w:szCs w:val="18"/>
          <w:color w:val="auto"/>
        </w:rPr>
      </w:pPr>
    </w:p>
    <w:p>
      <w:pPr>
        <w:ind w:right="40" w:firstLine="996"/>
        <w:spacing w:after="0" w:line="302" w:lineRule="auto"/>
        <w:tabs>
          <w:tab w:leader="none" w:pos="124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xml:space="preserve">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w:t>
      </w:r>
      <w:r>
        <w:rPr>
          <w:rFonts w:ascii="Arial" w:cs="Arial" w:eastAsia="Arial" w:hAnsi="Arial"/>
          <w:sz w:val="16"/>
          <w:szCs w:val="16"/>
          <w:u w:val="single" w:color="auto"/>
          <w:color w:val="auto"/>
        </w:rPr>
        <w:t>Section 6.04</w:t>
      </w:r>
      <w:r>
        <w:rPr>
          <w:rFonts w:ascii="Arial" w:cs="Arial" w:eastAsia="Arial" w:hAnsi="Arial"/>
          <w:sz w:val="16"/>
          <w:szCs w:val="16"/>
          <w:color w:val="auto"/>
        </w:rPr>
        <w:t>, every power and remedy given by this Article or by law to the Trustee or the Securityholders may be exercised from time to time, and as often as shall be deemed expedient, by the Trustee or by the Securityholders.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125" w:name="page126"/>
    <w:bookmarkEnd w:id="12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6.06 </w:t>
      </w:r>
      <w:r>
        <w:rPr>
          <w:rFonts w:ascii="Arial" w:cs="Arial" w:eastAsia="Arial" w:hAnsi="Arial"/>
          <w:sz w:val="18"/>
          <w:szCs w:val="18"/>
          <w:u w:val="single" w:color="auto"/>
          <w:color w:val="auto"/>
        </w:rPr>
        <w:t>Control by Securityholders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 xml:space="preserve">The holders of a majority in aggregate principal amount of the Securities of any series at the time Outstanding, determined in accordance with </w:t>
      </w:r>
      <w:r>
        <w:rPr>
          <w:rFonts w:ascii="Arial" w:cs="Arial" w:eastAsia="Arial" w:hAnsi="Arial"/>
          <w:sz w:val="17"/>
          <w:szCs w:val="17"/>
          <w:u w:val="single" w:color="auto"/>
          <w:color w:val="auto"/>
        </w:rPr>
        <w:t>Section 8.04</w:t>
      </w:r>
      <w:r>
        <w:rPr>
          <w:rFonts w:ascii="Arial" w:cs="Arial" w:eastAsia="Arial" w:hAnsi="Arial"/>
          <w:sz w:val="17"/>
          <w:szCs w:val="17"/>
          <w:color w:val="auto"/>
        </w:rPr>
        <w:t xml:space="preserve">, shall have the right to direct the time, method and place of conducting any proceeding for any remedy available to the Trustee, or exercising any trust or power conferred on the Trustee with respect to such series;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such direction shall not be in conflict with any rule of law or with this Indenture or subject the Trustee in its sole discretion to personal liability. The Trustee shall have the right to decline to follow any such direction if the Trustee in good faith shall determine that the proceeding so directed, subject to the Trustee’s duties under the Trust Indenture Act, would involve the Trustee in personal liability or might be unduly prejudicial to the Securityholders not involved in the proceeding. Prior to taking any action under this Indenture, the Trustee shall be entitled to indemnity or security satisfactory to it against loss, liability or expense that may be caused by taking such action. The holders of a majority in aggregate principal amount of the Securities of any series at the time Outstanding affected thereby, determined in accordance with </w:t>
      </w:r>
      <w:r>
        <w:rPr>
          <w:rFonts w:ascii="Arial" w:cs="Arial" w:eastAsia="Arial" w:hAnsi="Arial"/>
          <w:sz w:val="17"/>
          <w:szCs w:val="17"/>
          <w:u w:val="single" w:color="auto"/>
          <w:color w:val="auto"/>
        </w:rPr>
        <w:t>Section 8.04</w:t>
      </w:r>
      <w:r>
        <w:rPr>
          <w:rFonts w:ascii="Arial" w:cs="Arial" w:eastAsia="Arial" w:hAnsi="Arial"/>
          <w:sz w:val="17"/>
          <w:szCs w:val="17"/>
          <w:color w:val="auto"/>
        </w:rPr>
        <w:t xml:space="preserve">, may on behalf of the holders of all of the Securities of such series waive any past default in the performance of any of the covenants contained herein or established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w:t>
      </w:r>
      <w:r>
        <w:rPr>
          <w:rFonts w:ascii="Arial" w:cs="Arial" w:eastAsia="Arial" w:hAnsi="Arial"/>
          <w:sz w:val="17"/>
          <w:szCs w:val="17"/>
          <w:u w:val="single" w:color="auto"/>
          <w:color w:val="auto"/>
        </w:rPr>
        <w:t>Section 6.01(c)</w:t>
      </w:r>
      <w:r>
        <w:rPr>
          <w:rFonts w:ascii="Arial" w:cs="Arial" w:eastAsia="Arial" w:hAnsi="Arial"/>
          <w:sz w:val="17"/>
          <w:szCs w:val="17"/>
          <w:color w:val="auto"/>
        </w:rPr>
        <w:t>).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Undertaking to Pay Costs</w:t>
      </w:r>
      <w:r>
        <w:rPr>
          <w:rFonts w:ascii="Arial" w:cs="Arial" w:eastAsia="Arial" w:hAnsi="Arial"/>
          <w:sz w:val="18"/>
          <w:szCs w:val="18"/>
          <w:color w:val="auto"/>
        </w:rPr>
        <w:t>.</w:t>
      </w:r>
    </w:p>
    <w:p>
      <w:pPr>
        <w:spacing w:after="0" w:line="117" w:lineRule="exact"/>
        <w:rPr>
          <w:sz w:val="20"/>
          <w:szCs w:val="20"/>
          <w:color w:val="auto"/>
        </w:rPr>
      </w:pPr>
    </w:p>
    <w:p>
      <w:pPr>
        <w:ind w:right="40" w:firstLine="441"/>
        <w:spacing w:after="0" w:line="290" w:lineRule="auto"/>
        <w:rPr>
          <w:sz w:val="20"/>
          <w:szCs w:val="20"/>
          <w:color w:val="auto"/>
        </w:rPr>
      </w:pPr>
      <w:r>
        <w:rPr>
          <w:rFonts w:ascii="Arial" w:cs="Arial" w:eastAsia="Arial" w:hAnsi="Arial"/>
          <w:sz w:val="16"/>
          <w:szCs w:val="16"/>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CONCERNING THE TRUSTEE</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Certain Duties and Responsibilities of Trustee</w:t>
      </w:r>
      <w:r>
        <w:rPr>
          <w:rFonts w:ascii="Arial" w:cs="Arial" w:eastAsia="Arial" w:hAnsi="Arial"/>
          <w:sz w:val="18"/>
          <w:szCs w:val="18"/>
          <w:color w:val="auto"/>
        </w:rPr>
        <w:t>.</w:t>
      </w:r>
    </w:p>
    <w:p>
      <w:pPr>
        <w:spacing w:after="0" w:line="117" w:lineRule="exact"/>
        <w:rPr>
          <w:sz w:val="20"/>
          <w:szCs w:val="20"/>
          <w:color w:val="auto"/>
        </w:rPr>
      </w:pPr>
    </w:p>
    <w:p>
      <w:pPr>
        <w:ind w:left="-60" w:firstLine="996"/>
        <w:spacing w:after="0" w:line="293" w:lineRule="auto"/>
        <w:tabs>
          <w:tab w:leader="none" w:pos="1177"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person would exercise or use under the circumstances in the conduct of such person’s own affairs.</w:t>
      </w:r>
    </w:p>
    <w:p>
      <w:pPr>
        <w:spacing w:after="0" w:line="56" w:lineRule="exact"/>
        <w:rPr>
          <w:rFonts w:ascii="Arial" w:cs="Arial" w:eastAsia="Arial" w:hAnsi="Arial"/>
          <w:sz w:val="16"/>
          <w:szCs w:val="16"/>
          <w:color w:val="auto"/>
        </w:rPr>
      </w:pPr>
    </w:p>
    <w:p>
      <w:pPr>
        <w:ind w:left="-60" w:right="280" w:firstLine="996"/>
        <w:spacing w:after="0" w:line="277" w:lineRule="auto"/>
        <w:tabs>
          <w:tab w:leader="none" w:pos="118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62" w:lineRule="exact"/>
        <w:rPr>
          <w:rFonts w:ascii="Arial" w:cs="Arial" w:eastAsia="Arial" w:hAnsi="Arial"/>
          <w:sz w:val="18"/>
          <w:szCs w:val="18"/>
          <w:color w:val="auto"/>
        </w:rPr>
      </w:pPr>
    </w:p>
    <w:p>
      <w:pPr>
        <w:ind w:left="380" w:right="80" w:firstLine="957"/>
        <w:spacing w:after="0" w:line="277" w:lineRule="auto"/>
        <w:tabs>
          <w:tab w:leader="none" w:pos="1587" w:val="left"/>
        </w:tabs>
        <w:numPr>
          <w:ilvl w:val="1"/>
          <w:numId w:val="120"/>
        </w:numPr>
        <w:rPr>
          <w:rFonts w:ascii="Arial" w:cs="Arial" w:eastAsia="Arial" w:hAnsi="Arial"/>
          <w:sz w:val="18"/>
          <w:szCs w:val="18"/>
          <w:color w:val="auto"/>
        </w:rPr>
      </w:pPr>
      <w:r>
        <w:rPr>
          <w:rFonts w:ascii="Arial" w:cs="Arial" w:eastAsia="Arial" w:hAnsi="Arial"/>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62" w:lineRule="exact"/>
        <w:rPr>
          <w:rFonts w:ascii="Arial" w:cs="Arial" w:eastAsia="Arial" w:hAnsi="Arial"/>
          <w:sz w:val="18"/>
          <w:szCs w:val="18"/>
          <w:color w:val="auto"/>
        </w:rPr>
      </w:pPr>
    </w:p>
    <w:p>
      <w:pPr>
        <w:ind w:left="380" w:right="80" w:firstLine="1380"/>
        <w:spacing w:after="0" w:line="259" w:lineRule="auto"/>
        <w:tabs>
          <w:tab w:leader="none" w:pos="2050" w:val="left"/>
        </w:tabs>
        <w:numPr>
          <w:ilvl w:val="2"/>
          <w:numId w:val="120"/>
        </w:numPr>
        <w:rPr>
          <w:rFonts w:ascii="Arial" w:cs="Arial" w:eastAsia="Arial" w:hAnsi="Arial"/>
          <w:sz w:val="18"/>
          <w:szCs w:val="18"/>
          <w:color w:val="auto"/>
        </w:rPr>
      </w:pPr>
      <w:r>
        <w:rPr>
          <w:rFonts w:ascii="Arial" w:cs="Arial" w:eastAsia="Arial" w:hAnsi="Arial"/>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78" w:lineRule="exact"/>
        <w:rPr>
          <w:rFonts w:ascii="Arial" w:cs="Arial" w:eastAsia="Arial" w:hAnsi="Arial"/>
          <w:sz w:val="18"/>
          <w:szCs w:val="18"/>
          <w:color w:val="auto"/>
        </w:rPr>
      </w:pPr>
    </w:p>
    <w:p>
      <w:pPr>
        <w:ind w:left="380" w:right="20" w:firstLine="1380"/>
        <w:spacing w:after="0" w:line="255" w:lineRule="auto"/>
        <w:tabs>
          <w:tab w:leader="none" w:pos="2040" w:val="left"/>
        </w:tabs>
        <w:numPr>
          <w:ilvl w:val="2"/>
          <w:numId w:val="120"/>
        </w:numPr>
        <w:rPr>
          <w:rFonts w:ascii="Arial" w:cs="Arial" w:eastAsia="Arial" w:hAnsi="Arial"/>
          <w:sz w:val="18"/>
          <w:szCs w:val="18"/>
          <w:color w:val="auto"/>
        </w:rPr>
      </w:pPr>
      <w:r>
        <w:rPr>
          <w:rFonts w:ascii="Arial" w:cs="Arial" w:eastAsia="Arial" w:hAnsi="Arial"/>
          <w:sz w:val="18"/>
          <w:szCs w:val="18"/>
          <w:color w:val="auto"/>
        </w:rPr>
        <w:t>in the absence of willful misconduct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spacing w:after="0" w:line="85" w:lineRule="exact"/>
        <w:rPr>
          <w:rFonts w:ascii="Arial" w:cs="Arial" w:eastAsia="Arial" w:hAnsi="Arial"/>
          <w:sz w:val="18"/>
          <w:szCs w:val="18"/>
          <w:color w:val="auto"/>
        </w:rPr>
      </w:pPr>
    </w:p>
    <w:p>
      <w:pPr>
        <w:ind w:left="380" w:right="160" w:firstLine="957"/>
        <w:spacing w:after="0" w:line="277" w:lineRule="auto"/>
        <w:tabs>
          <w:tab w:leader="none" w:pos="1587"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62" w:lineRule="exact"/>
        <w:rPr>
          <w:rFonts w:ascii="Arial" w:cs="Arial" w:eastAsia="Arial" w:hAnsi="Arial"/>
          <w:sz w:val="18"/>
          <w:szCs w:val="18"/>
          <w:color w:val="auto"/>
        </w:rPr>
      </w:pPr>
    </w:p>
    <w:p>
      <w:pPr>
        <w:ind w:left="380" w:right="140" w:firstLine="957"/>
        <w:spacing w:after="0" w:line="259" w:lineRule="auto"/>
        <w:tabs>
          <w:tab w:leader="none" w:pos="1587"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20"/>
          </w:cols>
          <w:pgMar w:left="500" w:top="270" w:right="479" w:bottom="1440" w:gutter="0" w:footer="0" w:header="0"/>
        </w:sectPr>
      </w:pPr>
    </w:p>
    <w:bookmarkStart w:id="127" w:name="page128"/>
    <w:bookmarkEnd w:id="127"/>
    <w:p>
      <w:pPr>
        <w:ind w:left="380" w:right="140" w:firstLine="957"/>
        <w:spacing w:after="0" w:line="259" w:lineRule="auto"/>
        <w:tabs>
          <w:tab w:leader="none" w:pos="1587" w:val="left"/>
        </w:tabs>
        <w:numPr>
          <w:ilvl w:val="0"/>
          <w:numId w:val="1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none of the provisions contained in this Indenture shall require the Trustee to expend or risk its own funds or otherwise incur personal or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Certain Rights of Trustee</w:t>
      </w:r>
      <w:r>
        <w:rPr>
          <w:rFonts w:ascii="Arial" w:cs="Arial" w:eastAsia="Arial" w:hAnsi="Arial"/>
          <w:sz w:val="18"/>
          <w:szCs w:val="18"/>
          <w:color w:val="auto"/>
        </w:rPr>
        <w:t>.</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117" w:lineRule="exact"/>
        <w:rPr>
          <w:sz w:val="20"/>
          <w:szCs w:val="20"/>
          <w:color w:val="auto"/>
        </w:rPr>
      </w:pPr>
    </w:p>
    <w:p>
      <w:pPr>
        <w:ind w:left="-60" w:right="80" w:firstLine="996"/>
        <w:spacing w:after="0" w:line="297" w:lineRule="auto"/>
        <w:tabs>
          <w:tab w:leader="none" w:pos="1177"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Trustee may rely and shall be protected in acting or refraining from acting upon any resolution, certificate, statement, instrument, opinion, report, notice, request, consent, order, approval, bond, security or other paper or document or other evidence of indebtedness believed by it to be genuine and to have been signed or presented by the proper party or parties. The Trustee need not investigate any fact or matter stated in the document. The Trustee shall receive and retain financial reports and statements of the Company to the extent provided herein, but shall have no duty to review or analyze such reports or statements to determine compliance with covenants or other obligations of the Company;</w:t>
      </w:r>
    </w:p>
    <w:p>
      <w:pPr>
        <w:spacing w:after="0" w:line="50" w:lineRule="exact"/>
        <w:rPr>
          <w:rFonts w:ascii="Arial" w:cs="Arial" w:eastAsia="Arial" w:hAnsi="Arial"/>
          <w:sz w:val="16"/>
          <w:szCs w:val="16"/>
          <w:color w:val="auto"/>
        </w:rPr>
      </w:pPr>
    </w:p>
    <w:p>
      <w:pPr>
        <w:ind w:left="-60" w:right="20" w:firstLine="996"/>
        <w:spacing w:after="0" w:line="264" w:lineRule="auto"/>
        <w:tabs>
          <w:tab w:leader="none" w:pos="118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73" w:lineRule="exact"/>
        <w:rPr>
          <w:rFonts w:ascii="Arial" w:cs="Arial" w:eastAsia="Arial" w:hAnsi="Arial"/>
          <w:sz w:val="18"/>
          <w:szCs w:val="18"/>
          <w:color w:val="auto"/>
        </w:rPr>
      </w:pPr>
    </w:p>
    <w:p>
      <w:pPr>
        <w:ind w:left="-60" w:right="100" w:firstLine="996"/>
        <w:spacing w:after="0" w:line="342" w:lineRule="auto"/>
        <w:tabs>
          <w:tab w:leader="none" w:pos="1177"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Trustee may consult with counsel of its selection and the advice of such counsel or, if requested, any Opinion of Counsel shall be full and complete authorization and protection in respect of any action taken or suffered or omitted hereunder in good faith and in reliance thereon;</w:t>
      </w:r>
    </w:p>
    <w:p>
      <w:pPr>
        <w:spacing w:after="0" w:line="15" w:lineRule="exact"/>
        <w:rPr>
          <w:rFonts w:ascii="Arial" w:cs="Arial" w:eastAsia="Arial" w:hAnsi="Arial"/>
          <w:sz w:val="16"/>
          <w:szCs w:val="16"/>
          <w:color w:val="auto"/>
        </w:rPr>
      </w:pPr>
    </w:p>
    <w:p>
      <w:pPr>
        <w:ind w:left="-60" w:firstLine="996"/>
        <w:spacing w:after="0" w:line="312" w:lineRule="auto"/>
        <w:tabs>
          <w:tab w:leader="none" w:pos="1187"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(and if requested, provided) to the Trustee security or indemnity satisfactory to it against the costs, expenses, claims and liabilities that may be incurred therein or thereby;</w:t>
      </w:r>
    </w:p>
    <w:p>
      <w:pPr>
        <w:spacing w:after="0" w:line="38" w:lineRule="exact"/>
        <w:rPr>
          <w:rFonts w:ascii="Arial" w:cs="Arial" w:eastAsia="Arial" w:hAnsi="Arial"/>
          <w:sz w:val="16"/>
          <w:szCs w:val="16"/>
          <w:color w:val="auto"/>
        </w:rPr>
      </w:pPr>
    </w:p>
    <w:p>
      <w:pPr>
        <w:ind w:left="-60" w:right="380" w:firstLine="996"/>
        <w:spacing w:after="0" w:line="277" w:lineRule="auto"/>
        <w:tabs>
          <w:tab w:leader="none" w:pos="117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62" w:lineRule="exact"/>
        <w:rPr>
          <w:rFonts w:ascii="Arial" w:cs="Arial" w:eastAsia="Arial" w:hAnsi="Arial"/>
          <w:sz w:val="18"/>
          <w:szCs w:val="18"/>
          <w:color w:val="auto"/>
        </w:rPr>
      </w:pPr>
    </w:p>
    <w:p>
      <w:pPr>
        <w:ind w:left="-60" w:right="160" w:firstLine="996"/>
        <w:spacing w:after="0" w:line="271" w:lineRule="auto"/>
        <w:tabs>
          <w:tab w:leader="none" w:pos="1157"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The Trustee shall not be bound to make any investigation into the facts or matters stated in any resolution, certificate, statement, instrument, opinion, report, notice, request, consent, order, approval, bond, security, or other papers or documents or other evidence of indebtedness, unless requested in writing so to do by the holders of not less than a majority in principal amount of the Outstanding Securities of the particular series affected thereby (determined as provided in </w:t>
      </w:r>
      <w:r>
        <w:rPr>
          <w:rFonts w:ascii="Arial" w:cs="Arial" w:eastAsia="Arial" w:hAnsi="Arial"/>
          <w:sz w:val="17"/>
          <w:szCs w:val="17"/>
          <w:u w:val="single" w:color="auto"/>
          <w:color w:val="auto"/>
        </w:rPr>
        <w:t>Section 8.04</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payment within a reasonable time to the Trustee of the costs, expenses, claims or liabilities likely to be incurred by it in the making of such investigation is, in the opinion of the Trustee, not reasonably assured to the Trustee by the security afforded to it by the terms of this Indenture, the Trustee may require indemnity or security satisfactory to it against such costs, expenses, claims or liabilities as a condition to so proceeding. The reasonable expense of every such examination shall be paid by the Company or, if paid by the Trustee, shall be repaid by the Company upon demand;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00"/>
          </w:cols>
          <w:pgMar w:left="500" w:top="274" w:right="499" w:bottom="1440" w:gutter="0" w:footer="0" w:header="0"/>
        </w:sectPr>
      </w:pPr>
    </w:p>
    <w:bookmarkStart w:id="128" w:name="page129"/>
    <w:bookmarkEnd w:id="128"/>
    <w:p>
      <w:pPr>
        <w:jc w:val="both"/>
        <w:ind w:right="80" w:firstLine="996"/>
        <w:spacing w:after="0" w:line="264" w:lineRule="auto"/>
        <w:tabs>
          <w:tab w:leader="none" w:pos="1247" w:val="left"/>
        </w:tabs>
        <w:numPr>
          <w:ilvl w:val="0"/>
          <w:numId w:val="1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73" w:lineRule="exact"/>
        <w:rPr>
          <w:rFonts w:ascii="Arial" w:cs="Arial" w:eastAsia="Arial" w:hAnsi="Arial"/>
          <w:sz w:val="18"/>
          <w:szCs w:val="18"/>
          <w:color w:val="auto"/>
        </w:rPr>
      </w:pPr>
    </w:p>
    <w:p>
      <w:pPr>
        <w:ind w:right="60" w:firstLine="996"/>
        <w:spacing w:after="0" w:line="276" w:lineRule="auto"/>
        <w:tabs>
          <w:tab w:leader="none" w:pos="1247"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64" w:lineRule="exact"/>
        <w:rPr>
          <w:rFonts w:ascii="Arial" w:cs="Arial" w:eastAsia="Arial" w:hAnsi="Arial"/>
          <w:sz w:val="17"/>
          <w:szCs w:val="17"/>
          <w:color w:val="auto"/>
        </w:rPr>
      </w:pPr>
    </w:p>
    <w:p>
      <w:pPr>
        <w:ind w:right="240" w:firstLine="996"/>
        <w:spacing w:after="0" w:line="264" w:lineRule="auto"/>
        <w:tabs>
          <w:tab w:leader="none" w:pos="120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punitive, indirect, or consequential loss or damage of any kind whatsoever (including, but not limited to, loss of profit) irrespective of whether the Trustee has been advised of the likelihood of such loss or damage and regardless of the form of action;</w:t>
      </w:r>
    </w:p>
    <w:p>
      <w:pPr>
        <w:spacing w:after="0" w:line="73" w:lineRule="exact"/>
        <w:rPr>
          <w:rFonts w:ascii="Arial" w:cs="Arial" w:eastAsia="Arial" w:hAnsi="Arial"/>
          <w:sz w:val="18"/>
          <w:szCs w:val="18"/>
          <w:color w:val="auto"/>
        </w:rPr>
      </w:pPr>
    </w:p>
    <w:p>
      <w:pPr>
        <w:ind w:left="1220" w:hanging="224"/>
        <w:spacing w:after="0"/>
        <w:tabs>
          <w:tab w:leader="none" w:pos="12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permissive rights of the Trustee enumerated herein shall not be construed as duties;</w:t>
      </w:r>
    </w:p>
    <w:p>
      <w:pPr>
        <w:spacing w:after="0" w:line="117" w:lineRule="exact"/>
        <w:rPr>
          <w:rFonts w:ascii="Arial" w:cs="Arial" w:eastAsia="Arial" w:hAnsi="Arial"/>
          <w:sz w:val="18"/>
          <w:szCs w:val="18"/>
          <w:color w:val="auto"/>
        </w:rPr>
      </w:pPr>
    </w:p>
    <w:p>
      <w:pPr>
        <w:ind w:firstLine="996"/>
        <w:spacing w:after="0" w:line="277" w:lineRule="auto"/>
        <w:tabs>
          <w:tab w:leader="none" w:pos="124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Trustee may request that the Company deliver a certificate setting forth the names of individuals and/or titles of officers authorized at such time to take specified actions pursuant to this Indenture; and</w:t>
      </w:r>
    </w:p>
    <w:p>
      <w:pPr>
        <w:spacing w:after="0" w:line="62" w:lineRule="exact"/>
        <w:rPr>
          <w:rFonts w:ascii="Arial" w:cs="Arial" w:eastAsia="Arial" w:hAnsi="Arial"/>
          <w:sz w:val="18"/>
          <w:szCs w:val="18"/>
          <w:color w:val="auto"/>
        </w:rPr>
      </w:pPr>
    </w:p>
    <w:p>
      <w:pPr>
        <w:ind w:left="1220" w:hanging="224"/>
        <w:spacing w:after="0"/>
        <w:tabs>
          <w:tab w:leader="none" w:pos="122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Trustee shall not be required to give any bond or surety in respect of the performance of its powers and duties hereunder.</w:t>
      </w:r>
    </w:p>
    <w:p>
      <w:pPr>
        <w:spacing w:after="0" w:line="237" w:lineRule="exact"/>
        <w:rPr>
          <w:sz w:val="20"/>
          <w:szCs w:val="20"/>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In addition, the Trustee shall not be deemed to have knowledge of any Default or Event of Default until a Responsible Officer of the Trustee shall have received written notification in the manner set forth in this Indenture, and such notice references the Securities and this Indenture or a Responsible Officer of the Trustee shall have obtained actual knowledge.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Trustee Not Responsible for Recitals or Issuance or Securities</w:t>
      </w:r>
      <w:r>
        <w:rPr>
          <w:rFonts w:ascii="Arial" w:cs="Arial" w:eastAsia="Arial" w:hAnsi="Arial"/>
          <w:sz w:val="18"/>
          <w:szCs w:val="18"/>
          <w:color w:val="auto"/>
        </w:rPr>
        <w:t>.</w:t>
      </w:r>
    </w:p>
    <w:p>
      <w:pPr>
        <w:spacing w:after="0" w:line="117" w:lineRule="exact"/>
        <w:rPr>
          <w:sz w:val="20"/>
          <w:szCs w:val="20"/>
          <w:color w:val="auto"/>
        </w:rPr>
      </w:pPr>
    </w:p>
    <w:p>
      <w:pPr>
        <w:ind w:right="620" w:firstLine="996"/>
        <w:spacing w:after="0" w:line="277" w:lineRule="auto"/>
        <w:tabs>
          <w:tab w:leader="none" w:pos="123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recitals contained herein and in the Securities shall be taken as the statements of the Company, and the Trustee assumes no responsibility for the correctness of the same.</w:t>
      </w:r>
    </w:p>
    <w:p>
      <w:pPr>
        <w:spacing w:after="0" w:line="62" w:lineRule="exact"/>
        <w:rPr>
          <w:rFonts w:ascii="Arial" w:cs="Arial" w:eastAsia="Arial" w:hAnsi="Arial"/>
          <w:sz w:val="18"/>
          <w:szCs w:val="18"/>
          <w:color w:val="auto"/>
        </w:rPr>
      </w:pPr>
    </w:p>
    <w:p>
      <w:pPr>
        <w:ind w:left="1260" w:hanging="264"/>
        <w:spacing w:after="0"/>
        <w:tabs>
          <w:tab w:leader="none" w:pos="12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Trustee makes no representations as to the validity or sufficiency of this Indenture or of the Securities.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129" w:name="page130"/>
    <w:bookmarkEnd w:id="129"/>
    <w:p>
      <w:pPr>
        <w:ind w:right="440" w:firstLine="996"/>
        <w:spacing w:after="0" w:line="286" w:lineRule="auto"/>
        <w:tabs>
          <w:tab w:leader="none" w:pos="1237" w:val="left"/>
        </w:tabs>
        <w:numPr>
          <w:ilvl w:val="0"/>
          <w:numId w:val="12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w:t>
      </w:r>
      <w:r>
        <w:rPr>
          <w:rFonts w:ascii="Arial" w:cs="Arial" w:eastAsia="Arial" w:hAnsi="Arial"/>
          <w:sz w:val="17"/>
          <w:szCs w:val="17"/>
          <w:u w:val="single" w:color="auto"/>
          <w:color w:val="auto"/>
        </w:rPr>
        <w:t>Section 2.01</w:t>
      </w:r>
      <w:r>
        <w:rPr>
          <w:rFonts w:ascii="Arial" w:cs="Arial" w:eastAsia="Arial" w:hAnsi="Arial"/>
          <w:sz w:val="17"/>
          <w:szCs w:val="17"/>
          <w:color w:val="auto"/>
        </w:rPr>
        <w:t>, or for the use or application of any moneys received by any paying agent other than the Trustee.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May Hold Securities</w:t>
      </w:r>
      <w:r>
        <w:rPr>
          <w:rFonts w:ascii="Arial" w:cs="Arial" w:eastAsia="Arial" w:hAnsi="Arial"/>
          <w:sz w:val="18"/>
          <w:szCs w:val="18"/>
          <w:color w:val="auto"/>
        </w:rPr>
        <w:t>.</w:t>
      </w:r>
    </w:p>
    <w:p>
      <w:pPr>
        <w:spacing w:after="0" w:line="117"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Moneys Held in Trust</w:t>
      </w:r>
      <w:r>
        <w:rPr>
          <w:rFonts w:ascii="Arial" w:cs="Arial" w:eastAsia="Arial" w:hAnsi="Arial"/>
          <w:sz w:val="18"/>
          <w:szCs w:val="18"/>
          <w:color w:val="auto"/>
        </w:rPr>
        <w:t>.</w:t>
      </w:r>
    </w:p>
    <w:p>
      <w:pPr>
        <w:spacing w:after="0" w:line="117" w:lineRule="exact"/>
        <w:rPr>
          <w:sz w:val="20"/>
          <w:szCs w:val="20"/>
          <w:color w:val="auto"/>
        </w:rPr>
      </w:pPr>
    </w:p>
    <w:p>
      <w:pPr>
        <w:ind w:right="80" w:firstLine="441"/>
        <w:spacing w:after="0" w:line="312" w:lineRule="auto"/>
        <w:rPr>
          <w:sz w:val="20"/>
          <w:szCs w:val="20"/>
          <w:color w:val="auto"/>
        </w:rPr>
      </w:pPr>
      <w:r>
        <w:rPr>
          <w:rFonts w:ascii="Arial" w:cs="Arial" w:eastAsia="Arial" w:hAnsi="Arial"/>
          <w:sz w:val="16"/>
          <w:szCs w:val="16"/>
          <w:color w:val="auto"/>
        </w:rPr>
        <w:t xml:space="preserve">Subject to the provisions of </w:t>
      </w:r>
      <w:r>
        <w:rPr>
          <w:rFonts w:ascii="Arial" w:cs="Arial" w:eastAsia="Arial" w:hAnsi="Arial"/>
          <w:sz w:val="16"/>
          <w:szCs w:val="16"/>
          <w:u w:val="single" w:color="auto"/>
          <w:color w:val="auto"/>
        </w:rPr>
        <w:t>Section 11.05</w:t>
      </w:r>
      <w:r>
        <w:rPr>
          <w:rFonts w:ascii="Arial" w:cs="Arial" w:eastAsia="Arial" w:hAnsi="Arial"/>
          <w:sz w:val="16"/>
          <w:szCs w:val="16"/>
          <w:color w:val="auto"/>
        </w:rPr>
        <w:t>,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in writing with the Company to pay thereon.</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u w:val="single" w:color="auto"/>
          <w:color w:val="auto"/>
        </w:rPr>
        <w:t>Compensation and Reimbursement</w:t>
      </w:r>
      <w:r>
        <w:rPr>
          <w:rFonts w:ascii="Arial" w:cs="Arial" w:eastAsia="Arial" w:hAnsi="Arial"/>
          <w:sz w:val="18"/>
          <w:szCs w:val="18"/>
          <w:color w:val="auto"/>
        </w:rPr>
        <w:t>.</w:t>
      </w:r>
    </w:p>
    <w:p>
      <w:pPr>
        <w:spacing w:after="0" w:line="117" w:lineRule="exact"/>
        <w:rPr>
          <w:sz w:val="20"/>
          <w:szCs w:val="20"/>
          <w:color w:val="auto"/>
        </w:rPr>
      </w:pPr>
    </w:p>
    <w:p>
      <w:pPr>
        <w:ind w:firstLine="996"/>
        <w:spacing w:after="0" w:line="287" w:lineRule="auto"/>
        <w:tabs>
          <w:tab w:leader="none" w:pos="1237"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Company covenants and agrees to pay to the Trustee, and the Trustee shall be entitled to, such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and documented expenses, disbursements and advances incurred or made by the Trustee in accordance with any of the provisions of this Indenture (including the reasonable and documented fees and the expenses and disbursements of its counsel and of all Persons not regularly in its employ), except any such expense, disbursement or advance as may arise from its negligence or willful misconduct. The Company also covenants to indemnify the Trustee (and its officers, agents, directors and employees) for, and to hold it harmless against, any documented loss, liability or expense, including reasonable and documented attorneys’ fees, incurred without negligence or willful misconduct on the part of the Trustee and arising out of or in connection with the acceptance or administration of this trust, including the reasonable and documented costs and expenses of defending itself against any claim of liability in the premises (whether asserted by the Company, or any holder or any other Person) or liability in connection with the exercise or performance of any of its powers or duties hereunder, or in connection with enforcing the provisions of this Section.</w:t>
      </w:r>
    </w:p>
    <w:p>
      <w:pPr>
        <w:spacing w:after="0" w:line="60" w:lineRule="exact"/>
        <w:rPr>
          <w:rFonts w:ascii="Arial" w:cs="Arial" w:eastAsia="Arial" w:hAnsi="Arial"/>
          <w:sz w:val="16"/>
          <w:szCs w:val="16"/>
          <w:color w:val="auto"/>
        </w:rPr>
      </w:pPr>
    </w:p>
    <w:p>
      <w:pPr>
        <w:ind w:right="220" w:firstLine="996"/>
        <w:spacing w:after="0" w:line="259" w:lineRule="auto"/>
        <w:tabs>
          <w:tab w:leader="none" w:pos="124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to compensate and indemnify the Trustee and to pay or reimburse the Trustee for reasonable expenses, disbursements and advances shall constitute indebtedness of the Company to which the Securities are subordinated. Such additional indebtedness shall be secured by a lien prior to that of the Securities upon all property and funds held or collected by the Trustee as such, except funds held in trust for the benefit of the holders of particular Securities.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130" w:name="page131"/>
    <w:bookmarkEnd w:id="130"/>
    <w:p>
      <w:pPr>
        <w:ind w:right="140" w:firstLine="996"/>
        <w:spacing w:after="0" w:line="255" w:lineRule="auto"/>
        <w:tabs>
          <w:tab w:leader="none" w:pos="1237" w:val="left"/>
        </w:tabs>
        <w:numPr>
          <w:ilvl w:val="0"/>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ensure the Company’s payment obligations in this Section, the Trustee shall have a lien prior to the Securities on all funds or property held or collected by the Trustee, except that held in trust to pay principal of, premium, if any, or interest on particular Securities. When the Trustee incurs expenses or renders services in connection with an Event of Default specified in </w:t>
      </w:r>
      <w:r>
        <w:rPr>
          <w:rFonts w:ascii="Arial" w:cs="Arial" w:eastAsia="Arial" w:hAnsi="Arial"/>
          <w:sz w:val="18"/>
          <w:szCs w:val="18"/>
          <w:u w:val="single" w:color="auto"/>
          <w:color w:val="auto"/>
        </w:rPr>
        <w:t>Section 6.01(a)(4)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w:t>
      </w:r>
      <w:r>
        <w:rPr>
          <w:rFonts w:ascii="Arial" w:cs="Arial" w:eastAsia="Arial" w:hAnsi="Arial"/>
          <w:sz w:val="18"/>
          <w:szCs w:val="18"/>
          <w:color w:val="auto"/>
        </w:rPr>
        <w:t xml:space="preserve">, the expenses (including the reasonable fees and expenses of its counsel) and the compensation for services in connection therewith are to constitute expenses of administration under any Bankruptcy Law. The provisions of this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shall survive the termination of this Indenture and the earlier resignation or removal of the Trustee.</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u w:val="single" w:color="auto"/>
          <w:color w:val="auto"/>
        </w:rPr>
        <w:t>Reliance on Officer’s Certificate or Opinion of Counsel</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 xml:space="preserve">Except as otherwise provided in </w:t>
      </w:r>
      <w:r>
        <w:rPr>
          <w:rFonts w:ascii="Arial" w:cs="Arial" w:eastAsia="Arial" w:hAnsi="Arial"/>
          <w:sz w:val="17"/>
          <w:szCs w:val="17"/>
          <w:u w:val="single" w:color="auto"/>
          <w:color w:val="auto"/>
        </w:rPr>
        <w:t>Section 7.01</w:t>
      </w:r>
      <w:r>
        <w:rPr>
          <w:rFonts w:ascii="Arial" w:cs="Arial" w:eastAsia="Arial" w:hAnsi="Arial"/>
          <w:sz w:val="17"/>
          <w:szCs w:val="17"/>
          <w:color w:val="auto"/>
        </w:rPr>
        <w:t>,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willful misconduct on the part of the Trustee, be deemed to be conclusively proved and established by an Officer’s Certificate and Opinion of Counsel delivered to the Trustee and such certificate and opinion, in the absence of negligence or willful misconduct on the part of the Trustee, shall be full warrant to the Trustee for any action taken, suffered or omitted to be taken by it under the provisions of this Indenture upon the faith thereof.</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Disqualification; Conflicting Interests</w:t>
      </w:r>
      <w:r>
        <w:rPr>
          <w:rFonts w:ascii="Arial" w:cs="Arial" w:eastAsia="Arial" w:hAnsi="Arial"/>
          <w:sz w:val="18"/>
          <w:szCs w:val="18"/>
          <w:color w:val="auto"/>
        </w:rPr>
        <w:t>.</w:t>
      </w:r>
    </w:p>
    <w:p>
      <w:pPr>
        <w:spacing w:after="0" w:line="117"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Corporate Trustee Required; Eligibility</w:t>
      </w:r>
      <w:r>
        <w:rPr>
          <w:rFonts w:ascii="Arial" w:cs="Arial" w:eastAsia="Arial" w:hAnsi="Arial"/>
          <w:sz w:val="18"/>
          <w:szCs w:val="18"/>
          <w:color w:val="auto"/>
        </w:rPr>
        <w:t>.</w:t>
      </w:r>
    </w:p>
    <w:p>
      <w:pPr>
        <w:spacing w:after="0" w:line="117" w:lineRule="exact"/>
        <w:rPr>
          <w:sz w:val="20"/>
          <w:szCs w:val="20"/>
          <w:color w:val="auto"/>
        </w:rPr>
      </w:pPr>
    </w:p>
    <w:p>
      <w:pPr>
        <w:jc w:val="both"/>
        <w:ind w:right="40" w:firstLine="441"/>
        <w:spacing w:after="0" w:line="302" w:lineRule="auto"/>
        <w:rPr>
          <w:sz w:val="20"/>
          <w:szCs w:val="20"/>
          <w:color w:val="auto"/>
        </w:rPr>
      </w:pPr>
      <w:r>
        <w:rPr>
          <w:rFonts w:ascii="Arial" w:cs="Arial" w:eastAsia="Arial" w:hAnsi="Arial"/>
          <w:sz w:val="16"/>
          <w:szCs w:val="16"/>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54"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 xml:space="preserve">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w:t>
      </w:r>
      <w:r>
        <w:rPr>
          <w:rFonts w:ascii="Arial" w:cs="Arial" w:eastAsia="Arial" w:hAnsi="Arial"/>
          <w:sz w:val="18"/>
          <w:szCs w:val="18"/>
          <w:u w:val="single" w:color="auto"/>
          <w:color w:val="auto"/>
        </w:rPr>
        <w:t>Section 7.10</w:t>
      </w:r>
      <w:r>
        <w:rPr>
          <w:rFonts w:ascii="Arial" w:cs="Arial" w:eastAsia="Arial" w:hAnsi="Arial"/>
          <w:sz w:val="18"/>
          <w:szCs w:val="18"/>
          <w:color w:val="auto"/>
        </w:rPr>
        <w:t>.</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274" w:right="479" w:bottom="1440" w:gutter="0" w:footer="0" w:header="0"/>
        </w:sectPr>
      </w:pPr>
    </w:p>
    <w:bookmarkStart w:id="131" w:name="page132"/>
    <w:bookmarkEnd w:id="13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7.10 </w:t>
      </w:r>
      <w:r>
        <w:rPr>
          <w:rFonts w:ascii="Arial" w:cs="Arial" w:eastAsia="Arial" w:hAnsi="Arial"/>
          <w:sz w:val="18"/>
          <w:szCs w:val="18"/>
          <w:u w:val="single" w:color="auto"/>
          <w:color w:val="auto"/>
        </w:rPr>
        <w:t>Resignation and Removal; Appointment of Successor</w:t>
      </w:r>
      <w:r>
        <w:rPr>
          <w:rFonts w:ascii="Arial" w:cs="Arial" w:eastAsia="Arial" w:hAnsi="Arial"/>
          <w:sz w:val="18"/>
          <w:szCs w:val="18"/>
          <w:color w:val="auto"/>
        </w:rPr>
        <w:t>.</w:t>
      </w:r>
    </w:p>
    <w:p>
      <w:pPr>
        <w:spacing w:after="0" w:line="117" w:lineRule="exact"/>
        <w:rPr>
          <w:sz w:val="20"/>
          <w:szCs w:val="20"/>
          <w:color w:val="auto"/>
        </w:rPr>
      </w:pPr>
    </w:p>
    <w:p>
      <w:pPr>
        <w:ind w:right="40" w:firstLine="996"/>
        <w:spacing w:after="0" w:line="270" w:lineRule="auto"/>
        <w:tabs>
          <w:tab w:leader="none" w:pos="1237"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Trustee or any successor hereafter appointed may at any time resign with respect to the Securities of one or more series by giving written notice thereof to the Company and by transmitting notice of resignation by electronic mail, or by first class postage prepaid mail,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69" w:lineRule="exact"/>
        <w:rPr>
          <w:rFonts w:ascii="Arial" w:cs="Arial" w:eastAsia="Arial" w:hAnsi="Arial"/>
          <w:sz w:val="17"/>
          <w:szCs w:val="17"/>
          <w:color w:val="auto"/>
        </w:rPr>
      </w:pPr>
    </w:p>
    <w:p>
      <w:pPr>
        <w:ind w:left="1260" w:hanging="264"/>
        <w:spacing w:after="0"/>
        <w:tabs>
          <w:tab w:leader="none" w:pos="12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case at any time any one of the following shall occur:</w:t>
      </w:r>
    </w:p>
    <w:p>
      <w:pPr>
        <w:spacing w:after="0" w:line="117" w:lineRule="exact"/>
        <w:rPr>
          <w:rFonts w:ascii="Arial" w:cs="Arial" w:eastAsia="Arial" w:hAnsi="Arial"/>
          <w:sz w:val="18"/>
          <w:szCs w:val="18"/>
          <w:color w:val="auto"/>
        </w:rPr>
      </w:pPr>
    </w:p>
    <w:p>
      <w:pPr>
        <w:ind w:left="440" w:right="540" w:firstLine="957"/>
        <w:spacing w:after="0" w:line="277" w:lineRule="auto"/>
        <w:tabs>
          <w:tab w:leader="none" w:pos="1607" w:val="left"/>
        </w:tabs>
        <w:numPr>
          <w:ilvl w:val="1"/>
          <w:numId w:val="128"/>
        </w:numPr>
        <w:rPr>
          <w:rFonts w:ascii="Arial" w:cs="Arial" w:eastAsia="Arial" w:hAnsi="Arial"/>
          <w:sz w:val="18"/>
          <w:szCs w:val="18"/>
          <w:color w:val="auto"/>
        </w:rPr>
      </w:pPr>
      <w:r>
        <w:rPr>
          <w:rFonts w:ascii="Arial" w:cs="Arial" w:eastAsia="Arial" w:hAnsi="Arial"/>
          <w:sz w:val="18"/>
          <w:szCs w:val="18"/>
          <w:color w:val="auto"/>
        </w:rPr>
        <w:t xml:space="preserve">the Trustee shall fail to comply with the provisions of </w:t>
      </w:r>
      <w:r>
        <w:rPr>
          <w:rFonts w:ascii="Arial" w:cs="Arial" w:eastAsia="Arial" w:hAnsi="Arial"/>
          <w:sz w:val="18"/>
          <w:szCs w:val="18"/>
          <w:u w:val="single" w:color="auto"/>
          <w:color w:val="auto"/>
        </w:rPr>
        <w:t>Section 7.08</w:t>
      </w:r>
      <w:r>
        <w:rPr>
          <w:rFonts w:ascii="Arial" w:cs="Arial" w:eastAsia="Arial" w:hAnsi="Arial"/>
          <w:sz w:val="18"/>
          <w:szCs w:val="18"/>
          <w:color w:val="auto"/>
        </w:rPr>
        <w:t xml:space="preserve"> after written request therefor by the Company or by any Securityholder who has been a bona fide holder of a Security or Securities for at least six months; or</w:t>
      </w:r>
    </w:p>
    <w:p>
      <w:pPr>
        <w:spacing w:after="0" w:line="62" w:lineRule="exact"/>
        <w:rPr>
          <w:rFonts w:ascii="Arial" w:cs="Arial" w:eastAsia="Arial" w:hAnsi="Arial"/>
          <w:sz w:val="18"/>
          <w:szCs w:val="18"/>
          <w:color w:val="auto"/>
        </w:rPr>
      </w:pPr>
    </w:p>
    <w:p>
      <w:pPr>
        <w:ind w:left="440" w:right="20" w:firstLine="957"/>
        <w:spacing w:after="0" w:line="277" w:lineRule="auto"/>
        <w:tabs>
          <w:tab w:leader="none" w:pos="1657" w:val="left"/>
        </w:tabs>
        <w:numPr>
          <w:ilvl w:val="1"/>
          <w:numId w:val="128"/>
        </w:numPr>
        <w:rPr>
          <w:rFonts w:ascii="Arial" w:cs="Arial" w:eastAsia="Arial" w:hAnsi="Arial"/>
          <w:sz w:val="18"/>
          <w:szCs w:val="18"/>
          <w:color w:val="auto"/>
        </w:rPr>
      </w:pPr>
      <w:r>
        <w:rPr>
          <w:rFonts w:ascii="Arial" w:cs="Arial" w:eastAsia="Arial" w:hAnsi="Arial"/>
          <w:sz w:val="18"/>
          <w:szCs w:val="18"/>
          <w:color w:val="auto"/>
        </w:rPr>
        <w:t xml:space="preserve">the Trustee shall cease to be eligible in accordance with the provisions of </w:t>
      </w: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and shall fail to resign after written request therefor by the Company or by any such Securityholder; or</w:t>
      </w:r>
    </w:p>
    <w:p>
      <w:pPr>
        <w:spacing w:after="0" w:line="62" w:lineRule="exact"/>
        <w:rPr>
          <w:rFonts w:ascii="Arial" w:cs="Arial" w:eastAsia="Arial" w:hAnsi="Arial"/>
          <w:sz w:val="18"/>
          <w:szCs w:val="18"/>
          <w:color w:val="auto"/>
        </w:rPr>
      </w:pPr>
    </w:p>
    <w:p>
      <w:pPr>
        <w:ind w:left="440" w:right="80" w:firstLine="957"/>
        <w:spacing w:after="0" w:line="286" w:lineRule="auto"/>
        <w:tabs>
          <w:tab w:leader="none" w:pos="1707" w:val="left"/>
        </w:tabs>
        <w:numPr>
          <w:ilvl w:val="1"/>
          <w:numId w:val="128"/>
        </w:numPr>
        <w:rPr>
          <w:rFonts w:ascii="Arial" w:cs="Arial" w:eastAsia="Arial" w:hAnsi="Arial"/>
          <w:sz w:val="17"/>
          <w:szCs w:val="17"/>
          <w:color w:val="auto"/>
        </w:rPr>
      </w:pPr>
      <w:r>
        <w:rPr>
          <w:rFonts w:ascii="Arial" w:cs="Arial" w:eastAsia="Arial" w:hAnsi="Arial"/>
          <w:sz w:val="17"/>
          <w:szCs w:val="17"/>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66"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50" w:lineRule="exact"/>
        <w:rPr>
          <w:sz w:val="20"/>
          <w:szCs w:val="20"/>
          <w:color w:val="auto"/>
        </w:rPr>
      </w:pPr>
    </w:p>
    <w:p>
      <w:pPr>
        <w:ind w:firstLine="996"/>
        <w:spacing w:after="0" w:line="264" w:lineRule="auto"/>
        <w:tabs>
          <w:tab w:leader="none" w:pos="123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132" w:name="page133"/>
    <w:bookmarkEnd w:id="132"/>
    <w:p>
      <w:pPr>
        <w:ind w:left="-100" w:right="80" w:firstLine="996"/>
        <w:spacing w:after="0" w:line="342" w:lineRule="auto"/>
        <w:tabs>
          <w:tab w:leader="none" w:pos="1147" w:val="left"/>
        </w:tabs>
        <w:numPr>
          <w:ilvl w:val="0"/>
          <w:numId w:val="1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resignation or removal of the Trustee and appointment of a successor trustee with respect to the Securities of a series pursuant to any of the provisions of this Section shall become effective upon acceptance of appointment by the successor trustee as provided in </w:t>
      </w:r>
      <w:r>
        <w:rPr>
          <w:rFonts w:ascii="Arial" w:cs="Arial" w:eastAsia="Arial" w:hAnsi="Arial"/>
          <w:sz w:val="16"/>
          <w:szCs w:val="16"/>
          <w:u w:val="single" w:color="auto"/>
          <w:color w:val="auto"/>
        </w:rPr>
        <w:t>Section 7.11</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100" w:firstLine="996"/>
        <w:spacing w:after="0" w:line="277" w:lineRule="auto"/>
        <w:tabs>
          <w:tab w:leader="none" w:pos="113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Acceptance of Appointment By Successor</w:t>
      </w:r>
      <w:r>
        <w:rPr>
          <w:rFonts w:ascii="Arial" w:cs="Arial" w:eastAsia="Arial" w:hAnsi="Arial"/>
          <w:sz w:val="18"/>
          <w:szCs w:val="18"/>
          <w:color w:val="auto"/>
        </w:rPr>
        <w:t>.</w:t>
      </w:r>
    </w:p>
    <w:p>
      <w:pPr>
        <w:spacing w:after="0" w:line="117" w:lineRule="exact"/>
        <w:rPr>
          <w:sz w:val="20"/>
          <w:szCs w:val="20"/>
          <w:color w:val="auto"/>
        </w:rPr>
      </w:pPr>
    </w:p>
    <w:p>
      <w:pPr>
        <w:ind w:left="-100" w:right="40" w:firstLine="996"/>
        <w:spacing w:after="0" w:line="272" w:lineRule="auto"/>
        <w:tabs>
          <w:tab w:leader="none" w:pos="1137"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full payment of any amount then due it pursuant to </w:t>
      </w:r>
      <w:r>
        <w:rPr>
          <w:rFonts w:ascii="Arial" w:cs="Arial" w:eastAsia="Arial" w:hAnsi="Arial"/>
          <w:sz w:val="17"/>
          <w:szCs w:val="17"/>
          <w:u w:val="single" w:color="auto"/>
          <w:color w:val="auto"/>
        </w:rPr>
        <w:t>Section 7.06</w:t>
      </w:r>
      <w:r>
        <w:rPr>
          <w:rFonts w:ascii="Arial" w:cs="Arial" w:eastAsia="Arial" w:hAnsi="Arial"/>
          <w:sz w:val="17"/>
          <w:szCs w:val="17"/>
          <w:color w:val="auto"/>
        </w:rPr>
        <w:t>,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69" w:lineRule="exact"/>
        <w:rPr>
          <w:rFonts w:ascii="Arial" w:cs="Arial" w:eastAsia="Arial" w:hAnsi="Arial"/>
          <w:sz w:val="17"/>
          <w:szCs w:val="17"/>
          <w:color w:val="auto"/>
        </w:rPr>
      </w:pPr>
    </w:p>
    <w:p>
      <w:pPr>
        <w:ind w:left="-100" w:right="60" w:firstLine="996"/>
        <w:spacing w:after="0" w:line="286" w:lineRule="auto"/>
        <w:tabs>
          <w:tab w:leader="none" w:pos="1147" w:val="left"/>
        </w:tabs>
        <w:numPr>
          <w:ilvl w:val="0"/>
          <w:numId w:val="131"/>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840"/>
          </w:cols>
          <w:pgMar w:left="540" w:top="274" w:right="519" w:bottom="1440" w:gutter="0" w:footer="0" w:header="0"/>
        </w:sectPr>
      </w:pPr>
    </w:p>
    <w:bookmarkStart w:id="133" w:name="page134"/>
    <w:bookmarkEnd w:id="133"/>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80" w:lineRule="exact"/>
        <w:rPr>
          <w:sz w:val="20"/>
          <w:szCs w:val="20"/>
          <w:color w:val="auto"/>
        </w:rPr>
      </w:pPr>
    </w:p>
    <w:p>
      <w:pPr>
        <w:ind w:right="140" w:firstLine="996"/>
        <w:spacing w:after="0" w:line="342" w:lineRule="auto"/>
        <w:tabs>
          <w:tab w:leader="none" w:pos="1237" w:val="left"/>
        </w:tabs>
        <w:numPr>
          <w:ilvl w:val="0"/>
          <w:numId w:val="132"/>
        </w:numPr>
        <w:rPr>
          <w:rFonts w:ascii="Arial" w:cs="Arial" w:eastAsia="Arial" w:hAnsi="Arial"/>
          <w:sz w:val="16"/>
          <w:szCs w:val="16"/>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5" w:lineRule="exact"/>
        <w:rPr>
          <w:rFonts w:ascii="Arial" w:cs="Arial" w:eastAsia="Arial" w:hAnsi="Arial"/>
          <w:sz w:val="16"/>
          <w:szCs w:val="16"/>
          <w:color w:val="auto"/>
        </w:rPr>
      </w:pPr>
    </w:p>
    <w:p>
      <w:pPr>
        <w:ind w:right="320" w:firstLine="996"/>
        <w:spacing w:after="0" w:line="277" w:lineRule="auto"/>
        <w:tabs>
          <w:tab w:leader="none" w:pos="124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62" w:lineRule="exact"/>
        <w:rPr>
          <w:rFonts w:ascii="Arial" w:cs="Arial" w:eastAsia="Arial" w:hAnsi="Arial"/>
          <w:sz w:val="18"/>
          <w:szCs w:val="18"/>
          <w:color w:val="auto"/>
        </w:rPr>
      </w:pPr>
    </w:p>
    <w:p>
      <w:pPr>
        <w:ind w:firstLine="996"/>
        <w:spacing w:after="0" w:line="259" w:lineRule="auto"/>
        <w:tabs>
          <w:tab w:leader="none" w:pos="123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Merger, Conversion, Consolidation or Succession to Business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 xml:space="preserve">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including the administration of the trust created by this Indenture, shall be the successor of the Trustee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corporation shall be qualified under the provisions of </w:t>
      </w:r>
      <w:r>
        <w:rPr>
          <w:rFonts w:ascii="Arial" w:cs="Arial" w:eastAsia="Arial" w:hAnsi="Arial"/>
          <w:sz w:val="16"/>
          <w:szCs w:val="16"/>
          <w:u w:val="single" w:color="auto"/>
          <w:color w:val="auto"/>
        </w:rPr>
        <w:t>Section 7.08</w:t>
      </w:r>
      <w:r>
        <w:rPr>
          <w:rFonts w:ascii="Arial" w:cs="Arial" w:eastAsia="Arial" w:hAnsi="Arial"/>
          <w:sz w:val="16"/>
          <w:szCs w:val="16"/>
          <w:color w:val="auto"/>
        </w:rPr>
        <w:t xml:space="preserve"> and eligible under the provisions of </w:t>
      </w:r>
      <w:r>
        <w:rPr>
          <w:rFonts w:ascii="Arial" w:cs="Arial" w:eastAsia="Arial" w:hAnsi="Arial"/>
          <w:sz w:val="16"/>
          <w:szCs w:val="16"/>
          <w:u w:val="single" w:color="auto"/>
          <w:color w:val="auto"/>
        </w:rPr>
        <w:t>Section 7.09</w:t>
      </w:r>
      <w:r>
        <w:rPr>
          <w:rFonts w:ascii="Arial" w:cs="Arial" w:eastAsia="Arial" w:hAnsi="Arial"/>
          <w:sz w:val="16"/>
          <w:szCs w:val="16"/>
          <w:color w:val="auto"/>
        </w:rPr>
        <w:t>,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Preferential Collection of Claims Against the Company</w:t>
      </w:r>
      <w:r>
        <w:rPr>
          <w:rFonts w:ascii="Arial" w:cs="Arial" w:eastAsia="Arial" w:hAnsi="Arial"/>
          <w:sz w:val="18"/>
          <w:szCs w:val="18"/>
          <w:color w:val="auto"/>
        </w:rPr>
        <w:t>.</w:t>
      </w:r>
    </w:p>
    <w:p>
      <w:pPr>
        <w:spacing w:after="0" w:line="117" w:lineRule="exact"/>
        <w:rPr>
          <w:sz w:val="20"/>
          <w:szCs w:val="20"/>
          <w:color w:val="auto"/>
        </w:rPr>
      </w:pPr>
    </w:p>
    <w:p>
      <w:pPr>
        <w:jc w:val="both"/>
        <w:ind w:right="280" w:firstLine="441"/>
        <w:spacing w:after="0" w:line="264" w:lineRule="auto"/>
        <w:rPr>
          <w:sz w:val="20"/>
          <w:szCs w:val="20"/>
          <w:color w:val="auto"/>
        </w:rPr>
      </w:pPr>
      <w:r>
        <w:rPr>
          <w:rFonts w:ascii="Arial" w:cs="Arial" w:eastAsia="Arial" w:hAnsi="Arial"/>
          <w:sz w:val="18"/>
          <w:szCs w:val="18"/>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134" w:name="page135"/>
    <w:bookmarkEnd w:id="13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7.14 </w:t>
      </w:r>
      <w:r>
        <w:rPr>
          <w:rFonts w:ascii="Arial" w:cs="Arial" w:eastAsia="Arial" w:hAnsi="Arial"/>
          <w:sz w:val="18"/>
          <w:szCs w:val="18"/>
          <w:u w:val="single" w:color="auto"/>
          <w:color w:val="auto"/>
        </w:rPr>
        <w:t>Notice of Default</w:t>
      </w:r>
      <w:r>
        <w:rPr>
          <w:rFonts w:ascii="Arial" w:cs="Arial" w:eastAsia="Arial" w:hAnsi="Arial"/>
          <w:sz w:val="18"/>
          <w:szCs w:val="18"/>
          <w:color w:val="auto"/>
        </w:rPr>
        <w:t>.</w:t>
      </w:r>
    </w:p>
    <w:p>
      <w:pPr>
        <w:spacing w:after="0" w:line="117" w:lineRule="exact"/>
        <w:rPr>
          <w:sz w:val="20"/>
          <w:szCs w:val="20"/>
          <w:color w:val="auto"/>
        </w:rPr>
      </w:pPr>
    </w:p>
    <w:p>
      <w:pPr>
        <w:ind w:right="160" w:firstLine="441"/>
        <w:spacing w:after="0" w:line="273" w:lineRule="auto"/>
        <w:rPr>
          <w:sz w:val="20"/>
          <w:szCs w:val="20"/>
          <w:color w:val="auto"/>
        </w:rPr>
      </w:pPr>
      <w:r>
        <w:rPr>
          <w:rFonts w:ascii="Arial" w:cs="Arial" w:eastAsia="Arial" w:hAnsi="Arial"/>
          <w:sz w:val="17"/>
          <w:szCs w:val="17"/>
          <w:color w:val="auto"/>
        </w:rPr>
        <w:t xml:space="preserve">If any Event of Default occurs and is continuing and if such Event of Default is actually known to a Responsible Officer of the Trustee, the Trustee shall send to each Securityholder in the manner and to the extent provided in Section 313(c) of the Trust Indenture Act notice of the Event of Default within the later of 90 days after it occurs and 30 days after it is actually known to a Responsible Officer of the Trustee or written notice of it is received by the Trustee, unless such Event of Default has been cured;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except in the case of a default in the payment of the principal of (or premium, if any) or interest on any Security, the Trustee shall be protected in withholding such notice if and so long as it in good faith determines that the withholding of such notice is in the interest of the Securityholders.</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CONCERNING THE SECURITYHOLDERS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Evidence of Action by Securityholders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Whenever in this Indenture it is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8"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 xml:space="preserve">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0"/>
          </w:cols>
          <w:pgMar w:left="440" w:top="274" w:right="479" w:bottom="1440" w:gutter="0" w:footer="0" w:header="0"/>
        </w:sectPr>
      </w:pPr>
    </w:p>
    <w:bookmarkStart w:id="135" w:name="page136"/>
    <w:bookmarkEnd w:id="13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8.02 </w:t>
      </w:r>
      <w:r>
        <w:rPr>
          <w:rFonts w:ascii="Arial" w:cs="Arial" w:eastAsia="Arial" w:hAnsi="Arial"/>
          <w:sz w:val="18"/>
          <w:szCs w:val="18"/>
          <w:u w:val="single" w:color="auto"/>
          <w:color w:val="auto"/>
        </w:rPr>
        <w:t>Proof of Execution by Securityholders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342" w:lineRule="auto"/>
        <w:rPr>
          <w:sz w:val="20"/>
          <w:szCs w:val="20"/>
          <w:color w:val="auto"/>
        </w:rPr>
      </w:pPr>
      <w:r>
        <w:rPr>
          <w:rFonts w:ascii="Arial" w:cs="Arial" w:eastAsia="Arial" w:hAnsi="Arial"/>
          <w:sz w:val="16"/>
          <w:szCs w:val="16"/>
          <w:color w:val="auto"/>
        </w:rPr>
        <w:t xml:space="preserve">Subject to the provisions of </w:t>
      </w:r>
      <w:r>
        <w:rPr>
          <w:rFonts w:ascii="Arial" w:cs="Arial" w:eastAsia="Arial" w:hAnsi="Arial"/>
          <w:sz w:val="16"/>
          <w:szCs w:val="16"/>
          <w:u w:val="single" w:color="auto"/>
          <w:color w:val="auto"/>
        </w:rPr>
        <w:t>Section 7.01</w:t>
      </w:r>
      <w:r>
        <w:rPr>
          <w:rFonts w:ascii="Arial" w:cs="Arial" w:eastAsia="Arial" w:hAnsi="Arial"/>
          <w:sz w:val="16"/>
          <w:szCs w:val="16"/>
          <w:color w:val="auto"/>
        </w:rPr>
        <w:t>, proof of the execution of any instrument by a Securityholder (such proof will not require notarization) or his agent or proxy and proof of the holding by any Person of any of the Securities shall be sufficient if made in the following manner:</w:t>
      </w:r>
    </w:p>
    <w:p>
      <w:pPr>
        <w:spacing w:after="0" w:line="1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 The fact and date of the execution by any such Person of any instrument may be proved in any reasonable manner acceptable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103" w:lineRule="exact"/>
        <w:rPr>
          <w:sz w:val="20"/>
          <w:szCs w:val="20"/>
          <w:color w:val="auto"/>
        </w:rPr>
      </w:pPr>
    </w:p>
    <w:p>
      <w:pPr>
        <w:ind w:right="360" w:firstLine="996"/>
        <w:spacing w:after="0" w:line="308" w:lineRule="auto"/>
        <w:tabs>
          <w:tab w:leader="none" w:pos="1247"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ownership of Securities shall be proved by the Security Register of such Securities or by a certificate of the Security Registrar thereof. The Trustee may require such additional proof of any matter referred to in this Section as it shall deem necessary.</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Who May be Deemed Owners</w:t>
      </w:r>
      <w:r>
        <w:rPr>
          <w:rFonts w:ascii="Arial" w:cs="Arial" w:eastAsia="Arial" w:hAnsi="Arial"/>
          <w:sz w:val="18"/>
          <w:szCs w:val="18"/>
          <w:color w:val="auto"/>
        </w:rPr>
        <w:t>.</w:t>
      </w:r>
    </w:p>
    <w:p>
      <w:pPr>
        <w:spacing w:after="0" w:line="117"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 xml:space="preserve">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w:t>
      </w:r>
      <w:r>
        <w:rPr>
          <w:rFonts w:ascii="Arial" w:cs="Arial" w:eastAsia="Arial" w:hAnsi="Arial"/>
          <w:sz w:val="18"/>
          <w:szCs w:val="18"/>
          <w:u w:val="single" w:color="auto"/>
          <w:color w:val="auto"/>
        </w:rPr>
        <w:t>Section 2.03</w:t>
      </w:r>
      <w:r>
        <w:rPr>
          <w:rFonts w:ascii="Arial" w:cs="Arial" w:eastAsia="Arial" w:hAnsi="Arial"/>
          <w:sz w:val="18"/>
          <w:szCs w:val="18"/>
          <w:color w:val="auto"/>
        </w:rPr>
        <w:t>) interest on such Security and for all other purposes; and neither the Company nor the Trustee nor any paying agent nor any Security Registrar shall be affected by any notice to the contrary.</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Certain Securities Owned by Company Disregarded</w:t>
      </w:r>
      <w:r>
        <w:rPr>
          <w:rFonts w:ascii="Arial" w:cs="Arial" w:eastAsia="Arial" w:hAnsi="Arial"/>
          <w:sz w:val="18"/>
          <w:szCs w:val="18"/>
          <w:color w:val="auto"/>
        </w:rPr>
        <w:t>.</w:t>
      </w:r>
    </w:p>
    <w:p>
      <w:pPr>
        <w:spacing w:after="0" w:line="117" w:lineRule="exact"/>
        <w:rPr>
          <w:sz w:val="20"/>
          <w:szCs w:val="20"/>
          <w:color w:val="auto"/>
        </w:rPr>
      </w:pPr>
    </w:p>
    <w:p>
      <w:pPr>
        <w:ind w:right="60" w:firstLine="441"/>
        <w:spacing w:after="0" w:line="270" w:lineRule="auto"/>
        <w:rPr>
          <w:sz w:val="20"/>
          <w:szCs w:val="20"/>
          <w:color w:val="auto"/>
        </w:rPr>
      </w:pPr>
      <w:r>
        <w:rPr>
          <w:rFonts w:ascii="Arial" w:cs="Arial" w:eastAsia="Arial" w:hAnsi="Arial"/>
          <w:sz w:val="17"/>
          <w:szCs w:val="17"/>
          <w:color w:val="auto"/>
        </w:rPr>
        <w:t>In determining whether the holders of the requisite aggregate principal amount of Securities of a particular series have concurred in any direction, consent, demand, authorization, notice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a Responsible Officer of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Actions Binding on Future Securityholders</w:t>
      </w:r>
      <w:r>
        <w:rPr>
          <w:rFonts w:ascii="Arial" w:cs="Arial" w:eastAsia="Arial" w:hAnsi="Arial"/>
          <w:sz w:val="18"/>
          <w:szCs w:val="18"/>
          <w:color w:val="auto"/>
        </w:rPr>
        <w:t>.</w:t>
      </w:r>
    </w:p>
    <w:p>
      <w:pPr>
        <w:spacing w:after="0" w:line="117" w:lineRule="exact"/>
        <w:rPr>
          <w:sz w:val="20"/>
          <w:szCs w:val="20"/>
          <w:color w:val="auto"/>
        </w:rPr>
      </w:pPr>
    </w:p>
    <w:p>
      <w:pPr>
        <w:ind w:right="140" w:firstLine="441"/>
        <w:spacing w:after="0" w:line="297" w:lineRule="auto"/>
        <w:rPr>
          <w:sz w:val="20"/>
          <w:szCs w:val="20"/>
          <w:color w:val="auto"/>
        </w:rPr>
      </w:pPr>
      <w:r>
        <w:rPr>
          <w:rFonts w:ascii="Arial" w:cs="Arial" w:eastAsia="Arial" w:hAnsi="Arial"/>
          <w:sz w:val="16"/>
          <w:szCs w:val="16"/>
          <w:color w:val="auto"/>
        </w:rPr>
        <w:t xml:space="preserve">At any time prior to (but not after) the evidencing to the Trustee, as provided in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w:t>
      </w:r>
      <w:r>
        <w:rPr>
          <w:rFonts w:ascii="Arial" w:cs="Arial" w:eastAsia="Arial" w:hAnsi="Arial"/>
          <w:sz w:val="16"/>
          <w:szCs w:val="16"/>
          <w:u w:val="single" w:color="auto"/>
          <w:color w:val="auto"/>
        </w:rPr>
        <w:t>Section 8.02</w:t>
      </w:r>
      <w:r>
        <w:rPr>
          <w:rFonts w:ascii="Arial" w:cs="Arial" w:eastAsia="Arial" w:hAnsi="Arial"/>
          <w:sz w:val="16"/>
          <w:szCs w:val="16"/>
          <w:color w:val="auto"/>
        </w:rPr>
        <w:t>, revoke such action so far as concerns such Security. Except as aforesaid any such action taken by the holder of any Security shall be conclusive and binding upon such holder and upon all future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136" w:name="page137"/>
    <w:bookmarkEnd w:id="136"/>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SUPPLEMENTAL INDENTURES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Supplemental Indentures Without the Consent of Securityholders</w:t>
      </w:r>
      <w:r>
        <w:rPr>
          <w:rFonts w:ascii="Arial" w:cs="Arial" w:eastAsia="Arial" w:hAnsi="Arial"/>
          <w:sz w:val="18"/>
          <w:szCs w:val="18"/>
          <w:color w:val="auto"/>
        </w:rPr>
        <w:t>.</w:t>
      </w:r>
    </w:p>
    <w:p>
      <w:pPr>
        <w:spacing w:after="0" w:line="117" w:lineRule="exact"/>
        <w:rPr>
          <w:sz w:val="20"/>
          <w:szCs w:val="20"/>
          <w:color w:val="auto"/>
        </w:rPr>
      </w:pPr>
    </w:p>
    <w:p>
      <w:pPr>
        <w:ind w:right="100" w:firstLine="441"/>
        <w:spacing w:after="0" w:line="286" w:lineRule="auto"/>
        <w:rPr>
          <w:sz w:val="20"/>
          <w:szCs w:val="20"/>
          <w:color w:val="auto"/>
        </w:rPr>
      </w:pPr>
      <w:r>
        <w:rPr>
          <w:rFonts w:ascii="Arial" w:cs="Arial" w:eastAsia="Arial" w:hAnsi="Arial"/>
          <w:sz w:val="17"/>
          <w:szCs w:val="17"/>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at any time Outstanding, for one or more of the following purposes:</w:t>
      </w:r>
    </w:p>
    <w:p>
      <w:pPr>
        <w:spacing w:after="0" w:line="57" w:lineRule="exact"/>
        <w:rPr>
          <w:sz w:val="20"/>
          <w:szCs w:val="20"/>
          <w:color w:val="auto"/>
        </w:rPr>
      </w:pPr>
    </w:p>
    <w:p>
      <w:pPr>
        <w:ind w:left="1240" w:hanging="244"/>
        <w:spacing w:after="0"/>
        <w:tabs>
          <w:tab w:leader="none" w:pos="12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cure any ambiguity, defect, or inconsistency herein or in the Securities of any series;</w:t>
      </w:r>
    </w:p>
    <w:p>
      <w:pPr>
        <w:spacing w:after="0" w:line="117" w:lineRule="exact"/>
        <w:rPr>
          <w:rFonts w:ascii="Arial" w:cs="Arial" w:eastAsia="Arial" w:hAnsi="Arial"/>
          <w:sz w:val="18"/>
          <w:szCs w:val="18"/>
          <w:color w:val="auto"/>
        </w:rPr>
      </w:pPr>
    </w:p>
    <w:p>
      <w:pPr>
        <w:ind w:left="1260" w:hanging="264"/>
        <w:spacing w:after="0"/>
        <w:tabs>
          <w:tab w:leader="none" w:pos="12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to comply with </w:t>
      </w:r>
      <w:r>
        <w:rPr>
          <w:rFonts w:ascii="Arial" w:cs="Arial" w:eastAsia="Arial" w:hAnsi="Arial"/>
          <w:sz w:val="18"/>
          <w:szCs w:val="18"/>
          <w:u w:val="single" w:color="auto"/>
          <w:color w:val="auto"/>
        </w:rPr>
        <w:t>Article 10</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40" w:hanging="244"/>
        <w:spacing w:after="0"/>
        <w:tabs>
          <w:tab w:leader="none" w:pos="12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17" w:lineRule="exact"/>
        <w:rPr>
          <w:rFonts w:ascii="Arial" w:cs="Arial" w:eastAsia="Arial" w:hAnsi="Arial"/>
          <w:sz w:val="18"/>
          <w:szCs w:val="18"/>
          <w:color w:val="auto"/>
        </w:rPr>
      </w:pPr>
    </w:p>
    <w:p>
      <w:pPr>
        <w:ind w:right="100" w:firstLine="996"/>
        <w:spacing w:after="0" w:line="257" w:lineRule="auto"/>
        <w:tabs>
          <w:tab w:leader="none" w:pos="124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80" w:lineRule="exact"/>
        <w:rPr>
          <w:rFonts w:ascii="Arial" w:cs="Arial" w:eastAsia="Arial" w:hAnsi="Arial"/>
          <w:sz w:val="18"/>
          <w:szCs w:val="18"/>
          <w:color w:val="auto"/>
        </w:rPr>
      </w:pPr>
    </w:p>
    <w:p>
      <w:pPr>
        <w:ind w:right="460" w:firstLine="996"/>
        <w:spacing w:after="0" w:line="277" w:lineRule="auto"/>
        <w:tabs>
          <w:tab w:leader="none" w:pos="123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Securities, as herein set forth;</w:t>
      </w:r>
    </w:p>
    <w:p>
      <w:pPr>
        <w:spacing w:after="0" w:line="62" w:lineRule="exact"/>
        <w:rPr>
          <w:rFonts w:ascii="Arial" w:cs="Arial" w:eastAsia="Arial" w:hAnsi="Arial"/>
          <w:sz w:val="18"/>
          <w:szCs w:val="18"/>
          <w:color w:val="auto"/>
        </w:rPr>
      </w:pPr>
    </w:p>
    <w:p>
      <w:pPr>
        <w:ind w:left="1220" w:hanging="224"/>
        <w:spacing w:after="0"/>
        <w:tabs>
          <w:tab w:leader="none" w:pos="12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 in any material respect;</w:t>
      </w:r>
    </w:p>
    <w:p>
      <w:pPr>
        <w:spacing w:after="0" w:line="117" w:lineRule="exact"/>
        <w:rPr>
          <w:rFonts w:ascii="Arial" w:cs="Arial" w:eastAsia="Arial" w:hAnsi="Arial"/>
          <w:sz w:val="18"/>
          <w:szCs w:val="18"/>
          <w:color w:val="auto"/>
        </w:rPr>
      </w:pPr>
    </w:p>
    <w:p>
      <w:pPr>
        <w:ind w:left="1260" w:hanging="264"/>
        <w:spacing w:after="0"/>
        <w:tabs>
          <w:tab w:leader="none" w:pos="12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to provide for the issuance of and establish the form and terms and conditions of the Securities of any series as provided in</w:t>
      </w:r>
    </w:p>
    <w:p>
      <w:pPr>
        <w:spacing w:after="0" w:line="3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u w:val="single" w:color="auto"/>
          <w:color w:val="auto"/>
        </w:rPr>
        <w:t>Section 2.01</w:t>
      </w:r>
      <w:r>
        <w:rPr>
          <w:rFonts w:ascii="Arial" w:cs="Arial" w:eastAsia="Arial" w:hAnsi="Arial"/>
          <w:sz w:val="18"/>
          <w:szCs w:val="18"/>
          <w:color w:val="auto"/>
        </w:rPr>
        <w:t>, to establish the form of any certifications required to be furnished pursuant to the terms of this Indenture or any series of Securities, or to add to the rights of the holders of any series of Securities;</w:t>
      </w:r>
    </w:p>
    <w:p>
      <w:pPr>
        <w:spacing w:after="0" w:line="76" w:lineRule="exact"/>
        <w:rPr>
          <w:sz w:val="20"/>
          <w:szCs w:val="20"/>
          <w:color w:val="auto"/>
        </w:rPr>
      </w:pPr>
    </w:p>
    <w:p>
      <w:pPr>
        <w:ind w:left="1260" w:hanging="264"/>
        <w:spacing w:after="0"/>
        <w:tabs>
          <w:tab w:leader="none" w:pos="12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to evidence and provide for the acceptance of appointment hereunder by a successor trustee or to appoint a separate trustee with respect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any series; or</w:t>
      </w:r>
    </w:p>
    <w:p>
      <w:pPr>
        <w:spacing w:after="0" w:line="102" w:lineRule="exact"/>
        <w:rPr>
          <w:rFonts w:ascii="Arial" w:cs="Arial" w:eastAsia="Arial" w:hAnsi="Arial"/>
          <w:sz w:val="16"/>
          <w:szCs w:val="16"/>
          <w:color w:val="auto"/>
        </w:rPr>
      </w:pPr>
    </w:p>
    <w:p>
      <w:pPr>
        <w:ind w:right="220" w:firstLine="996"/>
        <w:spacing w:after="0" w:line="277" w:lineRule="auto"/>
        <w:tabs>
          <w:tab w:leader="none" w:pos="120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to comply with any requirements of the Commission or any successor in connection with the qualification of this Indenture under the Trust Indenture Act.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74" w:right="439" w:bottom="1440" w:gutter="0" w:footer="0" w:header="0"/>
        </w:sectPr>
      </w:pPr>
    </w:p>
    <w:bookmarkStart w:id="137" w:name="page138"/>
    <w:bookmarkEnd w:id="137"/>
    <w:p>
      <w:pPr>
        <w:jc w:val="both"/>
        <w:ind w:right="60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81"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 xml:space="preserve">Any supplemental indenture authorized by the provisions of this Section may be executed by the Company and the Trustee without the consent of the holders of any of the Securities at the time Outstanding, notwithstanding any of the provisions of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Supplemental Indentures With Consent of Securityholders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 xml:space="preserve">With the consent (evidenced as provided in </w:t>
      </w:r>
      <w:r>
        <w:rPr>
          <w:rFonts w:ascii="Arial" w:cs="Arial" w:eastAsia="Arial" w:hAnsi="Arial"/>
          <w:sz w:val="16"/>
          <w:szCs w:val="16"/>
          <w:u w:val="single" w:color="auto"/>
          <w:color w:val="auto"/>
        </w:rPr>
        <w:t>Section 8.01</w:t>
      </w:r>
      <w:r>
        <w:rPr>
          <w:rFonts w:ascii="Arial" w:cs="Arial" w:eastAsia="Arial" w:hAnsi="Arial"/>
          <w:sz w:val="16"/>
          <w:szCs w:val="16"/>
          <w:color w:val="auto"/>
        </w:rPr>
        <w:t xml:space="preserve">)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the rights of the holders of the Securities of such series under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67" w:lineRule="exact"/>
        <w:rPr>
          <w:sz w:val="20"/>
          <w:szCs w:val="20"/>
          <w:color w:val="auto"/>
        </w:rPr>
      </w:pPr>
    </w:p>
    <w:p>
      <w:pPr>
        <w:jc w:val="both"/>
        <w:ind w:right="100" w:firstLine="441"/>
        <w:spacing w:after="0" w:line="312" w:lineRule="auto"/>
        <w:rPr>
          <w:sz w:val="20"/>
          <w:szCs w:val="20"/>
          <w:color w:val="auto"/>
        </w:rPr>
      </w:pPr>
      <w:r>
        <w:rPr>
          <w:rFonts w:ascii="Arial" w:cs="Arial" w:eastAsia="Arial" w:hAnsi="Arial"/>
          <w:sz w:val="16"/>
          <w:szCs w:val="16"/>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 The Trustee shall not be obligated to enter into any such supplemental indenture that affects the Trustee’s own rights, duties or immunities under this Indenture or otherwise.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Effect of Supplemental Indentures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Upon the execution of any supplemental indenture pursuant to the provisions of this Article or of </w:t>
      </w:r>
      <w:r>
        <w:rPr>
          <w:rFonts w:ascii="Arial" w:cs="Arial" w:eastAsia="Arial" w:hAnsi="Arial"/>
          <w:sz w:val="18"/>
          <w:szCs w:val="18"/>
          <w:u w:val="single" w:color="auto"/>
          <w:color w:val="auto"/>
        </w:rPr>
        <w:t>Section 10.01</w:t>
      </w:r>
      <w:r>
        <w:rPr>
          <w:rFonts w:ascii="Arial" w:cs="Arial" w:eastAsia="Arial" w:hAnsi="Arial"/>
          <w:sz w:val="18"/>
          <w:szCs w:val="18"/>
          <w:color w:val="auto"/>
        </w:rPr>
        <w:t>, this Indenture shall, with respect to such series only,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 with respect to such series.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138" w:name="page139"/>
    <w:bookmarkEnd w:id="13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9.04 </w:t>
      </w:r>
      <w:r>
        <w:rPr>
          <w:rFonts w:ascii="Arial" w:cs="Arial" w:eastAsia="Arial" w:hAnsi="Arial"/>
          <w:sz w:val="18"/>
          <w:szCs w:val="18"/>
          <w:u w:val="single" w:color="auto"/>
          <w:color w:val="auto"/>
        </w:rPr>
        <w:t>Securities Affected by Supplemental Indentures</w:t>
      </w:r>
      <w:r>
        <w:rPr>
          <w:rFonts w:ascii="Arial" w:cs="Arial" w:eastAsia="Arial" w:hAnsi="Arial"/>
          <w:sz w:val="18"/>
          <w:szCs w:val="18"/>
          <w:color w:val="auto"/>
        </w:rPr>
        <w:t>.</w:t>
      </w:r>
    </w:p>
    <w:p>
      <w:pPr>
        <w:spacing w:after="0" w:line="117" w:lineRule="exact"/>
        <w:rPr>
          <w:sz w:val="20"/>
          <w:szCs w:val="20"/>
          <w:color w:val="auto"/>
        </w:rPr>
      </w:pPr>
    </w:p>
    <w:p>
      <w:pPr>
        <w:ind w:right="160" w:firstLine="441"/>
        <w:spacing w:after="0" w:line="273" w:lineRule="auto"/>
        <w:rPr>
          <w:sz w:val="20"/>
          <w:szCs w:val="20"/>
          <w:color w:val="auto"/>
        </w:rPr>
      </w:pPr>
      <w:r>
        <w:rPr>
          <w:rFonts w:ascii="Arial" w:cs="Arial" w:eastAsia="Arial" w:hAnsi="Arial"/>
          <w:sz w:val="17"/>
          <w:szCs w:val="17"/>
          <w:color w:val="auto"/>
        </w:rPr>
        <w:t xml:space="preserve">Securities of any series affected by a supplemental indenture, authenticated and delivered after the execution of such supplemental indenture pursuant to the provisions of this Article or of </w:t>
      </w:r>
      <w:r>
        <w:rPr>
          <w:rFonts w:ascii="Arial" w:cs="Arial" w:eastAsia="Arial" w:hAnsi="Arial"/>
          <w:sz w:val="17"/>
          <w:szCs w:val="17"/>
          <w:u w:val="single" w:color="auto"/>
          <w:color w:val="auto"/>
        </w:rPr>
        <w:t>Section 10.01</w:t>
      </w:r>
      <w:r>
        <w:rPr>
          <w:rFonts w:ascii="Arial" w:cs="Arial" w:eastAsia="Arial" w:hAnsi="Arial"/>
          <w:sz w:val="17"/>
          <w:szCs w:val="17"/>
          <w:color w:val="auto"/>
        </w:rPr>
        <w:t>,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Execution of Supplemental Indentures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shall receive an Officer’s Certificate and an Opinion of Counsel as conclusive evidence that any supplemental indenture executed pursuant to this Article is authorized or permitted by the terms of this Article and that all conditions precedent to the execution of the supplemental indenture have been complied with and with respect to such Opinion of Counsel, that such supplemental indenture is the legal, valid and binding obligation of the Company, enforceable against each of them in accordance with its terms, subject to customary exceptions and qualifications.</w:t>
      </w:r>
    </w:p>
    <w:p>
      <w:pPr>
        <w:spacing w:after="0" w:line="166"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Promptly after the execution by the Company and the Trustee of any supplemental indenture pursuant to the provisions of this Article, the Company shall transmit by electronic mail, or by first class mail, postage prepaid, a notice, setting forth in general terms the substance of such supplemental indenture, to the Securityholders of all series affected thereby as their names and addresses appear upon the Security Register. Any failure of the Company to mail, or cause the mailing of, such notice, or any defect therein, shall not, however, in any way impair or affect the validity of any such supplemental indenture.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SUCCESSOR ENTITY</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Company May Consolidate, Etc</w:t>
      </w:r>
      <w:r>
        <w:rPr>
          <w:rFonts w:ascii="Arial" w:cs="Arial" w:eastAsia="Arial" w:hAnsi="Arial"/>
          <w:sz w:val="18"/>
          <w:szCs w:val="18"/>
          <w:color w:val="auto"/>
        </w:rPr>
        <w:t>.</w:t>
      </w:r>
    </w:p>
    <w:p>
      <w:pPr>
        <w:spacing w:after="0" w:line="117" w:lineRule="exact"/>
        <w:rPr>
          <w:sz w:val="20"/>
          <w:szCs w:val="20"/>
          <w:color w:val="auto"/>
        </w:rPr>
      </w:pPr>
    </w:p>
    <w:p>
      <w:pPr>
        <w:ind w:right="120" w:firstLine="441"/>
        <w:spacing w:after="0" w:line="279" w:lineRule="auto"/>
        <w:rPr>
          <w:sz w:val="20"/>
          <w:szCs w:val="20"/>
          <w:color w:val="auto"/>
        </w:rPr>
      </w:pPr>
      <w:r>
        <w:rPr>
          <w:rFonts w:ascii="Arial" w:cs="Arial" w:eastAsia="Arial" w:hAnsi="Arial"/>
          <w:sz w:val="17"/>
          <w:szCs w:val="17"/>
          <w:color w:val="auto"/>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4" w:right="439" w:bottom="1440" w:gutter="0" w:footer="0" w:header="0"/>
        </w:sectPr>
      </w:pPr>
    </w:p>
    <w:bookmarkStart w:id="139" w:name="page140"/>
    <w:bookmarkEnd w:id="139"/>
    <w:p>
      <w:pPr>
        <w:ind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successors) authorized to acquire and operate the same;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(a)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to be kept or performed by the Company shall be expressly assumed, by supplemental indenture (which shall conform to the provisions of the Trust Indenture Act, as then in effect) executed and delivered to the Trustee by the entity formed by such consolidation, or into which the Company shall have been merged, or by the entity which shall have acquired such property and</w:t>
      </w:r>
    </w:p>
    <w:p>
      <w:pPr>
        <w:spacing w:after="0" w:line="3" w:lineRule="exact"/>
        <w:rPr>
          <w:sz w:val="20"/>
          <w:szCs w:val="20"/>
          <w:color w:val="auto"/>
        </w:rPr>
      </w:pPr>
    </w:p>
    <w:p>
      <w:pPr>
        <w:ind w:firstLine="4"/>
        <w:spacing w:after="0" w:line="268" w:lineRule="auto"/>
        <w:tabs>
          <w:tab w:leader="none" w:pos="255"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in the event that the Securities of any series then Outstanding are convertible into or exchangeable for shares of common stock or other securities of the Company, such entity shall, by such supplemental indenture, make provision so that the Securityholders of Securities of that series shall thereafter be entitled to receive upon conversion or exchange of such Securities the number of securities or property to which a holder of the number of shares of common stock or other securities of the Company deliverable upon conversion or exchange of those Securities would have been entitled had such conversion or exchange occurred immediately prior to such consolidation, merger, sale, conveyance, transfer or other disposition. If the Company is not the surviving entity of any such transaction, the Company or the continuing entity agrees to deliver to the Trustee an Officer’s Certificate and Opinion of Counsel stating that the transaction and the supplemental indenture complies with this Section 10.01 and that all conditions precedent herein relating to the transaction have been satisfied.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Successor Entity Substituted</w:t>
      </w:r>
      <w:r>
        <w:rPr>
          <w:rFonts w:ascii="Arial" w:cs="Arial" w:eastAsia="Arial" w:hAnsi="Arial"/>
          <w:sz w:val="18"/>
          <w:szCs w:val="18"/>
          <w:color w:val="auto"/>
        </w:rPr>
        <w:t>.</w:t>
      </w:r>
    </w:p>
    <w:p>
      <w:pPr>
        <w:spacing w:after="0" w:line="117" w:lineRule="exact"/>
        <w:rPr>
          <w:sz w:val="20"/>
          <w:szCs w:val="20"/>
          <w:color w:val="auto"/>
        </w:rPr>
      </w:pPr>
    </w:p>
    <w:p>
      <w:pPr>
        <w:ind w:right="220" w:firstLine="996"/>
        <w:spacing w:after="0" w:line="302" w:lineRule="auto"/>
        <w:tabs>
          <w:tab w:leader="none" w:pos="123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In case of any such consolidation, merger, sale, conveyance, transfer or other disposition and upon the assumption by the successor entity by supplemental indenture, executed and delivered to the Trustee, of the obligations set forth under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46" w:lineRule="exact"/>
        <w:rPr>
          <w:rFonts w:ascii="Arial" w:cs="Arial" w:eastAsia="Arial" w:hAnsi="Arial"/>
          <w:sz w:val="16"/>
          <w:szCs w:val="16"/>
          <w:color w:val="auto"/>
        </w:rPr>
      </w:pPr>
    </w:p>
    <w:p>
      <w:pPr>
        <w:ind w:right="180" w:firstLine="996"/>
        <w:spacing w:after="0" w:line="277" w:lineRule="auto"/>
        <w:tabs>
          <w:tab w:leader="none" w:pos="124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62" w:lineRule="exact"/>
        <w:rPr>
          <w:rFonts w:ascii="Arial" w:cs="Arial" w:eastAsia="Arial" w:hAnsi="Arial"/>
          <w:sz w:val="18"/>
          <w:szCs w:val="18"/>
          <w:color w:val="auto"/>
        </w:rPr>
      </w:pPr>
    </w:p>
    <w:p>
      <w:pPr>
        <w:ind w:right="120" w:firstLine="996"/>
        <w:spacing w:after="0" w:line="264" w:lineRule="auto"/>
        <w:tabs>
          <w:tab w:leader="none" w:pos="123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SATISFACTION AND DISCHARGE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Satisfaction and Discharge of Indenture</w:t>
      </w:r>
      <w:r>
        <w:rPr>
          <w:rFonts w:ascii="Arial" w:cs="Arial" w:eastAsia="Arial" w:hAnsi="Arial"/>
          <w:sz w:val="18"/>
          <w:szCs w:val="18"/>
          <w:color w:val="auto"/>
        </w:rPr>
        <w:t>.</w:t>
      </w:r>
    </w:p>
    <w:p>
      <w:pPr>
        <w:spacing w:after="0" w:line="117" w:lineRule="exact"/>
        <w:rPr>
          <w:sz w:val="20"/>
          <w:szCs w:val="20"/>
          <w:color w:val="auto"/>
        </w:rPr>
      </w:pPr>
    </w:p>
    <w:p>
      <w:pPr>
        <w:ind w:right="40" w:firstLine="441"/>
        <w:spacing w:after="0" w:line="286" w:lineRule="auto"/>
        <w:rPr>
          <w:sz w:val="20"/>
          <w:szCs w:val="20"/>
          <w:color w:val="auto"/>
        </w:rPr>
      </w:pPr>
      <w:r>
        <w:rPr>
          <w:rFonts w:ascii="Arial" w:cs="Arial" w:eastAsia="Arial" w:hAnsi="Arial"/>
          <w:sz w:val="16"/>
          <w:szCs w:val="16"/>
          <w:color w:val="auto"/>
        </w:rPr>
        <w:t xml:space="preserve">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and Securities for whose payment money or Governmental Obligations have theretofore been deposited in trust or segregated and held in trust by the Company and thereupon repaid to the Company or discharged from such trust, as provided in </w:t>
      </w:r>
      <w:r>
        <w:rPr>
          <w:rFonts w:ascii="Arial" w:cs="Arial" w:eastAsia="Arial" w:hAnsi="Arial"/>
          <w:sz w:val="16"/>
          <w:szCs w:val="16"/>
          <w:u w:val="single" w:color="auto"/>
          <w:color w:val="auto"/>
        </w:rPr>
        <w:t>Section 11.05</w:t>
      </w:r>
      <w:r>
        <w:rPr>
          <w:rFonts w:ascii="Arial" w:cs="Arial" w:eastAsia="Arial" w:hAnsi="Arial"/>
          <w:sz w:val="16"/>
          <w:szCs w:val="16"/>
          <w:color w:val="auto"/>
        </w:rPr>
        <w:t>); or</w:t>
      </w:r>
    </w:p>
    <w:p>
      <w:pPr>
        <w:spacing w:after="0" w:line="2" w:lineRule="exact"/>
        <w:rPr>
          <w:sz w:val="20"/>
          <w:szCs w:val="20"/>
          <w:color w:val="auto"/>
        </w:rPr>
      </w:pPr>
    </w:p>
    <w:p>
      <w:pPr>
        <w:ind w:firstLine="4"/>
        <w:spacing w:after="0" w:line="286" w:lineRule="auto"/>
        <w:tabs>
          <w:tab w:leader="none" w:pos="25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2.03</w:t>
      </w:r>
      <w:r>
        <w:rPr>
          <w:rFonts w:ascii="Arial" w:cs="Arial" w:eastAsia="Arial" w:hAnsi="Arial"/>
          <w:sz w:val="16"/>
          <w:szCs w:val="16"/>
          <w:color w:val="auto"/>
        </w:rPr>
        <w:t xml:space="preserve">, </w:t>
      </w:r>
      <w:r>
        <w:rPr>
          <w:rFonts w:ascii="Arial" w:cs="Arial" w:eastAsia="Arial" w:hAnsi="Arial"/>
          <w:sz w:val="16"/>
          <w:szCs w:val="16"/>
          <w:u w:val="single" w:color="auto"/>
          <w:color w:val="auto"/>
        </w:rPr>
        <w:t>2.05</w:t>
      </w:r>
      <w:r>
        <w:rPr>
          <w:rFonts w:ascii="Arial" w:cs="Arial" w:eastAsia="Arial" w:hAnsi="Arial"/>
          <w:sz w:val="16"/>
          <w:szCs w:val="16"/>
          <w:color w:val="auto"/>
        </w:rPr>
        <w:t xml:space="preserve">, </w:t>
      </w:r>
      <w:r>
        <w:rPr>
          <w:rFonts w:ascii="Arial" w:cs="Arial" w:eastAsia="Arial" w:hAnsi="Arial"/>
          <w:sz w:val="16"/>
          <w:szCs w:val="16"/>
          <w:u w:val="single" w:color="auto"/>
          <w:color w:val="auto"/>
        </w:rPr>
        <w:t>2.07</w:t>
      </w:r>
      <w:r>
        <w:rPr>
          <w:rFonts w:ascii="Arial" w:cs="Arial" w:eastAsia="Arial" w:hAnsi="Arial"/>
          <w:sz w:val="16"/>
          <w:szCs w:val="16"/>
          <w:color w:val="auto"/>
        </w:rPr>
        <w:t xml:space="preserve">, </w:t>
      </w:r>
      <w:r>
        <w:rPr>
          <w:rFonts w:ascii="Arial" w:cs="Arial" w:eastAsia="Arial" w:hAnsi="Arial"/>
          <w:sz w:val="16"/>
          <w:szCs w:val="16"/>
          <w:u w:val="single" w:color="auto"/>
          <w:color w:val="auto"/>
        </w:rPr>
        <w:t>4.01</w:t>
      </w:r>
      <w:r>
        <w:rPr>
          <w:rFonts w:ascii="Arial" w:cs="Arial" w:eastAsia="Arial" w:hAnsi="Arial"/>
          <w:sz w:val="16"/>
          <w:szCs w:val="16"/>
          <w:color w:val="auto"/>
        </w:rPr>
        <w:t xml:space="preserve">, </w:t>
      </w:r>
      <w:r>
        <w:rPr>
          <w:rFonts w:ascii="Arial" w:cs="Arial" w:eastAsia="Arial" w:hAnsi="Arial"/>
          <w:sz w:val="16"/>
          <w:szCs w:val="16"/>
          <w:u w:val="single" w:color="auto"/>
          <w:color w:val="auto"/>
        </w:rPr>
        <w:t>4.02</w:t>
      </w:r>
      <w:r>
        <w:rPr>
          <w:rFonts w:ascii="Arial" w:cs="Arial" w:eastAsia="Arial" w:hAnsi="Arial"/>
          <w:sz w:val="16"/>
          <w:szCs w:val="16"/>
          <w:color w:val="auto"/>
        </w:rPr>
        <w:t xml:space="preserve">, </w:t>
      </w:r>
      <w:r>
        <w:rPr>
          <w:rFonts w:ascii="Arial" w:cs="Arial" w:eastAsia="Arial" w:hAnsi="Arial"/>
          <w:sz w:val="16"/>
          <w:szCs w:val="16"/>
          <w:u w:val="single" w:color="auto"/>
          <w:color w:val="auto"/>
        </w:rPr>
        <w:t>4.03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7.10</w:t>
      </w:r>
      <w:r>
        <w:rPr>
          <w:rFonts w:ascii="Arial" w:cs="Arial" w:eastAsia="Arial" w:hAnsi="Arial"/>
          <w:sz w:val="16"/>
          <w:szCs w:val="16"/>
          <w:color w:val="auto"/>
        </w:rPr>
        <w:t xml:space="preserve">, that shall survive until the date of maturity or redemption date, as the case may be, and </w:t>
      </w:r>
      <w:r>
        <w:rPr>
          <w:rFonts w:ascii="Arial" w:cs="Arial" w:eastAsia="Arial" w:hAnsi="Arial"/>
          <w:sz w:val="16"/>
          <w:szCs w:val="16"/>
          <w:u w:val="single" w:color="auto"/>
          <w:color w:val="auto"/>
        </w:rPr>
        <w:t>Sections 7.06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11.05</w:t>
      </w:r>
      <w:r>
        <w:rPr>
          <w:rFonts w:ascii="Arial" w:cs="Arial" w:eastAsia="Arial" w:hAnsi="Arial"/>
          <w:sz w:val="16"/>
          <w:szCs w:val="16"/>
          <w:color w:val="auto"/>
        </w:rPr>
        <w:t>, that shall survive to such date and thereafter, and the Trustee, on demand of the Company and at the cost and expense of the Company shall execute such instruments reasonably requested by the Company acknowledging satisfaction of and discharging this Indenture with respect to such series.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Discharge of Obligations</w:t>
      </w:r>
      <w:r>
        <w:rPr>
          <w:rFonts w:ascii="Arial" w:cs="Arial" w:eastAsia="Arial" w:hAnsi="Arial"/>
          <w:sz w:val="18"/>
          <w:szCs w:val="18"/>
          <w:color w:val="auto"/>
        </w:rPr>
        <w:t>.</w:t>
      </w:r>
    </w:p>
    <w:p>
      <w:pPr>
        <w:spacing w:after="0" w:line="117" w:lineRule="exact"/>
        <w:rPr>
          <w:sz w:val="20"/>
          <w:szCs w:val="20"/>
          <w:color w:val="auto"/>
        </w:rPr>
      </w:pPr>
    </w:p>
    <w:p>
      <w:pPr>
        <w:ind w:right="60" w:firstLine="441"/>
        <w:spacing w:after="0" w:line="290" w:lineRule="auto"/>
        <w:rPr>
          <w:sz w:val="20"/>
          <w:szCs w:val="20"/>
          <w:color w:val="auto"/>
        </w:rPr>
      </w:pPr>
      <w:r>
        <w:rPr>
          <w:rFonts w:ascii="Arial" w:cs="Arial" w:eastAsia="Arial" w:hAnsi="Arial"/>
          <w:sz w:val="16"/>
          <w:szCs w:val="16"/>
          <w:color w:val="auto"/>
        </w:rPr>
        <w:t xml:space="preserve">If at any time all such Securities of a particular series not heretofore delivered to the Trustee for cancellation or that have not become due and payable as described in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w:t>
      </w:r>
      <w:r>
        <w:rPr>
          <w:rFonts w:ascii="Arial" w:cs="Arial" w:eastAsia="Arial" w:hAnsi="Arial"/>
          <w:sz w:val="16"/>
          <w:szCs w:val="16"/>
          <w:u w:val="single" w:color="auto"/>
          <w:color w:val="auto"/>
        </w:rPr>
        <w:t>Sections 2.03</w:t>
      </w:r>
      <w:r>
        <w:rPr>
          <w:rFonts w:ascii="Arial" w:cs="Arial" w:eastAsia="Arial" w:hAnsi="Arial"/>
          <w:sz w:val="16"/>
          <w:szCs w:val="16"/>
          <w:color w:val="auto"/>
        </w:rPr>
        <w:t xml:space="preserve">, </w:t>
      </w:r>
      <w:r>
        <w:rPr>
          <w:rFonts w:ascii="Arial" w:cs="Arial" w:eastAsia="Arial" w:hAnsi="Arial"/>
          <w:sz w:val="16"/>
          <w:szCs w:val="16"/>
          <w:u w:val="single" w:color="auto"/>
          <w:color w:val="auto"/>
        </w:rPr>
        <w:t>2.05</w:t>
      </w:r>
      <w:r>
        <w:rPr>
          <w:rFonts w:ascii="Arial" w:cs="Arial" w:eastAsia="Arial" w:hAnsi="Arial"/>
          <w:sz w:val="16"/>
          <w:szCs w:val="16"/>
          <w:color w:val="auto"/>
        </w:rPr>
        <w:t xml:space="preserve">, </w:t>
      </w:r>
      <w:r>
        <w:rPr>
          <w:rFonts w:ascii="Arial" w:cs="Arial" w:eastAsia="Arial" w:hAnsi="Arial"/>
          <w:sz w:val="16"/>
          <w:szCs w:val="16"/>
          <w:u w:val="single" w:color="auto"/>
          <w:color w:val="auto"/>
        </w:rPr>
        <w:t>2.07</w:t>
      </w:r>
      <w:r>
        <w:rPr>
          <w:rFonts w:ascii="Arial" w:cs="Arial" w:eastAsia="Arial" w:hAnsi="Arial"/>
          <w:sz w:val="16"/>
          <w:szCs w:val="16"/>
          <w:color w:val="auto"/>
        </w:rPr>
        <w:t xml:space="preserve">, </w:t>
      </w:r>
      <w:r>
        <w:rPr>
          <w:rFonts w:ascii="Arial" w:cs="Arial" w:eastAsia="Arial" w:hAnsi="Arial"/>
          <w:sz w:val="16"/>
          <w:szCs w:val="16"/>
          <w:u w:val="single" w:color="auto"/>
          <w:color w:val="auto"/>
        </w:rPr>
        <w:t>4.01</w:t>
      </w:r>
      <w:r>
        <w:rPr>
          <w:rFonts w:ascii="Arial" w:cs="Arial" w:eastAsia="Arial" w:hAnsi="Arial"/>
          <w:sz w:val="16"/>
          <w:szCs w:val="16"/>
          <w:color w:val="auto"/>
        </w:rPr>
        <w:t xml:space="preserve">, </w:t>
      </w:r>
      <w:r>
        <w:rPr>
          <w:rFonts w:ascii="Arial" w:cs="Arial" w:eastAsia="Arial" w:hAnsi="Arial"/>
          <w:sz w:val="16"/>
          <w:szCs w:val="16"/>
          <w:u w:val="single" w:color="auto"/>
          <w:color w:val="auto"/>
        </w:rPr>
        <w:t>4.02</w:t>
      </w:r>
      <w:r>
        <w:rPr>
          <w:rFonts w:ascii="Arial" w:cs="Arial" w:eastAsia="Arial" w:hAnsi="Arial"/>
          <w:sz w:val="16"/>
          <w:szCs w:val="16"/>
          <w:color w:val="auto"/>
        </w:rPr>
        <w:t xml:space="preserve">, </w:t>
      </w:r>
      <w:r>
        <w:rPr>
          <w:rFonts w:ascii="Arial" w:cs="Arial" w:eastAsia="Arial" w:hAnsi="Arial"/>
          <w:sz w:val="16"/>
          <w:szCs w:val="16"/>
          <w:u w:val="single" w:color="auto"/>
          <w:color w:val="auto"/>
        </w:rPr>
        <w:t>4.03</w:t>
      </w:r>
      <w:r>
        <w:rPr>
          <w:rFonts w:ascii="Arial" w:cs="Arial" w:eastAsia="Arial" w:hAnsi="Arial"/>
          <w:sz w:val="16"/>
          <w:szCs w:val="16"/>
          <w:color w:val="auto"/>
        </w:rPr>
        <w:t xml:space="preserve">, </w:t>
      </w:r>
      <w:r>
        <w:rPr>
          <w:rFonts w:ascii="Arial" w:cs="Arial" w:eastAsia="Arial" w:hAnsi="Arial"/>
          <w:sz w:val="16"/>
          <w:szCs w:val="16"/>
          <w:u w:val="single" w:color="auto"/>
          <w:color w:val="auto"/>
        </w:rPr>
        <w:t>7.06</w:t>
      </w:r>
      <w:r>
        <w:rPr>
          <w:rFonts w:ascii="Arial" w:cs="Arial" w:eastAsia="Arial" w:hAnsi="Arial"/>
          <w:sz w:val="16"/>
          <w:szCs w:val="16"/>
          <w:color w:val="auto"/>
        </w:rPr>
        <w:t xml:space="preserve">, </w:t>
      </w:r>
      <w:r>
        <w:rPr>
          <w:rFonts w:ascii="Arial" w:cs="Arial" w:eastAsia="Arial" w:hAnsi="Arial"/>
          <w:sz w:val="16"/>
          <w:szCs w:val="16"/>
          <w:u w:val="single" w:color="auto"/>
          <w:color w:val="auto"/>
        </w:rPr>
        <w:t>7.10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11.05</w:t>
      </w:r>
      <w:r>
        <w:rPr>
          <w:rFonts w:ascii="Arial" w:cs="Arial" w:eastAsia="Arial" w:hAnsi="Arial"/>
          <w:sz w:val="16"/>
          <w:szCs w:val="16"/>
          <w:color w:val="auto"/>
        </w:rPr>
        <w:t xml:space="preserve"> hereof that shall survive until such Securities shall mature and be paid.</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Thereafter, </w:t>
      </w:r>
      <w:r>
        <w:rPr>
          <w:rFonts w:ascii="Arial" w:cs="Arial" w:eastAsia="Arial" w:hAnsi="Arial"/>
          <w:sz w:val="18"/>
          <w:szCs w:val="18"/>
          <w:u w:val="single" w:color="auto"/>
          <w:color w:val="auto"/>
        </w:rPr>
        <w:t>Sections 7.06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11.05</w:t>
      </w:r>
      <w:r>
        <w:rPr>
          <w:rFonts w:ascii="Arial" w:cs="Arial" w:eastAsia="Arial" w:hAnsi="Arial"/>
          <w:sz w:val="18"/>
          <w:szCs w:val="18"/>
          <w:color w:val="auto"/>
        </w:rPr>
        <w:t xml:space="preserve"> shall survive.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440" w:top="270" w:right="439" w:bottom="1440" w:gutter="0" w:footer="0" w:header="0"/>
        </w:sectPr>
      </w:pPr>
    </w:p>
    <w:bookmarkStart w:id="141" w:name="page142"/>
    <w:bookmarkEnd w:id="14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11.03 </w:t>
      </w:r>
      <w:r>
        <w:rPr>
          <w:rFonts w:ascii="Arial" w:cs="Arial" w:eastAsia="Arial" w:hAnsi="Arial"/>
          <w:sz w:val="18"/>
          <w:szCs w:val="18"/>
          <w:u w:val="single" w:color="auto"/>
          <w:color w:val="auto"/>
        </w:rPr>
        <w:t>Deposited Moneys to be Held in Trust</w:t>
      </w:r>
      <w:r>
        <w:rPr>
          <w:rFonts w:ascii="Arial" w:cs="Arial" w:eastAsia="Arial" w:hAnsi="Arial"/>
          <w:sz w:val="18"/>
          <w:szCs w:val="18"/>
          <w:color w:val="auto"/>
        </w:rPr>
        <w:t>.</w:t>
      </w:r>
    </w:p>
    <w:p>
      <w:pPr>
        <w:spacing w:after="0" w:line="117" w:lineRule="exact"/>
        <w:rPr>
          <w:sz w:val="20"/>
          <w:szCs w:val="20"/>
          <w:color w:val="auto"/>
        </w:rPr>
      </w:pPr>
    </w:p>
    <w:p>
      <w:pPr>
        <w:ind w:right="100" w:firstLine="441"/>
        <w:spacing w:after="0" w:line="312" w:lineRule="auto"/>
        <w:rPr>
          <w:sz w:val="20"/>
          <w:szCs w:val="20"/>
          <w:color w:val="auto"/>
        </w:rPr>
      </w:pPr>
      <w:r>
        <w:rPr>
          <w:rFonts w:ascii="Arial" w:cs="Arial" w:eastAsia="Arial" w:hAnsi="Arial"/>
          <w:sz w:val="16"/>
          <w:szCs w:val="16"/>
          <w:color w:val="auto"/>
        </w:rPr>
        <w:t xml:space="preserve">All moneys or Governmental Obligations deposited with the Trustee pursuant to </w:t>
      </w:r>
      <w:r>
        <w:rPr>
          <w:rFonts w:ascii="Arial" w:cs="Arial" w:eastAsia="Arial" w:hAnsi="Arial"/>
          <w:sz w:val="16"/>
          <w:szCs w:val="16"/>
          <w:u w:val="single" w:color="auto"/>
          <w:color w:val="auto"/>
        </w:rPr>
        <w:t>Sections 11.01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11.02</w:t>
      </w:r>
      <w:r>
        <w:rPr>
          <w:rFonts w:ascii="Arial" w:cs="Arial" w:eastAsia="Arial" w:hAnsi="Arial"/>
          <w:sz w:val="16"/>
          <w:szCs w:val="16"/>
          <w:color w:val="auto"/>
        </w:rPr>
        <w:t xml:space="preserve">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Payment of Moneys Held by Paying Agents</w:t>
      </w:r>
      <w:r>
        <w:rPr>
          <w:rFonts w:ascii="Arial" w:cs="Arial" w:eastAsia="Arial" w:hAnsi="Arial"/>
          <w:sz w:val="18"/>
          <w:szCs w:val="18"/>
          <w:color w:val="auto"/>
        </w:rPr>
        <w:t>.</w:t>
      </w:r>
    </w:p>
    <w:p>
      <w:pPr>
        <w:spacing w:after="0" w:line="117" w:lineRule="exact"/>
        <w:rPr>
          <w:sz w:val="20"/>
          <w:szCs w:val="20"/>
          <w:color w:val="auto"/>
        </w:rPr>
      </w:pPr>
    </w:p>
    <w:p>
      <w:pPr>
        <w:jc w:val="both"/>
        <w:ind w:right="180" w:firstLine="441"/>
        <w:spacing w:after="0" w:line="264" w:lineRule="auto"/>
        <w:rPr>
          <w:sz w:val="20"/>
          <w:szCs w:val="20"/>
          <w:color w:val="auto"/>
        </w:rPr>
      </w:pPr>
      <w:r>
        <w:rPr>
          <w:rFonts w:ascii="Arial" w:cs="Arial" w:eastAsia="Arial" w:hAnsi="Arial"/>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Repayment to Company</w:t>
      </w:r>
      <w:r>
        <w:rPr>
          <w:rFonts w:ascii="Arial" w:cs="Arial" w:eastAsia="Arial" w:hAnsi="Arial"/>
          <w:sz w:val="18"/>
          <w:szCs w:val="18"/>
          <w:color w:val="auto"/>
        </w:rPr>
        <w:t>.</w:t>
      </w:r>
    </w:p>
    <w:p>
      <w:pPr>
        <w:spacing w:after="0" w:line="117" w:lineRule="exact"/>
        <w:rPr>
          <w:sz w:val="20"/>
          <w:szCs w:val="20"/>
          <w:color w:val="auto"/>
        </w:rPr>
      </w:pPr>
    </w:p>
    <w:p>
      <w:pPr>
        <w:ind w:right="140" w:firstLine="441"/>
        <w:spacing w:after="0" w:line="291" w:lineRule="auto"/>
        <w:rPr>
          <w:sz w:val="20"/>
          <w:szCs w:val="20"/>
          <w:color w:val="auto"/>
        </w:rPr>
      </w:pPr>
      <w:r>
        <w:rPr>
          <w:rFonts w:ascii="Arial" w:cs="Arial" w:eastAsia="Arial" w:hAnsi="Arial"/>
          <w:sz w:val="16"/>
          <w:szCs w:val="16"/>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IMMUNITY OF INCORPORATORS, STOCKHOLDERS, OFFICERS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DIRECTORS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u w:val="single" w:color="auto"/>
          <w:color w:val="auto"/>
        </w:rPr>
        <w:t>No Recourse</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440" w:top="274" w:right="439" w:bottom="1440" w:gutter="0" w:footer="0" w:header="0"/>
        </w:sectPr>
      </w:pPr>
    </w:p>
    <w:bookmarkStart w:id="142" w:name="page143"/>
    <w:bookmarkEnd w:id="14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13</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 PROVISIONS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u w:val="single" w:color="auto"/>
          <w:color w:val="auto"/>
        </w:rPr>
        <w:t>Effect on Successors and Assigns</w:t>
      </w:r>
      <w:r>
        <w:rPr>
          <w:rFonts w:ascii="Arial" w:cs="Arial" w:eastAsia="Arial" w:hAnsi="Arial"/>
          <w:sz w:val="18"/>
          <w:szCs w:val="18"/>
          <w:color w:val="auto"/>
        </w:rPr>
        <w:t>.</w:t>
      </w:r>
    </w:p>
    <w:p>
      <w:pPr>
        <w:spacing w:after="0" w:line="117" w:lineRule="exact"/>
        <w:rPr>
          <w:sz w:val="20"/>
          <w:szCs w:val="20"/>
          <w:color w:val="auto"/>
        </w:rPr>
      </w:pPr>
    </w:p>
    <w:p>
      <w:pPr>
        <w:ind w:right="360" w:firstLine="441"/>
        <w:spacing w:after="0" w:line="277" w:lineRule="auto"/>
        <w:rPr>
          <w:sz w:val="20"/>
          <w:szCs w:val="20"/>
          <w:color w:val="auto"/>
        </w:rPr>
      </w:pPr>
      <w:r>
        <w:rPr>
          <w:rFonts w:ascii="Arial" w:cs="Arial" w:eastAsia="Arial" w:hAnsi="Arial"/>
          <w:sz w:val="18"/>
          <w:szCs w:val="18"/>
          <w:color w:val="auto"/>
        </w:rPr>
        <w:t>All the covenants, stipulations, promises and agreements in this Indenture made by or on behalf of the Company shall bind its successors and assigns, whether so expressed or not.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u w:val="single" w:color="auto"/>
          <w:color w:val="auto"/>
        </w:rPr>
        <w:t>Actions by Successor</w:t>
      </w:r>
      <w:r>
        <w:rPr>
          <w:rFonts w:ascii="Arial" w:cs="Arial" w:eastAsia="Arial" w:hAnsi="Arial"/>
          <w:sz w:val="18"/>
          <w:szCs w:val="18"/>
          <w:color w:val="auto"/>
        </w:rPr>
        <w:t>.</w:t>
      </w:r>
    </w:p>
    <w:p>
      <w:pPr>
        <w:spacing w:after="0" w:line="117"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13.03 </w:t>
      </w:r>
      <w:r>
        <w:rPr>
          <w:rFonts w:ascii="Arial" w:cs="Arial" w:eastAsia="Arial" w:hAnsi="Arial"/>
          <w:sz w:val="18"/>
          <w:szCs w:val="18"/>
          <w:u w:val="single" w:color="auto"/>
          <w:color w:val="auto"/>
        </w:rPr>
        <w:t>Surrender of Company Powers</w:t>
      </w:r>
      <w:r>
        <w:rPr>
          <w:rFonts w:ascii="Arial" w:cs="Arial" w:eastAsia="Arial" w:hAnsi="Arial"/>
          <w:sz w:val="18"/>
          <w:szCs w:val="18"/>
          <w:color w:val="auto"/>
        </w:rPr>
        <w:t>.</w:t>
      </w:r>
    </w:p>
    <w:p>
      <w:pPr>
        <w:spacing w:after="0" w:line="117" w:lineRule="exact"/>
        <w:rPr>
          <w:sz w:val="20"/>
          <w:szCs w:val="20"/>
          <w:color w:val="auto"/>
        </w:rPr>
      </w:pPr>
    </w:p>
    <w:p>
      <w:pPr>
        <w:ind w:right="20" w:firstLine="441"/>
        <w:spacing w:after="0" w:line="342" w:lineRule="auto"/>
        <w:rPr>
          <w:sz w:val="20"/>
          <w:szCs w:val="20"/>
          <w:color w:val="auto"/>
        </w:rPr>
      </w:pPr>
      <w:r>
        <w:rPr>
          <w:rFonts w:ascii="Arial" w:cs="Arial" w:eastAsia="Arial" w:hAnsi="Arial"/>
          <w:sz w:val="16"/>
          <w:szCs w:val="16"/>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any standard form of telecommunication or by being deposited in first class mail, postage prepaid, addressed (until another address is filed in writing by the Company with the Trustee), as follows: [__].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 Notwithstanding anything herein to the contrary, where reference herein is made to notice of any event (including notice of redemption) to a Securityholder of Global Securities, whether by mail or otherwise, such notice shall be sufficiently given when delivered to the Depositary (or its designee) pursuant to the customary procedures of the Depositary.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40" w:top="270" w:right="479" w:bottom="1440" w:gutter="0" w:footer="0" w:header="0"/>
        </w:sectPr>
      </w:pPr>
    </w:p>
    <w:bookmarkStart w:id="143" w:name="page144"/>
    <w:bookmarkEnd w:id="14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13.05 </w:t>
      </w:r>
      <w:r>
        <w:rPr>
          <w:rFonts w:ascii="Arial" w:cs="Arial" w:eastAsia="Arial" w:hAnsi="Arial"/>
          <w:sz w:val="18"/>
          <w:szCs w:val="18"/>
          <w:u w:val="single" w:color="auto"/>
          <w:color w:val="auto"/>
        </w:rPr>
        <w:t>Governing Law; Jury Trial Waiver</w:t>
      </w:r>
      <w:r>
        <w:rPr>
          <w:rFonts w:ascii="Arial" w:cs="Arial" w:eastAsia="Arial" w:hAnsi="Arial"/>
          <w:sz w:val="18"/>
          <w:szCs w:val="18"/>
          <w:color w:val="auto"/>
        </w:rPr>
        <w:t>.</w:t>
      </w:r>
    </w:p>
    <w:p>
      <w:pPr>
        <w:spacing w:after="0" w:line="117"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THIS INDENTURE AND EACH SECURITY, AND ANY CLAIM, CONTROVERSY OR DISPUTE ARISING UNDER OR RELATED TO THIS INDENTURE AND EACH SECURITY, SHALL BE GOVERNED BY, AND CONSTRUED IN ACCORDANCE WITH, THE LAWS OF THE STATE OF NEW YORK (WITHOUT REGARD TO THE CONFLICTS OF LAWS PROVISIONS THEREOF). EACH OF THE COMPANY AND THE TRUSTEE HEREBY IRREVOCABLY WAIVES, TO THE FULLEST EXTENT PERMITTED BY APPLICABLE LAW, ANY AND ALL RIGHT TO TRIAL BY JURY IN ANY LEGAL PROCEEDING ARISING OUT OF OR RELATING TO THIS INDENTURE, THE SECURITIES OR THE TRANSACTION CONTEMPLATED HEREBY.</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u w:val="single" w:color="auto"/>
          <w:color w:val="auto"/>
        </w:rPr>
        <w:t>Treatment of Securities as Debt</w:t>
      </w:r>
      <w:r>
        <w:rPr>
          <w:rFonts w:ascii="Arial" w:cs="Arial" w:eastAsia="Arial" w:hAnsi="Arial"/>
          <w:sz w:val="18"/>
          <w:szCs w:val="18"/>
          <w:color w:val="auto"/>
        </w:rPr>
        <w:t>.</w:t>
      </w:r>
    </w:p>
    <w:p>
      <w:pPr>
        <w:spacing w:after="0" w:line="117"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13.07 </w:t>
      </w:r>
      <w:r>
        <w:rPr>
          <w:rFonts w:ascii="Arial" w:cs="Arial" w:eastAsia="Arial" w:hAnsi="Arial"/>
          <w:sz w:val="18"/>
          <w:szCs w:val="18"/>
          <w:u w:val="single" w:color="auto"/>
          <w:color w:val="auto"/>
        </w:rPr>
        <w:t>Certificates and Opinions as to Conditions Precedent</w:t>
      </w:r>
      <w:r>
        <w:rPr>
          <w:rFonts w:ascii="Arial" w:cs="Arial" w:eastAsia="Arial" w:hAnsi="Arial"/>
          <w:sz w:val="18"/>
          <w:szCs w:val="18"/>
          <w:color w:val="auto"/>
        </w:rPr>
        <w:t>.</w:t>
      </w:r>
    </w:p>
    <w:p>
      <w:pPr>
        <w:spacing w:after="0" w:line="117" w:lineRule="exact"/>
        <w:rPr>
          <w:sz w:val="20"/>
          <w:szCs w:val="20"/>
          <w:color w:val="auto"/>
        </w:rPr>
      </w:pPr>
    </w:p>
    <w:p>
      <w:pPr>
        <w:jc w:val="both"/>
        <w:ind w:right="20" w:firstLine="996"/>
        <w:spacing w:after="0" w:line="279" w:lineRule="auto"/>
        <w:tabs>
          <w:tab w:leader="none" w:pos="1237"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Upon any application or demand by the Company to the Trustee to take any action under any of the provisions of this Indenture, the Company shall furnish to the Trustee an Officer’s Certificate stating that all covenants and conditions precedent provided for in this Indenture (other than the certificate to be delivered pursuant to </w:t>
      </w:r>
      <w:r>
        <w:rPr>
          <w:rFonts w:ascii="Arial" w:cs="Arial" w:eastAsia="Arial" w:hAnsi="Arial"/>
          <w:sz w:val="17"/>
          <w:szCs w:val="17"/>
          <w:u w:val="single" w:color="auto"/>
          <w:color w:val="auto"/>
        </w:rPr>
        <w:t>Section 13.12</w:t>
      </w:r>
      <w:r>
        <w:rPr>
          <w:rFonts w:ascii="Arial" w:cs="Arial" w:eastAsia="Arial" w:hAnsi="Arial"/>
          <w:sz w:val="17"/>
          <w:szCs w:val="17"/>
          <w:color w:val="auto"/>
        </w:rPr>
        <w:t>) relating to the proposed action have been complied with and an Opinion of Counsel stating that in the opinion of such counsel all such covenants and conditions precedent have been complied with.</w:t>
      </w:r>
    </w:p>
    <w:p>
      <w:pPr>
        <w:spacing w:after="0" w:line="63" w:lineRule="exact"/>
        <w:rPr>
          <w:rFonts w:ascii="Arial" w:cs="Arial" w:eastAsia="Arial" w:hAnsi="Arial"/>
          <w:sz w:val="17"/>
          <w:szCs w:val="17"/>
          <w:color w:val="auto"/>
        </w:rPr>
      </w:pPr>
    </w:p>
    <w:p>
      <w:pPr>
        <w:ind w:firstLine="996"/>
        <w:spacing w:after="0" w:line="273" w:lineRule="auto"/>
        <w:tabs>
          <w:tab w:leader="none" w:pos="1247" w:val="left"/>
        </w:tabs>
        <w:numPr>
          <w:ilvl w:val="0"/>
          <w:numId w:val="139"/>
        </w:numPr>
        <w:rPr>
          <w:rFonts w:ascii="Arial" w:cs="Arial" w:eastAsia="Arial" w:hAnsi="Arial"/>
          <w:sz w:val="17"/>
          <w:szCs w:val="17"/>
          <w:color w:val="auto"/>
        </w:rPr>
      </w:pPr>
      <w:r>
        <w:rPr>
          <w:rFonts w:ascii="Arial" w:cs="Arial" w:eastAsia="Arial" w:hAnsi="Arial"/>
          <w:sz w:val="17"/>
          <w:szCs w:val="17"/>
          <w:color w:val="auto"/>
        </w:rPr>
        <w:t>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13.08 </w:t>
      </w:r>
      <w:r>
        <w:rPr>
          <w:rFonts w:ascii="Arial" w:cs="Arial" w:eastAsia="Arial" w:hAnsi="Arial"/>
          <w:sz w:val="18"/>
          <w:szCs w:val="18"/>
          <w:u w:val="single" w:color="auto"/>
          <w:color w:val="auto"/>
        </w:rPr>
        <w:t>Payments on Business Days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Except as provided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pursuant to a Board Resolution, and set forth in an Officer’s Certificate, or established in one or more indentures supplemental to this Indenture, in any case where the date that principal of, interest and/or premium, if any, on any Security is due or otherwise payable shall not be a Business Day or is a day on which the banking institutions in the city of the office of the Paying Agent are authorized or obligated by law to close or be closed, then payment of principal, premium, if any, and/or interest may be made on the next succeeding day that is a Business Day and is not a day on which the banking institutions in the city of the office of the Paying Agent are authorized or obligated by law to close or be closed with the same force and effect as if made on the nominal date of maturity or redemption, and no interest shall accrue for the period after such nominal date.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0"/>
          </w:cols>
          <w:pgMar w:left="440" w:top="274" w:right="439" w:bottom="1440" w:gutter="0" w:footer="0" w:header="0"/>
        </w:sectPr>
      </w:pPr>
    </w:p>
    <w:bookmarkStart w:id="144" w:name="page145"/>
    <w:bookmarkEnd w:id="14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13.09 </w:t>
      </w:r>
      <w:r>
        <w:rPr>
          <w:rFonts w:ascii="Arial" w:cs="Arial" w:eastAsia="Arial" w:hAnsi="Arial"/>
          <w:sz w:val="18"/>
          <w:szCs w:val="18"/>
          <w:u w:val="single" w:color="auto"/>
          <w:color w:val="auto"/>
        </w:rPr>
        <w:t>Conflict with Trust Indenture Act</w:t>
      </w:r>
      <w:r>
        <w:rPr>
          <w:rFonts w:ascii="Arial" w:cs="Arial" w:eastAsia="Arial" w:hAnsi="Arial"/>
          <w:sz w:val="18"/>
          <w:szCs w:val="18"/>
          <w:color w:val="auto"/>
        </w:rPr>
        <w:t>.</w:t>
      </w:r>
    </w:p>
    <w:p>
      <w:pPr>
        <w:spacing w:after="0" w:line="117"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If and to the extent that any provision of this Indenture limits, qualifies or conflicts with the duties imposed by Sections 310 to 317, inclusive, of the Trust Indenture Act, such imposed duties shall control.</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13.10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117"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13.11 </w:t>
      </w:r>
      <w:r>
        <w:rPr>
          <w:rFonts w:ascii="Arial" w:cs="Arial" w:eastAsia="Arial" w:hAnsi="Arial"/>
          <w:sz w:val="18"/>
          <w:szCs w:val="18"/>
          <w:u w:val="single" w:color="auto"/>
          <w:color w:val="auto"/>
        </w:rPr>
        <w:t>Separability</w:t>
      </w:r>
      <w:r>
        <w:rPr>
          <w:rFonts w:ascii="Arial" w:cs="Arial" w:eastAsia="Arial" w:hAnsi="Arial"/>
          <w:sz w:val="18"/>
          <w:szCs w:val="18"/>
          <w:color w:val="auto"/>
        </w:rPr>
        <w:t>.</w:t>
      </w:r>
    </w:p>
    <w:p>
      <w:pPr>
        <w:spacing w:after="0" w:line="117" w:lineRule="exact"/>
        <w:rPr>
          <w:sz w:val="20"/>
          <w:szCs w:val="20"/>
          <w:color w:val="auto"/>
        </w:rPr>
      </w:pPr>
    </w:p>
    <w:p>
      <w:pPr>
        <w:jc w:val="both"/>
        <w:ind w:right="240" w:firstLine="441"/>
        <w:spacing w:after="0" w:line="259" w:lineRule="auto"/>
        <w:rPr>
          <w:sz w:val="20"/>
          <w:szCs w:val="20"/>
          <w:color w:val="auto"/>
        </w:rPr>
      </w:pPr>
      <w:r>
        <w:rPr>
          <w:rFonts w:ascii="Arial" w:cs="Arial" w:eastAsia="Arial" w:hAnsi="Arial"/>
          <w:sz w:val="18"/>
          <w:szCs w:val="18"/>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13.12 </w:t>
      </w:r>
      <w:r>
        <w:rPr>
          <w:rFonts w:ascii="Arial" w:cs="Arial" w:eastAsia="Arial" w:hAnsi="Arial"/>
          <w:sz w:val="18"/>
          <w:szCs w:val="18"/>
          <w:u w:val="single" w:color="auto"/>
          <w:color w:val="auto"/>
        </w:rPr>
        <w:t>Compliance Certificates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 xml:space="preserve">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w:t>
      </w:r>
      <w:r>
        <w:rPr>
          <w:rFonts w:ascii="Arial" w:cs="Arial" w:eastAsia="Arial" w:hAnsi="Arial"/>
          <w:sz w:val="17"/>
          <w:szCs w:val="17"/>
          <w:u w:val="single" w:color="auto"/>
          <w:color w:val="auto"/>
        </w:rPr>
        <w:t>Section 13.12</w:t>
      </w:r>
      <w:r>
        <w:rPr>
          <w:rFonts w:ascii="Arial" w:cs="Arial" w:eastAsia="Arial" w:hAnsi="Arial"/>
          <w:sz w:val="17"/>
          <w:szCs w:val="17"/>
          <w:color w:val="auto"/>
        </w:rPr>
        <w:t>,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13.13 </w:t>
      </w:r>
      <w:r>
        <w:rPr>
          <w:rFonts w:ascii="Arial" w:cs="Arial" w:eastAsia="Arial" w:hAnsi="Arial"/>
          <w:sz w:val="18"/>
          <w:szCs w:val="18"/>
          <w:u w:val="single" w:color="auto"/>
          <w:color w:val="auto"/>
        </w:rPr>
        <w:t>USA PATRIOT ACT</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145" w:name="page146"/>
    <w:bookmarkEnd w:id="14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13.14 </w:t>
      </w:r>
      <w:r>
        <w:rPr>
          <w:rFonts w:ascii="Arial" w:cs="Arial" w:eastAsia="Arial" w:hAnsi="Arial"/>
          <w:sz w:val="18"/>
          <w:szCs w:val="18"/>
          <w:u w:val="single" w:color="auto"/>
          <w:color w:val="auto"/>
        </w:rPr>
        <w:t>Calculations</w:t>
      </w:r>
      <w:r>
        <w:rPr>
          <w:rFonts w:ascii="Arial" w:cs="Arial" w:eastAsia="Arial" w:hAnsi="Arial"/>
          <w:sz w:val="18"/>
          <w:szCs w:val="18"/>
          <w:color w:val="auto"/>
        </w:rPr>
        <w:t>.</w:t>
      </w:r>
    </w:p>
    <w:p>
      <w:pPr>
        <w:spacing w:after="0" w:line="117" w:lineRule="exact"/>
        <w:rPr>
          <w:sz w:val="20"/>
          <w:szCs w:val="20"/>
          <w:color w:val="auto"/>
        </w:rPr>
      </w:pPr>
    </w:p>
    <w:p>
      <w:pPr>
        <w:ind w:right="660" w:firstLine="441"/>
        <w:spacing w:after="0" w:line="277" w:lineRule="auto"/>
        <w:rPr>
          <w:sz w:val="20"/>
          <w:szCs w:val="20"/>
          <w:color w:val="auto"/>
        </w:rPr>
      </w:pPr>
      <w:r>
        <w:rPr>
          <w:rFonts w:ascii="Arial" w:cs="Arial" w:eastAsia="Arial" w:hAnsi="Arial"/>
          <w:sz w:val="18"/>
          <w:szCs w:val="18"/>
          <w:color w:val="auto"/>
        </w:rPr>
        <w:t>It is understood that the Trustee nor the Paying Agent shall have no responsibility for any calculations hereunder and shall be entitled to conclusively rely on the calculations of the Company without any independent verification or investigation.</w:t>
      </w:r>
    </w:p>
    <w:p>
      <w:pPr>
        <w:spacing w:after="0" w:line="3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SUBORDINATION OF SECURITIES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14.01 </w:t>
      </w:r>
      <w:r>
        <w:rPr>
          <w:rFonts w:ascii="Arial" w:cs="Arial" w:eastAsia="Arial" w:hAnsi="Arial"/>
          <w:sz w:val="18"/>
          <w:szCs w:val="18"/>
          <w:u w:val="single" w:color="auto"/>
          <w:color w:val="auto"/>
        </w:rPr>
        <w:t>Subordination Terms</w:t>
      </w:r>
      <w:r>
        <w:rPr>
          <w:rFonts w:ascii="Arial" w:cs="Arial" w:eastAsia="Arial" w:hAnsi="Arial"/>
          <w:sz w:val="18"/>
          <w:szCs w:val="18"/>
          <w:color w:val="auto"/>
        </w:rPr>
        <w:t>.</w:t>
      </w:r>
    </w:p>
    <w:p>
      <w:pPr>
        <w:spacing w:after="0" w:line="11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payment by the Company of the principal of, premium, if any, and interest on any series of Securities issued hereunder shall be subordinated to the extent set forth in an indenture supplemental hereto relating to such series.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880"/>
          </w:cols>
          <w:pgMar w:left="440" w:top="274" w:right="579" w:bottom="1440" w:gutter="0" w:footer="0" w:header="0"/>
        </w:sectPr>
      </w:pPr>
    </w:p>
    <w:bookmarkStart w:id="146" w:name="page147"/>
    <w:bookmarkEnd w:id="146"/>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6"/>
          <w:szCs w:val="16"/>
          <w:color w:val="auto"/>
        </w:rPr>
        <w:t>, the parties hereto have caused this Indenture to be duly executed all as of the day and year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 xml:space="preserve">AVROBIO, INC., </w:t>
      </w:r>
      <w:r>
        <w:rPr>
          <w:rFonts w:ascii="Arial" w:cs="Arial" w:eastAsia="Arial" w:hAnsi="Arial"/>
          <w:sz w:val="18"/>
          <w:szCs w:val="18"/>
          <w:color w:val="auto"/>
        </w:rPr>
        <w:t>as Issuer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4237990</wp:posOffset>
            </wp:positionH>
            <wp:positionV relativeFrom="paragraph">
              <wp:posOffset>14605</wp:posOffset>
            </wp:positionV>
            <wp:extent cx="248729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9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4237990</wp:posOffset>
            </wp:positionH>
            <wp:positionV relativeFrom="paragraph">
              <wp:posOffset>14605</wp:posOffset>
            </wp:positionV>
            <wp:extent cx="248729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9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4237990</wp:posOffset>
            </wp:positionH>
            <wp:positionV relativeFrom="paragraph">
              <wp:posOffset>14605</wp:posOffset>
            </wp:positionV>
            <wp:extent cx="248729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1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[TRUSTEE]</w:t>
      </w:r>
      <w:r>
        <w:rPr>
          <w:rFonts w:ascii="Arial" w:cs="Arial" w:eastAsia="Arial" w:hAnsi="Arial"/>
          <w:sz w:val="18"/>
          <w:szCs w:val="18"/>
          <w:color w:val="auto"/>
        </w:rPr>
        <w:t>, as Trustee</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4237990</wp:posOffset>
            </wp:positionH>
            <wp:positionV relativeFrom="paragraph">
              <wp:posOffset>14605</wp:posOffset>
            </wp:positionV>
            <wp:extent cx="248729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9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4237990</wp:posOffset>
            </wp:positionH>
            <wp:positionV relativeFrom="paragraph">
              <wp:posOffset>14605</wp:posOffset>
            </wp:positionV>
            <wp:extent cx="248729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9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4237990</wp:posOffset>
            </wp:positionH>
            <wp:positionV relativeFrom="paragraph">
              <wp:posOffset>14605</wp:posOffset>
            </wp:positionV>
            <wp:extent cx="248729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2">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to Form of Indenture</w:t>
      </w:r>
    </w:p>
    <w:p>
      <w:pPr>
        <w:sectPr>
          <w:pgSz w:w="11900" w:h="16838" w:orient="portrait"/>
          <w:cols w:equalWidth="0" w:num="1">
            <w:col w:w="10040"/>
          </w:cols>
          <w:pgMar w:left="880" w:top="270" w:right="97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TRUST INDENTURE ACT CROSS-REFERENCE TABLE</w:t>
      </w:r>
      <w:r>
        <w:rPr>
          <w:rFonts w:ascii="Arial" w:cs="Arial" w:eastAsia="Arial" w:hAnsi="Arial"/>
          <w:sz w:val="15"/>
          <w:szCs w:val="15"/>
          <w:b w:val="1"/>
          <w:bCs w:val="1"/>
          <w:color w:val="auto"/>
        </w:rPr>
        <w:t>2</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Section of Trust Indenture Act of 1939, as amended</w:t>
            </w:r>
          </w:p>
        </w:tc>
        <w:tc>
          <w:tcPr>
            <w:tcW w:w="4980" w:type="dxa"/>
            <w:vAlign w:val="bottom"/>
          </w:tcPr>
          <w:p>
            <w:pPr>
              <w:spacing w:after="0"/>
              <w:rPr>
                <w:sz w:val="16"/>
                <w:szCs w:val="16"/>
                <w:color w:val="auto"/>
              </w:rPr>
            </w:pPr>
          </w:p>
        </w:tc>
        <w:tc>
          <w:tcPr>
            <w:tcW w:w="288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Section of Indenture</w:t>
            </w:r>
          </w:p>
        </w:tc>
      </w:tr>
      <w:tr>
        <w:trPr>
          <w:trHeight w:val="189"/>
        </w:trPr>
        <w:tc>
          <w:tcPr>
            <w:tcW w:w="3180" w:type="dxa"/>
            <w:vAlign w:val="bottom"/>
          </w:tcPr>
          <w:p>
            <w:pPr>
              <w:spacing w:after="0" w:line="189" w:lineRule="exact"/>
              <w:rPr>
                <w:sz w:val="20"/>
                <w:szCs w:val="20"/>
                <w:color w:val="auto"/>
              </w:rPr>
            </w:pPr>
            <w:r>
              <w:rPr>
                <w:rFonts w:ascii="Arial" w:cs="Arial" w:eastAsia="Arial" w:hAnsi="Arial"/>
                <w:sz w:val="18"/>
                <w:szCs w:val="18"/>
                <w:color w:val="auto"/>
              </w:rPr>
              <w:t>310(a)</w:t>
            </w:r>
          </w:p>
        </w:tc>
        <w:tc>
          <w:tcPr>
            <w:tcW w:w="4980" w:type="dxa"/>
            <w:vAlign w:val="bottom"/>
          </w:tcPr>
          <w:p>
            <w:pPr>
              <w:spacing w:after="0"/>
              <w:rPr>
                <w:sz w:val="16"/>
                <w:szCs w:val="16"/>
                <w:color w:val="auto"/>
              </w:rPr>
            </w:pPr>
          </w:p>
        </w:tc>
        <w:tc>
          <w:tcPr>
            <w:tcW w:w="2880" w:type="dxa"/>
            <w:vAlign w:val="bottom"/>
          </w:tcPr>
          <w:p>
            <w:pPr>
              <w:spacing w:after="0" w:line="189" w:lineRule="exact"/>
              <w:rPr>
                <w:sz w:val="20"/>
                <w:szCs w:val="20"/>
                <w:color w:val="auto"/>
              </w:rPr>
            </w:pPr>
            <w:r>
              <w:rPr>
                <w:rFonts w:ascii="Arial" w:cs="Arial" w:eastAsia="Arial" w:hAnsi="Arial"/>
                <w:sz w:val="18"/>
                <w:szCs w:val="18"/>
                <w:color w:val="auto"/>
              </w:rPr>
              <w:t>7.09</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310(b)</w:t>
            </w:r>
          </w:p>
        </w:tc>
        <w:tc>
          <w:tcPr>
            <w:tcW w:w="7860" w:type="dxa"/>
            <w:vAlign w:val="bottom"/>
            <w:gridSpan w:val="2"/>
          </w:tcPr>
          <w:p>
            <w:pPr>
              <w:ind w:left="4980"/>
              <w:spacing w:after="0"/>
              <w:rPr>
                <w:sz w:val="20"/>
                <w:szCs w:val="20"/>
                <w:color w:val="auto"/>
              </w:rPr>
            </w:pPr>
            <w:r>
              <w:rPr>
                <w:rFonts w:ascii="Arial" w:cs="Arial" w:eastAsia="Arial" w:hAnsi="Arial"/>
                <w:sz w:val="18"/>
                <w:szCs w:val="18"/>
                <w:color w:val="auto"/>
              </w:rPr>
              <w:t>7.08</w:t>
            </w:r>
          </w:p>
        </w:tc>
      </w:tr>
      <w:tr>
        <w:trPr>
          <w:trHeight w:val="230"/>
        </w:trPr>
        <w:tc>
          <w:tcPr>
            <w:tcW w:w="3180" w:type="dxa"/>
            <w:vAlign w:val="bottom"/>
          </w:tcPr>
          <w:p>
            <w:pPr>
              <w:spacing w:after="0"/>
              <w:rPr>
                <w:sz w:val="19"/>
                <w:szCs w:val="19"/>
                <w:color w:val="auto"/>
              </w:rPr>
            </w:pPr>
          </w:p>
        </w:tc>
        <w:tc>
          <w:tcPr>
            <w:tcW w:w="7860" w:type="dxa"/>
            <w:vAlign w:val="bottom"/>
            <w:gridSpan w:val="2"/>
          </w:tcPr>
          <w:p>
            <w:pPr>
              <w:ind w:left="4980"/>
              <w:spacing w:after="0"/>
              <w:rPr>
                <w:sz w:val="20"/>
                <w:szCs w:val="20"/>
                <w:color w:val="auto"/>
              </w:rPr>
            </w:pPr>
            <w:r>
              <w:rPr>
                <w:rFonts w:ascii="Arial" w:cs="Arial" w:eastAsia="Arial" w:hAnsi="Arial"/>
                <w:sz w:val="18"/>
                <w:szCs w:val="18"/>
                <w:color w:val="auto"/>
              </w:rPr>
              <w:t>7.10</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310(c)</w:t>
            </w:r>
          </w:p>
        </w:tc>
        <w:tc>
          <w:tcPr>
            <w:tcW w:w="7860" w:type="dxa"/>
            <w:vAlign w:val="bottom"/>
            <w:gridSpan w:val="2"/>
          </w:tcPr>
          <w:p>
            <w:pPr>
              <w:ind w:left="4980"/>
              <w:spacing w:after="0"/>
              <w:rPr>
                <w:sz w:val="20"/>
                <w:szCs w:val="20"/>
                <w:color w:val="auto"/>
              </w:rPr>
            </w:pPr>
            <w:r>
              <w:rPr>
                <w:rFonts w:ascii="Arial" w:cs="Arial" w:eastAsia="Arial" w:hAnsi="Arial"/>
                <w:sz w:val="18"/>
                <w:szCs w:val="18"/>
                <w:color w:val="auto"/>
              </w:rPr>
              <w:t>Inapplicable</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311(a)</w:t>
            </w:r>
          </w:p>
        </w:tc>
        <w:tc>
          <w:tcPr>
            <w:tcW w:w="7860" w:type="dxa"/>
            <w:vAlign w:val="bottom"/>
            <w:gridSpan w:val="2"/>
          </w:tcPr>
          <w:p>
            <w:pPr>
              <w:ind w:left="4980"/>
              <w:spacing w:after="0"/>
              <w:rPr>
                <w:sz w:val="20"/>
                <w:szCs w:val="20"/>
                <w:color w:val="auto"/>
              </w:rPr>
            </w:pPr>
            <w:r>
              <w:rPr>
                <w:rFonts w:ascii="Arial" w:cs="Arial" w:eastAsia="Arial" w:hAnsi="Arial"/>
                <w:sz w:val="18"/>
                <w:szCs w:val="18"/>
                <w:color w:val="auto"/>
              </w:rPr>
              <w:t>7.13</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311(b)</w:t>
            </w:r>
          </w:p>
        </w:tc>
        <w:tc>
          <w:tcPr>
            <w:tcW w:w="7860" w:type="dxa"/>
            <w:vAlign w:val="bottom"/>
            <w:gridSpan w:val="2"/>
          </w:tcPr>
          <w:p>
            <w:pPr>
              <w:ind w:left="4980"/>
              <w:spacing w:after="0"/>
              <w:rPr>
                <w:sz w:val="20"/>
                <w:szCs w:val="20"/>
                <w:color w:val="auto"/>
              </w:rPr>
            </w:pPr>
            <w:r>
              <w:rPr>
                <w:rFonts w:ascii="Arial" w:cs="Arial" w:eastAsia="Arial" w:hAnsi="Arial"/>
                <w:sz w:val="18"/>
                <w:szCs w:val="18"/>
                <w:color w:val="auto"/>
              </w:rPr>
              <w:t>7.13</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311(c)</w:t>
            </w:r>
          </w:p>
        </w:tc>
        <w:tc>
          <w:tcPr>
            <w:tcW w:w="7860" w:type="dxa"/>
            <w:vAlign w:val="bottom"/>
            <w:gridSpan w:val="2"/>
          </w:tcPr>
          <w:p>
            <w:pPr>
              <w:ind w:left="4980"/>
              <w:spacing w:after="0"/>
              <w:rPr>
                <w:sz w:val="20"/>
                <w:szCs w:val="20"/>
                <w:color w:val="auto"/>
              </w:rPr>
            </w:pPr>
            <w:r>
              <w:rPr>
                <w:rFonts w:ascii="Arial" w:cs="Arial" w:eastAsia="Arial" w:hAnsi="Arial"/>
                <w:sz w:val="18"/>
                <w:szCs w:val="18"/>
                <w:color w:val="auto"/>
              </w:rPr>
              <w:t>Inapplicable</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312(a)</w:t>
            </w:r>
          </w:p>
        </w:tc>
        <w:tc>
          <w:tcPr>
            <w:tcW w:w="7860" w:type="dxa"/>
            <w:vAlign w:val="bottom"/>
            <w:gridSpan w:val="2"/>
          </w:tcPr>
          <w:p>
            <w:pPr>
              <w:ind w:left="4980"/>
              <w:spacing w:after="0"/>
              <w:rPr>
                <w:sz w:val="20"/>
                <w:szCs w:val="20"/>
                <w:color w:val="auto"/>
              </w:rPr>
            </w:pPr>
            <w:r>
              <w:rPr>
                <w:rFonts w:ascii="Arial" w:cs="Arial" w:eastAsia="Arial" w:hAnsi="Arial"/>
                <w:sz w:val="18"/>
                <w:szCs w:val="18"/>
                <w:color w:val="auto"/>
              </w:rPr>
              <w:t>5.01</w:t>
            </w:r>
          </w:p>
        </w:tc>
      </w:tr>
      <w:tr>
        <w:trPr>
          <w:trHeight w:val="230"/>
        </w:trPr>
        <w:tc>
          <w:tcPr>
            <w:tcW w:w="3180" w:type="dxa"/>
            <w:vAlign w:val="bottom"/>
          </w:tcPr>
          <w:p>
            <w:pPr>
              <w:spacing w:after="0"/>
              <w:rPr>
                <w:sz w:val="19"/>
                <w:szCs w:val="19"/>
                <w:color w:val="auto"/>
              </w:rPr>
            </w:pPr>
          </w:p>
        </w:tc>
        <w:tc>
          <w:tcPr>
            <w:tcW w:w="7860" w:type="dxa"/>
            <w:vAlign w:val="bottom"/>
            <w:gridSpan w:val="2"/>
          </w:tcPr>
          <w:p>
            <w:pPr>
              <w:ind w:left="4980"/>
              <w:spacing w:after="0"/>
              <w:rPr>
                <w:sz w:val="20"/>
                <w:szCs w:val="20"/>
                <w:color w:val="auto"/>
              </w:rPr>
            </w:pPr>
            <w:r>
              <w:rPr>
                <w:rFonts w:ascii="Arial" w:cs="Arial" w:eastAsia="Arial" w:hAnsi="Arial"/>
                <w:sz w:val="18"/>
                <w:szCs w:val="18"/>
                <w:color w:val="auto"/>
              </w:rPr>
              <w:t>5.02(a)</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312(b)</w:t>
            </w:r>
          </w:p>
        </w:tc>
        <w:tc>
          <w:tcPr>
            <w:tcW w:w="7860" w:type="dxa"/>
            <w:vAlign w:val="bottom"/>
            <w:gridSpan w:val="2"/>
          </w:tcPr>
          <w:p>
            <w:pPr>
              <w:ind w:left="4980"/>
              <w:spacing w:after="0"/>
              <w:rPr>
                <w:sz w:val="20"/>
                <w:szCs w:val="20"/>
                <w:color w:val="auto"/>
              </w:rPr>
            </w:pPr>
            <w:r>
              <w:rPr>
                <w:rFonts w:ascii="Arial" w:cs="Arial" w:eastAsia="Arial" w:hAnsi="Arial"/>
                <w:sz w:val="18"/>
                <w:szCs w:val="18"/>
                <w:color w:val="auto"/>
              </w:rPr>
              <w:t>5.02(c)</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312(c)</w:t>
            </w:r>
          </w:p>
        </w:tc>
        <w:tc>
          <w:tcPr>
            <w:tcW w:w="7860" w:type="dxa"/>
            <w:vAlign w:val="bottom"/>
            <w:gridSpan w:val="2"/>
          </w:tcPr>
          <w:p>
            <w:pPr>
              <w:ind w:left="4980"/>
              <w:spacing w:after="0"/>
              <w:rPr>
                <w:sz w:val="20"/>
                <w:szCs w:val="20"/>
                <w:color w:val="auto"/>
              </w:rPr>
            </w:pPr>
            <w:r>
              <w:rPr>
                <w:rFonts w:ascii="Arial" w:cs="Arial" w:eastAsia="Arial" w:hAnsi="Arial"/>
                <w:sz w:val="18"/>
                <w:szCs w:val="18"/>
                <w:color w:val="auto"/>
              </w:rPr>
              <w:t>5.02(c)</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313(a)</w:t>
            </w:r>
          </w:p>
        </w:tc>
        <w:tc>
          <w:tcPr>
            <w:tcW w:w="7860" w:type="dxa"/>
            <w:vAlign w:val="bottom"/>
            <w:gridSpan w:val="2"/>
          </w:tcPr>
          <w:p>
            <w:pPr>
              <w:ind w:left="4980"/>
              <w:spacing w:after="0"/>
              <w:rPr>
                <w:sz w:val="20"/>
                <w:szCs w:val="20"/>
                <w:color w:val="auto"/>
              </w:rPr>
            </w:pPr>
            <w:r>
              <w:rPr>
                <w:rFonts w:ascii="Arial" w:cs="Arial" w:eastAsia="Arial" w:hAnsi="Arial"/>
                <w:sz w:val="18"/>
                <w:szCs w:val="18"/>
                <w:color w:val="auto"/>
              </w:rPr>
              <w:t>5.04(a)</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313(b)</w:t>
            </w:r>
          </w:p>
        </w:tc>
        <w:tc>
          <w:tcPr>
            <w:tcW w:w="7860" w:type="dxa"/>
            <w:vAlign w:val="bottom"/>
            <w:gridSpan w:val="2"/>
          </w:tcPr>
          <w:p>
            <w:pPr>
              <w:ind w:left="4980"/>
              <w:spacing w:after="0"/>
              <w:rPr>
                <w:sz w:val="20"/>
                <w:szCs w:val="20"/>
                <w:color w:val="auto"/>
              </w:rPr>
            </w:pPr>
            <w:r>
              <w:rPr>
                <w:rFonts w:ascii="Arial" w:cs="Arial" w:eastAsia="Arial" w:hAnsi="Arial"/>
                <w:sz w:val="18"/>
                <w:szCs w:val="18"/>
                <w:color w:val="auto"/>
              </w:rPr>
              <w:t>5.04(b)</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313(c)</w:t>
            </w:r>
          </w:p>
        </w:tc>
        <w:tc>
          <w:tcPr>
            <w:tcW w:w="7860" w:type="dxa"/>
            <w:vAlign w:val="bottom"/>
            <w:gridSpan w:val="2"/>
          </w:tcPr>
          <w:p>
            <w:pPr>
              <w:ind w:left="4980"/>
              <w:spacing w:after="0"/>
              <w:rPr>
                <w:sz w:val="20"/>
                <w:szCs w:val="20"/>
                <w:color w:val="auto"/>
              </w:rPr>
            </w:pPr>
            <w:r>
              <w:rPr>
                <w:rFonts w:ascii="Arial" w:cs="Arial" w:eastAsia="Arial" w:hAnsi="Arial"/>
                <w:sz w:val="18"/>
                <w:szCs w:val="18"/>
                <w:color w:val="auto"/>
              </w:rPr>
              <w:t>5.04(a)</w:t>
            </w:r>
          </w:p>
        </w:tc>
      </w:tr>
      <w:tr>
        <w:trPr>
          <w:trHeight w:val="230"/>
        </w:trPr>
        <w:tc>
          <w:tcPr>
            <w:tcW w:w="3180" w:type="dxa"/>
            <w:vAlign w:val="bottom"/>
          </w:tcPr>
          <w:p>
            <w:pPr>
              <w:spacing w:after="0"/>
              <w:rPr>
                <w:sz w:val="19"/>
                <w:szCs w:val="19"/>
                <w:color w:val="auto"/>
              </w:rPr>
            </w:pPr>
          </w:p>
        </w:tc>
        <w:tc>
          <w:tcPr>
            <w:tcW w:w="7860" w:type="dxa"/>
            <w:vAlign w:val="bottom"/>
            <w:gridSpan w:val="2"/>
          </w:tcPr>
          <w:p>
            <w:pPr>
              <w:ind w:left="4980"/>
              <w:spacing w:after="0"/>
              <w:rPr>
                <w:sz w:val="20"/>
                <w:szCs w:val="20"/>
                <w:color w:val="auto"/>
              </w:rPr>
            </w:pPr>
            <w:r>
              <w:rPr>
                <w:rFonts w:ascii="Arial" w:cs="Arial" w:eastAsia="Arial" w:hAnsi="Arial"/>
                <w:sz w:val="18"/>
                <w:szCs w:val="18"/>
                <w:color w:val="auto"/>
              </w:rPr>
              <w:t>5.04(b)</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313(d)</w:t>
            </w:r>
          </w:p>
        </w:tc>
        <w:tc>
          <w:tcPr>
            <w:tcW w:w="7860" w:type="dxa"/>
            <w:vAlign w:val="bottom"/>
            <w:gridSpan w:val="2"/>
          </w:tcPr>
          <w:p>
            <w:pPr>
              <w:ind w:left="4980"/>
              <w:spacing w:after="0"/>
              <w:rPr>
                <w:sz w:val="20"/>
                <w:szCs w:val="20"/>
                <w:color w:val="auto"/>
              </w:rPr>
            </w:pPr>
            <w:r>
              <w:rPr>
                <w:rFonts w:ascii="Arial" w:cs="Arial" w:eastAsia="Arial" w:hAnsi="Arial"/>
                <w:sz w:val="18"/>
                <w:szCs w:val="18"/>
                <w:color w:val="auto"/>
              </w:rPr>
              <w:t>5.04(c)</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314(a)</w:t>
            </w:r>
          </w:p>
        </w:tc>
        <w:tc>
          <w:tcPr>
            <w:tcW w:w="7860" w:type="dxa"/>
            <w:vAlign w:val="bottom"/>
            <w:gridSpan w:val="2"/>
          </w:tcPr>
          <w:p>
            <w:pPr>
              <w:ind w:left="4980"/>
              <w:spacing w:after="0"/>
              <w:rPr>
                <w:sz w:val="20"/>
                <w:szCs w:val="20"/>
                <w:color w:val="auto"/>
              </w:rPr>
            </w:pPr>
            <w:r>
              <w:rPr>
                <w:rFonts w:ascii="Arial" w:cs="Arial" w:eastAsia="Arial" w:hAnsi="Arial"/>
                <w:sz w:val="18"/>
                <w:szCs w:val="18"/>
                <w:color w:val="auto"/>
              </w:rPr>
              <w:t>5.03</w:t>
            </w:r>
          </w:p>
        </w:tc>
      </w:tr>
      <w:tr>
        <w:trPr>
          <w:trHeight w:val="230"/>
        </w:trPr>
        <w:tc>
          <w:tcPr>
            <w:tcW w:w="3180" w:type="dxa"/>
            <w:vAlign w:val="bottom"/>
          </w:tcPr>
          <w:p>
            <w:pPr>
              <w:spacing w:after="0"/>
              <w:rPr>
                <w:sz w:val="19"/>
                <w:szCs w:val="19"/>
                <w:color w:val="auto"/>
              </w:rPr>
            </w:pPr>
          </w:p>
        </w:tc>
        <w:tc>
          <w:tcPr>
            <w:tcW w:w="7860" w:type="dxa"/>
            <w:vAlign w:val="bottom"/>
            <w:gridSpan w:val="2"/>
          </w:tcPr>
          <w:p>
            <w:pPr>
              <w:ind w:left="4980"/>
              <w:spacing w:after="0"/>
              <w:rPr>
                <w:sz w:val="20"/>
                <w:szCs w:val="20"/>
                <w:color w:val="auto"/>
              </w:rPr>
            </w:pPr>
            <w:r>
              <w:rPr>
                <w:rFonts w:ascii="Arial" w:cs="Arial" w:eastAsia="Arial" w:hAnsi="Arial"/>
                <w:sz w:val="18"/>
                <w:szCs w:val="18"/>
                <w:color w:val="auto"/>
              </w:rPr>
              <w:t>13.12</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314(b)</w:t>
            </w:r>
          </w:p>
        </w:tc>
        <w:tc>
          <w:tcPr>
            <w:tcW w:w="7860" w:type="dxa"/>
            <w:vAlign w:val="bottom"/>
            <w:gridSpan w:val="2"/>
          </w:tcPr>
          <w:p>
            <w:pPr>
              <w:ind w:left="4980"/>
              <w:spacing w:after="0"/>
              <w:rPr>
                <w:sz w:val="20"/>
                <w:szCs w:val="20"/>
                <w:color w:val="auto"/>
              </w:rPr>
            </w:pPr>
            <w:r>
              <w:rPr>
                <w:rFonts w:ascii="Arial" w:cs="Arial" w:eastAsia="Arial" w:hAnsi="Arial"/>
                <w:sz w:val="18"/>
                <w:szCs w:val="18"/>
                <w:color w:val="auto"/>
              </w:rPr>
              <w:t>Inapplicable</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314(c)</w:t>
            </w:r>
          </w:p>
        </w:tc>
        <w:tc>
          <w:tcPr>
            <w:tcW w:w="7860" w:type="dxa"/>
            <w:vAlign w:val="bottom"/>
            <w:gridSpan w:val="2"/>
          </w:tcPr>
          <w:p>
            <w:pPr>
              <w:ind w:left="4980"/>
              <w:spacing w:after="0"/>
              <w:rPr>
                <w:sz w:val="20"/>
                <w:szCs w:val="20"/>
                <w:color w:val="auto"/>
              </w:rPr>
            </w:pPr>
            <w:r>
              <w:rPr>
                <w:rFonts w:ascii="Arial" w:cs="Arial" w:eastAsia="Arial" w:hAnsi="Arial"/>
                <w:sz w:val="18"/>
                <w:szCs w:val="18"/>
                <w:color w:val="auto"/>
              </w:rPr>
              <w:t>13.07(a)</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314(d)</w:t>
            </w:r>
          </w:p>
        </w:tc>
        <w:tc>
          <w:tcPr>
            <w:tcW w:w="7860" w:type="dxa"/>
            <w:vAlign w:val="bottom"/>
            <w:gridSpan w:val="2"/>
          </w:tcPr>
          <w:p>
            <w:pPr>
              <w:ind w:left="4980"/>
              <w:spacing w:after="0"/>
              <w:rPr>
                <w:sz w:val="20"/>
                <w:szCs w:val="20"/>
                <w:color w:val="auto"/>
              </w:rPr>
            </w:pPr>
            <w:r>
              <w:rPr>
                <w:rFonts w:ascii="Arial" w:cs="Arial" w:eastAsia="Arial" w:hAnsi="Arial"/>
                <w:sz w:val="18"/>
                <w:szCs w:val="18"/>
                <w:color w:val="auto"/>
              </w:rPr>
              <w:t>Inapplicable</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314(e)</w:t>
            </w:r>
          </w:p>
        </w:tc>
        <w:tc>
          <w:tcPr>
            <w:tcW w:w="7860" w:type="dxa"/>
            <w:vAlign w:val="bottom"/>
            <w:gridSpan w:val="2"/>
          </w:tcPr>
          <w:p>
            <w:pPr>
              <w:ind w:left="4980"/>
              <w:spacing w:after="0"/>
              <w:rPr>
                <w:sz w:val="20"/>
                <w:szCs w:val="20"/>
                <w:color w:val="auto"/>
              </w:rPr>
            </w:pPr>
            <w:r>
              <w:rPr>
                <w:rFonts w:ascii="Arial" w:cs="Arial" w:eastAsia="Arial" w:hAnsi="Arial"/>
                <w:sz w:val="18"/>
                <w:szCs w:val="18"/>
                <w:color w:val="auto"/>
              </w:rPr>
              <w:t>13.07(b)</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314(f)</w:t>
            </w:r>
          </w:p>
        </w:tc>
        <w:tc>
          <w:tcPr>
            <w:tcW w:w="7860" w:type="dxa"/>
            <w:vAlign w:val="bottom"/>
            <w:gridSpan w:val="2"/>
          </w:tcPr>
          <w:p>
            <w:pPr>
              <w:ind w:left="4980"/>
              <w:spacing w:after="0"/>
              <w:rPr>
                <w:sz w:val="20"/>
                <w:szCs w:val="20"/>
                <w:color w:val="auto"/>
              </w:rPr>
            </w:pPr>
            <w:r>
              <w:rPr>
                <w:rFonts w:ascii="Arial" w:cs="Arial" w:eastAsia="Arial" w:hAnsi="Arial"/>
                <w:sz w:val="18"/>
                <w:szCs w:val="18"/>
                <w:color w:val="auto"/>
              </w:rPr>
              <w:t>Inapplicable</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315(a)</w:t>
            </w:r>
          </w:p>
        </w:tc>
        <w:tc>
          <w:tcPr>
            <w:tcW w:w="7860" w:type="dxa"/>
            <w:vAlign w:val="bottom"/>
            <w:gridSpan w:val="2"/>
          </w:tcPr>
          <w:p>
            <w:pPr>
              <w:ind w:left="4980"/>
              <w:spacing w:after="0"/>
              <w:rPr>
                <w:sz w:val="20"/>
                <w:szCs w:val="20"/>
                <w:color w:val="auto"/>
              </w:rPr>
            </w:pPr>
            <w:r>
              <w:rPr>
                <w:rFonts w:ascii="Arial" w:cs="Arial" w:eastAsia="Arial" w:hAnsi="Arial"/>
                <w:sz w:val="18"/>
                <w:szCs w:val="18"/>
                <w:color w:val="auto"/>
              </w:rPr>
              <w:t>7.01(a)</w:t>
            </w:r>
          </w:p>
        </w:tc>
      </w:tr>
      <w:tr>
        <w:trPr>
          <w:trHeight w:val="230"/>
        </w:trPr>
        <w:tc>
          <w:tcPr>
            <w:tcW w:w="3180" w:type="dxa"/>
            <w:vAlign w:val="bottom"/>
          </w:tcPr>
          <w:p>
            <w:pPr>
              <w:spacing w:after="0"/>
              <w:rPr>
                <w:sz w:val="19"/>
                <w:szCs w:val="19"/>
                <w:color w:val="auto"/>
              </w:rPr>
            </w:pPr>
          </w:p>
        </w:tc>
        <w:tc>
          <w:tcPr>
            <w:tcW w:w="7860" w:type="dxa"/>
            <w:vAlign w:val="bottom"/>
            <w:gridSpan w:val="2"/>
          </w:tcPr>
          <w:p>
            <w:pPr>
              <w:ind w:left="4980"/>
              <w:spacing w:after="0"/>
              <w:rPr>
                <w:sz w:val="20"/>
                <w:szCs w:val="20"/>
                <w:color w:val="auto"/>
              </w:rPr>
            </w:pPr>
            <w:r>
              <w:rPr>
                <w:rFonts w:ascii="Arial" w:cs="Arial" w:eastAsia="Arial" w:hAnsi="Arial"/>
                <w:sz w:val="18"/>
                <w:szCs w:val="18"/>
                <w:color w:val="auto"/>
              </w:rPr>
              <w:t>7.01(b)</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315(b)</w:t>
            </w:r>
          </w:p>
        </w:tc>
        <w:tc>
          <w:tcPr>
            <w:tcW w:w="7860" w:type="dxa"/>
            <w:vAlign w:val="bottom"/>
            <w:gridSpan w:val="2"/>
          </w:tcPr>
          <w:p>
            <w:pPr>
              <w:ind w:left="4980"/>
              <w:spacing w:after="0"/>
              <w:rPr>
                <w:sz w:val="20"/>
                <w:szCs w:val="20"/>
                <w:color w:val="auto"/>
              </w:rPr>
            </w:pPr>
            <w:r>
              <w:rPr>
                <w:rFonts w:ascii="Arial" w:cs="Arial" w:eastAsia="Arial" w:hAnsi="Arial"/>
                <w:sz w:val="18"/>
                <w:szCs w:val="18"/>
                <w:color w:val="auto"/>
              </w:rPr>
              <w:t>7.14</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315(c)</w:t>
            </w:r>
          </w:p>
        </w:tc>
        <w:tc>
          <w:tcPr>
            <w:tcW w:w="7860" w:type="dxa"/>
            <w:vAlign w:val="bottom"/>
            <w:gridSpan w:val="2"/>
          </w:tcPr>
          <w:p>
            <w:pPr>
              <w:ind w:left="4980"/>
              <w:spacing w:after="0"/>
              <w:rPr>
                <w:sz w:val="20"/>
                <w:szCs w:val="20"/>
                <w:color w:val="auto"/>
              </w:rPr>
            </w:pPr>
            <w:r>
              <w:rPr>
                <w:rFonts w:ascii="Arial" w:cs="Arial" w:eastAsia="Arial" w:hAnsi="Arial"/>
                <w:sz w:val="18"/>
                <w:szCs w:val="18"/>
                <w:color w:val="auto"/>
              </w:rPr>
              <w:t>7.01(a)</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315(d)</w:t>
            </w:r>
          </w:p>
        </w:tc>
        <w:tc>
          <w:tcPr>
            <w:tcW w:w="7860" w:type="dxa"/>
            <w:vAlign w:val="bottom"/>
            <w:gridSpan w:val="2"/>
          </w:tcPr>
          <w:p>
            <w:pPr>
              <w:ind w:left="4980"/>
              <w:spacing w:after="0"/>
              <w:rPr>
                <w:sz w:val="20"/>
                <w:szCs w:val="20"/>
                <w:color w:val="auto"/>
              </w:rPr>
            </w:pPr>
            <w:r>
              <w:rPr>
                <w:rFonts w:ascii="Arial" w:cs="Arial" w:eastAsia="Arial" w:hAnsi="Arial"/>
                <w:sz w:val="18"/>
                <w:szCs w:val="18"/>
                <w:color w:val="auto"/>
              </w:rPr>
              <w:t>7.01(b)</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315(e)</w:t>
            </w:r>
          </w:p>
        </w:tc>
        <w:tc>
          <w:tcPr>
            <w:tcW w:w="7860" w:type="dxa"/>
            <w:vAlign w:val="bottom"/>
            <w:gridSpan w:val="2"/>
          </w:tcPr>
          <w:p>
            <w:pPr>
              <w:ind w:left="4980"/>
              <w:spacing w:after="0"/>
              <w:rPr>
                <w:sz w:val="20"/>
                <w:szCs w:val="20"/>
                <w:color w:val="auto"/>
              </w:rPr>
            </w:pPr>
            <w:r>
              <w:rPr>
                <w:rFonts w:ascii="Arial" w:cs="Arial" w:eastAsia="Arial" w:hAnsi="Arial"/>
                <w:sz w:val="18"/>
                <w:szCs w:val="18"/>
                <w:color w:val="auto"/>
              </w:rPr>
              <w:t>6.07</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316(a)</w:t>
            </w:r>
          </w:p>
        </w:tc>
        <w:tc>
          <w:tcPr>
            <w:tcW w:w="7860" w:type="dxa"/>
            <w:vAlign w:val="bottom"/>
            <w:gridSpan w:val="2"/>
          </w:tcPr>
          <w:p>
            <w:pPr>
              <w:ind w:left="4980"/>
              <w:spacing w:after="0"/>
              <w:rPr>
                <w:sz w:val="20"/>
                <w:szCs w:val="20"/>
                <w:color w:val="auto"/>
              </w:rPr>
            </w:pPr>
            <w:r>
              <w:rPr>
                <w:rFonts w:ascii="Arial" w:cs="Arial" w:eastAsia="Arial" w:hAnsi="Arial"/>
                <w:sz w:val="18"/>
                <w:szCs w:val="18"/>
                <w:color w:val="auto"/>
              </w:rPr>
              <w:t>6.06</w:t>
            </w:r>
          </w:p>
        </w:tc>
      </w:tr>
      <w:tr>
        <w:trPr>
          <w:trHeight w:val="230"/>
        </w:trPr>
        <w:tc>
          <w:tcPr>
            <w:tcW w:w="3180" w:type="dxa"/>
            <w:vAlign w:val="bottom"/>
          </w:tcPr>
          <w:p>
            <w:pPr>
              <w:spacing w:after="0"/>
              <w:rPr>
                <w:sz w:val="19"/>
                <w:szCs w:val="19"/>
                <w:color w:val="auto"/>
              </w:rPr>
            </w:pPr>
          </w:p>
        </w:tc>
        <w:tc>
          <w:tcPr>
            <w:tcW w:w="7860" w:type="dxa"/>
            <w:vAlign w:val="bottom"/>
            <w:gridSpan w:val="2"/>
          </w:tcPr>
          <w:p>
            <w:pPr>
              <w:ind w:left="4980"/>
              <w:spacing w:after="0"/>
              <w:rPr>
                <w:sz w:val="20"/>
                <w:szCs w:val="20"/>
                <w:color w:val="auto"/>
              </w:rPr>
            </w:pPr>
            <w:r>
              <w:rPr>
                <w:rFonts w:ascii="Arial" w:cs="Arial" w:eastAsia="Arial" w:hAnsi="Arial"/>
                <w:sz w:val="18"/>
                <w:szCs w:val="18"/>
                <w:color w:val="auto"/>
              </w:rPr>
              <w:t>8.04</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316(b)</w:t>
            </w:r>
          </w:p>
        </w:tc>
        <w:tc>
          <w:tcPr>
            <w:tcW w:w="7860" w:type="dxa"/>
            <w:vAlign w:val="bottom"/>
            <w:gridSpan w:val="2"/>
          </w:tcPr>
          <w:p>
            <w:pPr>
              <w:ind w:left="4980"/>
              <w:spacing w:after="0"/>
              <w:rPr>
                <w:sz w:val="20"/>
                <w:szCs w:val="20"/>
                <w:color w:val="auto"/>
              </w:rPr>
            </w:pPr>
            <w:r>
              <w:rPr>
                <w:rFonts w:ascii="Arial" w:cs="Arial" w:eastAsia="Arial" w:hAnsi="Arial"/>
                <w:sz w:val="18"/>
                <w:szCs w:val="18"/>
                <w:color w:val="auto"/>
              </w:rPr>
              <w:t>6.04</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316(c)</w:t>
            </w:r>
          </w:p>
        </w:tc>
        <w:tc>
          <w:tcPr>
            <w:tcW w:w="7860" w:type="dxa"/>
            <w:vAlign w:val="bottom"/>
            <w:gridSpan w:val="2"/>
          </w:tcPr>
          <w:p>
            <w:pPr>
              <w:ind w:left="4980"/>
              <w:spacing w:after="0"/>
              <w:rPr>
                <w:sz w:val="20"/>
                <w:szCs w:val="20"/>
                <w:color w:val="auto"/>
              </w:rPr>
            </w:pPr>
            <w:r>
              <w:rPr>
                <w:rFonts w:ascii="Arial" w:cs="Arial" w:eastAsia="Arial" w:hAnsi="Arial"/>
                <w:sz w:val="18"/>
                <w:szCs w:val="18"/>
                <w:color w:val="auto"/>
              </w:rPr>
              <w:t>8.01</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317(a)</w:t>
            </w:r>
          </w:p>
        </w:tc>
        <w:tc>
          <w:tcPr>
            <w:tcW w:w="7860" w:type="dxa"/>
            <w:vAlign w:val="bottom"/>
            <w:gridSpan w:val="2"/>
          </w:tcPr>
          <w:p>
            <w:pPr>
              <w:ind w:left="4980"/>
              <w:spacing w:after="0"/>
              <w:rPr>
                <w:sz w:val="20"/>
                <w:szCs w:val="20"/>
                <w:color w:val="auto"/>
              </w:rPr>
            </w:pPr>
            <w:r>
              <w:rPr>
                <w:rFonts w:ascii="Arial" w:cs="Arial" w:eastAsia="Arial" w:hAnsi="Arial"/>
                <w:sz w:val="18"/>
                <w:szCs w:val="18"/>
                <w:color w:val="auto"/>
              </w:rPr>
              <w:t>6.02</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317(b)</w:t>
            </w:r>
          </w:p>
        </w:tc>
        <w:tc>
          <w:tcPr>
            <w:tcW w:w="7860" w:type="dxa"/>
            <w:vAlign w:val="bottom"/>
            <w:gridSpan w:val="2"/>
          </w:tcPr>
          <w:p>
            <w:pPr>
              <w:ind w:left="4980"/>
              <w:spacing w:after="0"/>
              <w:rPr>
                <w:sz w:val="20"/>
                <w:szCs w:val="20"/>
                <w:color w:val="auto"/>
              </w:rPr>
            </w:pPr>
            <w:r>
              <w:rPr>
                <w:rFonts w:ascii="Arial" w:cs="Arial" w:eastAsia="Arial" w:hAnsi="Arial"/>
                <w:sz w:val="18"/>
                <w:szCs w:val="18"/>
                <w:color w:val="auto"/>
              </w:rPr>
              <w:t>4.03</w:t>
            </w: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318(a)</w:t>
            </w:r>
          </w:p>
        </w:tc>
        <w:tc>
          <w:tcPr>
            <w:tcW w:w="7860" w:type="dxa"/>
            <w:vAlign w:val="bottom"/>
            <w:gridSpan w:val="2"/>
          </w:tcPr>
          <w:p>
            <w:pPr>
              <w:ind w:left="4980"/>
              <w:spacing w:after="0"/>
              <w:rPr>
                <w:sz w:val="20"/>
                <w:szCs w:val="20"/>
                <w:color w:val="auto"/>
              </w:rPr>
            </w:pPr>
            <w:r>
              <w:rPr>
                <w:rFonts w:ascii="Arial" w:cs="Arial" w:eastAsia="Arial" w:hAnsi="Arial"/>
                <w:sz w:val="18"/>
                <w:szCs w:val="18"/>
                <w:color w:val="auto"/>
              </w:rPr>
              <w:t>13.09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632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440" w:right="380" w:hanging="436"/>
        <w:spacing w:after="0" w:line="277" w:lineRule="auto"/>
        <w:tabs>
          <w:tab w:leader="none" w:pos="440" w:val="left"/>
        </w:tabs>
        <w:numPr>
          <w:ilvl w:val="0"/>
          <w:numId w:val="140"/>
        </w:numPr>
        <w:rPr>
          <w:rFonts w:ascii="Arial" w:cs="Arial" w:eastAsia="Arial" w:hAnsi="Arial"/>
          <w:sz w:val="15"/>
          <w:szCs w:val="15"/>
          <w:color w:val="auto"/>
        </w:rPr>
      </w:pPr>
      <w:r>
        <w:rPr>
          <w:rFonts w:ascii="Arial" w:cs="Arial" w:eastAsia="Arial" w:hAnsi="Arial"/>
          <w:sz w:val="18"/>
          <w:szCs w:val="18"/>
          <w:color w:val="auto"/>
        </w:rPr>
        <w:t>This Cross-Reference Table does not constitute part of the Indenture and shall not have any bearing on the interpretation of any of its terms or provisions.</w:t>
      </w:r>
    </w:p>
    <w:p>
      <w:pPr>
        <w:sectPr>
          <w:pgSz w:w="11900" w:h="16838" w:orient="portrait"/>
          <w:cols w:equalWidth="0" w:num="1">
            <w:col w:w="11040"/>
          </w:cols>
          <w:pgMar w:left="440" w:top="270" w:right="41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20,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AVROBIO,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Kendall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300, Suite 201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103" w:lineRule="exact"/>
        <w:rPr>
          <w:sz w:val="20"/>
          <w:szCs w:val="20"/>
          <w:color w:val="auto"/>
        </w:rPr>
      </w:pPr>
    </w:p>
    <w:p>
      <w:pPr>
        <w:ind w:left="440"/>
        <w:spacing w:after="0"/>
        <w:tabs>
          <w:tab w:leader="none" w:pos="8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u w:val="single" w:color="auto"/>
          <w:color w:val="auto"/>
        </w:rPr>
        <w:t>Securities Being Registered under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We have acted as counsel to you in connection with your filing of a Registration Statement on Form S-3 (as amended or supplemented, the “Registration Statement”) pursuant to the Securities Act of 1933, as amended (the “Securities Act”), relating to the offering by AVROBIO, Inc., a Delaware corporation (the “Company”), of up to $250,000,000 of any combination of (i) common stock, par value $0.0001 per share (the “Common Stock”), of the Company, (ii) preferred stock, par value $0.0001 per share, of the Company (the “Preferred Stock”), (iii) debt securities of the Company (“Debt Securities”), (iv) warrants to purchase Common Stock, Preferred Stock and/or Debt Securities (“Warrants”) and (v) units comprised of Common Stock, Preferred Stock, Debt Securities and Warrants in any combination (“Units”). The Common Stock, Preferred Stock, Debt Securities, Warrants and Units are sometimes referred to collectively herein as the “Securities.” Securities may be issued in an unspecified number (with respect to Common Stock, Preferred Stock, Warrants and Units) or in an unspecified principal amount (with respect to Debt Securities). The Registration Statement provides that the Securities may be offered separately or together, in separate series, in amounts, at prices and on terms to be set forth in one or more prospectus supplements to the prospectus contained in the Registration Statement.</w:t>
      </w:r>
    </w:p>
    <w:p>
      <w:pPr>
        <w:spacing w:after="0" w:line="178"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opinions set forth below are limited to the Delaware General Corporation Law and the law of New York.</w:t>
      </w:r>
    </w:p>
    <w:p>
      <w:pPr>
        <w:spacing w:after="0" w:line="225"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For purposes of the opinions set forth below, without limiting any other exceptions or qualifications set forth herein, we have assumed that (i) each of the Debt Securities, Warrants and Units, and the indentures, warrant agreements, unit agreements and other agreements governing Securities offered pursuant to the Registration Statement will be governed by the internal law of New York and (ii) after the issuance of any Securities offered pursuant to the Registration Statement, the total number of issued shares of Common Stock or Preferred Stock, as applicable, together with the total number of shares of such stock issuable upon the exercise, exchange, conversion or settlement, as the case may be, of any exercisable, exchangeable or</w:t>
      </w:r>
    </w:p>
    <w:p>
      <w:pPr>
        <w:sectPr>
          <w:pgSz w:w="11900" w:h="16838" w:orient="portrait"/>
          <w:cols w:equalWidth="0" w:num="1">
            <w:col w:w="11020"/>
          </w:cols>
          <w:pgMar w:left="440" w:top="121" w:right="4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AVROBIO,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20,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convertible security (including without limitation any Unit), as the case may be, then outstanding, will not exceed the total number of authorized shares of Common Stock or Preferred Stock, as applicable, available for issuance under the Company’s certificate of incorporation as then in effect (the “Charter”).</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the opinions set forth below, we refer to the following as the “Future Authorization and Issuance” of Securities:</w:t>
      </w:r>
    </w:p>
    <w:p>
      <w:pPr>
        <w:spacing w:after="0" w:line="131" w:lineRule="exact"/>
        <w:rPr>
          <w:sz w:val="20"/>
          <w:szCs w:val="20"/>
          <w:color w:val="auto"/>
        </w:rPr>
      </w:pPr>
    </w:p>
    <w:p>
      <w:pPr>
        <w:ind w:left="980" w:hanging="436"/>
        <w:spacing w:after="0" w:line="259" w:lineRule="auto"/>
        <w:tabs>
          <w:tab w:leader="none" w:pos="9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with respect to any of the Securities, (a) the authorization by the Company of the amount, terms and issuance of such Securities (the “Authorization”) and (b) the issuance of such Securities in accordance with the Authorization therefor upon the receipt by the Company of the consideration (which, in the case of shares of Common Stock or Preferred Stock, is not less than the par value of such shares) to be paid therefor in accordance with the Authorization;</w:t>
      </w:r>
    </w:p>
    <w:p>
      <w:pPr>
        <w:spacing w:after="0" w:line="92" w:lineRule="exact"/>
        <w:rPr>
          <w:rFonts w:ascii="Arial" w:cs="Arial" w:eastAsia="Arial" w:hAnsi="Arial"/>
          <w:sz w:val="18"/>
          <w:szCs w:val="18"/>
          <w:color w:val="auto"/>
        </w:rPr>
      </w:pPr>
    </w:p>
    <w:p>
      <w:pPr>
        <w:ind w:left="980" w:right="20" w:hanging="436"/>
        <w:spacing w:after="0" w:line="312" w:lineRule="auto"/>
        <w:tabs>
          <w:tab w:leader="none" w:pos="9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with respect to Preferred Stock, (a) the establishment of the terms of such Preferred Stock by the Company in conformity with the Charter and applicable law and (b) the execution, acknowledgement and filing with the Delaware Secretary of State, and the effectiveness of, a certificate of designations to the Charter setting forth the terms of such Preferred Stock in accordance with the Charter and applicable law;</w:t>
      </w:r>
    </w:p>
    <w:p>
      <w:pPr>
        <w:spacing w:after="0" w:line="52" w:lineRule="exact"/>
        <w:rPr>
          <w:rFonts w:ascii="Arial" w:cs="Arial" w:eastAsia="Arial" w:hAnsi="Arial"/>
          <w:sz w:val="16"/>
          <w:szCs w:val="16"/>
          <w:color w:val="auto"/>
        </w:rPr>
      </w:pPr>
    </w:p>
    <w:p>
      <w:pPr>
        <w:ind w:left="980" w:right="60" w:hanging="436"/>
        <w:spacing w:after="0" w:line="302" w:lineRule="auto"/>
        <w:tabs>
          <w:tab w:leader="none" w:pos="9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with respect to Debt Securities, (a) the authorization, execution and delivery of the indenture or a supplemental indenture relating to such Securities by the Company and the trustee thereunder and/or (b) the establishment of the terms of such Securities by the Company in conformity with the applicable indenture or supplemental indenture and applicable law, and (c) the execution, authentication and issuance of such Securities in accordance with the applicable indenture or supplemental indenture and applicable law; and</w:t>
      </w:r>
    </w:p>
    <w:p>
      <w:pPr>
        <w:spacing w:after="0" w:line="59" w:lineRule="exact"/>
        <w:rPr>
          <w:rFonts w:ascii="Arial" w:cs="Arial" w:eastAsia="Arial" w:hAnsi="Arial"/>
          <w:sz w:val="16"/>
          <w:szCs w:val="16"/>
          <w:color w:val="auto"/>
        </w:rPr>
      </w:pPr>
    </w:p>
    <w:p>
      <w:pPr>
        <w:ind w:left="980" w:right="120" w:hanging="436"/>
        <w:spacing w:after="0" w:line="286" w:lineRule="auto"/>
        <w:tabs>
          <w:tab w:leader="none" w:pos="9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with respect to Warrants or Units, (a) the authorization, execution and delivery by the Company and the other parties thereto of any agreement under which such Securities are to be issued and (b) the establishment of the terms of such Securities and the issuance of such Securities in conformity with those terms, the terms of any applicable agreement and applicable law.</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Based upon the foregoing, and subject to the additional qualifications set forth below, we are of the opinion that:</w:t>
      </w:r>
    </w:p>
    <w:p>
      <w:pPr>
        <w:spacing w:after="0" w:line="117" w:lineRule="exact"/>
        <w:rPr>
          <w:sz w:val="20"/>
          <w:szCs w:val="20"/>
          <w:color w:val="auto"/>
        </w:rPr>
      </w:pPr>
    </w:p>
    <w:p>
      <w:pPr>
        <w:ind w:firstLine="444"/>
        <w:spacing w:after="0" w:line="277" w:lineRule="auto"/>
        <w:tabs>
          <w:tab w:leader="none" w:pos="75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Upon the Future Authorization and Issuance of shares of Common Stock, such shares of Common Stock will be validly issued, fully paid and nonassessable.</w:t>
      </w:r>
    </w:p>
    <w:p>
      <w:pPr>
        <w:sectPr>
          <w:pgSz w:w="11900" w:h="16838" w:orient="portrait"/>
          <w:cols w:equalWidth="0" w:num="1">
            <w:col w:w="10960"/>
          </w:cols>
          <w:pgMar w:left="440" w:top="274" w:right="49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AVROBIO,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20,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firstLine="444"/>
        <w:spacing w:after="0" w:line="277" w:lineRule="auto"/>
        <w:tabs>
          <w:tab w:leader="none" w:pos="75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Upon the Future Authorization and Issuance of shares of Preferred Stock, such shares of Preferred Stock will be validly issued, fully paid and nonassessable.</w:t>
      </w:r>
    </w:p>
    <w:p>
      <w:pPr>
        <w:spacing w:after="0" w:line="170" w:lineRule="exact"/>
        <w:rPr>
          <w:rFonts w:ascii="Arial" w:cs="Arial" w:eastAsia="Arial" w:hAnsi="Arial"/>
          <w:sz w:val="18"/>
          <w:szCs w:val="18"/>
          <w:color w:val="auto"/>
        </w:rPr>
      </w:pPr>
    </w:p>
    <w:p>
      <w:pPr>
        <w:ind w:left="760" w:hanging="316"/>
        <w:spacing w:after="0"/>
        <w:tabs>
          <w:tab w:leader="none" w:pos="7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Upon the Future Authorization and Issuance of Debt Securities, such Debt Securities will be valid and binding obligations of the Company.</w:t>
      </w:r>
    </w:p>
    <w:p>
      <w:pPr>
        <w:spacing w:after="0" w:line="248" w:lineRule="exact"/>
        <w:rPr>
          <w:rFonts w:ascii="Arial" w:cs="Arial" w:eastAsia="Arial" w:hAnsi="Arial"/>
          <w:sz w:val="16"/>
          <w:szCs w:val="16"/>
          <w:color w:val="auto"/>
        </w:rPr>
      </w:pPr>
    </w:p>
    <w:p>
      <w:pPr>
        <w:ind w:left="760" w:hanging="316"/>
        <w:spacing w:after="0"/>
        <w:tabs>
          <w:tab w:leader="none" w:pos="7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Upon the Future Authorization and Issuance of Warrants, such Warrants will be valid and binding obligations of the Company.</w:t>
      </w:r>
    </w:p>
    <w:p>
      <w:pPr>
        <w:spacing w:after="0" w:line="225" w:lineRule="exact"/>
        <w:rPr>
          <w:rFonts w:ascii="Arial" w:cs="Arial" w:eastAsia="Arial" w:hAnsi="Arial"/>
          <w:sz w:val="18"/>
          <w:szCs w:val="18"/>
          <w:color w:val="auto"/>
        </w:rPr>
      </w:pPr>
    </w:p>
    <w:p>
      <w:pPr>
        <w:ind w:left="760" w:hanging="316"/>
        <w:spacing w:after="0"/>
        <w:tabs>
          <w:tab w:leader="none" w:pos="7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Upon the Future Authorization and Issuance of Units, such Units will be valid and binding obligations of the Company.</w:t>
      </w:r>
    </w:p>
    <w:p>
      <w:pPr>
        <w:spacing w:after="0" w:line="225"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color w:val="auto"/>
        </w:rPr>
        <w:t>The opinions expressed above are subject to bankruptcy, insolvency, fraudulent transfer, reorganization, moratorium and other similar laws of general application affecting the rights and remedies of creditors and to general principles of equity.</w:t>
      </w:r>
    </w:p>
    <w:p>
      <w:pPr>
        <w:spacing w:after="0" w:line="170"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 xml:space="preserve">This opinion letter and the opinions it contains shall be interpreted in accordance with the Core Opinion Principles as published in 74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Lawyer </w:t>
      </w:r>
      <w:r>
        <w:rPr>
          <w:rFonts w:ascii="Arial" w:cs="Arial" w:eastAsia="Arial" w:hAnsi="Arial"/>
          <w:sz w:val="18"/>
          <w:szCs w:val="18"/>
          <w:color w:val="auto"/>
        </w:rPr>
        <w:t>815 (Summer 2019).</w:t>
      </w:r>
    </w:p>
    <w:p>
      <w:pPr>
        <w:spacing w:after="0" w:line="170" w:lineRule="exact"/>
        <w:rPr>
          <w:sz w:val="20"/>
          <w:szCs w:val="20"/>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18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GOODWIN PROCTER LLP</w:t>
      </w:r>
    </w:p>
    <w:p>
      <w:pPr>
        <w:spacing w:after="0" w:line="1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GOODWIN PROCTER LLP</w:t>
      </w:r>
    </w:p>
    <w:p>
      <w:pPr>
        <w:sectPr>
          <w:pgSz w:w="11900" w:h="16838" w:orient="portrait"/>
          <w:cols w:equalWidth="0" w:num="1">
            <w:col w:w="10960"/>
          </w:cols>
          <w:pgMar w:left="440" w:top="274" w:right="49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consent to the reference to our firm under the caption “Experts” in this Registration Statement (Form S-3) and related Prospectus of AVROBIO, Inc. for the registration of common stock, preferred stock, debt securities, warrants and units, and to the incorporation by reference therein of our report dated March 25, 2019, with respect to the consolidated financial statements of AVROBIO, Inc., included in its Annual Report (Form 10-K) for the year ended December 31, 2018, filed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18, 2019</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1)"/>
      <w:numFmt w:val="decimal"/>
      <w:start w:val="1"/>
    </w:lvl>
  </w:abstractNum>
  <w:abstractNum w:abstractNumId="1">
    <w:nsid w:val="168E121F"/>
    <w:multiLevelType w:val="hybridMultilevel"/>
    <w:lvl w:ilvl="0">
      <w:lvlJc w:val="left"/>
      <w:lvlText w:val="•"/>
      <w:numFmt w:val="bullet"/>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
      <w:numFmt w:val="bullet"/>
      <w:start w:val="1"/>
    </w:lvl>
  </w:abstractNum>
  <w:abstractNum w:abstractNumId="4">
    <w:nsid w:val="5DC79EA8"/>
    <w:multiLevelType w:val="hybridMultilevel"/>
    <w:lvl w:ilvl="0">
      <w:lvlJc w:val="left"/>
      <w:lvlText w:val="(%1)"/>
      <w:numFmt w:val="lowerRoman"/>
      <w:start w:val="1"/>
    </w:lvl>
  </w:abstractNum>
  <w:abstractNum w:abstractNumId="5">
    <w:nsid w:val="540A471C"/>
    <w:multiLevelType w:val="hybridMultilevel"/>
    <w:lvl w:ilvl="0">
      <w:lvlJc w:val="left"/>
      <w:lvlText w:val="•"/>
      <w:numFmt w:val="bullet"/>
      <w:start w:val="1"/>
    </w:lvl>
  </w:abstractNum>
  <w:abstractNum w:abstractNumId="6">
    <w:nsid w:val="7BD3EE7B"/>
    <w:multiLevelType w:val="hybridMultilevel"/>
    <w:lvl w:ilvl="0">
      <w:lvlJc w:val="left"/>
      <w:lvlText w:val="•"/>
      <w:numFmt w:val="bullet"/>
      <w:start w:val="1"/>
    </w:lvl>
  </w:abstractNum>
  <w:abstractNum w:abstractNumId="7">
    <w:nsid w:val="51D9C564"/>
    <w:multiLevelType w:val="hybridMultilevel"/>
    <w:lvl w:ilvl="0">
      <w:lvlJc w:val="left"/>
      <w:lvlText w:val="•"/>
      <w:numFmt w:val="bullet"/>
      <w:start w:val="1"/>
    </w:lvl>
  </w:abstractNum>
  <w:abstractNum w:abstractNumId="8">
    <w:nsid w:val="613EFDC5"/>
    <w:multiLevelType w:val="hybridMultilevel"/>
    <w:lvl w:ilvl="0">
      <w:lvlJc w:val="left"/>
      <w:lvlText w:val="•"/>
      <w:numFmt w:val="bullet"/>
      <w:start w:val="1"/>
    </w:lvl>
  </w:abstractNum>
  <w:abstractNum w:abstractNumId="9">
    <w:nsid w:val="BF72B14"/>
    <w:multiLevelType w:val="hybridMultilevel"/>
    <w:lvl w:ilvl="0">
      <w:lvlJc w:val="left"/>
      <w:lvlText w:val="•"/>
      <w:numFmt w:val="bullet"/>
      <w:start w:val="1"/>
    </w:lvl>
  </w:abstractNum>
  <w:abstractNum w:abstractNumId="10">
    <w:nsid w:val="11447B73"/>
    <w:multiLevelType w:val="hybridMultilevel"/>
    <w:lvl w:ilvl="0">
      <w:lvlJc w:val="left"/>
      <w:lvlText w:val="•"/>
      <w:numFmt w:val="bullet"/>
      <w:start w:val="1"/>
    </w:lvl>
  </w:abstractNum>
  <w:abstractNum w:abstractNumId="11">
    <w:nsid w:val="42963E5A"/>
    <w:multiLevelType w:val="hybridMultilevel"/>
    <w:lvl w:ilvl="0">
      <w:lvlJc w:val="left"/>
      <w:lvlText w:val="•"/>
      <w:numFmt w:val="bullet"/>
      <w:start w:val="1"/>
    </w:lvl>
  </w:abstractNum>
  <w:abstractNum w:abstractNumId="12">
    <w:nsid w:val="A0382C5"/>
    <w:multiLevelType w:val="hybridMultilevel"/>
    <w:lvl w:ilvl="0">
      <w:lvlJc w:val="left"/>
      <w:lvlText w:val="•"/>
      <w:numFmt w:val="bullet"/>
      <w:start w:val="1"/>
    </w:lvl>
  </w:abstractNum>
  <w:abstractNum w:abstractNumId="13">
    <w:nsid w:val="8F2B15E"/>
    <w:multiLevelType w:val="hybridMultilevel"/>
    <w:lvl w:ilvl="0">
      <w:lvlJc w:val="left"/>
      <w:lvlText w:val="•"/>
      <w:numFmt w:val="bullet"/>
      <w:start w:val="1"/>
    </w:lvl>
  </w:abstractNum>
  <w:abstractNum w:abstractNumId="14">
    <w:nsid w:val="1A32234B"/>
    <w:multiLevelType w:val="hybridMultilevel"/>
    <w:lvl w:ilvl="0">
      <w:lvlJc w:val="left"/>
      <w:lvlText w:val="•"/>
      <w:numFmt w:val="bullet"/>
      <w:start w:val="1"/>
    </w:lvl>
  </w:abstractNum>
  <w:abstractNum w:abstractNumId="15">
    <w:nsid w:val="3B0FD379"/>
    <w:multiLevelType w:val="hybridMultilevel"/>
    <w:lvl w:ilvl="0">
      <w:lvlJc w:val="left"/>
      <w:lvlText w:val="•"/>
      <w:numFmt w:val="bullet"/>
      <w:start w:val="1"/>
    </w:lvl>
  </w:abstractNum>
  <w:abstractNum w:abstractNumId="16">
    <w:nsid w:val="68EB2F63"/>
    <w:multiLevelType w:val="hybridMultilevel"/>
    <w:lvl w:ilvl="0">
      <w:lvlJc w:val="left"/>
      <w:lvlText w:val="•"/>
      <w:numFmt w:val="bullet"/>
      <w:start w:val="1"/>
    </w:lvl>
  </w:abstractNum>
  <w:abstractNum w:abstractNumId="17">
    <w:nsid w:val="4962813B"/>
    <w:multiLevelType w:val="hybridMultilevel"/>
    <w:lvl w:ilvl="0">
      <w:lvlJc w:val="left"/>
      <w:lvlText w:val="•"/>
      <w:numFmt w:val="bullet"/>
      <w:start w:val="1"/>
    </w:lvl>
  </w:abstractNum>
  <w:abstractNum w:abstractNumId="18">
    <w:nsid w:val="60B6DF70"/>
    <w:multiLevelType w:val="hybridMultilevel"/>
    <w:lvl w:ilvl="0">
      <w:lvlJc w:val="left"/>
      <w:lvlText w:val="•"/>
      <w:numFmt w:val="bullet"/>
      <w:start w:val="1"/>
    </w:lvl>
  </w:abstractNum>
  <w:abstractNum w:abstractNumId="19">
    <w:nsid w:val="6A5EE64"/>
    <w:multiLevelType w:val="hybridMultilevel"/>
    <w:lvl w:ilvl="0">
      <w:lvlJc w:val="left"/>
      <w:lvlText w:val="•"/>
      <w:numFmt w:val="bullet"/>
      <w:start w:val="1"/>
    </w:lvl>
  </w:abstractNum>
  <w:abstractNum w:abstractNumId="20">
    <w:nsid w:val="14330624"/>
    <w:multiLevelType w:val="hybridMultilevel"/>
    <w:lvl w:ilvl="0">
      <w:lvlJc w:val="left"/>
      <w:lvlText w:val="•"/>
      <w:numFmt w:val="bullet"/>
      <w:start w:val="1"/>
    </w:lvl>
  </w:abstractNum>
  <w:abstractNum w:abstractNumId="21">
    <w:nsid w:val="7FFFCA11"/>
    <w:multiLevelType w:val="hybridMultilevel"/>
    <w:lvl w:ilvl="0">
      <w:lvlJc w:val="left"/>
      <w:lvlText w:val="•"/>
      <w:numFmt w:val="bullet"/>
      <w:start w:val="1"/>
    </w:lvl>
  </w:abstractNum>
  <w:abstractNum w:abstractNumId="22">
    <w:nsid w:val="1A27709E"/>
    <w:multiLevelType w:val="hybridMultilevel"/>
    <w:lvl w:ilvl="0">
      <w:lvlJc w:val="left"/>
      <w:lvlText w:val="•"/>
      <w:numFmt w:val="bullet"/>
      <w:start w:val="1"/>
    </w:lvl>
  </w:abstractNum>
  <w:abstractNum w:abstractNumId="23">
    <w:nsid w:val="71EA1109"/>
    <w:multiLevelType w:val="hybridMultilevel"/>
    <w:lvl w:ilvl="0">
      <w:lvlJc w:val="left"/>
      <w:lvlText w:val="•"/>
      <w:numFmt w:val="bullet"/>
      <w:start w:val="1"/>
    </w:lvl>
  </w:abstractNum>
  <w:abstractNum w:abstractNumId="24">
    <w:nsid w:val="100F59DC"/>
    <w:multiLevelType w:val="hybridMultilevel"/>
    <w:lvl w:ilvl="0">
      <w:lvlJc w:val="left"/>
      <w:lvlText w:val="•"/>
      <w:numFmt w:val="bullet"/>
      <w:start w:val="1"/>
    </w:lvl>
  </w:abstractNum>
  <w:abstractNum w:abstractNumId="25">
    <w:nsid w:val="7FB7E0AA"/>
    <w:multiLevelType w:val="hybridMultilevel"/>
    <w:lvl w:ilvl="0">
      <w:lvlJc w:val="left"/>
      <w:lvlText w:val="•"/>
      <w:numFmt w:val="bullet"/>
      <w:start w:val="1"/>
    </w:lvl>
  </w:abstractNum>
  <w:abstractNum w:abstractNumId="26">
    <w:nsid w:val="6EB5BD4"/>
    <w:multiLevelType w:val="hybridMultilevel"/>
    <w:lvl w:ilvl="0">
      <w:lvlJc w:val="left"/>
      <w:lvlText w:val="(%1)"/>
      <w:numFmt w:val="decimal"/>
      <w:start w:val="4"/>
    </w:lvl>
    <w:lvl w:ilvl="1">
      <w:lvlJc w:val="left"/>
      <w:lvlText w:val="•"/>
      <w:numFmt w:val="bullet"/>
      <w:start w:val="1"/>
    </w:lvl>
  </w:abstractNum>
  <w:abstractNum w:abstractNumId="27">
    <w:nsid w:val="6F6DD9AC"/>
    <w:multiLevelType w:val="hybridMultilevel"/>
    <w:lvl w:ilvl="0">
      <w:lvlJc w:val="left"/>
      <w:lvlText w:val="•"/>
      <w:numFmt w:val="bullet"/>
      <w:start w:val="1"/>
    </w:lvl>
  </w:abstractNum>
  <w:abstractNum w:abstractNumId="28">
    <w:nsid w:val="94211F2"/>
    <w:multiLevelType w:val="hybridMultilevel"/>
    <w:lvl w:ilvl="0">
      <w:lvlJc w:val="left"/>
      <w:lvlText w:val="•"/>
      <w:numFmt w:val="bullet"/>
      <w:start w:val="1"/>
    </w:lvl>
  </w:abstractNum>
  <w:abstractNum w:abstractNumId="29">
    <w:nsid w:val="885E1B"/>
    <w:multiLevelType w:val="hybridMultilevel"/>
    <w:lvl w:ilvl="0">
      <w:lvlJc w:val="left"/>
      <w:lvlText w:val="•"/>
      <w:numFmt w:val="bullet"/>
      <w:start w:val="1"/>
    </w:lvl>
  </w:abstractNum>
  <w:abstractNum w:abstractNumId="30">
    <w:nsid w:val="76272110"/>
    <w:multiLevelType w:val="hybridMultilevel"/>
    <w:lvl w:ilvl="0">
      <w:lvlJc w:val="left"/>
      <w:lvlText w:val="•"/>
      <w:numFmt w:val="bullet"/>
      <w:start w:val="1"/>
    </w:lvl>
  </w:abstractNum>
  <w:abstractNum w:abstractNumId="31">
    <w:nsid w:val="4C04A8AF"/>
    <w:multiLevelType w:val="hybridMultilevel"/>
    <w:lvl w:ilvl="0">
      <w:lvlJc w:val="left"/>
      <w:lvlText w:val="•"/>
      <w:numFmt w:val="bullet"/>
      <w:start w:val="1"/>
    </w:lvl>
  </w:abstractNum>
  <w:abstractNum w:abstractNumId="32">
    <w:nsid w:val="1716703B"/>
    <w:multiLevelType w:val="hybridMultilevel"/>
    <w:lvl w:ilvl="0">
      <w:lvlJc w:val="left"/>
      <w:lvlText w:val="*"/>
      <w:numFmt w:val="bullet"/>
      <w:start w:val="1"/>
    </w:lvl>
  </w:abstractNum>
  <w:abstractNum w:abstractNumId="33">
    <w:nsid w:val="14E17E33"/>
    <w:multiLevelType w:val="hybridMultilevel"/>
    <w:lvl w:ilvl="0">
      <w:lvlJc w:val="left"/>
      <w:lvlText w:val="**"/>
      <w:numFmt w:val="bullet"/>
      <w:start w:val="1"/>
    </w:lvl>
  </w:abstractNum>
  <w:abstractNum w:abstractNumId="34">
    <w:nsid w:val="3222E7CD"/>
    <w:multiLevelType w:val="hybridMultilevel"/>
    <w:lvl w:ilvl="0">
      <w:lvlJc w:val="left"/>
      <w:lvlText w:val="(%1)"/>
      <w:numFmt w:val="decimal"/>
      <w:start w:val="1"/>
    </w:lvl>
  </w:abstractNum>
  <w:abstractNum w:abstractNumId="35">
    <w:nsid w:val="74DE0EE3"/>
    <w:multiLevelType w:val="hybridMultilevel"/>
    <w:lvl w:ilvl="0">
      <w:lvlJc w:val="left"/>
      <w:lvlText w:val="(%1)"/>
      <w:numFmt w:val="lowerRoman"/>
      <w:start w:val="2"/>
    </w:lvl>
  </w:abstractNum>
  <w:abstractNum w:abstractNumId="36">
    <w:nsid w:val="68EBC550"/>
    <w:multiLevelType w:val="hybridMultilevel"/>
    <w:lvl w:ilvl="0">
      <w:lvlJc w:val="left"/>
      <w:lvlText w:val="(%1)"/>
      <w:numFmt w:val="decimal"/>
      <w:start w:val="2"/>
    </w:lvl>
  </w:abstractNum>
  <w:abstractNum w:abstractNumId="37">
    <w:nsid w:val="2DF6D648"/>
    <w:multiLevelType w:val="hybridMultilevel"/>
    <w:lvl w:ilvl="0">
      <w:lvlJc w:val="left"/>
      <w:lvlText w:val="(%1)"/>
      <w:numFmt w:val="lowerRoman"/>
      <w:start w:val="1"/>
    </w:lvl>
  </w:abstractNum>
  <w:abstractNum w:abstractNumId="38">
    <w:nsid w:val="46B7D447"/>
    <w:multiLevelType w:val="hybridMultilevel"/>
    <w:lvl w:ilvl="0">
      <w:lvlJc w:val="left"/>
      <w:lvlText w:val="(%1)"/>
      <w:numFmt w:val="decimal"/>
      <w:start w:val="5"/>
    </w:lvl>
  </w:abstractNum>
  <w:abstractNum w:abstractNumId="39">
    <w:nsid w:val="4A2AC315"/>
    <w:multiLevelType w:val="hybridMultilevel"/>
    <w:lvl w:ilvl="0">
      <w:lvlJc w:val="left"/>
      <w:lvlText w:val="(%1)"/>
      <w:numFmt w:val="lowerRoman"/>
      <w:start w:val="1"/>
    </w:lvl>
  </w:abstractNum>
  <w:abstractNum w:abstractNumId="40">
    <w:nsid w:val="39EE015C"/>
    <w:multiLevelType w:val="hybridMultilevel"/>
    <w:lvl w:ilvl="0">
      <w:lvlJc w:val="left"/>
      <w:lvlText w:val="(%1)"/>
      <w:numFmt w:val="decimal"/>
      <w:start w:val="6"/>
    </w:lvl>
  </w:abstractNum>
  <w:abstractNum w:abstractNumId="41">
    <w:nsid w:val="57FC4FBB"/>
    <w:multiLevelType w:val="hybridMultilevel"/>
    <w:lvl w:ilvl="0">
      <w:lvlJc w:val="left"/>
      <w:lvlText w:val="1"/>
      <w:numFmt w:val="bullet"/>
      <w:start w:val="1"/>
    </w:lvl>
  </w:abstractNum>
  <w:abstractNum w:abstractNumId="42">
    <w:nsid w:val="CC1016F"/>
    <w:multiLevelType w:val="hybridMultilevel"/>
    <w:lvl w:ilvl="0">
      <w:lvlJc w:val="left"/>
      <w:lvlText w:val="(%1)"/>
      <w:numFmt w:val="decimal"/>
      <w:start w:val="1"/>
    </w:lvl>
  </w:abstractNum>
  <w:abstractNum w:abstractNumId="43">
    <w:nsid w:val="43F18422"/>
    <w:multiLevelType w:val="hybridMultilevel"/>
    <w:lvl w:ilvl="0">
      <w:lvlJc w:val="left"/>
      <w:lvlText w:val="(%1)"/>
      <w:numFmt w:val="decimal"/>
      <w:start w:val="3"/>
    </w:lvl>
  </w:abstractNum>
  <w:abstractNum w:abstractNumId="44">
    <w:nsid w:val="60EF0119"/>
    <w:multiLevelType w:val="hybridMultilevel"/>
    <w:lvl w:ilvl="0">
      <w:lvlJc w:val="left"/>
      <w:lvlText w:val="(%1)"/>
      <w:numFmt w:val="lowerLetter"/>
      <w:start w:val="1"/>
    </w:lvl>
    <w:lvl w:ilvl="1">
      <w:lvlJc w:val="left"/>
      <w:lvlText w:val="(%2)"/>
      <w:numFmt w:val="decimal"/>
      <w:start w:val="1"/>
    </w:lvl>
  </w:abstractNum>
  <w:abstractNum w:abstractNumId="45">
    <w:nsid w:val="26F324BA"/>
    <w:multiLevelType w:val="hybridMultilevel"/>
    <w:lvl w:ilvl="0">
      <w:lvlJc w:val="left"/>
      <w:lvlText w:val="(%1)"/>
      <w:numFmt w:val="decimal"/>
      <w:start w:val="5"/>
    </w:lvl>
  </w:abstractNum>
  <w:abstractNum w:abstractNumId="46">
    <w:nsid w:val="7F01579B"/>
    <w:multiLevelType w:val="hybridMultilevel"/>
    <w:lvl w:ilvl="0">
      <w:lvlJc w:val="left"/>
      <w:lvlText w:val="(%1)"/>
      <w:numFmt w:val="decimal"/>
      <w:start w:val="14"/>
    </w:lvl>
  </w:abstractNum>
  <w:abstractNum w:abstractNumId="47">
    <w:nsid w:val="49DA307D"/>
    <w:multiLevelType w:val="hybridMultilevel"/>
    <w:lvl w:ilvl="0">
      <w:lvlJc w:val="left"/>
      <w:lvlText w:val="(%1)"/>
      <w:numFmt w:val="decimal"/>
      <w:start w:val="22"/>
    </w:lvl>
  </w:abstractNum>
  <w:abstractNum w:abstractNumId="48">
    <w:nsid w:val="7055A5F5"/>
    <w:multiLevelType w:val="hybridMultilevel"/>
    <w:lvl w:ilvl="0">
      <w:lvlJc w:val="left"/>
      <w:lvlText w:val="(%1)"/>
      <w:numFmt w:val="decimal"/>
      <w:start w:val="1"/>
    </w:lvl>
  </w:abstractNum>
  <w:abstractNum w:abstractNumId="49">
    <w:nsid w:val="5FB8370B"/>
    <w:multiLevelType w:val="hybridMultilevel"/>
    <w:lvl w:ilvl="0">
      <w:lvlJc w:val="left"/>
      <w:lvlText w:val="(%1)"/>
      <w:numFmt w:val="lowerLetter"/>
      <w:start w:val="1"/>
    </w:lvl>
  </w:abstractNum>
  <w:abstractNum w:abstractNumId="50">
    <w:nsid w:val="50801EE1"/>
    <w:multiLevelType w:val="hybridMultilevel"/>
    <w:lvl w:ilvl="0">
      <w:lvlJc w:val="left"/>
      <w:lvlText w:val="(%1)"/>
      <w:numFmt w:val="lowerLetter"/>
      <w:start w:val="3"/>
    </w:lvl>
  </w:abstractNum>
  <w:abstractNum w:abstractNumId="51">
    <w:nsid w:val="488AC1A"/>
    <w:multiLevelType w:val="hybridMultilevel"/>
    <w:lvl w:ilvl="0">
      <w:lvlJc w:val="left"/>
      <w:lvlText w:val="(%1)"/>
      <w:numFmt w:val="lowerLetter"/>
      <w:start w:val="4"/>
    </w:lvl>
  </w:abstractNum>
  <w:abstractNum w:abstractNumId="52">
    <w:nsid w:val="5FB8011C"/>
    <w:multiLevelType w:val="hybridMultilevel"/>
    <w:lvl w:ilvl="0">
      <w:lvlJc w:val="left"/>
      <w:lvlText w:val="(%1)"/>
      <w:numFmt w:val="lowerLetter"/>
      <w:start w:val="1"/>
    </w:lvl>
  </w:abstractNum>
  <w:abstractNum w:abstractNumId="53">
    <w:nsid w:val="6AA78F7F"/>
    <w:multiLevelType w:val="hybridMultilevel"/>
    <w:lvl w:ilvl="0">
      <w:lvlJc w:val="left"/>
      <w:lvlText w:val="(%1)"/>
      <w:numFmt w:val="lowerLetter"/>
      <w:start w:val="3"/>
    </w:lvl>
  </w:abstractNum>
  <w:abstractNum w:abstractNumId="54">
    <w:nsid w:val="7672BD23"/>
    <w:multiLevelType w:val="hybridMultilevel"/>
    <w:lvl w:ilvl="0">
      <w:lvlJc w:val="left"/>
      <w:lvlText w:val="(%1)"/>
      <w:numFmt w:val="lowerLetter"/>
      <w:start w:val="1"/>
    </w:lvl>
  </w:abstractNum>
  <w:abstractNum w:abstractNumId="55">
    <w:nsid w:val="6FC75AF8"/>
    <w:multiLevelType w:val="hybridMultilevel"/>
    <w:lvl w:ilvl="0">
      <w:lvlJc w:val="left"/>
      <w:lvlText w:val="(%1)"/>
      <w:numFmt w:val="lowerLetter"/>
      <w:start w:val="2"/>
    </w:lvl>
  </w:abstractNum>
  <w:abstractNum w:abstractNumId="56">
    <w:nsid w:val="6A5F7029"/>
    <w:multiLevelType w:val="hybridMultilevel"/>
    <w:lvl w:ilvl="0">
      <w:lvlJc w:val="left"/>
      <w:lvlText w:val="(%1)"/>
      <w:numFmt w:val="lowerLetter"/>
      <w:start w:val="1"/>
    </w:lvl>
  </w:abstractNum>
  <w:abstractNum w:abstractNumId="57">
    <w:nsid w:val="7D5E18F8"/>
    <w:multiLevelType w:val="hybridMultilevel"/>
    <w:lvl w:ilvl="0">
      <w:lvlJc w:val="left"/>
      <w:lvlText w:val="(%1)"/>
      <w:numFmt w:val="lowerLetter"/>
      <w:start w:val="1"/>
    </w:lvl>
    <w:lvl w:ilvl="1">
      <w:lvlJc w:val="left"/>
      <w:lvlText w:val="(%2)"/>
      <w:numFmt w:val="decimal"/>
      <w:start w:val="1"/>
    </w:lvl>
  </w:abstractNum>
  <w:abstractNum w:abstractNumId="58">
    <w:nsid w:val="5F3534A4"/>
    <w:multiLevelType w:val="hybridMultilevel"/>
    <w:lvl w:ilvl="0">
      <w:lvlJc w:val="left"/>
      <w:lvlText w:val="(%1)"/>
      <w:numFmt w:val="lowerLetter"/>
      <w:start w:val="3"/>
    </w:lvl>
  </w:abstractNum>
  <w:abstractNum w:abstractNumId="59">
    <w:nsid w:val="73A1821B"/>
    <w:multiLevelType w:val="hybridMultilevel"/>
    <w:lvl w:ilvl="0">
      <w:lvlJc w:val="left"/>
      <w:lvlText w:val="(%1)"/>
      <w:numFmt w:val="lowerLetter"/>
      <w:start w:val="1"/>
    </w:lvl>
  </w:abstractNum>
  <w:abstractNum w:abstractNumId="60">
    <w:nsid w:val="7DE67713"/>
    <w:multiLevelType w:val="hybridMultilevel"/>
    <w:lvl w:ilvl="0">
      <w:lvlJc w:val="left"/>
      <w:lvlText w:val="(%1)"/>
      <w:numFmt w:val="lowerLetter"/>
      <w:start w:val="2"/>
    </w:lvl>
  </w:abstractNum>
  <w:abstractNum w:abstractNumId="61">
    <w:nsid w:val="555C55B5"/>
    <w:multiLevelType w:val="hybridMultilevel"/>
    <w:lvl w:ilvl="0">
      <w:lvlJc w:val="left"/>
      <w:lvlText w:val="(%1)"/>
      <w:numFmt w:val="lowerLetter"/>
      <w:start w:val="1"/>
    </w:lvl>
  </w:abstractNum>
  <w:abstractNum w:abstractNumId="62">
    <w:nsid w:val="3FA62ACA"/>
    <w:multiLevelType w:val="hybridMultilevel"/>
    <w:lvl w:ilvl="0">
      <w:lvlJc w:val="left"/>
      <w:lvlText w:val="(%1)"/>
      <w:numFmt w:val="lowerLetter"/>
      <w:start w:val="1"/>
    </w:lvl>
  </w:abstractNum>
  <w:abstractNum w:abstractNumId="63">
    <w:nsid w:val="14FCE74E"/>
    <w:multiLevelType w:val="hybridMultilevel"/>
    <w:lvl w:ilvl="0">
      <w:lvlJc w:val="left"/>
      <w:lvlText w:val="(%1)"/>
      <w:numFmt w:val="lowerLetter"/>
      <w:start w:val="2"/>
    </w:lvl>
  </w:abstractNum>
  <w:abstractNum w:abstractNumId="64">
    <w:nsid w:val="6A3DD3E8"/>
    <w:multiLevelType w:val="hybridMultilevel"/>
    <w:lvl w:ilvl="0">
      <w:lvlJc w:val="left"/>
      <w:lvlText w:val="(%1)"/>
      <w:numFmt w:val="lowerLetter"/>
      <w:start w:val="1"/>
    </w:lvl>
    <w:lvl w:ilvl="1">
      <w:lvlJc w:val="left"/>
      <w:lvlText w:val="(%2)"/>
      <w:numFmt w:val="decimal"/>
      <w:start w:val="1"/>
    </w:lvl>
  </w:abstractNum>
  <w:abstractNum w:abstractNumId="65">
    <w:nsid w:val="71C91298"/>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66">
    <w:nsid w:val="9DAF632"/>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67">
    <w:nsid w:val="53299938"/>
    <w:multiLevelType w:val="hybridMultilevel"/>
    <w:lvl w:ilvl="0">
      <w:lvlJc w:val="left"/>
      <w:lvlText w:val="(%1)"/>
      <w:numFmt w:val="decimal"/>
      <w:start w:val="4"/>
    </w:lvl>
    <w:lvl w:ilvl="1">
      <w:lvlJc w:val="left"/>
      <w:lvlText w:val="(%2)"/>
      <w:numFmt w:val="lowerLetter"/>
      <w:start w:val="3"/>
    </w:lvl>
    <w:lvl w:ilvl="2">
      <w:lvlJc w:val="left"/>
      <w:lvlText w:val="%3"/>
      <w:numFmt w:val="decimal"/>
      <w:start w:val="1"/>
    </w:lvl>
  </w:abstractNum>
  <w:abstractNum w:abstractNumId="68">
    <w:nsid w:val="1FBFE8E0"/>
    <w:multiLevelType w:val="hybridMultilevel"/>
    <w:lvl w:ilvl="0">
      <w:lvlJc w:val="left"/>
      <w:lvlText w:val="(%1)"/>
      <w:numFmt w:val="lowerLetter"/>
      <w:start w:val="4"/>
    </w:lvl>
  </w:abstractNum>
  <w:abstractNum w:abstractNumId="69">
    <w:nsid w:val="5092CA79"/>
    <w:multiLevelType w:val="hybridMultilevel"/>
    <w:lvl w:ilvl="0">
      <w:lvlJc w:val="left"/>
      <w:lvlText w:val="(%1)"/>
      <w:numFmt w:val="lowerLetter"/>
      <w:start w:val="1"/>
    </w:lvl>
  </w:abstractNum>
  <w:abstractNum w:abstractNumId="70">
    <w:nsid w:val="1D545C4D"/>
    <w:multiLevelType w:val="hybridMultilevel"/>
    <w:lvl w:ilvl="0">
      <w:lvlJc w:val="left"/>
      <w:lvlText w:val="(%1)"/>
      <w:numFmt w:val="lowerRoman"/>
      <w:start w:val="5"/>
    </w:lvl>
  </w:abstractNum>
  <w:abstractNum w:abstractNumId="71">
    <w:nsid w:val="59ADEA3D"/>
    <w:multiLevelType w:val="hybridMultilevel"/>
    <w:lvl w:ilvl="0">
      <w:lvlJc w:val="left"/>
      <w:lvlText w:val="(%1)"/>
      <w:numFmt w:val="lowerLetter"/>
      <w:start w:val="1"/>
    </w:lvl>
  </w:abstractNum>
  <w:abstractNum w:abstractNumId="72">
    <w:nsid w:val="288F1A34"/>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73">
    <w:nsid w:val="2A155DBC"/>
    <w:multiLevelType w:val="hybridMultilevel"/>
    <w:lvl w:ilvl="0">
      <w:lvlJc w:val="left"/>
      <w:lvlText w:val="(%1)"/>
      <w:numFmt w:val="lowerLetter"/>
      <w:start w:val="1"/>
    </w:lvl>
  </w:abstractNum>
  <w:abstractNum w:abstractNumId="74">
    <w:nsid w:val="1D9F6E5F"/>
    <w:multiLevelType w:val="hybridMultilevel"/>
    <w:lvl w:ilvl="0">
      <w:lvlJc w:val="left"/>
      <w:lvlText w:val="(%1)"/>
      <w:numFmt w:val="lowerLetter"/>
      <w:start w:val="7"/>
    </w:lvl>
  </w:abstractNum>
  <w:abstractNum w:abstractNumId="75">
    <w:nsid w:val="97E1B4E"/>
    <w:multiLevelType w:val="hybridMultilevel"/>
    <w:lvl w:ilvl="0">
      <w:lvlJc w:val="left"/>
      <w:lvlText w:val="(%1)"/>
      <w:numFmt w:val="lowerLetter"/>
      <w:start w:val="1"/>
    </w:lvl>
  </w:abstractNum>
  <w:abstractNum w:abstractNumId="76">
    <w:nsid w:val="51088277"/>
    <w:multiLevelType w:val="hybridMultilevel"/>
    <w:lvl w:ilvl="0">
      <w:lvlJc w:val="left"/>
      <w:lvlText w:val="(%1)"/>
      <w:numFmt w:val="lowerLetter"/>
      <w:start w:val="1"/>
    </w:lvl>
  </w:abstractNum>
  <w:abstractNum w:abstractNumId="77">
    <w:nsid w:val="1CA0C5FA"/>
    <w:multiLevelType w:val="hybridMultilevel"/>
    <w:lvl w:ilvl="0">
      <w:lvlJc w:val="left"/>
      <w:lvlText w:val="(%1)"/>
      <w:numFmt w:val="lowerLetter"/>
      <w:start w:val="3"/>
    </w:lvl>
  </w:abstractNum>
  <w:abstractNum w:abstractNumId="78">
    <w:nsid w:val="53584BCB"/>
    <w:multiLevelType w:val="hybridMultilevel"/>
    <w:lvl w:ilvl="0">
      <w:lvlJc w:val="left"/>
      <w:lvlText w:val="(%1)"/>
      <w:numFmt w:val="lowerLetter"/>
      <w:start w:val="1"/>
    </w:lvl>
    <w:lvl w:ilvl="1">
      <w:lvlJc w:val="left"/>
      <w:lvlText w:val="(%2)"/>
      <w:numFmt w:val="lowerRoman"/>
      <w:start w:val="1"/>
    </w:lvl>
  </w:abstractNum>
  <w:abstractNum w:abstractNumId="79">
    <w:nsid w:val="415E286C"/>
    <w:multiLevelType w:val="hybridMultilevel"/>
    <w:lvl w:ilvl="0">
      <w:lvlJc w:val="left"/>
      <w:lvlText w:val="(%1)"/>
      <w:numFmt w:val="lowerLetter"/>
      <w:start w:val="3"/>
    </w:lvl>
  </w:abstractNum>
  <w:abstractNum w:abstractNumId="80">
    <w:nsid w:val="7C58FD05"/>
    <w:multiLevelType w:val="hybridMultilevel"/>
    <w:lvl w:ilvl="0">
      <w:lvlJc w:val="left"/>
      <w:lvlText w:val="(%1)"/>
      <w:numFmt w:val="lowerLetter"/>
      <w:start w:val="4"/>
    </w:lvl>
  </w:abstractNum>
  <w:abstractNum w:abstractNumId="81">
    <w:nsid w:val="23D86AAC"/>
    <w:multiLevelType w:val="hybridMultilevel"/>
    <w:lvl w:ilvl="0">
      <w:lvlJc w:val="left"/>
      <w:lvlText w:val="(%1)"/>
      <w:numFmt w:val="lowerLetter"/>
      <w:start w:val="1"/>
    </w:lvl>
  </w:abstractNum>
  <w:abstractNum w:abstractNumId="82">
    <w:nsid w:val="45E6D486"/>
    <w:multiLevelType w:val="hybridMultilevel"/>
    <w:lvl w:ilvl="0">
      <w:lvlJc w:val="left"/>
      <w:lvlText w:val="(%1)"/>
      <w:numFmt w:val="lowerLetter"/>
      <w:start w:val="3"/>
    </w:lvl>
  </w:abstractNum>
  <w:abstractNum w:abstractNumId="83">
    <w:nsid w:val="5C10FE21"/>
    <w:multiLevelType w:val="hybridMultilevel"/>
    <w:lvl w:ilvl="0">
      <w:lvlJc w:val="left"/>
      <w:lvlText w:val="(%1)"/>
      <w:numFmt w:val="lowerLetter"/>
      <w:start w:val="2"/>
    </w:lvl>
  </w:abstractNum>
  <w:abstractNum w:abstractNumId="84">
    <w:nsid w:val="E7FFA2B"/>
    <w:multiLevelType w:val="hybridMultilevel"/>
    <w:lvl w:ilvl="0">
      <w:lvlJc w:val="left"/>
      <w:lvlText w:val="(%1)"/>
      <w:numFmt w:val="lowerLetter"/>
      <w:start w:val="1"/>
    </w:lvl>
  </w:abstractNum>
  <w:abstractNum w:abstractNumId="85">
    <w:nsid w:val="3C5991AA"/>
    <w:multiLevelType w:val="hybridMultilevel"/>
    <w:lvl w:ilvl="0">
      <w:lvlJc w:val="left"/>
      <w:lvlText w:val="(%1)"/>
      <w:numFmt w:val="lowerLetter"/>
      <w:start w:val="8"/>
    </w:lvl>
  </w:abstractNum>
  <w:abstractNum w:abstractNumId="86">
    <w:nsid w:val="4BD8591A"/>
    <w:multiLevelType w:val="hybridMultilevel"/>
    <w:lvl w:ilvl="0">
      <w:lvlJc w:val="left"/>
      <w:lvlText w:val="(%1)"/>
      <w:numFmt w:val="lowerLetter"/>
      <w:start w:val="1"/>
    </w:lvl>
  </w:abstractNum>
  <w:abstractNum w:abstractNumId="87">
    <w:nsid w:val="78DF6A55"/>
    <w:multiLevelType w:val="hybridMultilevel"/>
    <w:lvl w:ilvl="0">
      <w:lvlJc w:val="left"/>
      <w:lvlText w:val="(%1)"/>
      <w:numFmt w:val="lowerLetter"/>
      <w:start w:val="1"/>
    </w:lvl>
  </w:abstractNum>
  <w:abstractNum w:abstractNumId="88">
    <w:nsid w:val="39B7AAA2"/>
    <w:multiLevelType w:val="hybridMultilevel"/>
    <w:lvl w:ilvl="0">
      <w:lvlJc w:val="left"/>
      <w:lvlText w:val="2"/>
      <w:numFmt w:val="bullet"/>
      <w:start w:val="1"/>
    </w:lvl>
  </w:abstractNum>
  <w:abstractNum w:abstractNumId="89">
    <w:nsid w:val="2B0D8DBE"/>
    <w:multiLevelType w:val="hybridMultilevel"/>
    <w:lvl w:ilvl="0">
      <w:lvlJc w:val="left"/>
      <w:lvlText w:val="1"/>
      <w:numFmt w:val="bullet"/>
      <w:start w:val="1"/>
    </w:lvl>
  </w:abstractNum>
  <w:abstractNum w:abstractNumId="90">
    <w:nsid w:val="6C80EC70"/>
    <w:multiLevelType w:val="hybridMultilevel"/>
    <w:lvl w:ilvl="0">
      <w:lvlJc w:val="left"/>
      <w:lvlText w:val="(%1)"/>
      <w:numFmt w:val="decimal"/>
      <w:start w:val="1"/>
    </w:lvl>
  </w:abstractNum>
  <w:abstractNum w:abstractNumId="91">
    <w:nsid w:val="379E21B5"/>
    <w:multiLevelType w:val="hybridMultilevel"/>
    <w:lvl w:ilvl="0">
      <w:lvlJc w:val="left"/>
      <w:lvlText w:val="(%1)"/>
      <w:numFmt w:val="decimal"/>
      <w:start w:val="3"/>
    </w:lvl>
  </w:abstractNum>
  <w:abstractNum w:abstractNumId="92">
    <w:nsid w:val="69E373"/>
    <w:multiLevelType w:val="hybridMultilevel"/>
    <w:lvl w:ilvl="0">
      <w:lvlJc w:val="left"/>
      <w:lvlText w:val="(%1)"/>
      <w:numFmt w:val="lowerLetter"/>
      <w:start w:val="1"/>
    </w:lvl>
    <w:lvl w:ilvl="1">
      <w:lvlJc w:val="left"/>
      <w:lvlText w:val="(%2)"/>
      <w:numFmt w:val="decimal"/>
      <w:start w:val="1"/>
    </w:lvl>
  </w:abstractNum>
  <w:abstractNum w:abstractNumId="93">
    <w:nsid w:val="2C27173B"/>
    <w:multiLevelType w:val="hybridMultilevel"/>
    <w:lvl w:ilvl="0">
      <w:lvlJc w:val="left"/>
      <w:lvlText w:val="(%1)"/>
      <w:numFmt w:val="decimal"/>
      <w:start w:val="5"/>
    </w:lvl>
  </w:abstractNum>
  <w:abstractNum w:abstractNumId="94">
    <w:nsid w:val="4C9B0904"/>
    <w:multiLevelType w:val="hybridMultilevel"/>
    <w:lvl w:ilvl="0">
      <w:lvlJc w:val="left"/>
      <w:lvlText w:val="(%1)"/>
      <w:numFmt w:val="decimal"/>
      <w:start w:val="14"/>
    </w:lvl>
  </w:abstractNum>
  <w:abstractNum w:abstractNumId="95">
    <w:nsid w:val="6AA7B75C"/>
    <w:multiLevelType w:val="hybridMultilevel"/>
    <w:lvl w:ilvl="0">
      <w:lvlJc w:val="left"/>
      <w:lvlText w:val="(%1)"/>
      <w:numFmt w:val="decimal"/>
      <w:start w:val="22"/>
    </w:lvl>
  </w:abstractNum>
  <w:abstractNum w:abstractNumId="96">
    <w:nsid w:val="1DF029D3"/>
    <w:multiLevelType w:val="hybridMultilevel"/>
    <w:lvl w:ilvl="0">
      <w:lvlJc w:val="left"/>
      <w:lvlText w:val="(%1)"/>
      <w:numFmt w:val="decimal"/>
      <w:start w:val="1"/>
    </w:lvl>
  </w:abstractNum>
  <w:abstractNum w:abstractNumId="97">
    <w:nsid w:val="5675FF36"/>
    <w:multiLevelType w:val="hybridMultilevel"/>
    <w:lvl w:ilvl="0">
      <w:lvlJc w:val="left"/>
      <w:lvlText w:val="(%1)"/>
      <w:numFmt w:val="lowerLetter"/>
      <w:start w:val="1"/>
    </w:lvl>
  </w:abstractNum>
  <w:abstractNum w:abstractNumId="98">
    <w:nsid w:val="3DD15094"/>
    <w:multiLevelType w:val="hybridMultilevel"/>
    <w:lvl w:ilvl="0">
      <w:lvlJc w:val="left"/>
      <w:lvlText w:val="(%1)"/>
      <w:numFmt w:val="lowerLetter"/>
      <w:start w:val="3"/>
    </w:lvl>
  </w:abstractNum>
  <w:abstractNum w:abstractNumId="99">
    <w:nsid w:val="3DB012B3"/>
    <w:multiLevelType w:val="hybridMultilevel"/>
    <w:lvl w:ilvl="0">
      <w:lvlJc w:val="left"/>
      <w:lvlText w:val="(%1)"/>
      <w:numFmt w:val="lowerLetter"/>
      <w:start w:val="4"/>
    </w:lvl>
  </w:abstractNum>
  <w:abstractNum w:abstractNumId="100">
    <w:nsid w:val="2708C9AF"/>
    <w:multiLevelType w:val="hybridMultilevel"/>
    <w:lvl w:ilvl="0">
      <w:lvlJc w:val="left"/>
      <w:lvlText w:val="(%1)"/>
      <w:numFmt w:val="lowerLetter"/>
      <w:start w:val="1"/>
    </w:lvl>
  </w:abstractNum>
  <w:abstractNum w:abstractNumId="101">
    <w:nsid w:val="5B25ACE2"/>
    <w:multiLevelType w:val="hybridMultilevel"/>
    <w:lvl w:ilvl="0">
      <w:lvlJc w:val="left"/>
      <w:lvlText w:val="(%1)"/>
      <w:numFmt w:val="lowerLetter"/>
      <w:start w:val="2"/>
    </w:lvl>
  </w:abstractNum>
  <w:abstractNum w:abstractNumId="102">
    <w:nsid w:val="175DFCF0"/>
    <w:multiLevelType w:val="hybridMultilevel"/>
    <w:lvl w:ilvl="0">
      <w:lvlJc w:val="left"/>
      <w:lvlText w:val="(%1)"/>
      <w:numFmt w:val="lowerLetter"/>
      <w:start w:val="1"/>
    </w:lvl>
  </w:abstractNum>
  <w:abstractNum w:abstractNumId="103">
    <w:nsid w:val="4F97E3E4"/>
    <w:multiLevelType w:val="hybridMultilevel"/>
    <w:lvl w:ilvl="0">
      <w:lvlJc w:val="left"/>
      <w:lvlText w:val="(%1)"/>
      <w:numFmt w:val="lowerLetter"/>
      <w:start w:val="2"/>
    </w:lvl>
  </w:abstractNum>
  <w:abstractNum w:abstractNumId="104">
    <w:nsid w:val="53B0A9E"/>
    <w:multiLevelType w:val="hybridMultilevel"/>
    <w:lvl w:ilvl="0">
      <w:lvlJc w:val="left"/>
      <w:lvlText w:val="(%1)"/>
      <w:numFmt w:val="lowerLetter"/>
      <w:start w:val="1"/>
    </w:lvl>
  </w:abstractNum>
  <w:abstractNum w:abstractNumId="105">
    <w:nsid w:val="34FD6B4F"/>
    <w:multiLevelType w:val="hybridMultilevel"/>
    <w:lvl w:ilvl="0">
      <w:lvlJc w:val="left"/>
      <w:lvlText w:val="(%1)"/>
      <w:numFmt w:val="lowerLetter"/>
      <w:start w:val="1"/>
    </w:lvl>
    <w:lvl w:ilvl="1">
      <w:lvlJc w:val="left"/>
      <w:lvlText w:val="(%2)"/>
      <w:numFmt w:val="decimal"/>
      <w:start w:val="1"/>
    </w:lvl>
  </w:abstractNum>
  <w:abstractNum w:abstractNumId="106">
    <w:nsid w:val="5915FF32"/>
    <w:multiLevelType w:val="hybridMultilevel"/>
    <w:lvl w:ilvl="0">
      <w:lvlJc w:val="left"/>
      <w:lvlText w:val="(%1)"/>
      <w:numFmt w:val="lowerLetter"/>
      <w:start w:val="3"/>
    </w:lvl>
  </w:abstractNum>
  <w:abstractNum w:abstractNumId="107">
    <w:nsid w:val="56438D15"/>
    <w:multiLevelType w:val="hybridMultilevel"/>
    <w:lvl w:ilvl="0">
      <w:lvlJc w:val="left"/>
      <w:lvlText w:val="(%1)"/>
      <w:numFmt w:val="lowerLetter"/>
      <w:start w:val="1"/>
    </w:lvl>
  </w:abstractNum>
  <w:abstractNum w:abstractNumId="108">
    <w:nsid w:val="519E3149"/>
    <w:multiLevelType w:val="hybridMultilevel"/>
    <w:lvl w:ilvl="0">
      <w:lvlJc w:val="left"/>
      <w:lvlText w:val="(%1)"/>
      <w:numFmt w:val="lowerLetter"/>
      <w:start w:val="1"/>
    </w:lvl>
  </w:abstractNum>
  <w:abstractNum w:abstractNumId="109">
    <w:nsid w:val="2C6E4AFD"/>
    <w:multiLevelType w:val="hybridMultilevel"/>
    <w:lvl w:ilvl="0">
      <w:lvlJc w:val="left"/>
      <w:lvlText w:val="(%1)"/>
      <w:numFmt w:val="lowerLetter"/>
      <w:start w:val="1"/>
    </w:lvl>
  </w:abstractNum>
  <w:abstractNum w:abstractNumId="110">
    <w:nsid w:val="17A1B582"/>
    <w:multiLevelType w:val="hybridMultilevel"/>
    <w:lvl w:ilvl="0">
      <w:lvlJc w:val="left"/>
      <w:lvlText w:val="(%1)"/>
      <w:numFmt w:val="lowerLetter"/>
      <w:start w:val="1"/>
    </w:lvl>
    <w:lvl w:ilvl="1">
      <w:lvlJc w:val="left"/>
      <w:lvlText w:val="(%2)"/>
      <w:numFmt w:val="decimal"/>
      <w:start w:val="1"/>
    </w:lvl>
  </w:abstractNum>
  <w:abstractNum w:abstractNumId="111">
    <w:nsid w:val="4DF72E4E"/>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112">
    <w:nsid w:val="5046B5A9"/>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113">
    <w:nsid w:val="5D888A08"/>
    <w:multiLevelType w:val="hybridMultilevel"/>
    <w:lvl w:ilvl="0">
      <w:lvlJc w:val="left"/>
      <w:lvlText w:val="(%1)"/>
      <w:numFmt w:val="decimal"/>
      <w:start w:val="4"/>
    </w:lvl>
    <w:lvl w:ilvl="1">
      <w:lvlJc w:val="left"/>
      <w:lvlText w:val="(%2)"/>
      <w:numFmt w:val="lowerLetter"/>
      <w:start w:val="3"/>
    </w:lvl>
    <w:lvl w:ilvl="2">
      <w:lvlJc w:val="left"/>
      <w:lvlText w:val="%3"/>
      <w:numFmt w:val="decimal"/>
      <w:start w:val="1"/>
    </w:lvl>
  </w:abstractNum>
  <w:abstractNum w:abstractNumId="114">
    <w:nsid w:val="2A082C70"/>
    <w:multiLevelType w:val="hybridMultilevel"/>
    <w:lvl w:ilvl="0">
      <w:lvlJc w:val="left"/>
      <w:lvlText w:val="(%1)"/>
      <w:numFmt w:val="lowerLetter"/>
      <w:start w:val="4"/>
    </w:lvl>
  </w:abstractNum>
  <w:abstractNum w:abstractNumId="115">
    <w:nsid w:val="5EC6AFD4"/>
    <w:multiLevelType w:val="hybridMultilevel"/>
    <w:lvl w:ilvl="0">
      <w:lvlJc w:val="left"/>
      <w:lvlText w:val="(%1)"/>
      <w:numFmt w:val="lowerLetter"/>
      <w:start w:val="1"/>
    </w:lvl>
  </w:abstractNum>
  <w:abstractNum w:abstractNumId="116">
    <w:nsid w:val="19E21BB2"/>
    <w:multiLevelType w:val="hybridMultilevel"/>
    <w:lvl w:ilvl="0">
      <w:lvlJc w:val="left"/>
      <w:lvlText w:val="(%1)"/>
      <w:numFmt w:val="lowerLetter"/>
      <w:start w:val="4"/>
    </w:lvl>
  </w:abstractNum>
  <w:abstractNum w:abstractNumId="117">
    <w:nsid w:val="75E0858A"/>
    <w:multiLevelType w:val="hybridMultilevel"/>
    <w:lvl w:ilvl="0">
      <w:lvlJc w:val="left"/>
      <w:lvlText w:val="(%1)"/>
      <w:numFmt w:val="lowerRoman"/>
      <w:start w:val="5"/>
    </w:lvl>
  </w:abstractNum>
  <w:abstractNum w:abstractNumId="118">
    <w:nsid w:val="57A61A29"/>
    <w:multiLevelType w:val="hybridMultilevel"/>
    <w:lvl w:ilvl="0">
      <w:lvlJc w:val="left"/>
      <w:lvlText w:val="(%1)"/>
      <w:numFmt w:val="lowerLetter"/>
      <w:start w:val="1"/>
    </w:lvl>
  </w:abstractNum>
  <w:abstractNum w:abstractNumId="119">
    <w:nsid w:val="5399C654"/>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20">
    <w:nsid w:val="20EE1348"/>
    <w:multiLevelType w:val="hybridMultilevel"/>
    <w:lvl w:ilvl="0">
      <w:lvlJc w:val="left"/>
      <w:lvlText w:val="(%1)"/>
      <w:numFmt w:val="decimal"/>
      <w:start w:val="4"/>
    </w:lvl>
  </w:abstractNum>
  <w:abstractNum w:abstractNumId="121">
    <w:nsid w:val="4427069A"/>
    <w:multiLevelType w:val="hybridMultilevel"/>
    <w:lvl w:ilvl="0">
      <w:lvlJc w:val="left"/>
      <w:lvlText w:val="(%1)"/>
      <w:numFmt w:val="lowerLetter"/>
      <w:start w:val="1"/>
    </w:lvl>
  </w:abstractNum>
  <w:abstractNum w:abstractNumId="122">
    <w:nsid w:val="B37E80A"/>
    <w:multiLevelType w:val="hybridMultilevel"/>
    <w:lvl w:ilvl="0">
      <w:lvlJc w:val="left"/>
      <w:lvlText w:val="(%1)"/>
      <w:numFmt w:val="lowerLetter"/>
      <w:start w:val="7"/>
    </w:lvl>
  </w:abstractNum>
  <w:abstractNum w:abstractNumId="123">
    <w:nsid w:val="2157F6BC"/>
    <w:multiLevelType w:val="hybridMultilevel"/>
    <w:lvl w:ilvl="0">
      <w:lvlJc w:val="left"/>
      <w:lvlText w:val="(%1)"/>
      <w:numFmt w:val="lowerLetter"/>
      <w:start w:val="1"/>
    </w:lvl>
  </w:abstractNum>
  <w:abstractNum w:abstractNumId="124">
    <w:nsid w:val="704E1DD5"/>
    <w:multiLevelType w:val="hybridMultilevel"/>
    <w:lvl w:ilvl="0">
      <w:lvlJc w:val="left"/>
      <w:lvlText w:val="(%1)"/>
      <w:numFmt w:val="lowerLetter"/>
      <w:start w:val="3"/>
    </w:lvl>
  </w:abstractNum>
  <w:abstractNum w:abstractNumId="125">
    <w:nsid w:val="57D2F10E"/>
    <w:multiLevelType w:val="hybridMultilevel"/>
    <w:lvl w:ilvl="0">
      <w:lvlJc w:val="left"/>
      <w:lvlText w:val="(%1)"/>
      <w:numFmt w:val="lowerLetter"/>
      <w:start w:val="1"/>
    </w:lvl>
  </w:abstractNum>
  <w:abstractNum w:abstractNumId="126">
    <w:nsid w:val="BFFAE18"/>
    <w:multiLevelType w:val="hybridMultilevel"/>
    <w:lvl w:ilvl="0">
      <w:lvlJc w:val="left"/>
      <w:lvlText w:val="(%1)"/>
      <w:numFmt w:val="lowerLetter"/>
      <w:start w:val="3"/>
    </w:lvl>
  </w:abstractNum>
  <w:abstractNum w:abstractNumId="127">
    <w:nsid w:val="E3E47A8"/>
    <w:multiLevelType w:val="hybridMultilevel"/>
    <w:lvl w:ilvl="0">
      <w:lvlJc w:val="left"/>
      <w:lvlText w:val="(%1)"/>
      <w:numFmt w:val="lowerLetter"/>
      <w:start w:val="1"/>
    </w:lvl>
    <w:lvl w:ilvl="1">
      <w:lvlJc w:val="left"/>
      <w:lvlText w:val="(%2)"/>
      <w:numFmt w:val="lowerRoman"/>
      <w:start w:val="1"/>
    </w:lvl>
  </w:abstractNum>
  <w:abstractNum w:abstractNumId="128">
    <w:nsid w:val="2E48F044"/>
    <w:multiLevelType w:val="hybridMultilevel"/>
    <w:lvl w:ilvl="0">
      <w:lvlJc w:val="left"/>
      <w:lvlText w:val="(%1)"/>
      <w:numFmt w:val="lowerLetter"/>
      <w:start w:val="3"/>
    </w:lvl>
  </w:abstractNum>
  <w:abstractNum w:abstractNumId="129">
    <w:nsid w:val="49D0FEAC"/>
    <w:multiLevelType w:val="hybridMultilevel"/>
    <w:lvl w:ilvl="0">
      <w:lvlJc w:val="left"/>
      <w:lvlText w:val="(%1)"/>
      <w:numFmt w:val="lowerLetter"/>
      <w:start w:val="4"/>
    </w:lvl>
  </w:abstractNum>
  <w:abstractNum w:abstractNumId="130">
    <w:nsid w:val="4BEE5A5B"/>
    <w:multiLevelType w:val="hybridMultilevel"/>
    <w:lvl w:ilvl="0">
      <w:lvlJc w:val="left"/>
      <w:lvlText w:val="(%1)"/>
      <w:numFmt w:val="lowerLetter"/>
      <w:start w:val="1"/>
    </w:lvl>
  </w:abstractNum>
  <w:abstractNum w:abstractNumId="131">
    <w:nsid w:val="5551B9F3"/>
    <w:multiLevelType w:val="hybridMultilevel"/>
    <w:lvl w:ilvl="0">
      <w:lvlJc w:val="left"/>
      <w:lvlText w:val="(%1)"/>
      <w:numFmt w:val="lowerLetter"/>
      <w:start w:val="3"/>
    </w:lvl>
  </w:abstractNum>
  <w:abstractNum w:abstractNumId="132">
    <w:nsid w:val="24F6AB8E"/>
    <w:multiLevelType w:val="hybridMultilevel"/>
    <w:lvl w:ilvl="0">
      <w:lvlJc w:val="left"/>
      <w:lvlText w:val="(%1)"/>
      <w:numFmt w:val="lowerLetter"/>
      <w:start w:val="2"/>
    </w:lvl>
  </w:abstractNum>
  <w:abstractNum w:abstractNumId="133">
    <w:nsid w:val="634C574C"/>
    <w:multiLevelType w:val="hybridMultilevel"/>
    <w:lvl w:ilvl="0">
      <w:lvlJc w:val="left"/>
      <w:lvlText w:val="(%1)"/>
      <w:numFmt w:val="lowerLetter"/>
      <w:start w:val="1"/>
    </w:lvl>
  </w:abstractNum>
  <w:abstractNum w:abstractNumId="134">
    <w:nsid w:val="24E99DD7"/>
    <w:multiLevelType w:val="hybridMultilevel"/>
    <w:lvl w:ilvl="0">
      <w:lvlJc w:val="left"/>
      <w:lvlText w:val="(%1)"/>
      <w:numFmt w:val="lowerLetter"/>
      <w:start w:val="8"/>
    </w:lvl>
  </w:abstractNum>
  <w:abstractNum w:abstractNumId="135">
    <w:nsid w:val="2A31B62D"/>
    <w:multiLevelType w:val="hybridMultilevel"/>
    <w:lvl w:ilvl="0">
      <w:lvlJc w:val="left"/>
      <w:lvlText w:val="(%1)"/>
      <w:numFmt w:val="lowerLetter"/>
      <w:start w:val="2"/>
    </w:lvl>
  </w:abstractNum>
  <w:abstractNum w:abstractNumId="136">
    <w:nsid w:val="1849C29B"/>
    <w:multiLevelType w:val="hybridMultilevel"/>
    <w:lvl w:ilvl="0">
      <w:lvlJc w:val="left"/>
      <w:lvlText w:val="(%1)"/>
      <w:numFmt w:val="lowerLetter"/>
      <w:start w:val="1"/>
    </w:lvl>
  </w:abstractNum>
  <w:abstractNum w:abstractNumId="137">
    <w:nsid w:val="7DFF9D09"/>
    <w:multiLevelType w:val="hybridMultilevel"/>
    <w:lvl w:ilvl="0">
      <w:lvlJc w:val="left"/>
      <w:lvlText w:val="(%1)"/>
      <w:numFmt w:val="lowerLetter"/>
      <w:start w:val="2"/>
    </w:lvl>
  </w:abstractNum>
  <w:abstractNum w:abstractNumId="138">
    <w:nsid w:val="754342"/>
    <w:multiLevelType w:val="hybridMultilevel"/>
    <w:lvl w:ilvl="0">
      <w:lvlJc w:val="left"/>
      <w:lvlText w:val="(%1)"/>
      <w:numFmt w:val="lowerLetter"/>
      <w:start w:val="1"/>
    </w:lvl>
  </w:abstractNum>
  <w:abstractNum w:abstractNumId="139">
    <w:nsid w:val="69E7F3E5"/>
    <w:multiLevelType w:val="hybridMultilevel"/>
    <w:lvl w:ilvl="0">
      <w:lvlJc w:val="left"/>
      <w:lvlText w:val="2"/>
      <w:numFmt w:val="bullet"/>
      <w:start w:val="1"/>
    </w:lvl>
  </w:abstractNum>
  <w:abstractNum w:abstractNumId="140">
    <w:nsid w:val="2A6DE806"/>
    <w:multiLevelType w:val="hybridMultilevel"/>
    <w:lvl w:ilvl="0">
      <w:lvlJc w:val="left"/>
      <w:lvlText w:val="•"/>
      <w:numFmt w:val="bullet"/>
      <w:start w:val="1"/>
    </w:lvl>
  </w:abstractNum>
  <w:abstractNum w:abstractNumId="141">
    <w:nsid w:val="1816F8C4"/>
    <w:multiLevelType w:val="hybridMultilevel"/>
    <w:lvl w:ilvl="0">
      <w:lvlJc w:val="left"/>
      <w:lvlText w:val="%1."/>
      <w:numFmt w:val="decimal"/>
      <w:start w:val="1"/>
    </w:lvl>
  </w:abstractNum>
  <w:abstractNum w:abstractNumId="142">
    <w:nsid w:val="37DF2233"/>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jpeg"/><Relationship Id="rId76"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png"/><Relationship Id="rId82"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92" Type="http://schemas.openxmlformats.org/officeDocument/2006/relationships/image" Target="media/image67.png"/><Relationship Id="rId93" Type="http://schemas.openxmlformats.org/officeDocument/2006/relationships/image" Target="media/image68.png"/><Relationship Id="rId94" Type="http://schemas.openxmlformats.org/officeDocument/2006/relationships/image" Target="media/image69.png"/><Relationship Id="rId95" Type="http://schemas.openxmlformats.org/officeDocument/2006/relationships/image" Target="media/image70.png"/><Relationship Id="rId96" Type="http://schemas.openxmlformats.org/officeDocument/2006/relationships/image" Target="media/image71.png"/><Relationship Id="rId97" Type="http://schemas.openxmlformats.org/officeDocument/2006/relationships/image" Target="media/image72.png"/><Relationship Id="rId98" Type="http://schemas.openxmlformats.org/officeDocument/2006/relationships/image" Target="media/image73.png"/><Relationship Id="rId99" Type="http://schemas.openxmlformats.org/officeDocument/2006/relationships/image" Target="media/image74.png"/><Relationship Id="rId100" Type="http://schemas.openxmlformats.org/officeDocument/2006/relationships/image" Target="media/image75.png"/><Relationship Id="rId101" Type="http://schemas.openxmlformats.org/officeDocument/2006/relationships/image" Target="media/image76.png"/><Relationship Id="rId102" Type="http://schemas.openxmlformats.org/officeDocument/2006/relationships/image" Target="media/image77.png"/><Relationship Id="rId103" Type="http://schemas.openxmlformats.org/officeDocument/2006/relationships/image" Target="media/image78.png"/><Relationship Id="rId104" Type="http://schemas.openxmlformats.org/officeDocument/2006/relationships/image" Target="media/image79.png"/><Relationship Id="rId105" Type="http://schemas.openxmlformats.org/officeDocument/2006/relationships/image" Target="media/image80.png"/><Relationship Id="rId106" Type="http://schemas.openxmlformats.org/officeDocument/2006/relationships/image" Target="media/image81.png"/><Relationship Id="rId107" Type="http://schemas.openxmlformats.org/officeDocument/2006/relationships/image" Target="media/image82.png"/><Relationship Id="rId108" Type="http://schemas.openxmlformats.org/officeDocument/2006/relationships/image" Target="media/image83.png"/><Relationship Id="rId109" Type="http://schemas.openxmlformats.org/officeDocument/2006/relationships/image" Target="media/image84.png"/><Relationship Id="rId110" Type="http://schemas.openxmlformats.org/officeDocument/2006/relationships/image" Target="media/image85.png"/><Relationship Id="rId111" Type="http://schemas.openxmlformats.org/officeDocument/2006/relationships/image" Target="media/image86.png"/><Relationship Id="rId112" Type="http://schemas.openxmlformats.org/officeDocument/2006/relationships/image" Target="media/image87.png"/><Relationship Id="rId113" Type="http://schemas.openxmlformats.org/officeDocument/2006/relationships/image" Target="media/image88.png"/><Relationship Id="rId114" Type="http://schemas.openxmlformats.org/officeDocument/2006/relationships/image" Target="media/image89.png"/><Relationship Id="rId115" Type="http://schemas.openxmlformats.org/officeDocument/2006/relationships/image" Target="media/image90.png"/><Relationship Id="rId116" Type="http://schemas.openxmlformats.org/officeDocument/2006/relationships/image" Target="media/image91.png"/><Relationship Id="rId117" Type="http://schemas.openxmlformats.org/officeDocument/2006/relationships/image" Target="media/image92.png"/><Relationship Id="rId118" Type="http://schemas.openxmlformats.org/officeDocument/2006/relationships/image" Target="media/image93.png"/><Relationship Id="rId119"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png"/><Relationship Id="rId125"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34" Type="http://schemas.openxmlformats.org/officeDocument/2006/relationships/image" Target="media/image109.png"/><Relationship Id="rId135" Type="http://schemas.openxmlformats.org/officeDocument/2006/relationships/image" Target="media/image110.png"/><Relationship Id="rId136" Type="http://schemas.openxmlformats.org/officeDocument/2006/relationships/image" Target="media/image111.png"/><Relationship Id="rId137" Type="http://schemas.openxmlformats.org/officeDocument/2006/relationships/image" Target="media/image112.png"/><Relationship Id="rId138" Type="http://schemas.openxmlformats.org/officeDocument/2006/relationships/image" Target="media/image113.png"/><Relationship Id="rId139" Type="http://schemas.openxmlformats.org/officeDocument/2006/relationships/image" Target="media/image114.png"/><Relationship Id="rId140" Type="http://schemas.openxmlformats.org/officeDocument/2006/relationships/image" Target="media/image115.png"/><Relationship Id="rId141" Type="http://schemas.openxmlformats.org/officeDocument/2006/relationships/image" Target="media/image116.png"/><Relationship Id="rId142" Type="http://schemas.openxmlformats.org/officeDocument/2006/relationships/image" Target="media/image117.png"/><Relationship Id="rId143" Type="http://schemas.openxmlformats.org/officeDocument/2006/relationships/image" Target="media/image118.png"/><Relationship Id="rId144" Type="http://schemas.openxmlformats.org/officeDocument/2006/relationships/image" Target="media/image119.png"/><Relationship Id="rId145" Type="http://schemas.openxmlformats.org/officeDocument/2006/relationships/image" Target="media/image120.png"/><Relationship Id="rId146" Type="http://schemas.openxmlformats.org/officeDocument/2006/relationships/image" Target="media/image121.png"/><Relationship Id="rId147" Type="http://schemas.openxmlformats.org/officeDocument/2006/relationships/image" Target="media/image122.png"/><Relationship Id="rId148" Type="http://schemas.openxmlformats.org/officeDocument/2006/relationships/image" Target="media/image123.png"/><Relationship Id="rId149" Type="http://schemas.openxmlformats.org/officeDocument/2006/relationships/image" Target="media/image124.png"/><Relationship Id="rId150" Type="http://schemas.openxmlformats.org/officeDocument/2006/relationships/image" Target="media/image125.png"/><Relationship Id="rId151" Type="http://schemas.openxmlformats.org/officeDocument/2006/relationships/image" Target="media/image126.png"/><Relationship Id="rId152" Type="http://schemas.openxmlformats.org/officeDocument/2006/relationships/image" Target="media/image127.png"/><Relationship Id="rId153" Type="http://schemas.openxmlformats.org/officeDocument/2006/relationships/image" Target="media/image128.png"/><Relationship Id="rId154" Type="http://schemas.openxmlformats.org/officeDocument/2006/relationships/image" Target="media/image129.png"/><Relationship Id="rId155" Type="http://schemas.openxmlformats.org/officeDocument/2006/relationships/image" Target="media/image130.png"/><Relationship Id="rId156" Type="http://schemas.openxmlformats.org/officeDocument/2006/relationships/image" Target="media/image131.png"/><Relationship Id="rId157" Type="http://schemas.openxmlformats.org/officeDocument/2006/relationships/image" Target="media/image132.png"/><Relationship Id="rId158" Type="http://schemas.openxmlformats.org/officeDocument/2006/relationships/image" Target="media/image133.png"/><Relationship Id="rId159" Type="http://schemas.openxmlformats.org/officeDocument/2006/relationships/image" Target="media/image134.png"/><Relationship Id="rId160" Type="http://schemas.openxmlformats.org/officeDocument/2006/relationships/image" Target="media/image135.png"/><Relationship Id="rId161" Type="http://schemas.openxmlformats.org/officeDocument/2006/relationships/image" Target="media/image136.png"/><Relationship Id="rId162" Type="http://schemas.openxmlformats.org/officeDocument/2006/relationships/image" Target="media/image137.png"/><Relationship Id="rId163" Type="http://schemas.openxmlformats.org/officeDocument/2006/relationships/image" Target="media/image138.png"/><Relationship Id="rId164" Type="http://schemas.openxmlformats.org/officeDocument/2006/relationships/image" Target="media/image139.png"/><Relationship Id="rId165" Type="http://schemas.openxmlformats.org/officeDocument/2006/relationships/image" Target="media/image140.png"/><Relationship Id="rId166" Type="http://schemas.openxmlformats.org/officeDocument/2006/relationships/image" Target="media/image141.png"/><Relationship Id="rId167" Type="http://schemas.openxmlformats.org/officeDocument/2006/relationships/image" Target="media/image142.png"/><Relationship Id="rId168" Type="http://schemas.openxmlformats.org/officeDocument/2006/relationships/image" Target="media/image143.png"/><Relationship Id="rId169" Type="http://schemas.openxmlformats.org/officeDocument/2006/relationships/image" Target="media/image144.png"/><Relationship Id="rId170" Type="http://schemas.openxmlformats.org/officeDocument/2006/relationships/image" Target="media/image145.png"/><Relationship Id="rId171" Type="http://schemas.openxmlformats.org/officeDocument/2006/relationships/image" Target="media/image146.png"/><Relationship Id="rId172" Type="http://schemas.openxmlformats.org/officeDocument/2006/relationships/image" Target="media/image147.png"/><Relationship Id="rId173" Type="http://schemas.openxmlformats.org/officeDocument/2006/relationships/image" Target="media/image148.png"/><Relationship Id="rId174" Type="http://schemas.openxmlformats.org/officeDocument/2006/relationships/image" Target="media/image149.png"/><Relationship Id="rId175" Type="http://schemas.openxmlformats.org/officeDocument/2006/relationships/image" Target="media/image150.png"/><Relationship Id="rId176" Type="http://schemas.openxmlformats.org/officeDocument/2006/relationships/image" Target="media/image151.png"/><Relationship Id="rId177" Type="http://schemas.openxmlformats.org/officeDocument/2006/relationships/image" Target="media/image152.png"/><Relationship Id="rId178" Type="http://schemas.openxmlformats.org/officeDocument/2006/relationships/image" Target="media/image153.png"/><Relationship Id="rId179" Type="http://schemas.openxmlformats.org/officeDocument/2006/relationships/image" Target="media/image154.png"/><Relationship Id="rId180" Type="http://schemas.openxmlformats.org/officeDocument/2006/relationships/image" Target="media/image155.png"/><Relationship Id="rId181" Type="http://schemas.openxmlformats.org/officeDocument/2006/relationships/image" Target="media/image156.png"/><Relationship Id="rId182" Type="http://schemas.openxmlformats.org/officeDocument/2006/relationships/image" Target="media/image157.png"/><Relationship Id="rId183" Type="http://schemas.openxmlformats.org/officeDocument/2006/relationships/image" Target="media/image158.png"/><Relationship Id="rId184" Type="http://schemas.openxmlformats.org/officeDocument/2006/relationships/image" Target="media/image159.png"/><Relationship Id="rId185" Type="http://schemas.openxmlformats.org/officeDocument/2006/relationships/image" Target="media/image160.png"/><Relationship Id="rId186" Type="http://schemas.openxmlformats.org/officeDocument/2006/relationships/image" Target="media/image161.png"/><Relationship Id="rId187" Type="http://schemas.openxmlformats.org/officeDocument/2006/relationships/image" Target="media/image162.png"/><Relationship Id="rId188" Type="http://schemas.openxmlformats.org/officeDocument/2006/relationships/image" Target="media/image163.png"/><Relationship Id="rId189" Type="http://schemas.openxmlformats.org/officeDocument/2006/relationships/image" Target="media/image164.png"/><Relationship Id="rId190" Type="http://schemas.openxmlformats.org/officeDocument/2006/relationships/image" Target="media/image165.png"/><Relationship Id="rId191" Type="http://schemas.openxmlformats.org/officeDocument/2006/relationships/image" Target="media/image166.png"/><Relationship Id="rId192" Type="http://schemas.openxmlformats.org/officeDocument/2006/relationships/image" Target="media/image167.png"/><Relationship Id="rId193" Type="http://schemas.openxmlformats.org/officeDocument/2006/relationships/image" Target="media/image168.png"/><Relationship Id="rId194" Type="http://schemas.openxmlformats.org/officeDocument/2006/relationships/image" Target="media/image169.png"/><Relationship Id="rId195" Type="http://schemas.openxmlformats.org/officeDocument/2006/relationships/image" Target="media/image170.png"/><Relationship Id="rId196" Type="http://schemas.openxmlformats.org/officeDocument/2006/relationships/image" Target="media/image171.png"/><Relationship Id="rId197" Type="http://schemas.openxmlformats.org/officeDocument/2006/relationships/image" Target="media/image172.png"/><Relationship Id="rId198" Type="http://schemas.openxmlformats.org/officeDocument/2006/relationships/image" Target="media/image173.png"/><Relationship Id="rId199" Type="http://schemas.openxmlformats.org/officeDocument/2006/relationships/image" Target="media/image174.png"/><Relationship Id="rId200" Type="http://schemas.openxmlformats.org/officeDocument/2006/relationships/image" Target="media/image175.png"/><Relationship Id="rId201" Type="http://schemas.openxmlformats.org/officeDocument/2006/relationships/image" Target="media/image176.png"/><Relationship Id="rId202" Type="http://schemas.openxmlformats.org/officeDocument/2006/relationships/image" Target="media/image177.png"/><Relationship Id="rId203" Type="http://schemas.openxmlformats.org/officeDocument/2006/relationships/image" Target="media/image178.png"/><Relationship Id="rId204" Type="http://schemas.openxmlformats.org/officeDocument/2006/relationships/image" Target="media/image179.png"/><Relationship Id="rId205" Type="http://schemas.openxmlformats.org/officeDocument/2006/relationships/image" Target="media/image180.png"/><Relationship Id="rId206" Type="http://schemas.openxmlformats.org/officeDocument/2006/relationships/image" Target="media/image181.png"/><Relationship Id="rId207" Type="http://schemas.openxmlformats.org/officeDocument/2006/relationships/image" Target="media/image182.png"/><Relationship Id="rId208" Type="http://schemas.openxmlformats.org/officeDocument/2006/relationships/image" Target="media/image183.png"/><Relationship Id="rId209" Type="http://schemas.openxmlformats.org/officeDocument/2006/relationships/image" Target="media/image184.png"/><Relationship Id="rId210" Type="http://schemas.openxmlformats.org/officeDocument/2006/relationships/image" Target="media/image185.png"/><Relationship Id="rId211" Type="http://schemas.openxmlformats.org/officeDocument/2006/relationships/image" Target="media/image186.png"/><Relationship Id="rId212" Type="http://schemas.openxmlformats.org/officeDocument/2006/relationships/image" Target="media/image187.png"/><Relationship Id="rId213" Type="http://schemas.openxmlformats.org/officeDocument/2006/relationships/image" Target="media/image188.png"/><Relationship Id="rId214" Type="http://schemas.openxmlformats.org/officeDocument/2006/relationships/image" Target="media/image189.png"/><Relationship Id="rId215" Type="http://schemas.openxmlformats.org/officeDocument/2006/relationships/image" Target="media/image190.png"/><Relationship Id="rId216" Type="http://schemas.openxmlformats.org/officeDocument/2006/relationships/image" Target="media/image191.png"/><Relationship Id="rId58" Type="http://schemas.openxmlformats.org/officeDocument/2006/relationships/hyperlink" Target="http://www.sec.gov/Archives/edgar/data/1681087/000119312519085321/d677215d10k.htm" TargetMode="External"/><Relationship Id="rId59" Type="http://schemas.openxmlformats.org/officeDocument/2006/relationships/hyperlink" Target="http://www.sec.gov/Archives/edgar/data/1681087/000119312519120864/d677210ddef14a.htm" TargetMode="External"/><Relationship Id="rId60" Type="http://schemas.openxmlformats.org/officeDocument/2006/relationships/hyperlink" Target="http://www.sec.gov/Archives/edgar/data/1681087/000119312519145337/d704561d10q.htm" TargetMode="External"/><Relationship Id="rId61" Type="http://schemas.openxmlformats.org/officeDocument/2006/relationships/hyperlink" Target="http://www.sec.gov/Archives/edgar/data/1681087/000156459019030417/avro-10q_20190630.htm" TargetMode="External"/><Relationship Id="rId62" Type="http://schemas.openxmlformats.org/officeDocument/2006/relationships/hyperlink" Target="http://www.sec.gov/Archives/edgar/data/1681087/000156459019041704/avro-10q_20190930.htm" TargetMode="External"/><Relationship Id="rId63" Type="http://schemas.openxmlformats.org/officeDocument/2006/relationships/hyperlink" Target="http://www.sec.gov/Archives/edgar/data/1681087/000119312519003876/d667521d8k.htm" TargetMode="External"/><Relationship Id="rId64" Type="http://schemas.openxmlformats.org/officeDocument/2006/relationships/hyperlink" Target="http://www.sec.gov/Archives/edgar/data/1681087/000119312519007398/d666627d8ka.htm" TargetMode="External"/><Relationship Id="rId65" Type="http://schemas.openxmlformats.org/officeDocument/2006/relationships/hyperlink" Target="http://www.sec.gov/Archives/edgar/data/1681087/000119312519013423/d688889d8k.htm" TargetMode="External"/><Relationship Id="rId66" Type="http://schemas.openxmlformats.org/officeDocument/2006/relationships/hyperlink" Target="http://www.sec.gov/Archives/edgar/data/1681087/000119312519028978/d664592d8k.htm" TargetMode="External"/><Relationship Id="rId67" Type="http://schemas.openxmlformats.org/officeDocument/2006/relationships/hyperlink" Target="http://www.sec.gov/Archives/edgar/data/1681087/000119312519123672/d668056d8k.htm" TargetMode="External"/><Relationship Id="rId68" Type="http://schemas.openxmlformats.org/officeDocument/2006/relationships/hyperlink" Target="http://www.sec.gov/Archives/edgar/data/1681087/000119312519170745/d766114d8k.htm" TargetMode="External"/><Relationship Id="rId69" Type="http://schemas.openxmlformats.org/officeDocument/2006/relationships/hyperlink" Target="http://www.sec.gov/Archives/edgar/data/1681087/000119312519193574/d753129d8k.htm" TargetMode="External"/><Relationship Id="rId70" Type="http://schemas.openxmlformats.org/officeDocument/2006/relationships/hyperlink" Target="http://www.sec.gov/Archives/edgar/data/1681087/000119312519195748/d775231d8k.htm" TargetMode="External"/><Relationship Id="rId71" Type="http://schemas.openxmlformats.org/officeDocument/2006/relationships/hyperlink" Target="http://www.sec.gov/Archives/edgar/data/1681087/000119312518195637/d562006d8a12b.htm" TargetMode="External"/><Relationship Id="rId83" Type="http://schemas.openxmlformats.org/officeDocument/2006/relationships/hyperlink" Target="http://www.sec.gov/Archives/edgar/data/1681087/000119312518188630/d562006dex33.htm" TargetMode="External"/><Relationship Id="rId84" Type="http://schemas.openxmlformats.org/officeDocument/2006/relationships/hyperlink" Target="http://www.sec.gov/Archives/edgar/data/1681087/000119312518188630/d562006dex35.htm" TargetMode="External"/><Relationship Id="rId85" Type="http://schemas.openxmlformats.org/officeDocument/2006/relationships/hyperlink" Target="http://www.sec.gov/Archives/edgar/data/1681087/000119312518188630/d562006dex41.htm" TargetMode="External"/><Relationship Id="rId86" Type="http://schemas.openxmlformats.org/officeDocument/2006/relationships/hyperlink" Target="http://www.sec.gov/Archives/edgar/data/1681087/000119312518175024/d562006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2019-12-20T15:21:35Z</dcterms:created>
  <dcterms:modified xsi:type="dcterms:W3CDTF">2019-12-20T15:21:35Z</dcterms:modified>
</cp:coreProperties>
</file>