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SCHEDULE 13G</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Statement Pursuant to Rules 13d-1 and 13d-2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(Amendment No. </w:t>
      </w:r>
      <w:r>
        <w:rPr>
          <w:rFonts w:ascii="Arial" w:cs="Arial" w:eastAsia="Arial" w:hAnsi="Arial"/>
          <w:sz w:val="18"/>
          <w:szCs w:val="18"/>
          <w:b w:val="1"/>
          <w:bCs w:val="1"/>
          <w:u w:val="single" w:color="auto"/>
          <w:color w:val="auto"/>
        </w:rPr>
        <w:t>1</w:t>
      </w:r>
      <w:r>
        <w:rPr>
          <w:rFonts w:ascii="Arial" w:cs="Arial" w:eastAsia="Arial" w:hAnsi="Arial"/>
          <w:sz w:val="18"/>
          <w:szCs w:val="18"/>
          <w:b w:val="1"/>
          <w:bCs w:val="1"/>
          <w:color w:val="auto"/>
        </w:rPr>
        <w:t>)*</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$0.0001 per share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05455M100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10080" w:firstLine="8"/>
        <w:spacing w:after="0" w:line="291" w:lineRule="auto"/>
        <w:tabs>
          <w:tab w:leader="none" w:pos="3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 x Rule 13d-1(c)</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4780" w:type="dxa"/>
            <w:vAlign w:val="bottom"/>
            <w:tcBorders>
              <w:right w:val="single" w:sz="8" w:color="auto"/>
            </w:tcBorders>
          </w:tcPr>
          <w:p>
            <w:pPr>
              <w:ind w:left="2120"/>
              <w:spacing w:after="0"/>
              <w:rPr>
                <w:sz w:val="20"/>
                <w:szCs w:val="20"/>
                <w:color w:val="auto"/>
              </w:rPr>
            </w:pPr>
            <w:r>
              <w:rPr>
                <w:rFonts w:ascii="Arial" w:cs="Arial" w:eastAsia="Arial" w:hAnsi="Arial"/>
                <w:sz w:val="18"/>
                <w:szCs w:val="18"/>
                <w:b w:val="1"/>
                <w:bCs w:val="1"/>
                <w:color w:val="auto"/>
              </w:rPr>
              <w:t>13G/A</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2 of 10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63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7632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40" w:hanging="588"/>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Citadel Advisors LLC</w:t>
      </w:r>
    </w:p>
    <w:p>
      <w:pPr>
        <w:spacing w:after="0" w:line="243" w:lineRule="exact"/>
        <w:rPr>
          <w:sz w:val="20"/>
          <w:szCs w:val="20"/>
          <w:color w:val="auto"/>
        </w:rPr>
      </w:pPr>
    </w:p>
    <w:p>
      <w:pPr>
        <w:ind w:left="940" w:hanging="58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140"/>
        <w:spacing w:after="0" w:line="207" w:lineRule="exact"/>
        <w:tabs>
          <w:tab w:leader="none" w:pos="662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6140"/>
        <w:spacing w:after="0" w:line="207" w:lineRule="exact"/>
        <w:tabs>
          <w:tab w:leader="none" w:pos="66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940" w:hanging="588"/>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40" w:hanging="588"/>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728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8"/>
              </w:rPr>
              <w:t>NUMBER OF</w:t>
            </w:r>
          </w:p>
        </w:tc>
        <w:tc>
          <w:tcPr>
            <w:tcW w:w="7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2"/>
        </w:trPr>
        <w:tc>
          <w:tcPr>
            <w:tcW w:w="2340" w:type="dxa"/>
            <w:vAlign w:val="bottom"/>
          </w:tcPr>
          <w:p>
            <w:pPr>
              <w:jc w:val="center"/>
              <w:ind w:right="990"/>
              <w:spacing w:after="0" w:line="182" w:lineRule="exact"/>
              <w:rPr>
                <w:sz w:val="20"/>
                <w:szCs w:val="20"/>
                <w:color w:val="auto"/>
              </w:rPr>
            </w:pPr>
            <w:r>
              <w:rPr>
                <w:rFonts w:ascii="Arial" w:cs="Arial" w:eastAsia="Arial" w:hAnsi="Arial"/>
                <w:sz w:val="18"/>
                <w:szCs w:val="18"/>
                <w:color w:val="auto"/>
                <w:w w:val="94"/>
              </w:rPr>
              <w:t>SHARES</w:t>
            </w:r>
          </w:p>
        </w:tc>
        <w:tc>
          <w:tcPr>
            <w:tcW w:w="70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BENEFICIALLY</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728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OWNED BY</w:t>
            </w:r>
          </w:p>
        </w:tc>
        <w:tc>
          <w:tcPr>
            <w:tcW w:w="7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EACH</w:t>
            </w:r>
          </w:p>
        </w:tc>
        <w:tc>
          <w:tcPr>
            <w:tcW w:w="700" w:type="dxa"/>
            <w:vAlign w:val="bottom"/>
          </w:tcPr>
          <w:p>
            <w:pPr>
              <w:spacing w:after="0"/>
              <w:rPr>
                <w:sz w:val="18"/>
                <w:szCs w:val="18"/>
                <w:color w:val="auto"/>
              </w:rPr>
            </w:pPr>
          </w:p>
        </w:tc>
        <w:tc>
          <w:tcPr>
            <w:tcW w:w="7280" w:type="dxa"/>
            <w:vAlign w:val="bottom"/>
          </w:tcPr>
          <w:p>
            <w:pPr>
              <w:ind w:left="880"/>
              <w:spacing w:after="0"/>
              <w:rPr>
                <w:sz w:val="20"/>
                <w:szCs w:val="20"/>
                <w:color w:val="auto"/>
              </w:rPr>
            </w:pPr>
            <w:r>
              <w:rPr>
                <w:rFonts w:ascii="Arial" w:cs="Arial" w:eastAsia="Arial" w:hAnsi="Arial"/>
                <w:sz w:val="18"/>
                <w:szCs w:val="18"/>
                <w:b w:val="1"/>
                <w:bCs w:val="1"/>
                <w:color w:val="auto"/>
              </w:rPr>
              <w:t>1,357,783 shares</w:t>
            </w: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1"/>
              </w:rPr>
              <w:t>REPORTING</w:t>
            </w:r>
          </w:p>
        </w:tc>
        <w:tc>
          <w:tcPr>
            <w:tcW w:w="7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340" w:type="dxa"/>
            <w:vAlign w:val="bottom"/>
            <w:vMerge w:val="restart"/>
          </w:tcPr>
          <w:p>
            <w:pPr>
              <w:jc w:val="center"/>
              <w:ind w:right="990"/>
              <w:spacing w:after="0"/>
              <w:rPr>
                <w:sz w:val="20"/>
                <w:szCs w:val="20"/>
                <w:color w:val="auto"/>
              </w:rPr>
            </w:pPr>
            <w:r>
              <w:rPr>
                <w:rFonts w:ascii="Arial" w:cs="Arial" w:eastAsia="Arial" w:hAnsi="Arial"/>
                <w:sz w:val="18"/>
                <w:szCs w:val="18"/>
                <w:color w:val="auto"/>
                <w:w w:val="92"/>
              </w:rPr>
              <w:t>PERSON</w:t>
            </w:r>
          </w:p>
        </w:tc>
        <w:tc>
          <w:tcPr>
            <w:tcW w:w="70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WITH</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728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80" w:type="dxa"/>
            <w:vAlign w:val="bottom"/>
          </w:tcPr>
          <w:p>
            <w:pPr>
              <w:ind w:left="8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360" w:hanging="584"/>
        <w:spacing w:after="0"/>
        <w:tabs>
          <w:tab w:leader="none" w:pos="43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24" w:lineRule="exact"/>
        <w:rPr>
          <w:rFonts w:ascii="Arial" w:cs="Arial" w:eastAsia="Arial" w:hAnsi="Arial"/>
          <w:sz w:val="18"/>
          <w:szCs w:val="18"/>
          <w:color w:val="auto"/>
        </w:rPr>
      </w:pPr>
    </w:p>
    <w:p>
      <w:pPr>
        <w:ind w:left="1040" w:hanging="64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283"/>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10.</w:t>
            </w:r>
          </w:p>
        </w:tc>
        <w:tc>
          <w:tcPr>
            <w:tcW w:w="7580" w:type="dxa"/>
            <w:vAlign w:val="bottom"/>
          </w:tcPr>
          <w:p>
            <w:pPr>
              <w:ind w:left="220"/>
              <w:spacing w:after="0"/>
              <w:rPr>
                <w:sz w:val="20"/>
                <w:szCs w:val="20"/>
                <w:color w:val="auto"/>
              </w:rPr>
            </w:pPr>
            <w:r>
              <w:rPr>
                <w:rFonts w:ascii="Arial" w:cs="Arial" w:eastAsia="Arial" w:hAnsi="Arial"/>
                <w:sz w:val="18"/>
                <w:szCs w:val="18"/>
                <w:color w:val="auto"/>
                <w:w w:val="99"/>
              </w:rPr>
              <w:t>CHECK BOX IF THE AGGREGATE AMOUNT IN ROW (9) EXCLUDES CERTAIN SHARES</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ind w:left="1700" w:right="5320" w:hanging="1342"/>
        <w:spacing w:after="0" w:line="399" w:lineRule="auto"/>
        <w:tabs>
          <w:tab w:leader="none" w:pos="1052"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5.7%</w:t>
      </w:r>
      <w:r>
        <w:rPr>
          <w:rFonts w:ascii="Arial" w:cs="Arial" w:eastAsia="Arial" w:hAnsi="Arial"/>
          <w:sz w:val="30"/>
          <w:szCs w:val="30"/>
          <w:u w:val="single" w:color="auto"/>
          <w:color w:val="auto"/>
          <w:vertAlign w:val="superscript"/>
        </w:rPr>
        <w:t>1</w:t>
      </w:r>
    </w:p>
    <w:p>
      <w:pPr>
        <w:ind w:left="1040" w:hanging="685"/>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IA; 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8097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1" w:lineRule="exact"/>
        <w:rPr>
          <w:sz w:val="20"/>
          <w:szCs w:val="20"/>
          <w:color w:val="auto"/>
        </w:rPr>
      </w:pPr>
    </w:p>
    <w:p>
      <w:pPr>
        <w:ind w:left="660" w:right="780" w:hanging="652"/>
        <w:spacing w:after="0" w:line="207" w:lineRule="auto"/>
        <w:tabs>
          <w:tab w:leader="none" w:pos="660" w:val="left"/>
        </w:tabs>
        <w:numPr>
          <w:ilvl w:val="0"/>
          <w:numId w:val="8"/>
        </w:numPr>
        <w:rPr>
          <w:rFonts w:ascii="Arial" w:cs="Arial" w:eastAsia="Arial" w:hAnsi="Arial"/>
          <w:sz w:val="28"/>
          <w:szCs w:val="28"/>
          <w:u w:val="single" w:color="auto"/>
          <w:color w:val="auto"/>
          <w:vertAlign w:val="superscript"/>
        </w:rPr>
      </w:pPr>
      <w:r>
        <w:rPr>
          <w:rFonts w:ascii="Arial" w:cs="Arial" w:eastAsia="Arial" w:hAnsi="Arial"/>
          <w:sz w:val="17"/>
          <w:szCs w:val="17"/>
          <w:color w:val="auto"/>
        </w:rPr>
        <w:t>The percentages reported in this Schedule 13G/A are based upon 23,955,870 shares of common stock outstanding as of November 8, 2018 (according to the Form 10-Q filed by the issuer with the Securities and Exchange Commission on November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4780" w:type="dxa"/>
            <w:vAlign w:val="bottom"/>
            <w:tcBorders>
              <w:right w:val="single" w:sz="8" w:color="auto"/>
            </w:tcBorders>
          </w:tcPr>
          <w:p>
            <w:pPr>
              <w:ind w:left="2120"/>
              <w:spacing w:after="0"/>
              <w:rPr>
                <w:sz w:val="20"/>
                <w:szCs w:val="20"/>
                <w:color w:val="auto"/>
              </w:rPr>
            </w:pPr>
            <w:r>
              <w:rPr>
                <w:rFonts w:ascii="Arial" w:cs="Arial" w:eastAsia="Arial" w:hAnsi="Arial"/>
                <w:sz w:val="18"/>
                <w:szCs w:val="18"/>
                <w:b w:val="1"/>
                <w:bCs w:val="1"/>
                <w:color w:val="auto"/>
              </w:rPr>
              <w:t>13G/A</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3 of 10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37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40" w:hanging="588"/>
        <w:spacing w:after="0"/>
        <w:tabs>
          <w:tab w:leader="none" w:pos="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Citadel Advisors Holdings LP</w:t>
      </w:r>
    </w:p>
    <w:p>
      <w:pPr>
        <w:spacing w:after="0" w:line="243" w:lineRule="exact"/>
        <w:rPr>
          <w:sz w:val="20"/>
          <w:szCs w:val="20"/>
          <w:color w:val="auto"/>
        </w:rPr>
      </w:pPr>
    </w:p>
    <w:p>
      <w:pPr>
        <w:ind w:left="940" w:hanging="588"/>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140"/>
        <w:spacing w:after="0" w:line="207" w:lineRule="exact"/>
        <w:tabs>
          <w:tab w:leader="none" w:pos="662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6140"/>
        <w:spacing w:after="0" w:line="207" w:lineRule="exact"/>
        <w:tabs>
          <w:tab w:leader="none" w:pos="66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940" w:hanging="588"/>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40" w:hanging="588"/>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728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8"/>
              </w:rPr>
              <w:t>NUMBER OF</w:t>
            </w:r>
          </w:p>
        </w:tc>
        <w:tc>
          <w:tcPr>
            <w:tcW w:w="7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2"/>
        </w:trPr>
        <w:tc>
          <w:tcPr>
            <w:tcW w:w="2340" w:type="dxa"/>
            <w:vAlign w:val="bottom"/>
          </w:tcPr>
          <w:p>
            <w:pPr>
              <w:jc w:val="center"/>
              <w:ind w:right="990"/>
              <w:spacing w:after="0" w:line="182" w:lineRule="exact"/>
              <w:rPr>
                <w:sz w:val="20"/>
                <w:szCs w:val="20"/>
                <w:color w:val="auto"/>
              </w:rPr>
            </w:pPr>
            <w:r>
              <w:rPr>
                <w:rFonts w:ascii="Arial" w:cs="Arial" w:eastAsia="Arial" w:hAnsi="Arial"/>
                <w:sz w:val="18"/>
                <w:szCs w:val="18"/>
                <w:color w:val="auto"/>
                <w:w w:val="94"/>
              </w:rPr>
              <w:t>SHARES</w:t>
            </w:r>
          </w:p>
        </w:tc>
        <w:tc>
          <w:tcPr>
            <w:tcW w:w="70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BENEFICIALLY</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728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OWNED BY</w:t>
            </w:r>
          </w:p>
        </w:tc>
        <w:tc>
          <w:tcPr>
            <w:tcW w:w="7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EACH</w:t>
            </w:r>
          </w:p>
        </w:tc>
        <w:tc>
          <w:tcPr>
            <w:tcW w:w="700" w:type="dxa"/>
            <w:vAlign w:val="bottom"/>
          </w:tcPr>
          <w:p>
            <w:pPr>
              <w:spacing w:after="0"/>
              <w:rPr>
                <w:sz w:val="18"/>
                <w:szCs w:val="18"/>
                <w:color w:val="auto"/>
              </w:rPr>
            </w:pPr>
          </w:p>
        </w:tc>
        <w:tc>
          <w:tcPr>
            <w:tcW w:w="7280" w:type="dxa"/>
            <w:vAlign w:val="bottom"/>
          </w:tcPr>
          <w:p>
            <w:pPr>
              <w:ind w:left="880"/>
              <w:spacing w:after="0"/>
              <w:rPr>
                <w:sz w:val="20"/>
                <w:szCs w:val="20"/>
                <w:color w:val="auto"/>
              </w:rPr>
            </w:pPr>
            <w:r>
              <w:rPr>
                <w:rFonts w:ascii="Arial" w:cs="Arial" w:eastAsia="Arial" w:hAnsi="Arial"/>
                <w:sz w:val="18"/>
                <w:szCs w:val="18"/>
                <w:b w:val="1"/>
                <w:bCs w:val="1"/>
                <w:color w:val="auto"/>
              </w:rPr>
              <w:t>1,357,783 shares</w:t>
            </w: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1"/>
              </w:rPr>
              <w:t>REPORTING</w:t>
            </w:r>
          </w:p>
        </w:tc>
        <w:tc>
          <w:tcPr>
            <w:tcW w:w="7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340" w:type="dxa"/>
            <w:vAlign w:val="bottom"/>
            <w:vMerge w:val="restart"/>
          </w:tcPr>
          <w:p>
            <w:pPr>
              <w:jc w:val="center"/>
              <w:ind w:right="990"/>
              <w:spacing w:after="0"/>
              <w:rPr>
                <w:sz w:val="20"/>
                <w:szCs w:val="20"/>
                <w:color w:val="auto"/>
              </w:rPr>
            </w:pPr>
            <w:r>
              <w:rPr>
                <w:rFonts w:ascii="Arial" w:cs="Arial" w:eastAsia="Arial" w:hAnsi="Arial"/>
                <w:sz w:val="18"/>
                <w:szCs w:val="18"/>
                <w:color w:val="auto"/>
                <w:w w:val="92"/>
              </w:rPr>
              <w:t>PERSON</w:t>
            </w:r>
          </w:p>
        </w:tc>
        <w:tc>
          <w:tcPr>
            <w:tcW w:w="70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WITH</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728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80" w:type="dxa"/>
            <w:vAlign w:val="bottom"/>
          </w:tcPr>
          <w:p>
            <w:pPr>
              <w:ind w:left="8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360" w:hanging="584"/>
        <w:spacing w:after="0"/>
        <w:tabs>
          <w:tab w:leader="none" w:pos="43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24" w:lineRule="exact"/>
        <w:rPr>
          <w:rFonts w:ascii="Arial" w:cs="Arial" w:eastAsia="Arial" w:hAnsi="Arial"/>
          <w:sz w:val="18"/>
          <w:szCs w:val="18"/>
          <w:color w:val="auto"/>
        </w:rPr>
      </w:pPr>
    </w:p>
    <w:p>
      <w:pPr>
        <w:ind w:left="1040" w:hanging="640"/>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283"/>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10.</w:t>
            </w:r>
          </w:p>
        </w:tc>
        <w:tc>
          <w:tcPr>
            <w:tcW w:w="7580" w:type="dxa"/>
            <w:vAlign w:val="bottom"/>
          </w:tcPr>
          <w:p>
            <w:pPr>
              <w:ind w:left="220"/>
              <w:spacing w:after="0"/>
              <w:rPr>
                <w:sz w:val="20"/>
                <w:szCs w:val="20"/>
                <w:color w:val="auto"/>
              </w:rPr>
            </w:pPr>
            <w:r>
              <w:rPr>
                <w:rFonts w:ascii="Arial" w:cs="Arial" w:eastAsia="Arial" w:hAnsi="Arial"/>
                <w:sz w:val="18"/>
                <w:szCs w:val="18"/>
                <w:color w:val="auto"/>
                <w:w w:val="99"/>
              </w:rPr>
              <w:t>CHECK BOX IF THE AGGREGATE AMOUNT IN ROW (9) EXCLUDES CERTAIN SHARES</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ind w:left="1040" w:hanging="682"/>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5.7%</w:t>
      </w:r>
    </w:p>
    <w:p>
      <w:pPr>
        <w:spacing w:after="0" w:line="242" w:lineRule="exact"/>
        <w:rPr>
          <w:rFonts w:ascii="Arial" w:cs="Arial" w:eastAsia="Arial" w:hAnsi="Arial"/>
          <w:sz w:val="18"/>
          <w:szCs w:val="18"/>
          <w:color w:val="auto"/>
        </w:rPr>
      </w:pPr>
    </w:p>
    <w:p>
      <w:pPr>
        <w:ind w:left="1040" w:hanging="68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4780" w:type="dxa"/>
            <w:vAlign w:val="bottom"/>
            <w:tcBorders>
              <w:right w:val="single" w:sz="8" w:color="auto"/>
            </w:tcBorders>
          </w:tcPr>
          <w:p>
            <w:pPr>
              <w:ind w:left="2120"/>
              <w:spacing w:after="0"/>
              <w:rPr>
                <w:sz w:val="20"/>
                <w:szCs w:val="20"/>
                <w:color w:val="auto"/>
              </w:rPr>
            </w:pPr>
            <w:r>
              <w:rPr>
                <w:rFonts w:ascii="Arial" w:cs="Arial" w:eastAsia="Arial" w:hAnsi="Arial"/>
                <w:sz w:val="18"/>
                <w:szCs w:val="18"/>
                <w:b w:val="1"/>
                <w:bCs w:val="1"/>
                <w:color w:val="auto"/>
              </w:rPr>
              <w:t>13G/A</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4 of 10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37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40" w:hanging="588"/>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Citadel GP LLC</w:t>
      </w:r>
    </w:p>
    <w:p>
      <w:pPr>
        <w:spacing w:after="0" w:line="243" w:lineRule="exact"/>
        <w:rPr>
          <w:sz w:val="20"/>
          <w:szCs w:val="20"/>
          <w:color w:val="auto"/>
        </w:rPr>
      </w:pPr>
    </w:p>
    <w:p>
      <w:pPr>
        <w:ind w:left="940" w:hanging="588"/>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140"/>
        <w:spacing w:after="0" w:line="207" w:lineRule="exact"/>
        <w:tabs>
          <w:tab w:leader="none" w:pos="662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6140"/>
        <w:spacing w:after="0" w:line="207" w:lineRule="exact"/>
        <w:tabs>
          <w:tab w:leader="none" w:pos="66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940" w:hanging="588"/>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40" w:hanging="588"/>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728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8"/>
              </w:rPr>
              <w:t>NUMBER OF</w:t>
            </w:r>
          </w:p>
        </w:tc>
        <w:tc>
          <w:tcPr>
            <w:tcW w:w="7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2"/>
        </w:trPr>
        <w:tc>
          <w:tcPr>
            <w:tcW w:w="2340" w:type="dxa"/>
            <w:vAlign w:val="bottom"/>
          </w:tcPr>
          <w:p>
            <w:pPr>
              <w:jc w:val="center"/>
              <w:ind w:right="990"/>
              <w:spacing w:after="0" w:line="182" w:lineRule="exact"/>
              <w:rPr>
                <w:sz w:val="20"/>
                <w:szCs w:val="20"/>
                <w:color w:val="auto"/>
              </w:rPr>
            </w:pPr>
            <w:r>
              <w:rPr>
                <w:rFonts w:ascii="Arial" w:cs="Arial" w:eastAsia="Arial" w:hAnsi="Arial"/>
                <w:sz w:val="18"/>
                <w:szCs w:val="18"/>
                <w:color w:val="auto"/>
                <w:w w:val="94"/>
              </w:rPr>
              <w:t>SHARES</w:t>
            </w:r>
          </w:p>
        </w:tc>
        <w:tc>
          <w:tcPr>
            <w:tcW w:w="70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BENEFICIALLY</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728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OWNED BY</w:t>
            </w:r>
          </w:p>
        </w:tc>
        <w:tc>
          <w:tcPr>
            <w:tcW w:w="7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EACH</w:t>
            </w:r>
          </w:p>
        </w:tc>
        <w:tc>
          <w:tcPr>
            <w:tcW w:w="700" w:type="dxa"/>
            <w:vAlign w:val="bottom"/>
          </w:tcPr>
          <w:p>
            <w:pPr>
              <w:spacing w:after="0"/>
              <w:rPr>
                <w:sz w:val="18"/>
                <w:szCs w:val="18"/>
                <w:color w:val="auto"/>
              </w:rPr>
            </w:pPr>
          </w:p>
        </w:tc>
        <w:tc>
          <w:tcPr>
            <w:tcW w:w="7280" w:type="dxa"/>
            <w:vAlign w:val="bottom"/>
          </w:tcPr>
          <w:p>
            <w:pPr>
              <w:ind w:left="880"/>
              <w:spacing w:after="0"/>
              <w:rPr>
                <w:sz w:val="20"/>
                <w:szCs w:val="20"/>
                <w:color w:val="auto"/>
              </w:rPr>
            </w:pPr>
            <w:r>
              <w:rPr>
                <w:rFonts w:ascii="Arial" w:cs="Arial" w:eastAsia="Arial" w:hAnsi="Arial"/>
                <w:sz w:val="18"/>
                <w:szCs w:val="18"/>
                <w:b w:val="1"/>
                <w:bCs w:val="1"/>
                <w:color w:val="auto"/>
              </w:rPr>
              <w:t>1,357,783 shares</w:t>
            </w: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1"/>
              </w:rPr>
              <w:t>REPORTING</w:t>
            </w:r>
          </w:p>
        </w:tc>
        <w:tc>
          <w:tcPr>
            <w:tcW w:w="7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340" w:type="dxa"/>
            <w:vAlign w:val="bottom"/>
            <w:vMerge w:val="restart"/>
          </w:tcPr>
          <w:p>
            <w:pPr>
              <w:jc w:val="center"/>
              <w:ind w:right="990"/>
              <w:spacing w:after="0"/>
              <w:rPr>
                <w:sz w:val="20"/>
                <w:szCs w:val="20"/>
                <w:color w:val="auto"/>
              </w:rPr>
            </w:pPr>
            <w:r>
              <w:rPr>
                <w:rFonts w:ascii="Arial" w:cs="Arial" w:eastAsia="Arial" w:hAnsi="Arial"/>
                <w:sz w:val="18"/>
                <w:szCs w:val="18"/>
                <w:color w:val="auto"/>
                <w:w w:val="92"/>
              </w:rPr>
              <w:t>PERSON</w:t>
            </w:r>
          </w:p>
        </w:tc>
        <w:tc>
          <w:tcPr>
            <w:tcW w:w="70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WITH</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728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80" w:type="dxa"/>
            <w:vAlign w:val="bottom"/>
          </w:tcPr>
          <w:p>
            <w:pPr>
              <w:ind w:left="8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360" w:hanging="584"/>
        <w:spacing w:after="0"/>
        <w:tabs>
          <w:tab w:leader="none" w:pos="43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24" w:lineRule="exact"/>
        <w:rPr>
          <w:rFonts w:ascii="Arial" w:cs="Arial" w:eastAsia="Arial" w:hAnsi="Arial"/>
          <w:sz w:val="18"/>
          <w:szCs w:val="18"/>
          <w:color w:val="auto"/>
        </w:rPr>
      </w:pPr>
    </w:p>
    <w:p>
      <w:pPr>
        <w:ind w:left="1040" w:hanging="640"/>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283"/>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10.</w:t>
            </w:r>
          </w:p>
        </w:tc>
        <w:tc>
          <w:tcPr>
            <w:tcW w:w="7560" w:type="dxa"/>
            <w:vAlign w:val="bottom"/>
          </w:tcPr>
          <w:p>
            <w:pPr>
              <w:ind w:left="220"/>
              <w:spacing w:after="0"/>
              <w:rPr>
                <w:sz w:val="20"/>
                <w:szCs w:val="20"/>
                <w:color w:val="auto"/>
              </w:rPr>
            </w:pPr>
            <w:r>
              <w:rPr>
                <w:rFonts w:ascii="Arial" w:cs="Arial" w:eastAsia="Arial" w:hAnsi="Arial"/>
                <w:sz w:val="18"/>
                <w:szCs w:val="18"/>
                <w:color w:val="auto"/>
                <w:w w:val="99"/>
              </w:rPr>
              <w:t>CHECK BOX IF THE AGGREGATE AMOUNT IN ROW (9) EXCLUDES CERTAIN SHARES</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ind w:left="1040" w:hanging="682"/>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5.7%</w:t>
      </w:r>
    </w:p>
    <w:p>
      <w:pPr>
        <w:spacing w:after="0" w:line="242" w:lineRule="exact"/>
        <w:rPr>
          <w:rFonts w:ascii="Arial" w:cs="Arial" w:eastAsia="Arial" w:hAnsi="Arial"/>
          <w:sz w:val="18"/>
          <w:szCs w:val="18"/>
          <w:color w:val="auto"/>
        </w:rPr>
      </w:pPr>
    </w:p>
    <w:p>
      <w:pPr>
        <w:ind w:left="1040" w:hanging="68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4780" w:type="dxa"/>
            <w:vAlign w:val="bottom"/>
            <w:tcBorders>
              <w:right w:val="single" w:sz="8" w:color="auto"/>
            </w:tcBorders>
          </w:tcPr>
          <w:p>
            <w:pPr>
              <w:ind w:left="2120"/>
              <w:spacing w:after="0"/>
              <w:rPr>
                <w:sz w:val="20"/>
                <w:szCs w:val="20"/>
                <w:color w:val="auto"/>
              </w:rPr>
            </w:pPr>
            <w:r>
              <w:rPr>
                <w:rFonts w:ascii="Arial" w:cs="Arial" w:eastAsia="Arial" w:hAnsi="Arial"/>
                <w:sz w:val="18"/>
                <w:szCs w:val="18"/>
                <w:b w:val="1"/>
                <w:bCs w:val="1"/>
                <w:color w:val="auto"/>
              </w:rPr>
              <w:t>13G/A</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5 of 10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5737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40" w:hanging="588"/>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Kenneth Griffin</w:t>
      </w:r>
    </w:p>
    <w:p>
      <w:pPr>
        <w:spacing w:after="0" w:line="243" w:lineRule="exact"/>
        <w:rPr>
          <w:sz w:val="20"/>
          <w:szCs w:val="20"/>
          <w:color w:val="auto"/>
        </w:rPr>
      </w:pPr>
    </w:p>
    <w:p>
      <w:pPr>
        <w:ind w:left="940" w:hanging="588"/>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140"/>
        <w:spacing w:after="0" w:line="207" w:lineRule="exact"/>
        <w:tabs>
          <w:tab w:leader="none" w:pos="662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6140"/>
        <w:spacing w:after="0" w:line="207" w:lineRule="exact"/>
        <w:tabs>
          <w:tab w:leader="none" w:pos="66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940" w:hanging="588"/>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40" w:hanging="588"/>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b w:val="1"/>
          <w:bCs w:val="1"/>
          <w:color w:val="auto"/>
        </w:rPr>
        <w:t>U.S. Citizen</w:t>
      </w:r>
    </w:p>
    <w:p>
      <w:pPr>
        <w:spacing w:after="0" w:line="224" w:lineRule="exact"/>
        <w:rPr>
          <w:sz w:val="20"/>
          <w:szCs w:val="20"/>
          <w:color w:val="auto"/>
        </w:rPr>
      </w:pPr>
    </w:p>
    <w:tbl>
      <w:tblPr>
        <w:tblLayout w:type="fixed"/>
        <w:tblInd w:w="1100" w:type="dxa"/>
        <w:tblCellMar>
          <w:top w:w="0" w:type="dxa"/>
          <w:left w:w="0" w:type="dxa"/>
          <w:bottom w:w="0" w:type="dxa"/>
          <w:right w:w="0" w:type="dxa"/>
        </w:tblCellMar>
      </w:tblPr>
      <w:tr>
        <w:trPr>
          <w:trHeight w:val="212"/>
        </w:trPr>
        <w:tc>
          <w:tcPr>
            <w:tcW w:w="2340" w:type="dxa"/>
            <w:vAlign w:val="bottom"/>
          </w:tcPr>
          <w:p>
            <w:pPr>
              <w:spacing w:after="0"/>
              <w:rPr>
                <w:sz w:val="18"/>
                <w:szCs w:val="18"/>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728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4"/>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8"/>
              </w:rPr>
              <w:t>NUMBER OF</w:t>
            </w:r>
          </w:p>
        </w:tc>
        <w:tc>
          <w:tcPr>
            <w:tcW w:w="70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2"/>
        </w:trPr>
        <w:tc>
          <w:tcPr>
            <w:tcW w:w="2340" w:type="dxa"/>
            <w:vAlign w:val="bottom"/>
          </w:tcPr>
          <w:p>
            <w:pPr>
              <w:jc w:val="center"/>
              <w:ind w:right="990"/>
              <w:spacing w:after="0" w:line="182" w:lineRule="exact"/>
              <w:rPr>
                <w:sz w:val="20"/>
                <w:szCs w:val="20"/>
                <w:color w:val="auto"/>
              </w:rPr>
            </w:pPr>
            <w:r>
              <w:rPr>
                <w:rFonts w:ascii="Arial" w:cs="Arial" w:eastAsia="Arial" w:hAnsi="Arial"/>
                <w:sz w:val="18"/>
                <w:szCs w:val="18"/>
                <w:color w:val="auto"/>
                <w:w w:val="94"/>
              </w:rPr>
              <w:t>SHARES</w:t>
            </w:r>
          </w:p>
        </w:tc>
        <w:tc>
          <w:tcPr>
            <w:tcW w:w="70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BENEFICIALLY</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728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OWNED BY</w:t>
            </w:r>
          </w:p>
        </w:tc>
        <w:tc>
          <w:tcPr>
            <w:tcW w:w="7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EACH</w:t>
            </w:r>
          </w:p>
        </w:tc>
        <w:tc>
          <w:tcPr>
            <w:tcW w:w="700" w:type="dxa"/>
            <w:vAlign w:val="bottom"/>
          </w:tcPr>
          <w:p>
            <w:pPr>
              <w:spacing w:after="0"/>
              <w:rPr>
                <w:sz w:val="18"/>
                <w:szCs w:val="18"/>
                <w:color w:val="auto"/>
              </w:rPr>
            </w:pPr>
          </w:p>
        </w:tc>
        <w:tc>
          <w:tcPr>
            <w:tcW w:w="7280" w:type="dxa"/>
            <w:vAlign w:val="bottom"/>
          </w:tcPr>
          <w:p>
            <w:pPr>
              <w:ind w:left="880"/>
              <w:spacing w:after="0"/>
              <w:rPr>
                <w:sz w:val="20"/>
                <w:szCs w:val="20"/>
                <w:color w:val="auto"/>
              </w:rPr>
            </w:pPr>
            <w:r>
              <w:rPr>
                <w:rFonts w:ascii="Arial" w:cs="Arial" w:eastAsia="Arial" w:hAnsi="Arial"/>
                <w:sz w:val="18"/>
                <w:szCs w:val="18"/>
                <w:b w:val="1"/>
                <w:bCs w:val="1"/>
                <w:color w:val="auto"/>
              </w:rPr>
              <w:t>1,362,655 shares</w:t>
            </w:r>
          </w:p>
        </w:tc>
        <w:tc>
          <w:tcPr>
            <w:tcW w:w="0" w:type="dxa"/>
            <w:vAlign w:val="bottom"/>
          </w:tcPr>
          <w:p>
            <w:pPr>
              <w:spacing w:after="0"/>
              <w:rPr>
                <w:sz w:val="1"/>
                <w:szCs w:val="1"/>
                <w:color w:val="auto"/>
              </w:rPr>
            </w:pPr>
          </w:p>
        </w:tc>
      </w:tr>
      <w:tr>
        <w:trPr>
          <w:trHeight w:val="216"/>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1"/>
              </w:rPr>
              <w:t>REPORTING</w:t>
            </w:r>
          </w:p>
        </w:tc>
        <w:tc>
          <w:tcPr>
            <w:tcW w:w="7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340" w:type="dxa"/>
            <w:vAlign w:val="bottom"/>
            <w:vMerge w:val="restart"/>
          </w:tcPr>
          <w:p>
            <w:pPr>
              <w:jc w:val="center"/>
              <w:ind w:right="990"/>
              <w:spacing w:after="0"/>
              <w:rPr>
                <w:sz w:val="20"/>
                <w:szCs w:val="20"/>
                <w:color w:val="auto"/>
              </w:rPr>
            </w:pPr>
            <w:r>
              <w:rPr>
                <w:rFonts w:ascii="Arial" w:cs="Arial" w:eastAsia="Arial" w:hAnsi="Arial"/>
                <w:sz w:val="18"/>
                <w:szCs w:val="18"/>
                <w:color w:val="auto"/>
                <w:w w:val="92"/>
              </w:rPr>
              <w:t>PERSON</w:t>
            </w:r>
          </w:p>
        </w:tc>
        <w:tc>
          <w:tcPr>
            <w:tcW w:w="70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3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40" w:type="dxa"/>
            <w:vAlign w:val="bottom"/>
          </w:tcPr>
          <w:p>
            <w:pPr>
              <w:jc w:val="center"/>
              <w:ind w:right="990"/>
              <w:spacing w:after="0"/>
              <w:rPr>
                <w:sz w:val="20"/>
                <w:szCs w:val="20"/>
                <w:color w:val="auto"/>
              </w:rPr>
            </w:pPr>
            <w:r>
              <w:rPr>
                <w:rFonts w:ascii="Arial" w:cs="Arial" w:eastAsia="Arial" w:hAnsi="Arial"/>
                <w:sz w:val="18"/>
                <w:szCs w:val="18"/>
                <w:color w:val="auto"/>
                <w:w w:val="99"/>
              </w:rPr>
              <w:t>WITH</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728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80" w:type="dxa"/>
            <w:vAlign w:val="bottom"/>
          </w:tcPr>
          <w:p>
            <w:pPr>
              <w:ind w:left="8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360" w:hanging="584"/>
        <w:spacing w:after="0"/>
        <w:tabs>
          <w:tab w:leader="none" w:pos="43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224" w:lineRule="exact"/>
        <w:rPr>
          <w:rFonts w:ascii="Arial" w:cs="Arial" w:eastAsia="Arial" w:hAnsi="Arial"/>
          <w:sz w:val="18"/>
          <w:szCs w:val="18"/>
          <w:color w:val="auto"/>
        </w:rPr>
      </w:pPr>
    </w:p>
    <w:p>
      <w:pPr>
        <w:ind w:left="1040" w:hanging="640"/>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283"/>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10.</w:t>
            </w:r>
          </w:p>
        </w:tc>
        <w:tc>
          <w:tcPr>
            <w:tcW w:w="7560" w:type="dxa"/>
            <w:vAlign w:val="bottom"/>
          </w:tcPr>
          <w:p>
            <w:pPr>
              <w:ind w:left="220"/>
              <w:spacing w:after="0"/>
              <w:rPr>
                <w:sz w:val="20"/>
                <w:szCs w:val="20"/>
                <w:color w:val="auto"/>
              </w:rPr>
            </w:pPr>
            <w:r>
              <w:rPr>
                <w:rFonts w:ascii="Arial" w:cs="Arial" w:eastAsia="Arial" w:hAnsi="Arial"/>
                <w:sz w:val="18"/>
                <w:szCs w:val="18"/>
                <w:color w:val="auto"/>
                <w:w w:val="99"/>
              </w:rPr>
              <w:t>CHECK BOX IF THE AGGREGATE AMOUNT IN ROW (9) EXCLUDES CERTAIN SHARES</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ind w:left="1040" w:hanging="68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b w:val="1"/>
          <w:bCs w:val="1"/>
          <w:color w:val="auto"/>
        </w:rPr>
        <w:t>5.7%</w:t>
      </w:r>
    </w:p>
    <w:p>
      <w:pPr>
        <w:spacing w:after="0" w:line="242" w:lineRule="exact"/>
        <w:rPr>
          <w:rFonts w:ascii="Arial" w:cs="Arial" w:eastAsia="Arial" w:hAnsi="Arial"/>
          <w:sz w:val="18"/>
          <w:szCs w:val="18"/>
          <w:color w:val="auto"/>
        </w:rPr>
      </w:pPr>
    </w:p>
    <w:p>
      <w:pPr>
        <w:ind w:left="1040" w:hanging="68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4780" w:type="dxa"/>
            <w:vAlign w:val="bottom"/>
            <w:tcBorders>
              <w:right w:val="single" w:sz="8" w:color="auto"/>
            </w:tcBorders>
          </w:tcPr>
          <w:p>
            <w:pPr>
              <w:ind w:left="2120"/>
              <w:spacing w:after="0"/>
              <w:rPr>
                <w:sz w:val="20"/>
                <w:szCs w:val="20"/>
                <w:color w:val="auto"/>
              </w:rPr>
            </w:pPr>
            <w:r>
              <w:rPr>
                <w:rFonts w:ascii="Arial" w:cs="Arial" w:eastAsia="Arial" w:hAnsi="Arial"/>
                <w:sz w:val="18"/>
                <w:szCs w:val="18"/>
                <w:b w:val="1"/>
                <w:bCs w:val="1"/>
                <w:color w:val="auto"/>
              </w:rPr>
              <w:t>13G/A</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6 of 10 Pages</w:t>
            </w:r>
          </w:p>
        </w:tc>
      </w:tr>
    </w:tbl>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AvroBio, Inc.</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One Kendall Square, Building 300, Suite 201, Cambridge, MA 02139</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7" w:lineRule="exact"/>
        <w:rPr>
          <w:sz w:val="20"/>
          <w:szCs w:val="20"/>
          <w:color w:val="auto"/>
        </w:rPr>
      </w:pPr>
    </w:p>
    <w:p>
      <w:pPr>
        <w:ind w:left="1160" w:right="220"/>
        <w:spacing w:after="0" w:line="273" w:lineRule="auto"/>
        <w:rPr>
          <w:sz w:val="20"/>
          <w:szCs w:val="20"/>
          <w:color w:val="auto"/>
        </w:rPr>
      </w:pPr>
      <w:r>
        <w:rPr>
          <w:rFonts w:ascii="Arial" w:cs="Arial" w:eastAsia="Arial" w:hAnsi="Arial"/>
          <w:sz w:val="17"/>
          <w:szCs w:val="17"/>
          <w:color w:val="auto"/>
        </w:rPr>
        <w:t>This Schedule 13G/A is being jointly filed by Citadel Advisors LLC (“Citadel Advisors”), Citadel Advisors Holdings LP (“CAH”), Citadel GP LLC (“CGP”) and Mr. Kenneth Griffin (collectively with Citadel Advisors, CAH and CGP, the “Reporting Persons”) with respect to shares of common stock of the above-named issuer owned by Citadel Multi-Strategy Equities Master Fund Ltd., a Cayman Islands limited company (“CM”), and Citadel Securities LLC, a Delaware limited liability company (“Citadel Securities”).</w:t>
      </w:r>
    </w:p>
    <w:p>
      <w:pPr>
        <w:spacing w:after="0" w:line="17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Citadel Advisors is the portfolio manager for CM. CAH is the sole member of Citadel Advisors. CGP is the general partner of CAH. CALC</w:t>
      </w:r>
    </w:p>
    <w:p>
      <w:pPr>
        <w:spacing w:after="0" w:line="46" w:lineRule="exact"/>
        <w:rPr>
          <w:sz w:val="20"/>
          <w:szCs w:val="20"/>
          <w:color w:val="auto"/>
        </w:rPr>
      </w:pPr>
    </w:p>
    <w:p>
      <w:pPr>
        <w:ind w:left="1160" w:right="40" w:hanging="4"/>
        <w:spacing w:after="0" w:line="255" w:lineRule="auto"/>
        <w:tabs>
          <w:tab w:leader="none" w:pos="13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LP, a Delaware limited partnership (“CALC3”), is the non-member manager of Citadel Securities. Citadel Securities GP LLC, a Delaware limited liability company (“CSGP”), is the general partner of CALC3. Mr. Griffin is the President and Chief Executive Officer of CGP, and owns a controlling interest in CGP and CSGP.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w w:val="91"/>
              </w:rPr>
              <w:t>The filing of this statement shall not be construed as an admission that any of the Reporting Persons is the beneficial owner of any securities</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covered by the statement other than the securities actually owned by such person (if any).</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480" w:type="dxa"/>
            <w:vAlign w:val="bottom"/>
          </w:tcPr>
          <w:p>
            <w:pPr>
              <w:ind w:left="220"/>
              <w:spacing w:after="0"/>
              <w:rPr>
                <w:sz w:val="20"/>
                <w:szCs w:val="20"/>
                <w:color w:val="auto"/>
              </w:rPr>
            </w:pPr>
            <w:r>
              <w:rPr>
                <w:rFonts w:ascii="Arial" w:cs="Arial" w:eastAsia="Arial" w:hAnsi="Arial"/>
                <w:sz w:val="18"/>
                <w:szCs w:val="18"/>
                <w:b w:val="1"/>
                <w:bCs w:val="1"/>
                <w:color w:val="auto"/>
              </w:rPr>
              <w:t>Address of Principal Business Office</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w w:val="91"/>
              </w:rPr>
              <w:t>The address of the principal business office of each of the Reporting Persons is 131 S. Dearborn Street, 32nd Floor, Chicago, Illinois 60603.</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480" w:type="dxa"/>
            <w:vAlign w:val="bottom"/>
          </w:tcPr>
          <w:p>
            <w:pPr>
              <w:ind w:left="220"/>
              <w:spacing w:after="0"/>
              <w:rPr>
                <w:sz w:val="20"/>
                <w:szCs w:val="20"/>
                <w:color w:val="auto"/>
              </w:rPr>
            </w:pPr>
            <w:r>
              <w:rPr>
                <w:rFonts w:ascii="Arial" w:cs="Arial" w:eastAsia="Arial" w:hAnsi="Arial"/>
                <w:sz w:val="18"/>
                <w:szCs w:val="18"/>
                <w:b w:val="1"/>
                <w:bCs w:val="1"/>
                <w:color w:val="auto"/>
              </w:rPr>
              <w:t>Citizenship</w:t>
            </w:r>
          </w:p>
        </w:tc>
      </w:tr>
      <w:tr>
        <w:trPr>
          <w:trHeight w:val="216"/>
        </w:trPr>
        <w:tc>
          <w:tcPr>
            <w:tcW w:w="940" w:type="dxa"/>
            <w:vAlign w:val="bottom"/>
          </w:tcPr>
          <w:p>
            <w:pPr>
              <w:spacing w:after="0"/>
              <w:rPr>
                <w:sz w:val="18"/>
                <w:szCs w:val="18"/>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w w:val="91"/>
              </w:rPr>
              <w:t>Each of Citadel Advisors and CGP is organized as a limited liability company under the laws of the State of Delaware. CAH is organized as a</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limited partnership under the laws of the State of Delaware. Mr. Griffin is a U.S. citizen.</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480" w:type="dxa"/>
            <w:vAlign w:val="bottom"/>
          </w:tcPr>
          <w:p>
            <w:pPr>
              <w:ind w:left="22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Common stock, $0.0001 par value</w:t>
            </w:r>
          </w:p>
        </w:tc>
      </w:tr>
      <w:tr>
        <w:trPr>
          <w:trHeight w:val="418"/>
        </w:trPr>
        <w:tc>
          <w:tcPr>
            <w:tcW w:w="9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480" w:type="dxa"/>
            <w:vAlign w:val="bottom"/>
          </w:tcPr>
          <w:p>
            <w:pPr>
              <w:ind w:left="22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94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05455M100</w:t>
            </w:r>
          </w:p>
        </w:tc>
      </w:tr>
      <w:tr>
        <w:trPr>
          <w:trHeight w:val="675"/>
        </w:trPr>
        <w:tc>
          <w:tcPr>
            <w:tcW w:w="940" w:type="dxa"/>
            <w:vAlign w:val="bottom"/>
            <w:tcBorders>
              <w:bottom w:val="single" w:sz="8" w:color="auto"/>
            </w:tcBorders>
          </w:tcPr>
          <w:p>
            <w:pPr>
              <w:spacing w:after="0"/>
              <w:rPr>
                <w:sz w:val="24"/>
                <w:szCs w:val="24"/>
                <w:color w:val="auto"/>
              </w:rPr>
            </w:pPr>
          </w:p>
        </w:tc>
        <w:tc>
          <w:tcPr>
            <w:tcW w:w="10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0" w:type="dxa"/>
            <w:vAlign w:val="bottom"/>
            <w:tcBorders>
              <w:top w:val="single" w:sz="8" w:color="auto"/>
              <w:left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4780" w:type="dxa"/>
            <w:vAlign w:val="bottom"/>
            <w:tcBorders>
              <w:right w:val="single" w:sz="8" w:color="auto"/>
            </w:tcBorders>
          </w:tcPr>
          <w:p>
            <w:pPr>
              <w:ind w:left="2120"/>
              <w:spacing w:after="0"/>
              <w:rPr>
                <w:sz w:val="20"/>
                <w:szCs w:val="20"/>
                <w:color w:val="auto"/>
              </w:rPr>
            </w:pPr>
            <w:r>
              <w:rPr>
                <w:rFonts w:ascii="Arial" w:cs="Arial" w:eastAsia="Arial" w:hAnsi="Arial"/>
                <w:sz w:val="18"/>
                <w:szCs w:val="18"/>
                <w:b w:val="1"/>
                <w:bCs w:val="1"/>
                <w:color w:val="auto"/>
              </w:rPr>
              <w:t>13G/A</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7 of 10 Pages</w:t>
            </w:r>
          </w:p>
        </w:tc>
      </w:tr>
      <w:tr>
        <w:trPr>
          <w:trHeight w:val="426"/>
        </w:trPr>
        <w:tc>
          <w:tcPr>
            <w:tcW w:w="5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860" w:type="dxa"/>
            <w:vAlign w:val="bottom"/>
            <w:gridSpan w:val="3"/>
          </w:tcPr>
          <w:p>
            <w:pPr>
              <w:ind w:left="600"/>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tc>
      </w:tr>
    </w:tbl>
    <w:p>
      <w:pPr>
        <w:spacing w:after="0" w:line="169" w:lineRule="exact"/>
        <w:rPr>
          <w:sz w:val="20"/>
          <w:szCs w:val="20"/>
          <w:color w:val="auto"/>
        </w:rPr>
      </w:pPr>
    </w:p>
    <w:p>
      <w:pPr>
        <w:ind w:left="1720" w:hanging="564"/>
        <w:spacing w:after="0" w:line="207" w:lineRule="exact"/>
        <w:tabs>
          <w:tab w:leader="none" w:pos="1720"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720" w:hanging="564"/>
        <w:spacing w:after="0" w:line="207" w:lineRule="exact"/>
        <w:tabs>
          <w:tab w:leader="none" w:pos="1720"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720" w:hanging="564"/>
        <w:spacing w:after="0" w:line="207" w:lineRule="exact"/>
        <w:tabs>
          <w:tab w:leader="none" w:pos="1720"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720" w:hanging="564"/>
        <w:spacing w:after="0" w:line="207" w:lineRule="exact"/>
        <w:tabs>
          <w:tab w:leader="none" w:pos="1720"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720" w:hanging="564"/>
        <w:spacing w:after="0" w:line="207" w:lineRule="exact"/>
        <w:tabs>
          <w:tab w:leader="none" w:pos="1720"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720" w:hanging="564"/>
        <w:spacing w:after="0" w:line="207" w:lineRule="exact"/>
        <w:tabs>
          <w:tab w:leader="none" w:pos="1720"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720" w:hanging="564"/>
        <w:spacing w:after="0" w:line="207" w:lineRule="exact"/>
        <w:tabs>
          <w:tab w:leader="none" w:pos="1720"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720" w:hanging="564"/>
        <w:spacing w:after="0" w:line="207" w:lineRule="exact"/>
        <w:tabs>
          <w:tab w:leader="none" w:pos="1720"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300" w:right="600" w:hanging="1144"/>
        <w:spacing w:after="0" w:line="223" w:lineRule="exact"/>
        <w:tabs>
          <w:tab w:leader="none" w:pos="1733"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3" w:lineRule="exact"/>
        <w:rPr>
          <w:rFonts w:ascii="Arial" w:cs="Arial" w:eastAsia="Arial" w:hAnsi="Arial"/>
          <w:sz w:val="18"/>
          <w:szCs w:val="18"/>
          <w:color w:val="auto"/>
        </w:rPr>
      </w:pPr>
    </w:p>
    <w:p>
      <w:pPr>
        <w:ind w:left="1720" w:hanging="564"/>
        <w:spacing w:after="0" w:line="207" w:lineRule="exact"/>
        <w:tabs>
          <w:tab w:leader="none" w:pos="1720"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13d-1(b)(1)(ii)(J);</w:t>
      </w:r>
    </w:p>
    <w:p>
      <w:pPr>
        <w:spacing w:after="0" w:line="225" w:lineRule="exact"/>
        <w:rPr>
          <w:rFonts w:ascii="Arial" w:cs="Arial" w:eastAsia="Arial" w:hAnsi="Arial"/>
          <w:sz w:val="18"/>
          <w:szCs w:val="18"/>
          <w:color w:val="auto"/>
        </w:rPr>
      </w:pPr>
    </w:p>
    <w:p>
      <w:pPr>
        <w:ind w:left="1720" w:hanging="564"/>
        <w:spacing w:after="0" w:line="207" w:lineRule="exact"/>
        <w:tabs>
          <w:tab w:leader="none" w:pos="1720" w:val="left"/>
        </w:tabs>
        <w:numPr>
          <w:ilvl w:val="0"/>
          <w:numId w:val="2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13d-1(b)(1)(ii)(K).</w:t>
      </w:r>
    </w:p>
    <w:p>
      <w:pPr>
        <w:spacing w:after="0" w:line="25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30"/>
        </w:trPr>
        <w:tc>
          <w:tcPr>
            <w:tcW w:w="560" w:type="dxa"/>
            <w:vAlign w:val="bottom"/>
            <w:tcBorders>
              <w:top w:val="single" w:sz="8" w:color="auto"/>
              <w:left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4780" w:type="dxa"/>
            <w:vAlign w:val="bottom"/>
            <w:tcBorders>
              <w:right w:val="single" w:sz="8" w:color="auto"/>
            </w:tcBorders>
          </w:tcPr>
          <w:p>
            <w:pPr>
              <w:ind w:left="2120"/>
              <w:spacing w:after="0"/>
              <w:rPr>
                <w:sz w:val="20"/>
                <w:szCs w:val="20"/>
                <w:color w:val="auto"/>
              </w:rPr>
            </w:pPr>
            <w:r>
              <w:rPr>
                <w:rFonts w:ascii="Arial" w:cs="Arial" w:eastAsia="Arial" w:hAnsi="Arial"/>
                <w:sz w:val="18"/>
                <w:szCs w:val="18"/>
                <w:b w:val="1"/>
                <w:bCs w:val="1"/>
                <w:color w:val="auto"/>
              </w:rPr>
              <w:t>13G/A</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8 of 10 Pages</w:t>
            </w:r>
          </w:p>
        </w:tc>
      </w:tr>
      <w:tr>
        <w:trPr>
          <w:trHeight w:val="426"/>
        </w:trPr>
        <w:tc>
          <w:tcPr>
            <w:tcW w:w="5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440" w:type="dxa"/>
            <w:vAlign w:val="bottom"/>
          </w:tcPr>
          <w:p>
            <w:pPr>
              <w:ind w:left="600"/>
              <w:spacing w:after="0"/>
              <w:rPr>
                <w:sz w:val="20"/>
                <w:szCs w:val="20"/>
                <w:color w:val="auto"/>
              </w:rPr>
            </w:pPr>
            <w:r>
              <w:rPr>
                <w:rFonts w:ascii="Arial" w:cs="Arial" w:eastAsia="Arial" w:hAnsi="Arial"/>
                <w:sz w:val="18"/>
                <w:szCs w:val="18"/>
                <w:b w:val="1"/>
                <w:bCs w:val="1"/>
                <w:color w:val="auto"/>
              </w:rPr>
              <w:t>Ownership</w:t>
            </w:r>
          </w:p>
        </w:tc>
        <w:tc>
          <w:tcPr>
            <w:tcW w:w="478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line="229" w:lineRule="exact"/>
        <w:rPr>
          <w:sz w:val="20"/>
          <w:szCs w:val="20"/>
          <w:color w:val="auto"/>
        </w:rPr>
      </w:pPr>
    </w:p>
    <w:p>
      <w:pPr>
        <w:ind w:left="1740" w:hanging="584"/>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Citadel Advisors LLC</w:t>
      </w:r>
    </w:p>
    <w:p>
      <w:pPr>
        <w:spacing w:after="0" w:line="225" w:lineRule="exact"/>
        <w:rPr>
          <w:rFonts w:ascii="Arial" w:cs="Arial" w:eastAsia="Arial" w:hAnsi="Arial"/>
          <w:sz w:val="18"/>
          <w:szCs w:val="18"/>
          <w:color w:val="auto"/>
        </w:rPr>
      </w:pPr>
    </w:p>
    <w:p>
      <w:pPr>
        <w:ind w:left="2300" w:hanging="563"/>
        <w:spacing w:after="0"/>
        <w:tabs>
          <w:tab w:leader="none" w:pos="2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Citadel Advisors may be deemed to beneficially own 1,357,783 shares of common stock.</w:t>
      </w:r>
    </w:p>
    <w:p>
      <w:pPr>
        <w:spacing w:after="0" w:line="225" w:lineRule="exact"/>
        <w:rPr>
          <w:rFonts w:ascii="Arial" w:cs="Arial" w:eastAsia="Arial" w:hAnsi="Arial"/>
          <w:sz w:val="18"/>
          <w:szCs w:val="18"/>
          <w:color w:val="auto"/>
        </w:rPr>
      </w:pPr>
    </w:p>
    <w:p>
      <w:pPr>
        <w:ind w:left="2300" w:right="580" w:hanging="563"/>
        <w:spacing w:after="0" w:line="277" w:lineRule="auto"/>
        <w:tabs>
          <w:tab w:leader="none" w:pos="2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number of shares that Citadel Advisors may be deemed to beneficially own constitutes approximately 5.7% of the common stock outstanding.</w:t>
      </w:r>
    </w:p>
    <w:p>
      <w:pPr>
        <w:spacing w:after="0" w:line="170" w:lineRule="exact"/>
        <w:rPr>
          <w:rFonts w:ascii="Arial" w:cs="Arial" w:eastAsia="Arial" w:hAnsi="Arial"/>
          <w:sz w:val="18"/>
          <w:szCs w:val="18"/>
          <w:color w:val="auto"/>
        </w:rPr>
      </w:pPr>
    </w:p>
    <w:p>
      <w:pPr>
        <w:ind w:left="2300" w:hanging="563"/>
        <w:spacing w:after="0"/>
        <w:tabs>
          <w:tab w:leader="none" w:pos="2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880" w:hanging="576"/>
        <w:spacing w:after="0"/>
        <w:tabs>
          <w:tab w:leader="none" w:pos="28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880" w:hanging="576"/>
        <w:spacing w:after="0"/>
        <w:tabs>
          <w:tab w:leader="none" w:pos="28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shared power to vote or to direct the vote: 1,357,783</w:t>
      </w:r>
    </w:p>
    <w:p>
      <w:pPr>
        <w:spacing w:after="0" w:line="225" w:lineRule="exact"/>
        <w:rPr>
          <w:rFonts w:ascii="Arial" w:cs="Arial" w:eastAsia="Arial" w:hAnsi="Arial"/>
          <w:sz w:val="18"/>
          <w:szCs w:val="18"/>
          <w:color w:val="auto"/>
        </w:rPr>
      </w:pPr>
    </w:p>
    <w:p>
      <w:pPr>
        <w:ind w:left="2880" w:hanging="576"/>
        <w:spacing w:after="0"/>
        <w:tabs>
          <w:tab w:leader="none" w:pos="28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880" w:hanging="576"/>
        <w:spacing w:after="0"/>
        <w:tabs>
          <w:tab w:leader="none" w:pos="28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1,357,783</w:t>
      </w:r>
    </w:p>
    <w:p>
      <w:pPr>
        <w:spacing w:after="0" w:line="225" w:lineRule="exact"/>
        <w:rPr>
          <w:rFonts w:ascii="Arial" w:cs="Arial" w:eastAsia="Arial" w:hAnsi="Arial"/>
          <w:sz w:val="18"/>
          <w:szCs w:val="18"/>
          <w:color w:val="auto"/>
        </w:rPr>
      </w:pPr>
    </w:p>
    <w:p>
      <w:pPr>
        <w:ind w:left="1740" w:hanging="584"/>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Citadel Advisors Holdings LP and Citadel GP LLC</w:t>
      </w:r>
    </w:p>
    <w:p>
      <w:pPr>
        <w:spacing w:after="0" w:line="225" w:lineRule="exact"/>
        <w:rPr>
          <w:rFonts w:ascii="Arial" w:cs="Arial" w:eastAsia="Arial" w:hAnsi="Arial"/>
          <w:sz w:val="18"/>
          <w:szCs w:val="18"/>
          <w:color w:val="auto"/>
        </w:rPr>
      </w:pPr>
    </w:p>
    <w:p>
      <w:pPr>
        <w:ind w:left="2300" w:hanging="563"/>
        <w:spacing w:after="0"/>
        <w:tabs>
          <w:tab w:leader="none" w:pos="2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of CAH and CGP may be deemed to beneficially own 1,357,783 shares of common stock.</w:t>
      </w:r>
    </w:p>
    <w:p>
      <w:pPr>
        <w:spacing w:after="0" w:line="225" w:lineRule="exact"/>
        <w:rPr>
          <w:rFonts w:ascii="Arial" w:cs="Arial" w:eastAsia="Arial" w:hAnsi="Arial"/>
          <w:sz w:val="18"/>
          <w:szCs w:val="18"/>
          <w:color w:val="auto"/>
        </w:rPr>
      </w:pPr>
    </w:p>
    <w:p>
      <w:pPr>
        <w:ind w:left="2300" w:right="160" w:hanging="563"/>
        <w:spacing w:after="0" w:line="277" w:lineRule="auto"/>
        <w:tabs>
          <w:tab w:leader="none" w:pos="2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number of shares that each of CAH and CGP may be deemed to beneficially own constitutes approximately 5.7% of the common stock outstanding.</w:t>
      </w:r>
    </w:p>
    <w:p>
      <w:pPr>
        <w:spacing w:after="0" w:line="170" w:lineRule="exact"/>
        <w:rPr>
          <w:rFonts w:ascii="Arial" w:cs="Arial" w:eastAsia="Arial" w:hAnsi="Arial"/>
          <w:sz w:val="18"/>
          <w:szCs w:val="18"/>
          <w:color w:val="auto"/>
        </w:rPr>
      </w:pPr>
    </w:p>
    <w:p>
      <w:pPr>
        <w:ind w:left="2300" w:hanging="563"/>
        <w:spacing w:after="0"/>
        <w:tabs>
          <w:tab w:leader="none" w:pos="2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880" w:hanging="576"/>
        <w:spacing w:after="0"/>
        <w:tabs>
          <w:tab w:leader="none" w:pos="28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880" w:hanging="576"/>
        <w:spacing w:after="0"/>
        <w:tabs>
          <w:tab w:leader="none" w:pos="28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shared power to vote or to direct the vote: 1,357,783</w:t>
      </w:r>
    </w:p>
    <w:p>
      <w:pPr>
        <w:spacing w:after="0" w:line="225" w:lineRule="exact"/>
        <w:rPr>
          <w:rFonts w:ascii="Arial" w:cs="Arial" w:eastAsia="Arial" w:hAnsi="Arial"/>
          <w:sz w:val="18"/>
          <w:szCs w:val="18"/>
          <w:color w:val="auto"/>
        </w:rPr>
      </w:pPr>
    </w:p>
    <w:p>
      <w:pPr>
        <w:ind w:left="2880" w:hanging="576"/>
        <w:spacing w:after="0"/>
        <w:tabs>
          <w:tab w:leader="none" w:pos="28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880" w:hanging="576"/>
        <w:spacing w:after="0"/>
        <w:tabs>
          <w:tab w:leader="none" w:pos="28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1,357,783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30"/>
        </w:trPr>
        <w:tc>
          <w:tcPr>
            <w:tcW w:w="620" w:type="dxa"/>
            <w:vAlign w:val="bottom"/>
            <w:tcBorders>
              <w:top w:val="single" w:sz="8" w:color="auto"/>
              <w:left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4000" w:type="dxa"/>
            <w:vAlign w:val="bottom"/>
          </w:tcPr>
          <w:p>
            <w:pPr>
              <w:ind w:left="2120"/>
              <w:spacing w:after="0"/>
              <w:rPr>
                <w:sz w:val="20"/>
                <w:szCs w:val="20"/>
                <w:color w:val="auto"/>
              </w:rPr>
            </w:pPr>
            <w:r>
              <w:rPr>
                <w:rFonts w:ascii="Arial" w:cs="Arial" w:eastAsia="Arial" w:hAnsi="Arial"/>
                <w:sz w:val="18"/>
                <w:szCs w:val="18"/>
                <w:b w:val="1"/>
                <w:bCs w:val="1"/>
                <w:color w:val="auto"/>
              </w:rPr>
              <w:t>13G/A</w:t>
            </w:r>
          </w:p>
        </w:tc>
        <w:tc>
          <w:tcPr>
            <w:tcW w:w="780" w:type="dxa"/>
            <w:vAlign w:val="bottom"/>
            <w:tcBorders>
              <w:right w:val="single" w:sz="8" w:color="auto"/>
            </w:tcBorders>
          </w:tcPr>
          <w:p>
            <w:pPr>
              <w:spacing w:after="0"/>
              <w:rPr>
                <w:sz w:val="19"/>
                <w:szCs w:val="19"/>
                <w:color w:val="auto"/>
              </w:rPr>
            </w:pP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9 of 10 Pages</w:t>
            </w:r>
          </w:p>
        </w:tc>
      </w:tr>
      <w:tr>
        <w:trPr>
          <w:trHeight w:val="426"/>
        </w:trPr>
        <w:tc>
          <w:tcPr>
            <w:tcW w:w="620" w:type="dxa"/>
            <w:vAlign w:val="bottom"/>
          </w:tcPr>
          <w:p>
            <w:pPr>
              <w:spacing w:after="0"/>
              <w:rPr>
                <w:sz w:val="24"/>
                <w:szCs w:val="24"/>
                <w:color w:val="auto"/>
              </w:rPr>
            </w:pPr>
          </w:p>
        </w:tc>
        <w:tc>
          <w:tcPr>
            <w:tcW w:w="900" w:type="dxa"/>
            <w:vAlign w:val="bottom"/>
          </w:tcPr>
          <w:p>
            <w:pPr>
              <w:ind w:left="540"/>
              <w:spacing w:after="0"/>
              <w:rPr>
                <w:sz w:val="20"/>
                <w:szCs w:val="20"/>
                <w:color w:val="auto"/>
              </w:rPr>
            </w:pPr>
            <w:r>
              <w:rPr>
                <w:rFonts w:ascii="Arial" w:cs="Arial" w:eastAsia="Arial" w:hAnsi="Arial"/>
                <w:sz w:val="18"/>
                <w:szCs w:val="18"/>
                <w:color w:val="auto"/>
              </w:rPr>
              <w:t>C.</w:t>
            </w: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Kenneth Griffin</w:t>
            </w:r>
          </w:p>
        </w:tc>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(a)</w:t>
            </w:r>
          </w:p>
        </w:tc>
        <w:tc>
          <w:tcPr>
            <w:tcW w:w="9140" w:type="dxa"/>
            <w:vAlign w:val="bottom"/>
            <w:gridSpan w:val="4"/>
          </w:tcPr>
          <w:p>
            <w:pPr>
              <w:ind w:left="20"/>
              <w:spacing w:after="0"/>
              <w:rPr>
                <w:sz w:val="20"/>
                <w:szCs w:val="20"/>
                <w:color w:val="auto"/>
              </w:rPr>
            </w:pPr>
            <w:r>
              <w:rPr>
                <w:rFonts w:ascii="Arial" w:cs="Arial" w:eastAsia="Arial" w:hAnsi="Arial"/>
                <w:sz w:val="18"/>
                <w:szCs w:val="18"/>
                <w:color w:val="auto"/>
              </w:rPr>
              <w:t>Mr. Griffin may be deemed to beneficially own 1,362,655 shares of common stock.</w:t>
            </w:r>
          </w:p>
        </w:tc>
      </w:tr>
      <w:tr>
        <w:trPr>
          <w:trHeight w:val="418"/>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(b)</w:t>
            </w:r>
          </w:p>
        </w:tc>
        <w:tc>
          <w:tcPr>
            <w:tcW w:w="9140" w:type="dxa"/>
            <w:vAlign w:val="bottom"/>
            <w:gridSpan w:val="4"/>
          </w:tcPr>
          <w:p>
            <w:pPr>
              <w:ind w:left="20"/>
              <w:spacing w:after="0"/>
              <w:rPr>
                <w:sz w:val="20"/>
                <w:szCs w:val="20"/>
                <w:color w:val="auto"/>
              </w:rPr>
            </w:pPr>
            <w:r>
              <w:rPr>
                <w:rFonts w:ascii="Arial" w:cs="Arial" w:eastAsia="Arial" w:hAnsi="Arial"/>
                <w:sz w:val="18"/>
                <w:szCs w:val="18"/>
                <w:color w:val="auto"/>
                <w:w w:val="94"/>
              </w:rPr>
              <w:t>The number of shares that Mr. Griffin may be deemed to beneficially own constitutes approximately 5.7% of the common</w:t>
            </w:r>
          </w:p>
        </w:tc>
      </w:tr>
      <w:tr>
        <w:trPr>
          <w:trHeight w:val="230"/>
        </w:trPr>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stock outstanding.</w:t>
            </w:r>
          </w:p>
        </w:tc>
        <w:tc>
          <w:tcPr>
            <w:tcW w:w="7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(c)</w:t>
            </w:r>
          </w:p>
        </w:tc>
        <w:tc>
          <w:tcPr>
            <w:tcW w:w="4720" w:type="dxa"/>
            <w:vAlign w:val="bottom"/>
            <w:gridSpan w:val="2"/>
          </w:tcPr>
          <w:p>
            <w:pPr>
              <w:ind w:left="20"/>
              <w:spacing w:after="0"/>
              <w:rPr>
                <w:sz w:val="20"/>
                <w:szCs w:val="20"/>
                <w:color w:val="auto"/>
              </w:rPr>
            </w:pPr>
            <w:r>
              <w:rPr>
                <w:rFonts w:ascii="Arial" w:cs="Arial" w:eastAsia="Arial" w:hAnsi="Arial"/>
                <w:sz w:val="18"/>
                <w:szCs w:val="18"/>
                <w:color w:val="auto"/>
              </w:rPr>
              <w:t>Number of shares as to which such person has:</w:t>
            </w: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(i)</w:t>
            </w:r>
          </w:p>
        </w:tc>
        <w:tc>
          <w:tcPr>
            <w:tcW w:w="4000" w:type="dxa"/>
            <w:vAlign w:val="bottom"/>
          </w:tcPr>
          <w:p>
            <w:pPr>
              <w:ind w:left="40"/>
              <w:spacing w:after="0"/>
              <w:rPr>
                <w:sz w:val="20"/>
                <w:szCs w:val="20"/>
                <w:color w:val="auto"/>
              </w:rPr>
            </w:pPr>
            <w:r>
              <w:rPr>
                <w:rFonts w:ascii="Arial" w:cs="Arial" w:eastAsia="Arial" w:hAnsi="Arial"/>
                <w:sz w:val="18"/>
                <w:szCs w:val="18"/>
                <w:color w:val="auto"/>
              </w:rPr>
              <w:t>sole power to vote or to direct the vote: 0</w:t>
            </w: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(ii)</w:t>
            </w:r>
          </w:p>
        </w:tc>
        <w:tc>
          <w:tcPr>
            <w:tcW w:w="4000" w:type="dxa"/>
            <w:vAlign w:val="bottom"/>
          </w:tcPr>
          <w:p>
            <w:pPr>
              <w:ind w:left="40"/>
              <w:spacing w:after="0"/>
              <w:rPr>
                <w:sz w:val="20"/>
                <w:szCs w:val="20"/>
                <w:color w:val="auto"/>
              </w:rPr>
            </w:pPr>
            <w:r>
              <w:rPr>
                <w:rFonts w:ascii="Arial" w:cs="Arial" w:eastAsia="Arial" w:hAnsi="Arial"/>
                <w:sz w:val="18"/>
                <w:szCs w:val="18"/>
                <w:color w:val="auto"/>
                <w:w w:val="94"/>
              </w:rPr>
              <w:t>shared power to vote or to direct the vote: 1,362,655</w:t>
            </w: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(iii)</w:t>
            </w:r>
          </w:p>
        </w:tc>
        <w:tc>
          <w:tcPr>
            <w:tcW w:w="4000" w:type="dxa"/>
            <w:vAlign w:val="bottom"/>
          </w:tcPr>
          <w:p>
            <w:pPr>
              <w:ind w:left="40"/>
              <w:spacing w:after="0"/>
              <w:rPr>
                <w:sz w:val="20"/>
                <w:szCs w:val="20"/>
                <w:color w:val="auto"/>
              </w:rPr>
            </w:pPr>
            <w:r>
              <w:rPr>
                <w:rFonts w:ascii="Arial" w:cs="Arial" w:eastAsia="Arial" w:hAnsi="Arial"/>
                <w:sz w:val="18"/>
                <w:szCs w:val="18"/>
                <w:color w:val="auto"/>
                <w:w w:val="92"/>
              </w:rPr>
              <w:t>sole power to dispose or to direct the disposition of: 0</w:t>
            </w: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2"/>
        </w:trPr>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(iv)</w:t>
            </w:r>
          </w:p>
        </w:tc>
        <w:tc>
          <w:tcPr>
            <w:tcW w:w="4000" w:type="dxa"/>
            <w:vAlign w:val="bottom"/>
          </w:tcPr>
          <w:p>
            <w:pPr>
              <w:ind w:left="40"/>
              <w:spacing w:after="0"/>
              <w:rPr>
                <w:sz w:val="20"/>
                <w:szCs w:val="20"/>
                <w:color w:val="auto"/>
              </w:rPr>
            </w:pPr>
            <w:r>
              <w:rPr>
                <w:rFonts w:ascii="Arial" w:cs="Arial" w:eastAsia="Arial" w:hAnsi="Arial"/>
                <w:sz w:val="18"/>
                <w:szCs w:val="18"/>
                <w:color w:val="auto"/>
                <w:w w:val="91"/>
              </w:rPr>
              <w:t>shared power to dispose or to direct the disposition of:</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1,362,655</w:t>
            </w:r>
          </w:p>
        </w:tc>
        <w:tc>
          <w:tcPr>
            <w:tcW w:w="3640" w:type="dxa"/>
            <w:vAlign w:val="bottom"/>
          </w:tcPr>
          <w:p>
            <w:pPr>
              <w:spacing w:after="0"/>
              <w:rPr>
                <w:sz w:val="24"/>
                <w:szCs w:val="24"/>
                <w:color w:val="auto"/>
              </w:rPr>
            </w:pPr>
          </w:p>
        </w:tc>
      </w:tr>
      <w:tr>
        <w:trPr>
          <w:trHeight w:val="445"/>
        </w:trPr>
        <w:tc>
          <w:tcPr>
            <w:tcW w:w="6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6380" w:type="dxa"/>
            <w:vAlign w:val="bottom"/>
            <w:gridSpan w:val="4"/>
          </w:tcPr>
          <w:p>
            <w:pPr>
              <w:ind w:left="540"/>
              <w:spacing w:after="0"/>
              <w:rPr>
                <w:sz w:val="20"/>
                <w:szCs w:val="20"/>
                <w:color w:val="auto"/>
              </w:rPr>
            </w:pPr>
            <w:r>
              <w:rPr>
                <w:rFonts w:ascii="Arial" w:cs="Arial" w:eastAsia="Arial" w:hAnsi="Arial"/>
                <w:sz w:val="18"/>
                <w:szCs w:val="18"/>
                <w:b w:val="1"/>
                <w:bCs w:val="1"/>
                <w:color w:val="auto"/>
              </w:rPr>
              <w:t>Ownership of Five Percent or Less of a Class</w:t>
            </w: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83"/>
        </w:trPr>
        <w:tc>
          <w:tcPr>
            <w:tcW w:w="620" w:type="dxa"/>
            <w:vAlign w:val="bottom"/>
          </w:tcPr>
          <w:p>
            <w:pPr>
              <w:spacing w:after="0"/>
              <w:rPr>
                <w:sz w:val="15"/>
                <w:szCs w:val="15"/>
                <w:color w:val="auto"/>
              </w:rPr>
            </w:pPr>
          </w:p>
        </w:tc>
        <w:tc>
          <w:tcPr>
            <w:tcW w:w="10800" w:type="dxa"/>
            <w:vAlign w:val="bottom"/>
            <w:gridSpan w:val="6"/>
          </w:tcPr>
          <w:p>
            <w:pPr>
              <w:ind w:left="540"/>
              <w:spacing w:after="0" w:line="183" w:lineRule="exact"/>
              <w:rPr>
                <w:sz w:val="20"/>
                <w:szCs w:val="20"/>
                <w:color w:val="auto"/>
              </w:rPr>
            </w:pPr>
            <w:r>
              <w:rPr>
                <w:rFonts w:ascii="Arial" w:cs="Arial" w:eastAsia="Arial" w:hAnsi="Arial"/>
                <w:sz w:val="18"/>
                <w:szCs w:val="18"/>
                <w:color w:val="auto"/>
                <w:w w:val="91"/>
              </w:rPr>
              <w:t>If this statement is being filed to report the fact that as of the date hereof the reporting person has ceased to be the beneficial owner of more</w:t>
            </w:r>
          </w:p>
        </w:tc>
      </w:tr>
      <w:tr>
        <w:trPr>
          <w:trHeight w:val="283"/>
        </w:trPr>
        <w:tc>
          <w:tcPr>
            <w:tcW w:w="620" w:type="dxa"/>
            <w:vAlign w:val="bottom"/>
          </w:tcPr>
          <w:p>
            <w:pPr>
              <w:spacing w:after="0"/>
              <w:rPr>
                <w:sz w:val="24"/>
                <w:szCs w:val="24"/>
                <w:color w:val="auto"/>
              </w:rPr>
            </w:pPr>
          </w:p>
        </w:tc>
        <w:tc>
          <w:tcPr>
            <w:tcW w:w="6380" w:type="dxa"/>
            <w:vAlign w:val="bottom"/>
            <w:gridSpan w:val="4"/>
          </w:tcPr>
          <w:p>
            <w:pPr>
              <w:ind w:left="540"/>
              <w:spacing w:after="0" w:line="207" w:lineRule="exact"/>
              <w:rPr>
                <w:sz w:val="20"/>
                <w:szCs w:val="20"/>
                <w:color w:val="auto"/>
              </w:rPr>
            </w:pPr>
            <w:r>
              <w:rPr>
                <w:rFonts w:ascii="Arial" w:cs="Arial" w:eastAsia="Arial" w:hAnsi="Arial"/>
                <w:sz w:val="18"/>
                <w:szCs w:val="18"/>
                <w:color w:val="auto"/>
              </w:rPr>
              <w:t xml:space="preserve">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98"/>
        </w:trPr>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380" w:type="dxa"/>
            <w:vAlign w:val="bottom"/>
            <w:gridSpan w:val="4"/>
          </w:tcPr>
          <w:p>
            <w:pPr>
              <w:ind w:left="54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w w:val="94"/>
              </w:rPr>
              <w:t>Not Applicable</w:t>
            </w:r>
          </w:p>
        </w:tc>
        <w:tc>
          <w:tcPr>
            <w:tcW w:w="7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800" w:type="dxa"/>
            <w:vAlign w:val="bottom"/>
            <w:gridSpan w:val="6"/>
          </w:tcPr>
          <w:p>
            <w:pPr>
              <w:ind w:left="540"/>
              <w:spacing w:after="0"/>
              <w:rPr>
                <w:sz w:val="20"/>
                <w:szCs w:val="20"/>
                <w:color w:val="auto"/>
              </w:rPr>
            </w:pPr>
            <w:r>
              <w:rPr>
                <w:rFonts w:ascii="Arial" w:cs="Arial" w:eastAsia="Arial" w:hAnsi="Arial"/>
                <w:sz w:val="18"/>
                <w:szCs w:val="18"/>
                <w:b w:val="1"/>
                <w:bCs w:val="1"/>
                <w:color w:val="auto"/>
                <w:w w:val="91"/>
              </w:rPr>
              <w:t>Identification and Classification of the Subsidiary which Acquired the Security Being Reported on by the Parent Holding Company</w:t>
            </w:r>
          </w:p>
        </w:tc>
      </w:tr>
      <w:tr>
        <w:trPr>
          <w:trHeight w:val="230"/>
        </w:trPr>
        <w:tc>
          <w:tcPr>
            <w:tcW w:w="620" w:type="dxa"/>
            <w:vAlign w:val="bottom"/>
          </w:tcPr>
          <w:p>
            <w:pPr>
              <w:spacing w:after="0"/>
              <w:rPr>
                <w:sz w:val="20"/>
                <w:szCs w:val="20"/>
                <w:color w:val="auto"/>
              </w:rPr>
            </w:pPr>
          </w:p>
        </w:tc>
        <w:tc>
          <w:tcPr>
            <w:tcW w:w="2380" w:type="dxa"/>
            <w:vAlign w:val="bottom"/>
            <w:gridSpan w:val="3"/>
          </w:tcPr>
          <w:p>
            <w:pPr>
              <w:ind w:left="540"/>
              <w:spacing w:after="0"/>
              <w:rPr>
                <w:sz w:val="20"/>
                <w:szCs w:val="20"/>
                <w:color w:val="auto"/>
              </w:rPr>
            </w:pPr>
            <w:r>
              <w:rPr>
                <w:rFonts w:ascii="Arial" w:cs="Arial" w:eastAsia="Arial" w:hAnsi="Arial"/>
                <w:sz w:val="18"/>
                <w:szCs w:val="18"/>
                <w:color w:val="auto"/>
              </w:rPr>
              <w:t>See Item 2 above</w:t>
            </w:r>
          </w:p>
        </w:tc>
        <w:tc>
          <w:tcPr>
            <w:tcW w:w="4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6380" w:type="dxa"/>
            <w:vAlign w:val="bottom"/>
            <w:gridSpan w:val="4"/>
          </w:tcPr>
          <w:p>
            <w:pPr>
              <w:ind w:left="54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w w:val="94"/>
              </w:rPr>
              <w:t>Not Applicable</w:t>
            </w:r>
          </w:p>
        </w:tc>
        <w:tc>
          <w:tcPr>
            <w:tcW w:w="7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6380" w:type="dxa"/>
            <w:vAlign w:val="bottom"/>
            <w:gridSpan w:val="4"/>
          </w:tcPr>
          <w:p>
            <w:pPr>
              <w:ind w:left="540"/>
              <w:spacing w:after="0"/>
              <w:rPr>
                <w:sz w:val="20"/>
                <w:szCs w:val="20"/>
                <w:color w:val="auto"/>
              </w:rPr>
            </w:pPr>
            <w:r>
              <w:rPr>
                <w:rFonts w:ascii="Arial" w:cs="Arial" w:eastAsia="Arial" w:hAnsi="Arial"/>
                <w:sz w:val="18"/>
                <w:szCs w:val="18"/>
                <w:b w:val="1"/>
                <w:bCs w:val="1"/>
                <w:color w:val="auto"/>
              </w:rPr>
              <w:t>Notice of Dissolution of Group</w:t>
            </w: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1660" w:type="dxa"/>
            <w:vAlign w:val="bottom"/>
            <w:gridSpan w:val="2"/>
          </w:tcPr>
          <w:p>
            <w:pPr>
              <w:ind w:left="540"/>
              <w:spacing w:after="0"/>
              <w:rPr>
                <w:sz w:val="20"/>
                <w:szCs w:val="20"/>
                <w:color w:val="auto"/>
              </w:rPr>
            </w:pPr>
            <w:r>
              <w:rPr>
                <w:rFonts w:ascii="Arial" w:cs="Arial" w:eastAsia="Arial" w:hAnsi="Arial"/>
                <w:sz w:val="18"/>
                <w:szCs w:val="18"/>
                <w:color w:val="auto"/>
                <w:w w:val="94"/>
              </w:rPr>
              <w:t>Not Applicable</w:t>
            </w:r>
          </w:p>
        </w:tc>
        <w:tc>
          <w:tcPr>
            <w:tcW w:w="7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18"/>
        </w:trPr>
        <w:tc>
          <w:tcPr>
            <w:tcW w:w="620" w:type="dxa"/>
            <w:vAlign w:val="bottom"/>
          </w:tcPr>
          <w:p>
            <w:pPr>
              <w:spacing w:after="0"/>
              <w:rPr>
                <w:sz w:val="20"/>
                <w:szCs w:val="20"/>
                <w:color w:val="auto"/>
              </w:rPr>
            </w:pPr>
            <w:r>
              <w:rPr>
                <w:rFonts w:ascii="Arial" w:cs="Arial" w:eastAsia="Arial" w:hAnsi="Arial"/>
                <w:sz w:val="18"/>
                <w:szCs w:val="18"/>
                <w:b w:val="1"/>
                <w:bCs w:val="1"/>
                <w:color w:val="auto"/>
                <w:w w:val="96"/>
              </w:rPr>
              <w:t>Item 10</w:t>
            </w:r>
          </w:p>
        </w:tc>
        <w:tc>
          <w:tcPr>
            <w:tcW w:w="1660" w:type="dxa"/>
            <w:vAlign w:val="bottom"/>
            <w:gridSpan w:val="2"/>
          </w:tcPr>
          <w:p>
            <w:pPr>
              <w:ind w:left="540"/>
              <w:spacing w:after="0"/>
              <w:rPr>
                <w:sz w:val="20"/>
                <w:szCs w:val="20"/>
                <w:color w:val="auto"/>
              </w:rPr>
            </w:pPr>
            <w:r>
              <w:rPr>
                <w:rFonts w:ascii="Arial" w:cs="Arial" w:eastAsia="Arial" w:hAnsi="Arial"/>
                <w:sz w:val="18"/>
                <w:szCs w:val="18"/>
                <w:b w:val="1"/>
                <w:bCs w:val="1"/>
                <w:color w:val="auto"/>
              </w:rPr>
              <w:t>Certification</w:t>
            </w:r>
          </w:p>
        </w:tc>
        <w:tc>
          <w:tcPr>
            <w:tcW w:w="7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620" w:type="dxa"/>
            <w:vAlign w:val="bottom"/>
          </w:tcPr>
          <w:p>
            <w:pPr>
              <w:spacing w:after="0"/>
              <w:rPr>
                <w:sz w:val="18"/>
                <w:szCs w:val="18"/>
                <w:color w:val="auto"/>
              </w:rPr>
            </w:pPr>
          </w:p>
        </w:tc>
        <w:tc>
          <w:tcPr>
            <w:tcW w:w="10800" w:type="dxa"/>
            <w:vAlign w:val="bottom"/>
            <w:gridSpan w:val="6"/>
          </w:tcPr>
          <w:p>
            <w:pPr>
              <w:ind w:left="54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 not held for</w:t>
            </w:r>
          </w:p>
        </w:tc>
      </w:tr>
      <w:tr>
        <w:trPr>
          <w:trHeight w:val="216"/>
        </w:trPr>
        <w:tc>
          <w:tcPr>
            <w:tcW w:w="620" w:type="dxa"/>
            <w:vAlign w:val="bottom"/>
          </w:tcPr>
          <w:p>
            <w:pPr>
              <w:spacing w:after="0"/>
              <w:rPr>
                <w:sz w:val="18"/>
                <w:szCs w:val="18"/>
                <w:color w:val="auto"/>
              </w:rPr>
            </w:pPr>
          </w:p>
        </w:tc>
        <w:tc>
          <w:tcPr>
            <w:tcW w:w="10800" w:type="dxa"/>
            <w:vAlign w:val="bottom"/>
            <w:gridSpan w:val="6"/>
          </w:tcPr>
          <w:p>
            <w:pPr>
              <w:ind w:left="540"/>
              <w:spacing w:after="0"/>
              <w:rPr>
                <w:sz w:val="20"/>
                <w:szCs w:val="20"/>
                <w:color w:val="auto"/>
              </w:rPr>
            </w:pPr>
            <w:r>
              <w:rPr>
                <w:rFonts w:ascii="Arial" w:cs="Arial" w:eastAsia="Arial" w:hAnsi="Arial"/>
                <w:sz w:val="18"/>
                <w:szCs w:val="18"/>
                <w:color w:val="auto"/>
                <w:w w:val="91"/>
              </w:rPr>
              <w:t>the purpose of or with the effect of changing or influencing the control of the issuer of the securities and were not acquired and are not held in</w:t>
            </w:r>
          </w:p>
        </w:tc>
      </w:tr>
      <w:tr>
        <w:trPr>
          <w:trHeight w:val="230"/>
        </w:trPr>
        <w:tc>
          <w:tcPr>
            <w:tcW w:w="620" w:type="dxa"/>
            <w:vAlign w:val="bottom"/>
          </w:tcPr>
          <w:p>
            <w:pPr>
              <w:spacing w:after="0"/>
              <w:rPr>
                <w:sz w:val="20"/>
                <w:szCs w:val="20"/>
                <w:color w:val="auto"/>
              </w:rPr>
            </w:pPr>
          </w:p>
        </w:tc>
        <w:tc>
          <w:tcPr>
            <w:tcW w:w="10800" w:type="dxa"/>
            <w:vAlign w:val="bottom"/>
            <w:gridSpan w:val="6"/>
          </w:tcPr>
          <w:p>
            <w:pPr>
              <w:ind w:left="540"/>
              <w:spacing w:after="0"/>
              <w:rPr>
                <w:sz w:val="20"/>
                <w:szCs w:val="20"/>
                <w:color w:val="auto"/>
              </w:rPr>
            </w:pPr>
            <w:r>
              <w:rPr>
                <w:rFonts w:ascii="Arial" w:cs="Arial" w:eastAsia="Arial" w:hAnsi="Arial"/>
                <w:sz w:val="18"/>
                <w:szCs w:val="18"/>
                <w:color w:val="auto"/>
              </w:rPr>
              <w:t>connection with or as a participant in any transaction having that purpose or effect.</w:t>
            </w:r>
          </w:p>
        </w:tc>
      </w:tr>
      <w:tr>
        <w:trPr>
          <w:trHeight w:val="675"/>
        </w:trPr>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000" w:type="dxa"/>
            <w:vAlign w:val="bottom"/>
            <w:tcBorders>
              <w:top w:val="single" w:sz="8" w:color="auto"/>
              <w:left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05455M100</w:t>
            </w:r>
          </w:p>
        </w:tc>
        <w:tc>
          <w:tcPr>
            <w:tcW w:w="4780" w:type="dxa"/>
            <w:vAlign w:val="bottom"/>
            <w:tcBorders>
              <w:right w:val="single" w:sz="8" w:color="auto"/>
            </w:tcBorders>
          </w:tcPr>
          <w:p>
            <w:pPr>
              <w:ind w:left="2120"/>
              <w:spacing w:after="0"/>
              <w:rPr>
                <w:sz w:val="20"/>
                <w:szCs w:val="20"/>
                <w:color w:val="auto"/>
              </w:rPr>
            </w:pPr>
            <w:r>
              <w:rPr>
                <w:rFonts w:ascii="Arial" w:cs="Arial" w:eastAsia="Arial" w:hAnsi="Arial"/>
                <w:sz w:val="18"/>
                <w:szCs w:val="18"/>
                <w:b w:val="1"/>
                <w:bCs w:val="1"/>
                <w:color w:val="auto"/>
              </w:rPr>
              <w:t>13G/A</w:t>
            </w:r>
          </w:p>
        </w:tc>
        <w:tc>
          <w:tcPr>
            <w:tcW w:w="364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10 of 10 Pages</w:t>
            </w: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14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2019.</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CITADEL ADVISORS LLC</w:t>
            </w:r>
          </w:p>
        </w:tc>
        <w:tc>
          <w:tcPr>
            <w:tcW w:w="5920" w:type="dxa"/>
            <w:vAlign w:val="bottom"/>
            <w:gridSpan w:val="4"/>
          </w:tcPr>
          <w:p>
            <w:pPr>
              <w:ind w:left="680"/>
              <w:spacing w:after="0"/>
              <w:rPr>
                <w:sz w:val="20"/>
                <w:szCs w:val="20"/>
                <w:color w:val="auto"/>
              </w:rPr>
            </w:pPr>
            <w:r>
              <w:rPr>
                <w:rFonts w:ascii="Arial" w:cs="Arial" w:eastAsia="Arial" w:hAnsi="Arial"/>
                <w:sz w:val="18"/>
                <w:szCs w:val="18"/>
                <w:b w:val="1"/>
                <w:bCs w:val="1"/>
                <w:color w:val="auto"/>
              </w:rPr>
              <w:t>CITADEL ADVISORS HOLDINGS LP</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Glockner</w:t>
            </w:r>
          </w:p>
        </w:tc>
        <w:tc>
          <w:tcPr>
            <w:tcW w:w="1360" w:type="dxa"/>
            <w:vAlign w:val="bottom"/>
          </w:tcPr>
          <w:p>
            <w:pPr>
              <w:ind w:left="6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Glockner</w:t>
            </w: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David Glockner, Authorized Signatory</w:t>
            </w:r>
          </w:p>
        </w:tc>
        <w:tc>
          <w:tcPr>
            <w:tcW w:w="1360" w:type="dxa"/>
            <w:vAlign w:val="bottom"/>
          </w:tcPr>
          <w:p>
            <w:pPr>
              <w:spacing w:after="0"/>
              <w:rPr>
                <w:sz w:val="19"/>
                <w:szCs w:val="19"/>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David Glockner, Authorized Signatory</w:t>
            </w:r>
          </w:p>
        </w:tc>
        <w:tc>
          <w:tcPr>
            <w:tcW w:w="0" w:type="dxa"/>
            <w:vAlign w:val="bottom"/>
          </w:tcPr>
          <w:p>
            <w:pPr>
              <w:spacing w:after="0"/>
              <w:rPr>
                <w:sz w:val="1"/>
                <w:szCs w:val="1"/>
                <w:color w:val="auto"/>
              </w:rPr>
            </w:pPr>
          </w:p>
        </w:tc>
      </w:tr>
      <w:tr>
        <w:trPr>
          <w:trHeight w:val="418"/>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CITADEL GP LLC</w:t>
            </w:r>
          </w:p>
        </w:tc>
        <w:tc>
          <w:tcPr>
            <w:tcW w:w="5920" w:type="dxa"/>
            <w:vAlign w:val="bottom"/>
            <w:gridSpan w:val="4"/>
          </w:tcPr>
          <w:p>
            <w:pPr>
              <w:ind w:left="680"/>
              <w:spacing w:after="0"/>
              <w:rPr>
                <w:sz w:val="20"/>
                <w:szCs w:val="20"/>
                <w:color w:val="auto"/>
              </w:rPr>
            </w:pPr>
            <w:r>
              <w:rPr>
                <w:rFonts w:ascii="Arial" w:cs="Arial" w:eastAsia="Arial" w:hAnsi="Arial"/>
                <w:sz w:val="18"/>
                <w:szCs w:val="18"/>
                <w:b w:val="1"/>
                <w:bCs w:val="1"/>
                <w:color w:val="auto"/>
              </w:rPr>
              <w:t>KENNETH GRIFFIN</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Glockner</w:t>
            </w:r>
          </w:p>
        </w:tc>
        <w:tc>
          <w:tcPr>
            <w:tcW w:w="1360" w:type="dxa"/>
            <w:vAlign w:val="bottom"/>
          </w:tcPr>
          <w:p>
            <w:pPr>
              <w:ind w:left="68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Glockner</w:t>
            </w: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920" w:type="dxa"/>
            <w:vAlign w:val="bottom"/>
            <w:vMerge w:val="restart"/>
          </w:tcPr>
          <w:p>
            <w:pPr>
              <w:spacing w:after="0"/>
              <w:rPr>
                <w:sz w:val="20"/>
                <w:szCs w:val="20"/>
                <w:color w:val="auto"/>
              </w:rPr>
            </w:pPr>
            <w:r>
              <w:rPr>
                <w:rFonts w:ascii="Arial" w:cs="Arial" w:eastAsia="Arial" w:hAnsi="Arial"/>
                <w:sz w:val="18"/>
                <w:szCs w:val="18"/>
                <w:color w:val="auto"/>
              </w:rPr>
              <w:t>David Glockner, Authorized Signatory</w:t>
            </w:r>
          </w:p>
        </w:tc>
        <w:tc>
          <w:tcPr>
            <w:tcW w:w="1360" w:type="dxa"/>
            <w:vAlign w:val="bottom"/>
          </w:tcPr>
          <w:p>
            <w:pPr>
              <w:spacing w:after="0"/>
              <w:rPr>
                <w:sz w:val="12"/>
                <w:szCs w:val="12"/>
                <w:color w:val="auto"/>
              </w:rPr>
            </w:pPr>
          </w:p>
        </w:tc>
        <w:tc>
          <w:tcPr>
            <w:tcW w:w="2360" w:type="dxa"/>
            <w:vAlign w:val="bottom"/>
            <w:vMerge w:val="restart"/>
          </w:tcPr>
          <w:p>
            <w:pPr>
              <w:spacing w:after="0"/>
              <w:rPr>
                <w:sz w:val="20"/>
                <w:szCs w:val="20"/>
                <w:color w:val="auto"/>
              </w:rPr>
            </w:pPr>
            <w:r>
              <w:rPr>
                <w:rFonts w:ascii="Arial" w:cs="Arial" w:eastAsia="Arial" w:hAnsi="Arial"/>
                <w:sz w:val="18"/>
                <w:szCs w:val="18"/>
                <w:color w:val="auto"/>
                <w:w w:val="92"/>
              </w:rPr>
              <w:t>David Glockner, attorney-in-fact</w:t>
            </w:r>
          </w:p>
        </w:tc>
        <w:tc>
          <w:tcPr>
            <w:tcW w:w="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2"/>
              </w:rPr>
              <w:t>*</w:t>
            </w:r>
          </w:p>
        </w:tc>
        <w:tc>
          <w:tcPr>
            <w:tcW w:w="21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492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right="220" w:hanging="652"/>
        <w:spacing w:after="0" w:line="209" w:lineRule="auto"/>
        <w:tabs>
          <w:tab w:leader="none" w:pos="660" w:val="left"/>
        </w:tabs>
        <w:numPr>
          <w:ilvl w:val="0"/>
          <w:numId w:val="30"/>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David Glockner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Roku, Inc. on January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1."/>
      <w:numFmt w:val="decimal"/>
      <w:start w:val="2"/>
    </w:lvl>
  </w:abstractNum>
  <w:abstractNum w:abstractNumId="3">
    <w:nsid w:val="25E45D32"/>
    <w:multiLevelType w:val="hybridMultilevel"/>
    <w:lvl w:ilvl="0">
      <w:lvlJc w:val="left"/>
      <w:lvlText w:val="%1."/>
      <w:numFmt w:val="decimal"/>
      <w:start w:val="3"/>
    </w:lvl>
  </w:abstractNum>
  <w:abstractNum w:abstractNumId="4">
    <w:nsid w:val="519B500D"/>
    <w:multiLevelType w:val="hybridMultilevel"/>
    <w:lvl w:ilvl="0">
      <w:lvlJc w:val="left"/>
      <w:lvlText w:val="%1"/>
      <w:numFmt w:val="decimal"/>
      <w:start w:val="1"/>
    </w:lvl>
    <w:lvl w:ilvl="1">
      <w:lvlJc w:val="left"/>
      <w:lvlText w:val="%2."/>
      <w:numFmt w:val="decimal"/>
      <w:start w:val="8"/>
    </w:lvl>
  </w:abstractNum>
  <w:abstractNum w:abstractNumId="5">
    <w:nsid w:val="431BD7B7"/>
    <w:multiLevelType w:val="hybridMultilevel"/>
    <w:lvl w:ilvl="0">
      <w:lvlJc w:val="left"/>
      <w:lvlText w:val="%1."/>
      <w:numFmt w:val="decimal"/>
      <w:start w:val="9"/>
    </w:lvl>
    <w:lvl w:ilvl="1">
      <w:lvlJc w:val="left"/>
      <w:lvlText w:val="%2"/>
      <w:numFmt w:val="decimal"/>
      <w:start w:val="1"/>
    </w:lvl>
  </w:abstractNum>
  <w:abstractNum w:abstractNumId="6">
    <w:nsid w:val="3F2DBA31"/>
    <w:multiLevelType w:val="hybridMultilevel"/>
    <w:lvl w:ilvl="0">
      <w:lvlJc w:val="left"/>
      <w:lvlText w:val="%1."/>
      <w:numFmt w:val="decimal"/>
      <w:start w:val="11"/>
    </w:lvl>
  </w:abstractNum>
  <w:abstractNum w:abstractNumId="7">
    <w:nsid w:val="7C83E458"/>
    <w:multiLevelType w:val="hybridMultilevel"/>
    <w:lvl w:ilvl="0">
      <w:lvlJc w:val="left"/>
      <w:lvlText w:val="1"/>
      <w:numFmt w:val="bullet"/>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2"/>
    </w:lvl>
  </w:abstractNum>
  <w:abstractNum w:abstractNumId="10">
    <w:nsid w:val="436C6125"/>
    <w:multiLevelType w:val="hybridMultilevel"/>
    <w:lvl w:ilvl="0">
      <w:lvlJc w:val="left"/>
      <w:lvlText w:val="%1."/>
      <w:numFmt w:val="decimal"/>
      <w:start w:val="3"/>
    </w:lvl>
  </w:abstractNum>
  <w:abstractNum w:abstractNumId="11">
    <w:nsid w:val="628C895D"/>
    <w:multiLevelType w:val="hybridMultilevel"/>
    <w:lvl w:ilvl="0">
      <w:lvlJc w:val="left"/>
      <w:lvlText w:val="%1"/>
      <w:numFmt w:val="decimal"/>
      <w:start w:val="1"/>
    </w:lvl>
    <w:lvl w:ilvl="1">
      <w:lvlJc w:val="left"/>
      <w:lvlText w:val="%2."/>
      <w:numFmt w:val="decimal"/>
      <w:start w:val="8"/>
    </w:lvl>
  </w:abstractNum>
  <w:abstractNum w:abstractNumId="12">
    <w:nsid w:val="333AB105"/>
    <w:multiLevelType w:val="hybridMultilevel"/>
    <w:lvl w:ilvl="0">
      <w:lvlJc w:val="left"/>
      <w:lvlText w:val="%1."/>
      <w:numFmt w:val="decimal"/>
      <w:start w:val="9"/>
    </w:lvl>
    <w:lvl w:ilvl="1">
      <w:lvlJc w:val="left"/>
      <w:lvlText w:val="%2"/>
      <w:numFmt w:val="decimal"/>
      <w:start w:val="1"/>
    </w:lvl>
  </w:abstractNum>
  <w:abstractNum w:abstractNumId="13">
    <w:nsid w:val="721DA317"/>
    <w:multiLevelType w:val="hybridMultilevel"/>
    <w:lvl w:ilvl="0">
      <w:lvlJc w:val="left"/>
      <w:lvlText w:val="%1."/>
      <w:numFmt w:val="decimal"/>
      <w:start w:val="1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2"/>
    </w:lvl>
  </w:abstractNum>
  <w:abstractNum w:abstractNumId="16">
    <w:nsid w:val="6763845E"/>
    <w:multiLevelType w:val="hybridMultilevel"/>
    <w:lvl w:ilvl="0">
      <w:lvlJc w:val="left"/>
      <w:lvlText w:val="%1."/>
      <w:numFmt w:val="decimal"/>
      <w:start w:val="3"/>
    </w:lvl>
  </w:abstractNum>
  <w:abstractNum w:abstractNumId="17">
    <w:nsid w:val="75A2A8D4"/>
    <w:multiLevelType w:val="hybridMultilevel"/>
    <w:lvl w:ilvl="0">
      <w:lvlJc w:val="left"/>
      <w:lvlText w:val="%1"/>
      <w:numFmt w:val="decimal"/>
      <w:start w:val="1"/>
    </w:lvl>
    <w:lvl w:ilvl="1">
      <w:lvlJc w:val="left"/>
      <w:lvlText w:val="%2."/>
      <w:numFmt w:val="decimal"/>
      <w:start w:val="8"/>
    </w:lvl>
  </w:abstractNum>
  <w:abstractNum w:abstractNumId="18">
    <w:nsid w:val="8EDBDAB"/>
    <w:multiLevelType w:val="hybridMultilevel"/>
    <w:lvl w:ilvl="0">
      <w:lvlJc w:val="left"/>
      <w:lvlText w:val="%1."/>
      <w:numFmt w:val="decimal"/>
      <w:start w:val="9"/>
    </w:lvl>
    <w:lvl w:ilvl="1">
      <w:lvlJc w:val="left"/>
      <w:lvlText w:val="%2"/>
      <w:numFmt w:val="decimal"/>
      <w:start w:val="1"/>
    </w:lvl>
  </w:abstractNum>
  <w:abstractNum w:abstractNumId="19">
    <w:nsid w:val="79838CB2"/>
    <w:multiLevelType w:val="hybridMultilevel"/>
    <w:lvl w:ilvl="0">
      <w:lvlJc w:val="left"/>
      <w:lvlText w:val="%1."/>
      <w:numFmt w:val="decimal"/>
      <w:start w:val="1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1."/>
      <w:numFmt w:val="decimal"/>
      <w:start w:val="3"/>
    </w:lvl>
  </w:abstractNum>
  <w:abstractNum w:abstractNumId="23">
    <w:nsid w:val="54E49EB4"/>
    <w:multiLevelType w:val="hybridMultilevel"/>
    <w:lvl w:ilvl="0">
      <w:lvlJc w:val="left"/>
      <w:lvlText w:val="%1"/>
      <w:numFmt w:val="decimal"/>
      <w:start w:val="1"/>
    </w:lvl>
    <w:lvl w:ilvl="1">
      <w:lvlJc w:val="left"/>
      <w:lvlText w:val="%2."/>
      <w:numFmt w:val="decimal"/>
      <w:start w:val="8"/>
    </w:lvl>
  </w:abstractNum>
  <w:abstractNum w:abstractNumId="24">
    <w:nsid w:val="71F32454"/>
    <w:multiLevelType w:val="hybridMultilevel"/>
    <w:lvl w:ilvl="0">
      <w:lvlJc w:val="left"/>
      <w:lvlText w:val="%1."/>
      <w:numFmt w:val="decimal"/>
      <w:start w:val="9"/>
    </w:lvl>
    <w:lvl w:ilvl="1">
      <w:lvlJc w:val="left"/>
      <w:lvlText w:val="%2"/>
      <w:numFmt w:val="decimal"/>
      <w:start w:val="1"/>
    </w:lvl>
  </w:abstractNum>
  <w:abstractNum w:abstractNumId="25">
    <w:nsid w:val="2CA88611"/>
    <w:multiLevelType w:val="hybridMultilevel"/>
    <w:lvl w:ilvl="0">
      <w:lvlJc w:val="left"/>
      <w:lvlText w:val="%1."/>
      <w:numFmt w:val="decimal"/>
      <w:start w:val="11"/>
    </w:lvl>
  </w:abstractNum>
  <w:abstractNum w:abstractNumId="26">
    <w:nsid w:val="836C40E"/>
    <w:multiLevelType w:val="hybridMultilevel"/>
    <w:lvl w:ilvl="0">
      <w:lvlJc w:val="left"/>
      <w:lvlText w:val="%1"/>
      <w:numFmt w:val="upperLetter"/>
      <w:start w:val="61"/>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2019-12-20T16:45:16Z</dcterms:created>
  <dcterms:modified xsi:type="dcterms:W3CDTF">2019-12-20T16:45:16Z</dcterms:modified>
</cp:coreProperties>
</file>