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014d424b3.htm"/>
        <w:bookmarkStart w:id="1" w:name="ksd15014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333-280909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April 3,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1430655" cy="387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0655" cy="3873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Tectonic Therapeutic, Inc. </w:t>
      </w:r>
    </w:p>
    <w:p>
      <w:pPr>
        <w:pStyle w:val="TextBody"/>
        <w:bidi w:val="0"/>
        <w:spacing w:before="120" w:after="0"/>
        <w:jc w:val="center"/>
        <w:rPr>
          <w:rFonts w:ascii="Times New Roman" w:hAnsi="Times New Roman"/>
          <w:b/>
          <w:sz w:val="28"/>
        </w:rPr>
      </w:pPr>
      <w:r>
        <w:rPr>
          <w:rFonts w:ascii="Times New Roman" w:hAnsi="Times New Roman"/>
          <w:b/>
          <w:sz w:val="28"/>
        </w:rPr>
        <w:t xml:space="preserve">Up to 2,969,583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supplements the prospectus dated April 3, 2025 (the Prospectus), which forms a part of our registration statement on Form S-1 (No. 333-280909), as amended. This prospectus supplement is being filed to update and supplement the information in the Prospectus with certain information contained in our Quarterly Report on Form 10-Q, filed with the Securities and Exchange Commission on May 8, 2025 (the Quarterly Report). Accordingly, we have attached the Quarterly Report in relevant part 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and this prospectus supplement relate to the proposed offer and resale or other disposition from time to time by the selling stockholders identified in this prospectus of up to an aggregate of 2,969,583 shares of common stock, par value $0.0001 per share (the Common Stock), of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ticker symbol TECX. On May 7, 2025, the last reported sales price of our Common Stock was $18.97 per share.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complete without, and may not be delivered or utilized except in connection with, the Prospectus, including any amendments or supplements thereto.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You should review carefully the risks and uncertainties described in the section titled Risk Factors beginning on page 9 of the Prospectus, and under similar headings in any amendments or supplements to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or the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May 8,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10-Q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quarterly period ended March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______________ to ______________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001-38537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81-0710585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490 Arsenal Way, Suite 210</w:t>
            </w:r>
          </w:p>
          <w:p>
            <w:pPr>
              <w:pStyle w:val="TableContents"/>
              <w:bidi w:val="0"/>
              <w:spacing w:before="0" w:after="20"/>
              <w:jc w:val="center"/>
              <w:rPr>
                <w:rFonts w:ascii="Times New Roman" w:hAnsi="Times New Roman"/>
                <w:b/>
                <w:sz w:val="20"/>
              </w:rPr>
            </w:pPr>
            <w:r>
              <w:rPr>
                <w:rFonts w:ascii="Times New Roman" w:hAnsi="Times New Roman"/>
                <w:b/>
                <w:sz w:val="20"/>
              </w:rPr>
              <w:t>Watertown, MA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02472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(339) 666-3320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0"/>
        <w:gridCol w:w="3268"/>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0" w:type="dxa"/>
            <w:tcBorders/>
            <w:vAlign w:val="bottom"/>
          </w:tcPr>
          <w:p>
            <w:pPr>
              <w:pStyle w:val="TableContents"/>
              <w:bidi w:val="0"/>
              <w:spacing w:before="0" w:after="283"/>
              <w:jc w:val="left"/>
              <w:rPr/>
            </w:pPr>
            <w:r>
              <w:rPr/>
              <w:t> </w:t>
            </w:r>
          </w:p>
        </w:tc>
        <w:tc>
          <w:tcPr>
            <w:tcW w:w="326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b/>
              </w:rPr>
            </w:pPr>
            <w:r>
              <w:rPr>
                <w:b/>
              </w:rPr>
              <w:t>Common Stock, par value $0.0001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TECX</w:t>
            </w:r>
          </w:p>
        </w:tc>
        <w:tc>
          <w:tcPr>
            <w:tcW w:w="100"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As of May 1, 2025, the registrant had 18,672,509 shares of common stock, $0.0001 par value per share,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2"/>
        <w:gridCol w:w="175"/>
        <w:gridCol w:w="8086"/>
        <w:gridCol w:w="175"/>
        <w:gridCol w:w="96"/>
        <w:gridCol w:w="427"/>
        <w:gridCol w:w="64"/>
      </w:tblGrid>
      <w:tr>
        <w:trPr/>
        <w:tc>
          <w:tcPr>
            <w:tcW w:w="118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8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3"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261"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
              <w:r>
                <w:rPr>
                  <w:rStyle w:val="InternetLink"/>
                </w:rPr>
                <w:t>FINANCIAL INFORMATION</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261"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2">
              <w:r>
                <w:rPr>
                  <w:rStyle w:val="InternetLink"/>
                </w:rPr>
                <w:t>Financial Statements (Unaudited)</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3">
              <w:r>
                <w:rPr>
                  <w:rStyle w:val="InternetLink"/>
                </w:rPr>
                <w:t xml:space="preserve">Condensed Consolidated Balance Sheets as of March 31, 2025 and December 31, 2024 </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4">
              <w:r>
                <w:rPr>
                  <w:rStyle w:val="InternetLink"/>
                </w:rPr>
                <w:t>Condensed Consolidated Statements of Operations and Comprehensive Loss for the three months ended March 31, 2025 and 2024</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5">
              <w:r>
                <w:rPr>
                  <w:rStyle w:val="InternetLink"/>
                </w:rPr>
                <w:t>Condensed Consolidated Statements of Convertible Preferred Stock and Stockholders Equity (Deficit) for the three months ended March 31, 2025 and 2024</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6">
              <w:r>
                <w:rPr>
                  <w:rStyle w:val="InternetLink"/>
                </w:rPr>
                <w:t xml:space="preserve">Condensed Consolidated Statements of Cash Flows for the three months ended March 31, 2025 and 2024 </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7">
              <w:r>
                <w:rPr>
                  <w:rStyle w:val="InternetLink"/>
                </w:rPr>
                <w:t>Notes to Unaudited Interim Condensed Consolidated Financial Statements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8">
              <w:r>
                <w:rPr>
                  <w:rStyle w:val="InternetLink"/>
                </w:rPr>
                <w:t>Managements Discussion and Analysis of Financial Condition and Results of Operations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9">
              <w:r>
                <w:rPr>
                  <w:rStyle w:val="InternetLink"/>
                </w:rPr>
                <w:t>Quantitative and Qualitative Disclosures About Market Risk</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0">
              <w:r>
                <w:rPr>
                  <w:rStyle w:val="InternetLink"/>
                </w:rPr>
                <w:t>Controls and Procedures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261"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II.</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1">
              <w:r>
                <w:rPr>
                  <w:rStyle w:val="InternetLink"/>
                </w:rPr>
                <w:t>OTHER INFORMATION</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261"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2">
              <w:r>
                <w:rPr>
                  <w:rStyle w:val="InternetLink"/>
                </w:rPr>
                <w:t>Legal Proceedings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3">
              <w:r>
                <w:rPr>
                  <w:rStyle w:val="InternetLink"/>
                </w:rPr>
                <w:t>Risk Factors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4">
              <w:r>
                <w:rPr>
                  <w:rStyle w:val="InternetLink"/>
                </w:rPr>
                <w:t>Unregistered Sales of Equity Securities and Use of Proceeds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5">
              <w:r>
                <w:rPr>
                  <w:rStyle w:val="InternetLink"/>
                </w:rPr>
                <w:t>Defaults Upon Senior Securities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6">
              <w:r>
                <w:rPr>
                  <w:rStyle w:val="InternetLink"/>
                </w:rPr>
                <w:t>Mine Safety Disclosures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7">
              <w:r>
                <w:rPr>
                  <w:rStyle w:val="InternetLink"/>
                </w:rPr>
                <w:t>Other Information</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8">
              <w:r>
                <w:rPr>
                  <w:rStyle w:val="InternetLink"/>
                </w:rPr>
                <w:t>Exhibits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9">
              <w:r>
                <w:rPr>
                  <w:rStyle w:val="InternetLink"/>
                </w:rPr>
                <w:t>Signatures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(Quarterly Report) contains forward-looking statements within the meaning of Section 21E the Securities Exchange Act of 1934, as amended (the Exchange Act). All statements other than statements of historical facts contained in this Quarterly Report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Quarterly Report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TX45, TX2100 and any other product candidates, and our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if approved, or the commercial or market opportunity with respect to any of our future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operations, financial position, ability to raise capital to fund our operations, revenues, costs or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regarding our future economic conditions or performance, 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the foregoing list may not contain all of the forward-looking statements made in this Quarterly Report. 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 including those described under the section titled Risk Factors under Part II, Item 1A below, and under similar captions in our periodic reports filed with the Securities and Exchange Commission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on Form 10-Q.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q15014_1"/>
      <w:bookmarkEnd w:id="3"/>
      <w:r>
        <w:rPr>
          <w:rFonts w:ascii="Times New Roman" w:hAnsi="Times New Roman"/>
          <w:b/>
          <w:sz w:val="20"/>
        </w:rPr>
        <w:t xml:space="preserve">PART IFINANCIAL INFORMATION </w:t>
      </w:r>
    </w:p>
    <w:p>
      <w:pPr>
        <w:pStyle w:val="TextBody"/>
        <w:bidi w:val="0"/>
        <w:spacing w:before="240" w:after="0"/>
        <w:jc w:val="left"/>
        <w:rPr>
          <w:rFonts w:ascii="Times New Roman" w:hAnsi="Times New Roman"/>
          <w:b/>
          <w:sz w:val="20"/>
        </w:rPr>
      </w:pPr>
      <w:bookmarkStart w:id="4" w:name="q15014_2"/>
      <w:bookmarkEnd w:id="4"/>
      <w:r>
        <w:rPr>
          <w:rFonts w:ascii="Times New Roman" w:hAnsi="Times New Roman"/>
          <w:b/>
          <w:sz w:val="20"/>
        </w:rPr>
        <w:t xml:space="preserve">Item 1. Financial Statements. </w:t>
      </w:r>
    </w:p>
    <w:p>
      <w:pPr>
        <w:pStyle w:val="TextBody"/>
        <w:bidi w:val="0"/>
        <w:spacing w:before="480" w:after="0"/>
        <w:jc w:val="center"/>
        <w:rPr>
          <w:rFonts w:ascii="Times New Roman" w:hAnsi="Times New Roman"/>
          <w:b/>
          <w:sz w:val="20"/>
        </w:rPr>
      </w:pPr>
      <w:bookmarkStart w:id="5" w:name="q15014_3"/>
      <w:bookmarkEnd w:id="5"/>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6"/>
        <w:gridCol w:w="305"/>
        <w:gridCol w:w="147"/>
        <w:gridCol w:w="934"/>
        <w:gridCol w:w="155"/>
        <w:gridCol w:w="258"/>
        <w:gridCol w:w="195"/>
        <w:gridCol w:w="1307"/>
        <w:gridCol w:w="158"/>
      </w:tblGrid>
      <w:tr>
        <w:trPr/>
        <w:tc>
          <w:tcPr>
            <w:tcW w:w="6746"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306,246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141,239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3,397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5,618</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309,643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146,857</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1,924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2,151</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right-of-use assets, net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813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919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right-of-use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1,724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2,235</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587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587</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138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156</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314,829</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152,905</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6,254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976</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4,907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7,850</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1,874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2,295</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475</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489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13,510</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11,610</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132</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liability, non-current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387</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13,793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12,129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11)</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10,000,000 shares authorized as of March 31, 2025 and December 31, 2024; no shares issued and outstanding as of March 31, 2025 and December 31, 2024</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150,000,000 shares authorized as of March 31, 2025 and December 31, 2024; 18,671,229 and 14,856,309 shares issued and outstanding as of March 31, 2025 and December 31, 2024, respectively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465,524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289,351</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(164,492</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(148,586</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301,036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140,776</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314,829</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152,905</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q15014_4"/>
      <w:bookmarkEnd w:id="6"/>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2"/>
        <w:gridCol w:w="301"/>
        <w:gridCol w:w="140"/>
        <w:gridCol w:w="1114"/>
        <w:gridCol w:w="155"/>
        <w:gridCol w:w="261"/>
        <w:gridCol w:w="140"/>
        <w:gridCol w:w="1033"/>
        <w:gridCol w:w="159"/>
      </w:tblGrid>
      <w:tr>
        <w:trPr/>
        <w:tc>
          <w:tcPr>
            <w:tcW w:w="6902"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8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4" w:type="dxa"/>
            <w:tcBorders/>
            <w:vAlign w:val="bottom"/>
          </w:tcPr>
          <w:p>
            <w:pPr>
              <w:pStyle w:val="TableContents"/>
              <w:bidi w:val="0"/>
              <w:spacing w:before="0" w:after="283"/>
              <w:jc w:val="right"/>
              <w:rPr/>
            </w:pPr>
            <w:r>
              <w:rPr/>
              <w:t>13,036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10,818</w:t>
            </w:r>
          </w:p>
        </w:tc>
        <w:tc>
          <w:tcPr>
            <w:tcW w:w="159" w:type="dxa"/>
            <w:tcBorders/>
            <w:vAlign w:val="bottom"/>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5,262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2,150</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18,298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12,968</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(18,298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(12,968</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(2,075</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2,444</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256</w:t>
            </w:r>
          </w:p>
        </w:tc>
        <w:tc>
          <w:tcPr>
            <w:tcW w:w="159" w:type="dxa"/>
            <w:tcBorders/>
            <w:vAlign w:val="bottom"/>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(403</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2,392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(2,253</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(15,221</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(50</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(15,913</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(15,271</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4" w:type="dxa"/>
            <w:tcBorders/>
            <w:vAlign w:val="bottom"/>
          </w:tcPr>
          <w:p>
            <w:pPr>
              <w:pStyle w:val="TableContents"/>
              <w:bidi w:val="0"/>
              <w:spacing w:before="0" w:after="283"/>
              <w:jc w:val="right"/>
              <w:rPr/>
            </w:pPr>
            <w:r>
              <w:rPr/>
              <w:t>(0.93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(10.97</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17,157,661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1,387,303</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q15014_5"/>
      <w:bookmarkEnd w:id="7"/>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EQUITY (DEFICIT)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2870" w:type="dxa"/>
        <w:jc w:val="center"/>
        <w:tblInd w:w="0" w:type="dxa"/>
        <w:tblLayout w:type="fixed"/>
        <w:tblCellMar>
          <w:top w:w="0" w:type="dxa"/>
          <w:left w:w="0" w:type="dxa"/>
          <w:bottom w:w="0" w:type="dxa"/>
          <w:right w:w="0" w:type="dxa"/>
        </w:tblCellMar>
      </w:tblPr>
      <w:tblGrid>
        <w:gridCol w:w="1070"/>
        <w:gridCol w:w="120"/>
        <w:gridCol w:w="80"/>
        <w:gridCol w:w="1423"/>
        <w:gridCol w:w="209"/>
        <w:gridCol w:w="80"/>
        <w:gridCol w:w="188"/>
        <w:gridCol w:w="920"/>
        <w:gridCol w:w="60"/>
        <w:gridCol w:w="120"/>
        <w:gridCol w:w="60"/>
        <w:gridCol w:w="1100"/>
        <w:gridCol w:w="155"/>
        <w:gridCol w:w="60"/>
        <w:gridCol w:w="430"/>
        <w:gridCol w:w="430"/>
        <w:gridCol w:w="60"/>
        <w:gridCol w:w="120"/>
        <w:gridCol w:w="163"/>
        <w:gridCol w:w="937"/>
        <w:gridCol w:w="60"/>
        <w:gridCol w:w="120"/>
        <w:gridCol w:w="474"/>
        <w:gridCol w:w="1136"/>
        <w:gridCol w:w="155"/>
        <w:gridCol w:w="60"/>
        <w:gridCol w:w="188"/>
        <w:gridCol w:w="1182"/>
        <w:gridCol w:w="155"/>
        <w:gridCol w:w="60"/>
        <w:gridCol w:w="199"/>
        <w:gridCol w:w="1141"/>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 Preferred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 Income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Equity</w:t>
              <w:br/>
              <w:t>(Deficit)</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January 1, 2024</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6,825,483</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80,627</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2,634,246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(90,604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(84,636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Retroactive application of reverse recapitalization</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(3,177,808</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(1,226,493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balance, beginning of period</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3,647,675</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80,627</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1,407,753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(90,604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(84,636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321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(15,221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(15,221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Balances as of March 31, 2024</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3,647,675</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920" w:type="dxa"/>
            <w:tcBorders/>
            <w:vAlign w:val="bottom"/>
          </w:tcPr>
          <w:p>
            <w:pPr>
              <w:pStyle w:val="TableContents"/>
              <w:bidi w:val="0"/>
              <w:spacing w:before="0" w:after="283"/>
              <w:jc w:val="right"/>
              <w:rPr/>
            </w:pPr>
            <w:r>
              <w:rPr/>
              <w:t>80,627</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1,409,288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6,304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(105,825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(99,574</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423"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January 1, 2025</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14,856,309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289,351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(148,586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140,776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125,455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972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972</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2,103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2,103</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stock in connection with the private placement, net of offering costs of $11,928</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3,689,465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173,098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173,098</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March 31, 2025</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18,671,229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465,524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(164,492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301,036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423"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q15014_6"/>
      <w:bookmarkEnd w:id="8"/>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1"/>
        <w:gridCol w:w="153"/>
        <w:gridCol w:w="140"/>
        <w:gridCol w:w="809"/>
        <w:gridCol w:w="155"/>
        <w:gridCol w:w="117"/>
        <w:gridCol w:w="140"/>
        <w:gridCol w:w="782"/>
        <w:gridCol w:w="158"/>
      </w:tblGrid>
      <w:tr>
        <w:trPr/>
        <w:tc>
          <w:tcPr>
            <w:tcW w:w="775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5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1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(15,221</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360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377</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2,103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321</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Reduction in the carrying amount of the operating right-of-use assets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511</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294</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2,075</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2,221</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289</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24</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1,584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1,510</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(3,417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1,382</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(553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(324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(13,083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(9,273</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equipment and improvements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(554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private placement, net of offering costs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177,268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common stock options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972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finance lease obligations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(118</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178,122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(668</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(76</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 and restricted cash</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165,007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(10,021</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beginning of period</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141,826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29,356</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end of period</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306,833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19,335</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306,246</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18,748</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587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587</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306,833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19,335</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expenses and other current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1,576</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Private placement costs included in accrued expenses and other current liabilities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4,170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q15014_7"/>
      <w:bookmarkEnd w:id="9"/>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BUSINESS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and Pre-Merger Financing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Legacy Tectonics restricted common stock, outstanding and unvested immediately prior to the closing, was assumed by AVROBIO in the Merger. </w:t>
      </w:r>
    </w:p>
    <w:p>
      <w:pPr>
        <w:pStyle w:val="TextBody"/>
        <w:bidi w:val="0"/>
        <w:spacing w:before="120" w:after="0"/>
        <w:jc w:val="left"/>
        <w:rPr>
          <w:rFonts w:ascii="Times New Roman" w:hAnsi="Times New Roman"/>
          <w:sz w:val="20"/>
        </w:rPr>
      </w:pPr>
      <w:r>
        <w:rPr>
          <w:rFonts w:ascii="Times New Roman" w:hAnsi="Times New Roman"/>
          <w:sz w:val="20"/>
        </w:rPr>
        <w:t xml:space="preserve">Legacy Tectonic stockholders received 10,956,614 shares of AVROBIO common stock in connection with the Merger, including 11,447 shares of AVROBIO restricted common stock subject to vesting terms, based on the number of shares of Legacy Tectonic common stock outstanding immediately prior to the Merger, including restricted stock, the number of shares of common stock issued to investors participating in the Subscription Agreements (as defined below) and Simple Agreements for Future Equity (SAFEs), and Legacy Tectonic convertible preferred stock outstanding immediately prior to the Merger, which was converted into shares of Legacy Tectonic common stock on a one-for-one basis immediately prior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closing of the Merger, certain investors of Legacy Tectonic completed the purchase of 7,790,889 shares of Legacy Tectonic common stock pursuant to the Subscription Agreement dated January 30, 2024 (the Subscription Agreement) at a purchase price of $12.40 per share for an aggregate purchase price of $96.6 million. Shares of Legacy Tectonic common stock issued pursuant to the Subscription Agreements were converted into 4,163,606 shares of AVROBIO common stock at the closing of the Merger based on the Exchange Ratio,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2025, the Company entered into a securities purchase agreement (the Private Placement) pursuant to which the Company issued an aggregate of 3,689,465 shares of common stock, at a price of $50.00 per share to institutional accredited investors and $54.14 per share to individual accredited investors that are either an officer or director of the Company, in exchange for aggregate consideration of approximately $185.0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$15.9 million and $15.2 million for the three months ended March 31, 2025 and 2024, respectively and had an accumulated deficit of $164.5 million as of March 31, 2025. The Company has financed its operations primarily through the sale and issuance of common stock, convertible preferred stock, convertible promissory notes, SAFEs and the Merger. In February 2025, the Company sold shares of its common stock under a securities purchase agreement in exchange for gross proceeds of approximately $185.0 million. The Company has devoted substantially all of its financial resources and efforts to business planning, conducting research and development, recruiting management and technical staff, and raising capital.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$306.2 million as of March 31, 2025. Management believes that the Companys current cash and cash equivalents will be sufficient to fund its planned operations for at least 12 months from the issuance date of these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These condensed consolidated financial statements are unaudited and, in the opinion of management, include all adjustments (consisting only of normal recurring adjustments and accruals) necessary for a fair statement of the results for the periods presented in accordance with accounting principles generally accepted in the United States of America (GAAP). The year-end condensed consolidated balance sheet data was derived from our audited consolidated financial statements but does not include all disclosures required by GAAP. Operating results for the three months ended March 31, 2025 are not necessarily indicative of the results that may be expected for the fiscal year ending December 31, 2025. Certain information and footnote disclosures normally included in the annual consolidated financial statements prepared in accordance with GAAP have been omitted in accordance with the SECs rules and regulations for interim reporting.</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and related notes should be read in conjunction with our audited consolidated financial statements for the year ended December 31, 2024, which are included in our 2024 Annual Report on Form 10-K for the fiscal year ended December 31, 2024 (the 2024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Our significant accounting policies are disclosed in Note 2 of the consolidated financial statements for the years ended December 31, 2024 and 2023, which are included in our 2024 Annual Report on Form 10-K. There have been no material changes to our significant accounting policies during the three months ended March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include the accounts of the Company and its subsidiaries. All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prepaid and accrued research and development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has one reportable segment and manages its operations on a consolidated basis for the purposes of assessing performance and making operating decisions. See Note 13, </w:t>
      </w:r>
      <w:r>
        <w:rPr>
          <w:rFonts w:ascii="Times New Roman" w:hAnsi="Times New Roman"/>
          <w:i/>
          <w:sz w:val="20"/>
        </w:rPr>
        <w:t>Segment Information</w:t>
      </w:r>
      <w:r>
        <w:rPr>
          <w:rFonts w:ascii="Times New Roman" w:hAnsi="Times New Roman"/>
          <w:sz w:val="20"/>
        </w:rPr>
        <w:t xml:space="preserve"> for additional information regarding the Companys segment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(Subtopic 220-40) (ASU 2024-03), which requires disaggregated disclosure of certain income statement captions within the footnotes to the financial statements. The amendments in ASU 2024-03 are effective for fiscal years beginning after December 15, 2026, and early adoption is permitted. The Company is currently evaluating the impact of ASU 2023-09 on its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No. 2023-09, </w:t>
      </w:r>
      <w:r>
        <w:rPr>
          <w:rFonts w:ascii="Times New Roman" w:hAnsi="Times New Roman"/>
          <w:i/>
          <w:sz w:val="20"/>
        </w:rPr>
        <w:t xml:space="preserve">Income Taxes </w:t>
      </w:r>
      <w:r>
        <w:rPr>
          <w:rFonts w:ascii="Times New Roman" w:hAnsi="Times New Roman"/>
          <w:sz w:val="20"/>
        </w:rPr>
        <w:t xml:space="preserve">(Topic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described in Note 1, </w:t>
      </w:r>
      <w:r>
        <w:rPr>
          <w:rFonts w:ascii="Times New Roman" w:hAnsi="Times New Roman"/>
          <w:i/>
          <w:sz w:val="20"/>
        </w:rPr>
        <w:t>Nature of Business</w:t>
      </w:r>
      <w:r>
        <w:rPr>
          <w:rFonts w:ascii="Times New Roman" w:hAnsi="Times New Roman"/>
          <w:sz w:val="20"/>
        </w:rPr>
        <w:t xml:space="preserve">, the Company completed its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assets. Under such reverse recapitalization accounting, the assets and liabilities of AVROBIO were recorded at their fair value at the effective time of the Merger, which approximated book value due to the short-term nature. No goodwill or intangible assets were recognized. Consequently, the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recapitalization, Legacy Tectonic obtained the assets and liabilities listed below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1"/>
        <w:gridCol w:w="303"/>
        <w:gridCol w:w="146"/>
        <w:gridCol w:w="720"/>
        <w:gridCol w:w="159"/>
      </w:tblGrid>
      <w:tr>
        <w:trPr/>
        <w:tc>
          <w:tcPr>
            <w:tcW w:w="5611"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85,230</w:t>
            </w:r>
          </w:p>
        </w:tc>
        <w:tc>
          <w:tcPr>
            <w:tcW w:w="159" w:type="dxa"/>
            <w:tcBorders/>
            <w:shd w:fill="CCEEFF" w:val="clear"/>
            <w:vAlign w:val="bottom"/>
          </w:tcPr>
          <w:p>
            <w:pPr>
              <w:pStyle w:val="TableContents"/>
              <w:bidi w:val="0"/>
              <w:spacing w:before="0" w:after="283"/>
              <w:jc w:val="left"/>
              <w:rPr/>
            </w:pPr>
            <w:r>
              <w:rPr/>
              <w:t> </w:t>
            </w:r>
          </w:p>
        </w:tc>
      </w:tr>
      <w:tr>
        <w:trPr/>
        <w:tc>
          <w:tcPr>
            <w:tcW w:w="561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319</w:t>
            </w:r>
          </w:p>
        </w:tc>
        <w:tc>
          <w:tcPr>
            <w:tcW w:w="159" w:type="dxa"/>
            <w:tcBorders/>
            <w:vAlign w:val="bottom"/>
          </w:tcPr>
          <w:p>
            <w:pPr>
              <w:pStyle w:val="TableContents"/>
              <w:bidi w:val="0"/>
              <w:spacing w:before="0" w:after="283"/>
              <w:jc w:val="left"/>
              <w:rPr/>
            </w:pPr>
            <w:r>
              <w:rPr/>
              <w:t> </w:t>
            </w:r>
          </w:p>
        </w:tc>
      </w:tr>
      <w:tr>
        <w:trPr/>
        <w:tc>
          <w:tcPr>
            <w:tcW w:w="5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(1,988</w:t>
            </w:r>
          </w:p>
        </w:tc>
        <w:tc>
          <w:tcPr>
            <w:tcW w:w="159" w:type="dxa"/>
            <w:tcBorders/>
            <w:shd w:fill="CCEEFF" w:val="clear"/>
            <w:vAlign w:val="bottom"/>
          </w:tcPr>
          <w:p>
            <w:pPr>
              <w:pStyle w:val="TableContents"/>
              <w:bidi w:val="0"/>
              <w:spacing w:before="0" w:after="283"/>
              <w:jc w:val="left"/>
              <w:rPr/>
            </w:pPr>
            <w:r>
              <w:rPr/>
              <w:t>) </w:t>
            </w:r>
          </w:p>
        </w:tc>
      </w:tr>
      <w:tr>
        <w:trPr/>
        <w:tc>
          <w:tcPr>
            <w:tcW w:w="561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(5,405</w:t>
            </w:r>
          </w:p>
        </w:tc>
        <w:tc>
          <w:tcPr>
            <w:tcW w:w="159" w:type="dxa"/>
            <w:tcBorders/>
            <w:vAlign w:val="bottom"/>
          </w:tcPr>
          <w:p>
            <w:pPr>
              <w:pStyle w:val="TableContents"/>
              <w:bidi w:val="0"/>
              <w:spacing w:before="0" w:after="283"/>
              <w:jc w:val="left"/>
              <w:rPr/>
            </w:pPr>
            <w:r>
              <w:rPr/>
              <w:t>) </w:t>
            </w:r>
          </w:p>
        </w:tc>
      </w:tr>
      <w:tr>
        <w:trPr/>
        <w:tc>
          <w:tcPr>
            <w:tcW w:w="561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78,156</w:t>
            </w:r>
          </w:p>
        </w:tc>
        <w:tc>
          <w:tcPr>
            <w:tcW w:w="159" w:type="dxa"/>
            <w:tcBorders/>
            <w:shd w:fill="CCEEFF" w:val="clear"/>
            <w:vAlign w:val="bottom"/>
          </w:tcPr>
          <w:p>
            <w:pPr>
              <w:pStyle w:val="TableContents"/>
              <w:bidi w:val="0"/>
              <w:spacing w:before="0" w:after="283"/>
              <w:jc w:val="left"/>
              <w:rPr/>
            </w:pPr>
            <w:r>
              <w:rPr/>
              <w:t> </w:t>
            </w:r>
          </w:p>
        </w:tc>
      </w:tr>
      <w:tr>
        <w:trPr/>
        <w:tc>
          <w:tcPr>
            <w:tcW w:w="561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incurred transaction costs of $9.3 million which was recorded as a reduction to additional paid-in capital in the condensed consolidated balance sheet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financial assets and liabilities measured at fair value on a recurring basis and indicate the level of the fair value hierarchy utilized to determine such fair values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89"/>
        <w:gridCol w:w="264"/>
        <w:gridCol w:w="140"/>
        <w:gridCol w:w="851"/>
        <w:gridCol w:w="60"/>
        <w:gridCol w:w="264"/>
        <w:gridCol w:w="378"/>
        <w:gridCol w:w="379"/>
        <w:gridCol w:w="60"/>
        <w:gridCol w:w="264"/>
        <w:gridCol w:w="378"/>
        <w:gridCol w:w="379"/>
        <w:gridCol w:w="60"/>
        <w:gridCol w:w="264"/>
        <w:gridCol w:w="140"/>
        <w:gridCol w:w="850"/>
        <w:gridCol w:w="68"/>
      </w:tblGrid>
      <w:tr>
        <w:trPr/>
        <w:tc>
          <w:tcPr>
            <w:tcW w:w="4589"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58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446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8"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304,615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3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3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304,615</w:t>
            </w:r>
          </w:p>
        </w:tc>
        <w:tc>
          <w:tcPr>
            <w:tcW w:w="68"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304,615</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304,615</w:t>
            </w:r>
          </w:p>
        </w:tc>
        <w:tc>
          <w:tcPr>
            <w:tcW w:w="68"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89"/>
        <w:gridCol w:w="264"/>
        <w:gridCol w:w="140"/>
        <w:gridCol w:w="851"/>
        <w:gridCol w:w="60"/>
        <w:gridCol w:w="264"/>
        <w:gridCol w:w="378"/>
        <w:gridCol w:w="379"/>
        <w:gridCol w:w="60"/>
        <w:gridCol w:w="264"/>
        <w:gridCol w:w="378"/>
        <w:gridCol w:w="379"/>
        <w:gridCol w:w="60"/>
        <w:gridCol w:w="264"/>
        <w:gridCol w:w="140"/>
        <w:gridCol w:w="850"/>
        <w:gridCol w:w="68"/>
      </w:tblGrid>
      <w:tr>
        <w:trPr/>
        <w:tc>
          <w:tcPr>
            <w:tcW w:w="4589"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58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446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8"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139,610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3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3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139,610</w:t>
            </w:r>
          </w:p>
        </w:tc>
        <w:tc>
          <w:tcPr>
            <w:tcW w:w="68"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139,610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139,610</w:t>
            </w:r>
          </w:p>
        </w:tc>
        <w:tc>
          <w:tcPr>
            <w:tcW w:w="68"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Money market funds are included in cash and cash equivalents on the condensed consolidated balance sheets and are classified within Level 1 of the fair value hierarchy because they are valued using quoted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Legacy Tectonic entered into multiple SAFE agreements with certain existing investors and received $34.1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 All investors were considered related parties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the Merger, the principal balance of the SAFEs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activity for the SAFE liabilities that were measured at fair value using significant unobservable Level 3 inputs during the year ended December 31, 2024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91"/>
        <w:gridCol w:w="682"/>
        <w:gridCol w:w="265"/>
        <w:gridCol w:w="1444"/>
        <w:gridCol w:w="157"/>
      </w:tblGrid>
      <w:tr>
        <w:trPr/>
        <w:tc>
          <w:tcPr>
            <w:tcW w:w="4391"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91"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1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SAFE Liabilities</w:t>
            </w:r>
          </w:p>
        </w:tc>
        <w:tc>
          <w:tcPr>
            <w:tcW w:w="157" w:type="dxa"/>
            <w:tcBorders/>
            <w:vAlign w:val="bottom"/>
          </w:tcPr>
          <w:p>
            <w:pPr>
              <w:pStyle w:val="TableContents"/>
              <w:bidi w:val="0"/>
              <w:spacing w:before="0" w:after="283"/>
              <w:jc w:val="left"/>
              <w:rPr/>
            </w:pPr>
            <w:r>
              <w:rPr/>
              <w:t> </w:t>
            </w:r>
          </w:p>
        </w:tc>
      </w:tr>
      <w:tr>
        <w:trPr/>
        <w:tc>
          <w:tcPr>
            <w:tcW w:w="4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January 1, 2024</w:t>
            </w:r>
          </w:p>
        </w:tc>
        <w:tc>
          <w:tcPr>
            <w:tcW w:w="68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30,515</w:t>
            </w:r>
          </w:p>
        </w:tc>
        <w:tc>
          <w:tcPr>
            <w:tcW w:w="157" w:type="dxa"/>
            <w:tcBorders/>
            <w:shd w:fill="CCEEFF" w:val="clear"/>
            <w:vAlign w:val="bottom"/>
          </w:tcPr>
          <w:p>
            <w:pPr>
              <w:pStyle w:val="TableContents"/>
              <w:bidi w:val="0"/>
              <w:spacing w:before="0" w:after="283"/>
              <w:jc w:val="left"/>
              <w:rPr/>
            </w:pPr>
            <w:r>
              <w:rPr/>
              <w:t> </w:t>
            </w:r>
          </w:p>
        </w:tc>
      </w:tr>
      <w:tr>
        <w:trPr/>
        <w:tc>
          <w:tcPr>
            <w:tcW w:w="4391"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68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3,610</w:t>
            </w:r>
          </w:p>
        </w:tc>
        <w:tc>
          <w:tcPr>
            <w:tcW w:w="157" w:type="dxa"/>
            <w:tcBorders/>
            <w:vAlign w:val="bottom"/>
          </w:tcPr>
          <w:p>
            <w:pPr>
              <w:pStyle w:val="TableContents"/>
              <w:bidi w:val="0"/>
              <w:spacing w:before="0" w:after="283"/>
              <w:jc w:val="left"/>
              <w:rPr/>
            </w:pPr>
            <w:r>
              <w:rPr/>
              <w:t> </w:t>
            </w:r>
          </w:p>
        </w:tc>
      </w:tr>
      <w:tr>
        <w:trPr/>
        <w:tc>
          <w:tcPr>
            <w:tcW w:w="4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w:t>
            </w:r>
          </w:p>
        </w:tc>
        <w:tc>
          <w:tcPr>
            <w:tcW w:w="68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(34,125</w:t>
            </w:r>
          </w:p>
        </w:tc>
        <w:tc>
          <w:tcPr>
            <w:tcW w:w="157" w:type="dxa"/>
            <w:tcBorders/>
            <w:shd w:fill="CCEEFF" w:val="clear"/>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4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68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444"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44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is comprised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1"/>
        <w:gridCol w:w="435"/>
        <w:gridCol w:w="193"/>
        <w:gridCol w:w="880"/>
        <w:gridCol w:w="155"/>
        <w:gridCol w:w="393"/>
        <w:gridCol w:w="255"/>
        <w:gridCol w:w="1165"/>
        <w:gridCol w:w="158"/>
      </w:tblGrid>
      <w:tr>
        <w:trPr/>
        <w:tc>
          <w:tcPr>
            <w:tcW w:w="4121"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21"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15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4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4,590</w:t>
            </w:r>
          </w:p>
        </w:tc>
        <w:tc>
          <w:tcPr>
            <w:tcW w:w="15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4,590</w:t>
            </w:r>
          </w:p>
        </w:tc>
        <w:tc>
          <w:tcPr>
            <w:tcW w:w="158" w:type="dxa"/>
            <w:tcBorders/>
            <w:shd w:fill="CCEEFF" w:val="clear"/>
            <w:vAlign w:val="bottom"/>
          </w:tcPr>
          <w:p>
            <w:pPr>
              <w:pStyle w:val="TableContents"/>
              <w:bidi w:val="0"/>
              <w:spacing w:before="0" w:after="283"/>
              <w:jc w:val="left"/>
              <w:rPr/>
            </w:pPr>
            <w:r>
              <w:rPr/>
              <w:t> </w:t>
            </w:r>
          </w:p>
        </w:tc>
      </w:tr>
      <w:tr>
        <w:trPr/>
        <w:tc>
          <w:tcPr>
            <w:tcW w:w="4121" w:type="dxa"/>
            <w:tcBorders/>
          </w:tcPr>
          <w:p>
            <w:pPr>
              <w:pStyle w:val="TableContents"/>
              <w:bidi w:val="0"/>
              <w:spacing w:before="0" w:after="0"/>
              <w:jc w:val="left"/>
              <w:rPr>
                <w:rFonts w:ascii="Times New Roman" w:hAnsi="Times New Roman"/>
                <w:sz w:val="20"/>
              </w:rPr>
            </w:pPr>
            <w:r>
              <w:rPr>
                <w:rFonts w:ascii="Times New Roman" w:hAnsi="Times New Roman"/>
                <w:sz w:val="20"/>
              </w:rPr>
              <w:t>Office equipment, furniture and fixtures</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281</w:t>
            </w:r>
          </w:p>
        </w:tc>
        <w:tc>
          <w:tcPr>
            <w:tcW w:w="15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281</w:t>
            </w:r>
          </w:p>
        </w:tc>
        <w:tc>
          <w:tcPr>
            <w:tcW w:w="158" w:type="dxa"/>
            <w:tcBorders/>
            <w:vAlign w:val="bottom"/>
          </w:tcPr>
          <w:p>
            <w:pPr>
              <w:pStyle w:val="TableContents"/>
              <w:bidi w:val="0"/>
              <w:spacing w:before="0" w:after="283"/>
              <w:jc w:val="left"/>
              <w:rPr/>
            </w:pPr>
            <w:r>
              <w:rPr/>
              <w:t> </w:t>
            </w:r>
          </w:p>
        </w:tc>
      </w:tr>
      <w:tr>
        <w:trPr/>
        <w:tc>
          <w:tcPr>
            <w:tcW w:w="4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121"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41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1" w:type="dxa"/>
            <w:tcBorders/>
            <w:shd w:fill="CCEEFF" w:val="clear"/>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4,923</w:t>
            </w:r>
          </w:p>
        </w:tc>
        <w:tc>
          <w:tcPr>
            <w:tcW w:w="15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4,896</w:t>
            </w:r>
          </w:p>
        </w:tc>
        <w:tc>
          <w:tcPr>
            <w:tcW w:w="158" w:type="dxa"/>
            <w:tcBorders/>
            <w:shd w:fill="CCEEFF" w:val="clear"/>
            <w:vAlign w:val="bottom"/>
          </w:tcPr>
          <w:p>
            <w:pPr>
              <w:pStyle w:val="TableContents"/>
              <w:bidi w:val="0"/>
              <w:spacing w:before="0" w:after="283"/>
              <w:jc w:val="left"/>
              <w:rPr/>
            </w:pPr>
            <w:r>
              <w:rPr/>
              <w:t> </w:t>
            </w:r>
          </w:p>
        </w:tc>
      </w:tr>
      <w:tr>
        <w:trPr/>
        <w:tc>
          <w:tcPr>
            <w:tcW w:w="4121"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(2,999</w:t>
            </w:r>
          </w:p>
        </w:tc>
        <w:tc>
          <w:tcPr>
            <w:tcW w:w="15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(2,745</w:t>
            </w:r>
          </w:p>
        </w:tc>
        <w:tc>
          <w:tcPr>
            <w:tcW w:w="158" w:type="dxa"/>
            <w:tcBorders/>
            <w:vAlign w:val="bottom"/>
          </w:tcPr>
          <w:p>
            <w:pPr>
              <w:pStyle w:val="TableContents"/>
              <w:bidi w:val="0"/>
              <w:spacing w:before="0" w:after="283"/>
              <w:jc w:val="left"/>
              <w:rPr/>
            </w:pPr>
            <w:r>
              <w:rPr/>
              <w:t>) </w:t>
            </w:r>
          </w:p>
        </w:tc>
      </w:tr>
      <w:tr>
        <w:trPr/>
        <w:tc>
          <w:tcPr>
            <w:tcW w:w="41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1,924</w:t>
            </w:r>
          </w:p>
        </w:tc>
        <w:tc>
          <w:tcPr>
            <w:tcW w:w="15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2,151</w:t>
            </w:r>
          </w:p>
        </w:tc>
        <w:tc>
          <w:tcPr>
            <w:tcW w:w="158" w:type="dxa"/>
            <w:tcBorders/>
            <w:shd w:fill="CCEEFF" w:val="clear"/>
            <w:vAlign w:val="bottom"/>
          </w:tcPr>
          <w:p>
            <w:pPr>
              <w:pStyle w:val="TableContents"/>
              <w:bidi w:val="0"/>
              <w:spacing w:before="0" w:after="283"/>
              <w:jc w:val="left"/>
              <w:rPr/>
            </w:pPr>
            <w:r>
              <w:rPr/>
              <w:t> </w:t>
            </w:r>
          </w:p>
        </w:tc>
      </w:tr>
      <w:tr>
        <w:trPr/>
        <w:tc>
          <w:tcPr>
            <w:tcW w:w="41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Depreciation expense was $0.3 million for each of the three month periods ended March 31, 2025 and 2024, and is primarily attributable to research and development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is comprised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6"/>
        <w:gridCol w:w="409"/>
        <w:gridCol w:w="214"/>
        <w:gridCol w:w="856"/>
        <w:gridCol w:w="60"/>
        <w:gridCol w:w="409"/>
        <w:gridCol w:w="283"/>
        <w:gridCol w:w="1133"/>
        <w:gridCol w:w="65"/>
      </w:tblGrid>
      <w:tr>
        <w:trPr/>
        <w:tc>
          <w:tcPr>
            <w:tcW w:w="4326"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related expenses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1,648</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3,585</w:t>
            </w:r>
          </w:p>
        </w:tc>
        <w:tc>
          <w:tcPr>
            <w:tcW w:w="65"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1,362</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2,787</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fees and other expenses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1,897</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1,478</w:t>
            </w:r>
          </w:p>
        </w:tc>
        <w:tc>
          <w:tcPr>
            <w:tcW w:w="65" w:type="dxa"/>
            <w:tcBorders/>
            <w:shd w:fill="CCEEFF" w:val="clear"/>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4,907</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7,850</w:t>
            </w:r>
          </w:p>
        </w:tc>
        <w:tc>
          <w:tcPr>
            <w:tcW w:w="65"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STOCKHOLDERS EQUITY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150,000,000 shares of common stock at a par value of $0.0001. Holders of voting common stock are entitled to one vote per share. In addition, holders of voting common stock are entitled to receive dividends, if and when declared by the Companys Board of Directors. As of March 31, 2025, no dividends have been declared. </w:t>
      </w:r>
    </w:p>
    <w:p>
      <w:pPr>
        <w:pStyle w:val="TextBody"/>
        <w:bidi w:val="0"/>
        <w:spacing w:before="120" w:after="0"/>
        <w:jc w:val="left"/>
        <w:rPr>
          <w:rFonts w:ascii="Times New Roman" w:hAnsi="Times New Roman"/>
          <w:sz w:val="20"/>
        </w:rPr>
      </w:pPr>
      <w:r>
        <w:rPr>
          <w:rFonts w:ascii="Times New Roman" w:hAnsi="Times New Roman"/>
          <w:sz w:val="20"/>
        </w:rPr>
        <w:t xml:space="preserve">The Company reserved common stock for future issuance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06"/>
        <w:gridCol w:w="240"/>
        <w:gridCol w:w="61"/>
        <w:gridCol w:w="1017"/>
        <w:gridCol w:w="60"/>
        <w:gridCol w:w="240"/>
        <w:gridCol w:w="81"/>
        <w:gridCol w:w="1387"/>
        <w:gridCol w:w="63"/>
      </w:tblGrid>
      <w:tr>
        <w:trPr/>
        <w:tc>
          <w:tcPr>
            <w:tcW w:w="460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1,823,123</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1,626,841</w:t>
            </w:r>
          </w:p>
        </w:tc>
        <w:tc>
          <w:tcPr>
            <w:tcW w:w="63"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Unvested restricted stock units</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181,987</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25,612</w:t>
            </w:r>
          </w:p>
        </w:tc>
        <w:tc>
          <w:tcPr>
            <w:tcW w:w="63"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awards available for future issuance under the 2024 Equity Incentive Plan</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1,227,159</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976,082</w:t>
            </w:r>
          </w:p>
        </w:tc>
        <w:tc>
          <w:tcPr>
            <w:tcW w:w="63"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purchase under the 2024 Employee Stock Purchase Plan</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295,906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147,343</w:t>
            </w:r>
          </w:p>
        </w:tc>
        <w:tc>
          <w:tcPr>
            <w:tcW w:w="63" w:type="dxa"/>
            <w:tcBorders/>
            <w:vAlign w:val="bottom"/>
          </w:tcPr>
          <w:p>
            <w:pPr>
              <w:pStyle w:val="TableContents"/>
              <w:bidi w:val="0"/>
              <w:spacing w:before="0" w:after="283"/>
              <w:jc w:val="left"/>
              <w:rPr/>
            </w:pPr>
            <w:r>
              <w:rPr/>
              <w:t> </w:t>
            </w:r>
          </w:p>
        </w:tc>
      </w:tr>
      <w:tr>
        <w:trPr/>
        <w:tc>
          <w:tcPr>
            <w:tcW w:w="460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3,528,175</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2,775,878</w:t>
            </w:r>
          </w:p>
        </w:tc>
        <w:tc>
          <w:tcPr>
            <w:tcW w:w="63" w:type="dxa"/>
            <w:tcBorders/>
            <w:shd w:fill="CCEEFF" w:val="clear"/>
            <w:vAlign w:val="bottom"/>
          </w:tcPr>
          <w:p>
            <w:pPr>
              <w:pStyle w:val="TableContents"/>
              <w:bidi w:val="0"/>
              <w:spacing w:before="0" w:after="283"/>
              <w:jc w:val="left"/>
              <w:rPr/>
            </w:pPr>
            <w:r>
              <w:rPr/>
              <w:t> </w:t>
            </w:r>
          </w:p>
        </w:tc>
      </w:tr>
      <w:tr>
        <w:trPr/>
        <w:tc>
          <w:tcPr>
            <w:tcW w:w="460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INCENTIVE PLANS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(the 2024 Plan) as described below, no further grants will be made under the 2019 Plan; however, any outstanding equity awards granted under the 2019 Plan will continue to be governed by the terms of the 2019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2024 Plan initially provided for the issuance of up to 1,938,799 shares of common stock (the Initial Share Reserve). Effective January 1, 2025, in connection with the evergreen provision contained in the 2024 Plan, an additional 742,815 shares of common stock were reserved for issuance under the 2024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the Company adopted the 2024 Employee Stock Purchase Plan (the 2024 ESPP), which became effective upon completion of the Merger. The 2024 ESPP initially provided for the issuance of up to 147,343 shares of common stock. Effective January 1, 2025, in connection with an evergreen provision contained in the ESPP, an additional 148,563 shares of common stock were reserved for issuance under the ESPP. No offering periods under the 2024 ESPP had been initiated as of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stock option activity under the 2019 Plan and 2024 Plan for the three months ended March 31, 2025 (in thousands except share, contractual term and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13"/>
        <w:gridCol w:w="282"/>
        <w:gridCol w:w="73"/>
        <w:gridCol w:w="1250"/>
        <w:gridCol w:w="155"/>
        <w:gridCol w:w="248"/>
        <w:gridCol w:w="214"/>
        <w:gridCol w:w="857"/>
        <w:gridCol w:w="60"/>
        <w:gridCol w:w="282"/>
        <w:gridCol w:w="209"/>
        <w:gridCol w:w="1165"/>
        <w:gridCol w:w="60"/>
        <w:gridCol w:w="282"/>
        <w:gridCol w:w="214"/>
        <w:gridCol w:w="857"/>
        <w:gridCol w:w="67"/>
      </w:tblGrid>
      <w:tr>
        <w:trPr/>
        <w:tc>
          <w:tcPr>
            <w:tcW w:w="3113"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1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92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Outstanding Options</w:t>
            </w:r>
          </w:p>
        </w:tc>
        <w:tc>
          <w:tcPr>
            <w:tcW w:w="67" w:type="dxa"/>
            <w:tcBorders/>
            <w:vAlign w:val="bottom"/>
          </w:tcPr>
          <w:p>
            <w:pPr>
              <w:pStyle w:val="TableContents"/>
              <w:bidi w:val="0"/>
              <w:spacing w:before="0" w:after="283"/>
              <w:jc w:val="left"/>
              <w:rPr/>
            </w:pPr>
            <w:r>
              <w:rPr/>
              <w:t> </w:t>
            </w:r>
          </w:p>
        </w:tc>
      </w:tr>
      <w:tr>
        <w:trPr/>
        <w:tc>
          <w:tcPr>
            <w:tcW w:w="311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Outstanding</w:t>
              <w:br/>
              <w:t>Options</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3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2025</w:t>
            </w:r>
          </w:p>
        </w:tc>
        <w:tc>
          <w:tcPr>
            <w:tcW w:w="28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1,534,361</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12.49</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2,276</w:t>
            </w:r>
          </w:p>
        </w:tc>
        <w:tc>
          <w:tcPr>
            <w:tcW w:w="67" w:type="dxa"/>
            <w:tcBorders/>
            <w:shd w:fill="CCEEFF" w:val="clear"/>
            <w:vAlign w:val="bottom"/>
          </w:tcPr>
          <w:p>
            <w:pPr>
              <w:pStyle w:val="TableContents"/>
              <w:bidi w:val="0"/>
              <w:spacing w:before="0" w:after="283"/>
              <w:jc w:val="left"/>
              <w:rPr/>
            </w:pPr>
            <w:r>
              <w:rPr/>
              <w:t> </w:t>
            </w:r>
          </w:p>
        </w:tc>
      </w:tr>
      <w:tr>
        <w:trPr/>
        <w:tc>
          <w:tcPr>
            <w:tcW w:w="3113" w:type="dxa"/>
            <w:tcBorders/>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335,863</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46.73</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28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(64,866</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2.68</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2,361</w:t>
            </w:r>
          </w:p>
        </w:tc>
        <w:tc>
          <w:tcPr>
            <w:tcW w:w="67" w:type="dxa"/>
            <w:tcBorders/>
            <w:shd w:fill="CCEEFF" w:val="clear"/>
            <w:vAlign w:val="bottom"/>
          </w:tcPr>
          <w:p>
            <w:pPr>
              <w:pStyle w:val="TableContents"/>
              <w:bidi w:val="0"/>
              <w:spacing w:before="0" w:after="283"/>
              <w:jc w:val="left"/>
              <w:rPr/>
            </w:pPr>
            <w:r>
              <w:rPr/>
              <w:t> </w:t>
            </w:r>
          </w:p>
        </w:tc>
      </w:tr>
      <w:tr>
        <w:trPr/>
        <w:tc>
          <w:tcPr>
            <w:tcW w:w="3113" w:type="dxa"/>
            <w:tcBorders/>
          </w:tcPr>
          <w:p>
            <w:pPr>
              <w:pStyle w:val="TableContents"/>
              <w:bidi w:val="0"/>
              <w:spacing w:before="0" w:after="0"/>
              <w:jc w:val="left"/>
              <w:rPr>
                <w:rFonts w:ascii="Times New Roman" w:hAnsi="Times New Roman"/>
                <w:sz w:val="20"/>
              </w:rPr>
            </w:pPr>
            <w:r>
              <w:rPr>
                <w:rFonts w:ascii="Times New Roman" w:hAnsi="Times New Roman"/>
                <w:sz w:val="20"/>
              </w:rPr>
              <w:t>Options forfeited and expired</w:t>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2025</w:t>
            </w:r>
          </w:p>
        </w:tc>
        <w:tc>
          <w:tcPr>
            <w:tcW w:w="28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1,791,232</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19.32</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8,235</w:t>
            </w:r>
          </w:p>
        </w:tc>
        <w:tc>
          <w:tcPr>
            <w:tcW w:w="67" w:type="dxa"/>
            <w:tcBorders/>
            <w:shd w:fill="CCEEFF" w:val="clear"/>
            <w:vAlign w:val="bottom"/>
          </w:tcPr>
          <w:p>
            <w:pPr>
              <w:pStyle w:val="TableContents"/>
              <w:bidi w:val="0"/>
              <w:spacing w:before="0" w:after="283"/>
              <w:jc w:val="left"/>
              <w:rPr/>
            </w:pPr>
            <w:r>
              <w:rPr/>
              <w:t> </w:t>
            </w:r>
          </w:p>
        </w:tc>
      </w:tr>
      <w:tr>
        <w:trPr/>
        <w:tc>
          <w:tcPr>
            <w:tcW w:w="311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as of March 31, 2025</w:t>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365,025</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5,322</w:t>
            </w:r>
          </w:p>
        </w:tc>
        <w:tc>
          <w:tcPr>
            <w:tcW w:w="67" w:type="dxa"/>
            <w:tcBorders/>
            <w:vAlign w:val="bottom"/>
          </w:tcPr>
          <w:p>
            <w:pPr>
              <w:pStyle w:val="TableContents"/>
              <w:bidi w:val="0"/>
              <w:spacing w:before="0" w:after="283"/>
              <w:jc w:val="left"/>
              <w:rPr/>
            </w:pPr>
            <w:r>
              <w:rPr/>
              <w:t> </w:t>
            </w:r>
          </w:p>
        </w:tc>
      </w:tr>
      <w:tr>
        <w:trPr/>
        <w:tc>
          <w:tcPr>
            <w:tcW w:w="311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March 31, 2025</w:t>
            </w:r>
          </w:p>
        </w:tc>
        <w:tc>
          <w:tcPr>
            <w:tcW w:w="28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1,791,232</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19.32</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8,235</w:t>
            </w:r>
          </w:p>
        </w:tc>
        <w:tc>
          <w:tcPr>
            <w:tcW w:w="67" w:type="dxa"/>
            <w:tcBorders/>
            <w:shd w:fill="CCEEFF" w:val="clear"/>
            <w:vAlign w:val="bottom"/>
          </w:tcPr>
          <w:p>
            <w:pPr>
              <w:pStyle w:val="TableContents"/>
              <w:bidi w:val="0"/>
              <w:spacing w:before="0" w:after="283"/>
              <w:jc w:val="left"/>
              <w:rPr/>
            </w:pPr>
            <w:r>
              <w:rPr/>
              <w:t> </w:t>
            </w:r>
          </w:p>
        </w:tc>
      </w:tr>
      <w:tr>
        <w:trPr/>
        <w:tc>
          <w:tcPr>
            <w:tcW w:w="311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stock option activity for the options that were assumed from AVROBIO upon the Merger for the three months ended March 31, 2025 (in thousands except share, contractual term and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43"/>
        <w:gridCol w:w="317"/>
        <w:gridCol w:w="94"/>
        <w:gridCol w:w="1196"/>
        <w:gridCol w:w="155"/>
        <w:gridCol w:w="282"/>
        <w:gridCol w:w="214"/>
        <w:gridCol w:w="857"/>
        <w:gridCol w:w="60"/>
        <w:gridCol w:w="317"/>
        <w:gridCol w:w="209"/>
        <w:gridCol w:w="1131"/>
        <w:gridCol w:w="60"/>
        <w:gridCol w:w="317"/>
        <w:gridCol w:w="213"/>
        <w:gridCol w:w="857"/>
        <w:gridCol w:w="66"/>
      </w:tblGrid>
      <w:tr>
        <w:trPr/>
        <w:tc>
          <w:tcPr>
            <w:tcW w:w="3043"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4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596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Outstanding Options</w:t>
            </w:r>
          </w:p>
        </w:tc>
        <w:tc>
          <w:tcPr>
            <w:tcW w:w="66" w:type="dxa"/>
            <w:tcBorders/>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Outstanding</w:t>
              <w:br/>
              <w:t>Options</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3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2025</w:t>
            </w:r>
          </w:p>
        </w:tc>
        <w:tc>
          <w:tcPr>
            <w:tcW w:w="3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92,480</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22.69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2,903</w:t>
            </w:r>
          </w:p>
        </w:tc>
        <w:tc>
          <w:tcPr>
            <w:tcW w:w="66" w:type="dxa"/>
            <w:tcBorders/>
            <w:shd w:fill="CCEEFF" w:val="clear"/>
            <w:vAlign w:val="bottom"/>
          </w:tcPr>
          <w:p>
            <w:pPr>
              <w:pStyle w:val="TableContents"/>
              <w:bidi w:val="0"/>
              <w:spacing w:before="0" w:after="283"/>
              <w:jc w:val="left"/>
              <w:rPr/>
            </w:pPr>
            <w:r>
              <w:rPr/>
              <w:t> </w:t>
            </w:r>
          </w:p>
        </w:tc>
      </w:tr>
      <w:tr>
        <w:trPr/>
        <w:tc>
          <w:tcPr>
            <w:tcW w:w="3043" w:type="dxa"/>
            <w:tcBorders/>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(60,589</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13.16</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1,982</w:t>
            </w:r>
          </w:p>
        </w:tc>
        <w:tc>
          <w:tcPr>
            <w:tcW w:w="66" w:type="dxa"/>
            <w:tcBorders/>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2025</w:t>
            </w:r>
          </w:p>
        </w:tc>
        <w:tc>
          <w:tcPr>
            <w:tcW w:w="3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31,891</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40.80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151</w:t>
            </w:r>
          </w:p>
        </w:tc>
        <w:tc>
          <w:tcPr>
            <w:tcW w:w="66" w:type="dxa"/>
            <w:tcBorders/>
            <w:shd w:fill="CCEEFF" w:val="clear"/>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43"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as of March 31, 2025</w:t>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31,891</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40.80</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151</w:t>
            </w:r>
          </w:p>
        </w:tc>
        <w:tc>
          <w:tcPr>
            <w:tcW w:w="66" w:type="dxa"/>
            <w:tcBorders/>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March 31, 2025</w:t>
            </w:r>
          </w:p>
        </w:tc>
        <w:tc>
          <w:tcPr>
            <w:tcW w:w="3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31,891</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40.80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151</w:t>
            </w:r>
          </w:p>
        </w:tc>
        <w:tc>
          <w:tcPr>
            <w:tcW w:w="66" w:type="dxa"/>
            <w:tcBorders/>
            <w:shd w:fill="CCEEFF" w:val="clear"/>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the Company granted options with a weighted-average grant-date fair value of $41.40. No options were granted during the three months ended March 31, 2024. As of March 31, 2025, the total unrecognized stock-based compensation expense for stock options was $26.1 million, which is expected to be recognized over a weighted-average period of 3.2 years.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assumptions used for estimated the fair value of stock options granted under the Black-Scholes-Merton option pricing model: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38"/>
        <w:gridCol w:w="670"/>
        <w:gridCol w:w="3331"/>
      </w:tblGrid>
      <w:tr>
        <w:trPr/>
        <w:tc>
          <w:tcPr>
            <w:tcW w:w="2938" w:type="dxa"/>
            <w:tcBorders/>
            <w:vAlign w:val="center"/>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938"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pPr>
            <w:r>
              <w:rPr/>
              <w:t>  </w:t>
            </w:r>
          </w:p>
        </w:tc>
        <w:tc>
          <w:tcPr>
            <w:tcW w:w="3331" w:type="dxa"/>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br/>
              <w:t>2025</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per share of underlying common stock</w:t>
            </w:r>
          </w:p>
        </w:tc>
        <w:tc>
          <w:tcPr>
            <w:tcW w:w="670" w:type="dxa"/>
            <w:tcBorders/>
            <w:shd w:fill="CCEEFF" w:val="clear"/>
            <w:vAlign w:val="bottom"/>
          </w:tcPr>
          <w:p>
            <w:pPr>
              <w:pStyle w:val="TableContents"/>
              <w:bidi w:val="0"/>
              <w:spacing w:before="0" w:after="283"/>
              <w:jc w:val="left"/>
              <w:rPr/>
            </w:pPr>
            <w:r>
              <w:rPr/>
              <w:t>  </w:t>
            </w:r>
          </w:p>
        </w:tc>
        <w:tc>
          <w:tcPr>
            <w:tcW w:w="3331" w:type="dxa"/>
            <w:tcBorders/>
            <w:shd w:fill="CCEEFF" w:val="clear"/>
            <w:vAlign w:val="bottom"/>
          </w:tcPr>
          <w:p>
            <w:pPr>
              <w:pStyle w:val="TableContents"/>
              <w:bidi w:val="0"/>
              <w:spacing w:before="0" w:after="283"/>
              <w:jc w:val="center"/>
              <w:rPr/>
            </w:pPr>
            <w:r>
              <w:rPr/>
              <w:t>$23.13 - $48.01</w:t>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67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center"/>
              <w:rPr/>
            </w:pPr>
            <w:r>
              <w:rPr/>
              <w:t>6.25</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70" w:type="dxa"/>
            <w:tcBorders/>
            <w:shd w:fill="CCEEFF" w:val="clear"/>
            <w:vAlign w:val="bottom"/>
          </w:tcPr>
          <w:p>
            <w:pPr>
              <w:pStyle w:val="TableContents"/>
              <w:bidi w:val="0"/>
              <w:spacing w:before="0" w:after="283"/>
              <w:jc w:val="left"/>
              <w:rPr/>
            </w:pPr>
            <w:r>
              <w:rPr/>
              <w:t>  </w:t>
            </w:r>
          </w:p>
        </w:tc>
        <w:tc>
          <w:tcPr>
            <w:tcW w:w="3331" w:type="dxa"/>
            <w:tcBorders/>
            <w:shd w:fill="CCEEFF" w:val="clear"/>
            <w:vAlign w:val="bottom"/>
          </w:tcPr>
          <w:p>
            <w:pPr>
              <w:pStyle w:val="TableContents"/>
              <w:bidi w:val="0"/>
              <w:spacing w:before="0" w:after="283"/>
              <w:jc w:val="center"/>
              <w:rPr/>
            </w:pPr>
            <w:r>
              <w:rPr/>
              <w:t>120.9%</w:t>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7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center"/>
              <w:rPr/>
            </w:pPr>
            <w:r>
              <w:rPr/>
              <w:t>4.06% -4.43%</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70" w:type="dxa"/>
            <w:tcBorders/>
            <w:shd w:fill="CCEEFF" w:val="clear"/>
            <w:vAlign w:val="bottom"/>
          </w:tcPr>
          <w:p>
            <w:pPr>
              <w:pStyle w:val="TableContents"/>
              <w:bidi w:val="0"/>
              <w:spacing w:before="0" w:after="283"/>
              <w:jc w:val="left"/>
              <w:rPr/>
            </w:pPr>
            <w:r>
              <w:rPr/>
              <w:t>  </w:t>
            </w:r>
          </w:p>
        </w:tc>
        <w:tc>
          <w:tcPr>
            <w:tcW w:w="3331" w:type="dxa"/>
            <w:tcBorders/>
            <w:shd w:fill="CCEEFF" w:val="clear"/>
            <w:vAlign w:val="bottom"/>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units (RSUs) are granted to certain employees. The value of an RSU award is based on the Companys stock price on the date of the grant. The shares underlying the RSUs are not issued until the RSUs vest. Activity with respect to the Companys restricted stock units during the three months ended March 31, 2025 was as follows (in thousands, except share, contractual term, and per share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756"/>
        <w:gridCol w:w="292"/>
        <w:gridCol w:w="89"/>
        <w:gridCol w:w="1198"/>
        <w:gridCol w:w="60"/>
        <w:gridCol w:w="292"/>
        <w:gridCol w:w="304"/>
        <w:gridCol w:w="1221"/>
        <w:gridCol w:w="60"/>
        <w:gridCol w:w="292"/>
        <w:gridCol w:w="209"/>
        <w:gridCol w:w="1128"/>
        <w:gridCol w:w="60"/>
        <w:gridCol w:w="292"/>
        <w:gridCol w:w="214"/>
        <w:gridCol w:w="856"/>
        <w:gridCol w:w="65"/>
      </w:tblGrid>
      <w:tr>
        <w:trPr/>
        <w:tc>
          <w:tcPr>
            <w:tcW w:w="2756"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5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2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Outstanding RSUs</w:t>
            </w:r>
          </w:p>
        </w:tc>
        <w:tc>
          <w:tcPr>
            <w:tcW w:w="65"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Outstanding</w:t>
              <w:br/>
              <w:t>Units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 per</w:t>
              <w:br/>
              <w:t>Unit</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5"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2025</w:t>
            </w:r>
          </w:p>
        </w:tc>
        <w:tc>
          <w:tcPr>
            <w:tcW w:w="29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25,612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44.90</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1,183</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156,375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47.77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2025</w:t>
            </w:r>
          </w:p>
        </w:tc>
        <w:tc>
          <w:tcPr>
            <w:tcW w:w="29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181,987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47.37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3,223</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Unvested and expected to vest as of March 31, 2025</w:t>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181,987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47.37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3,223</w:t>
            </w:r>
          </w:p>
        </w:tc>
        <w:tc>
          <w:tcPr>
            <w:tcW w:w="65"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total unrecognized stock-based compensation expense for RSUs was $8.1 million, which is expected to be recognized over a weighted average period of 2.9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stock-based compensation expense relating to its employees and non-employee directors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8"/>
        <w:gridCol w:w="292"/>
        <w:gridCol w:w="221"/>
        <w:gridCol w:w="897"/>
        <w:gridCol w:w="94"/>
        <w:gridCol w:w="351"/>
        <w:gridCol w:w="221"/>
        <w:gridCol w:w="608"/>
        <w:gridCol w:w="63"/>
      </w:tblGrid>
      <w:tr>
        <w:trPr/>
        <w:tc>
          <w:tcPr>
            <w:tcW w:w="5008"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0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3" w:type="dxa"/>
            <w:tcBorders/>
            <w:vAlign w:val="bottom"/>
          </w:tcPr>
          <w:p>
            <w:pPr>
              <w:pStyle w:val="TableContents"/>
              <w:bidi w:val="0"/>
              <w:spacing w:before="0" w:after="283"/>
              <w:jc w:val="left"/>
              <w:rPr/>
            </w:pPr>
            <w:r>
              <w:rPr/>
              <w:t> </w:t>
            </w:r>
          </w:p>
        </w:tc>
      </w:tr>
      <w:tr>
        <w:trPr/>
        <w:tc>
          <w:tcPr>
            <w:tcW w:w="500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94"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1,183</w:t>
            </w:r>
          </w:p>
        </w:tc>
        <w:tc>
          <w:tcPr>
            <w:tcW w:w="94"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608" w:type="dxa"/>
            <w:tcBorders/>
            <w:shd w:fill="CCEEFF" w:val="clear"/>
            <w:vAlign w:val="bottom"/>
          </w:tcPr>
          <w:p>
            <w:pPr>
              <w:pStyle w:val="TableContents"/>
              <w:bidi w:val="0"/>
              <w:spacing w:before="0" w:after="283"/>
              <w:jc w:val="right"/>
              <w:rPr/>
            </w:pPr>
            <w:r>
              <w:rPr/>
              <w:t>193</w:t>
            </w:r>
          </w:p>
        </w:tc>
        <w:tc>
          <w:tcPr>
            <w:tcW w:w="63" w:type="dxa"/>
            <w:tcBorders/>
            <w:shd w:fill="CCEEFF" w:val="clear"/>
            <w:vAlign w:val="bottom"/>
          </w:tcPr>
          <w:p>
            <w:pPr>
              <w:pStyle w:val="TableContents"/>
              <w:bidi w:val="0"/>
              <w:spacing w:before="0" w:after="283"/>
              <w:jc w:val="left"/>
              <w:rPr/>
            </w:pPr>
            <w:r>
              <w:rPr/>
              <w:t> </w:t>
            </w:r>
          </w:p>
        </w:tc>
      </w:tr>
      <w:tr>
        <w:trPr/>
        <w:tc>
          <w:tcPr>
            <w:tcW w:w="50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920</w:t>
            </w:r>
          </w:p>
        </w:tc>
        <w:tc>
          <w:tcPr>
            <w:tcW w:w="94"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500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29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2,103</w:t>
            </w:r>
          </w:p>
        </w:tc>
        <w:tc>
          <w:tcPr>
            <w:tcW w:w="94"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608" w:type="dxa"/>
            <w:tcBorders/>
            <w:shd w:fill="CCEEFF" w:val="clear"/>
            <w:vAlign w:val="bottom"/>
          </w:tcPr>
          <w:p>
            <w:pPr>
              <w:pStyle w:val="TableContents"/>
              <w:bidi w:val="0"/>
              <w:spacing w:before="0" w:after="283"/>
              <w:jc w:val="right"/>
              <w:rPr/>
            </w:pPr>
            <w:r>
              <w:rPr/>
              <w:t>321</w:t>
            </w:r>
          </w:p>
        </w:tc>
        <w:tc>
          <w:tcPr>
            <w:tcW w:w="63" w:type="dxa"/>
            <w:tcBorders/>
            <w:shd w:fill="CCEEFF" w:val="clear"/>
            <w:vAlign w:val="bottom"/>
          </w:tcPr>
          <w:p>
            <w:pPr>
              <w:pStyle w:val="TableContents"/>
              <w:bidi w:val="0"/>
              <w:spacing w:before="0" w:after="283"/>
              <w:jc w:val="left"/>
              <w:rPr/>
            </w:pPr>
            <w:r>
              <w:rPr/>
              <w:t> </w:t>
            </w:r>
          </w:p>
        </w:tc>
      </w:tr>
      <w:tr>
        <w:trPr/>
        <w:tc>
          <w:tcPr>
            <w:tcW w:w="500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60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records compensation expense for options with service based vesting conditions on a straight-line basis over the vesting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was calculated as follows (in thousands, except share and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4"/>
        <w:gridCol w:w="394"/>
        <w:gridCol w:w="140"/>
        <w:gridCol w:w="1100"/>
        <w:gridCol w:w="155"/>
        <w:gridCol w:w="351"/>
        <w:gridCol w:w="140"/>
        <w:gridCol w:w="1003"/>
        <w:gridCol w:w="158"/>
      </w:tblGrid>
      <w:tr>
        <w:trPr/>
        <w:tc>
          <w:tcPr>
            <w:tcW w:w="4314"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8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(15,221</w:t>
            </w:r>
          </w:p>
        </w:tc>
        <w:tc>
          <w:tcPr>
            <w:tcW w:w="158"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17,157,661</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1,387,303</w:t>
            </w:r>
          </w:p>
        </w:tc>
        <w:tc>
          <w:tcPr>
            <w:tcW w:w="158"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(0.93</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(10.97</w:t>
            </w:r>
          </w:p>
        </w:tc>
        <w:tc>
          <w:tcPr>
            <w:tcW w:w="158" w:type="dxa"/>
            <w:tcBorders/>
            <w:shd w:fill="CCEEFF" w:val="clear"/>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shares of potentially diluted securities were excluded from the computation of diluted net loss per share attributable to common stockholders for the periods presented because including them would have been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87"/>
        <w:gridCol w:w="182"/>
        <w:gridCol w:w="60"/>
        <w:gridCol w:w="980"/>
        <w:gridCol w:w="60"/>
        <w:gridCol w:w="182"/>
        <w:gridCol w:w="60"/>
        <w:gridCol w:w="980"/>
        <w:gridCol w:w="64"/>
      </w:tblGrid>
      <w:tr>
        <w:trPr/>
        <w:tc>
          <w:tcPr>
            <w:tcW w:w="518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3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4" w:type="dxa"/>
            <w:tcBorders/>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3,647,675</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1,823,123</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990,547</w:t>
            </w:r>
          </w:p>
        </w:tc>
        <w:tc>
          <w:tcPr>
            <w:tcW w:w="64" w:type="dxa"/>
            <w:tcBorders/>
            <w:vAlign w:val="bottom"/>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stock units and common stock</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181,987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11,524</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tcPr>
          <w:p>
            <w:pPr>
              <w:pStyle w:val="TableContents"/>
              <w:bidi w:val="0"/>
              <w:spacing w:before="0" w:after="0"/>
              <w:jc w:val="left"/>
              <w:rPr>
                <w:rFonts w:ascii="Times New Roman" w:hAnsi="Times New Roman"/>
                <w:sz w:val="20"/>
              </w:rPr>
            </w:pPr>
            <w:r>
              <w:rPr>
                <w:rFonts w:ascii="Times New Roman" w:hAnsi="Times New Roman"/>
                <w:sz w:val="20"/>
              </w:rPr>
              <w:t>SAFEs (as converted to common stock)</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1,470,839</w:t>
            </w:r>
          </w:p>
        </w:tc>
        <w:tc>
          <w:tcPr>
            <w:tcW w:w="64" w:type="dxa"/>
            <w:tcBorders/>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2,005,110</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6,120,585</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LICENSE AGREEMENTS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The Company paid Harvard a one-time license fee and issued shares of common stock as consideration for the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related to the License Agreement during the each of the three month periods ended March 31, 2025 and 2024. No amounts were due to Harvard related to the License Agreement as of March 31, 2025 and December 31, 2024,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lease obligations including amounts due on leases of certain laboratory equipment and office and laboratory space under the terms of non-cancelable operating and finance leases. The leases expire at various times through 2027. Minimum lease payments as of March 31, 2025 are $2.2 million in 2025, $0.5 million in 2026, and $0.1 million in 2027.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also party to royalty and maintenance based commitments, as described in Note 10, </w:t>
      </w:r>
      <w:r>
        <w:rPr>
          <w:rFonts w:ascii="Times New Roman" w:hAnsi="Times New Roman"/>
          <w:i/>
          <w:sz w:val="20"/>
        </w:rPr>
        <w:t>License Agreements.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Company believes that any receipt of payments resulting from the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March 31, 2025 and December 31, 2024, no receivables or liabilities were recorded on the condensed consolidated balance sheets relating to such 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operations, the Company may become involved in various legal proceedings. As of March 31, 2025 and December 31,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Scientific Advisory Board Member </w:t>
      </w:r>
    </w:p>
    <w:p>
      <w:pPr>
        <w:pStyle w:val="TextBody"/>
        <w:bidi w:val="0"/>
        <w:spacing w:before="120" w:after="0"/>
        <w:jc w:val="left"/>
        <w:rPr>
          <w:rFonts w:ascii="Times New Roman" w:hAnsi="Times New Roman"/>
          <w:sz w:val="20"/>
        </w:rPr>
      </w:pPr>
      <w:r>
        <w:rPr>
          <w:rFonts w:ascii="Times New Roman" w:hAnsi="Times New Roman"/>
          <w:sz w:val="20"/>
        </w:rPr>
        <w:t xml:space="preserve">One of the Companys co-founders and former director is a member of the Companys Scientific Advisory Board (SAB) and meets the criteria of a related party. For each of the three months ended March 31, 2025 and 2024, the Company incurred expense of $0.1 million for advisory services provided. There were no amounts due to this related party as of March 31, 2025 and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10, </w:t>
      </w:r>
      <w:r>
        <w:rPr>
          <w:rFonts w:ascii="Times New Roman" w:hAnsi="Times New Roman"/>
          <w:i/>
          <w:sz w:val="20"/>
        </w:rPr>
        <w:t>License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incurred expense of $0.1 million related to the License Agreement during each of the three month periods ended March 31, 2025 and 2024, respectively. No amounts were due to Harvard related to the License Agreement as of March 31, 2025 and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shares in connection with the Private Placement at a price of $54.14 per share to accredited individual investors that are either an officer or director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determination of a single segment is consistent with the consolidated financial information regularly reviewed by the Chief Executive Officer as CODM in evaluating financial performance and deciding how to allocate resources on a consolidated basis. The significant expense categories outlined below align with the segment-level information that is regularly provided to the CODM. When evaluating the Companys financial performance, the CODM reviews one measure of profitability, net loss, and makes decisions using this information. </w:t>
      </w:r>
    </w:p>
    <w:p>
      <w:pPr>
        <w:pStyle w:val="TextBody"/>
        <w:bidi w:val="0"/>
        <w:spacing w:before="120" w:after="0"/>
        <w:jc w:val="left"/>
        <w:rPr>
          <w:rFonts w:ascii="Times New Roman" w:hAnsi="Times New Roman"/>
          <w:sz w:val="20"/>
        </w:rPr>
      </w:pPr>
      <w:r>
        <w:rPr>
          <w:rFonts w:ascii="Times New Roman" w:hAnsi="Times New Roman"/>
          <w:sz w:val="20"/>
        </w:rPr>
        <w:t xml:space="preserve">No segment asset information is provided below as the CODM is focused on how expenses impact ending cash by period and overall cash runway. Any review of segment assets, which would focus on cash and cash equivalents, would be at the same level as the consolidated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segment net loss and significant segment expenses for the three months ended March 31, 2025 and 2024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8"/>
        <w:gridCol w:w="230"/>
        <w:gridCol w:w="250"/>
        <w:gridCol w:w="1220"/>
        <w:gridCol w:w="107"/>
        <w:gridCol w:w="315"/>
        <w:gridCol w:w="250"/>
        <w:gridCol w:w="1222"/>
        <w:gridCol w:w="63"/>
      </w:tblGrid>
      <w:tr>
        <w:trPr/>
        <w:tc>
          <w:tcPr>
            <w:tcW w:w="409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9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33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3" w:type="dxa"/>
            <w:tcBorders/>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Employee-related expenses:</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employee-related expenses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3,164</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3,075</w:t>
            </w:r>
          </w:p>
        </w:tc>
        <w:tc>
          <w:tcPr>
            <w:tcW w:w="63"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employee-related expenses</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1,337</w:t>
            </w:r>
          </w:p>
        </w:tc>
        <w:tc>
          <w:tcPr>
            <w:tcW w:w="10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1,053</w:t>
            </w:r>
          </w:p>
        </w:tc>
        <w:tc>
          <w:tcPr>
            <w:tcW w:w="63" w:type="dxa"/>
            <w:tcBorders/>
            <w:shd w:fill="CCEEFF" w:val="clear"/>
            <w:vAlign w:val="bottom"/>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expenses: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pre-clinical expenses</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2,707</w:t>
            </w:r>
          </w:p>
        </w:tc>
        <w:tc>
          <w:tcPr>
            <w:tcW w:w="10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2,129</w:t>
            </w:r>
          </w:p>
        </w:tc>
        <w:tc>
          <w:tcPr>
            <w:tcW w:w="63" w:type="dxa"/>
            <w:tcBorders/>
            <w:shd w:fill="CCEEFF" w:val="clear"/>
            <w:vAlign w:val="bottom"/>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Clinical and development expenses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4,404</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4,219</w:t>
            </w:r>
          </w:p>
        </w:tc>
        <w:tc>
          <w:tcPr>
            <w:tcW w:w="63"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Chemistry, manufacturing, and control expenses</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1,484</w:t>
            </w:r>
          </w:p>
        </w:tc>
        <w:tc>
          <w:tcPr>
            <w:tcW w:w="10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894</w:t>
            </w:r>
          </w:p>
        </w:tc>
        <w:tc>
          <w:tcPr>
            <w:tcW w:w="63" w:type="dxa"/>
            <w:tcBorders/>
            <w:shd w:fill="CCEEFF" w:val="clear"/>
            <w:vAlign w:val="bottom"/>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Non-employee-related general and administrative expenses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2,729</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900</w:t>
            </w:r>
          </w:p>
        </w:tc>
        <w:tc>
          <w:tcPr>
            <w:tcW w:w="63"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items1</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81</w:t>
            </w:r>
          </w:p>
        </w:tc>
        <w:tc>
          <w:tcPr>
            <w:tcW w:w="10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2,951</w:t>
            </w:r>
          </w:p>
        </w:tc>
        <w:tc>
          <w:tcPr>
            <w:tcW w:w="63" w:type="dxa"/>
            <w:tcBorders/>
            <w:shd w:fill="CCEEFF" w:val="clear"/>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15,906</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15,221</w:t>
            </w:r>
          </w:p>
        </w:tc>
        <w:tc>
          <w:tcPr>
            <w:tcW w:w="63" w:type="dxa"/>
            <w:tcBorders/>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Other segment expenses include stock-based compensation, depreciation and amortization, changes in the fair value of the SAFE liabilities, loss on the issuance of SAFEs, interest income, and interest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q15014_8"/>
      <w:bookmarkEnd w:id="10"/>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sz w:val="20"/>
        </w:rPr>
      </w:pPr>
      <w:r>
        <w:rPr>
          <w:rFonts w:ascii="Times New Roman" w:hAnsi="Times New Roman"/>
          <w:i/>
          <w:sz w:val="20"/>
        </w:rPr>
        <w:t>The following discussion and analysis of our financial condition and results of operations should be read in conjunction with our unaudited condensed consolidated financial statements and related notes included elsewhere in this Quarterly Report.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Quarterly Report. Please also see the section titled Special Note Regarding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All brand names or trademarks appearing in this report are the property of their respective holders. 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120" w:after="0"/>
        <w:jc w:val="left"/>
        <w:rPr>
          <w:rFonts w:ascii="Times New Roman" w:hAnsi="Times New Roman"/>
          <w:sz w:val="20"/>
        </w:rPr>
      </w:pPr>
      <w:r>
        <w:rPr>
          <w:rFonts w:ascii="Times New Roman" w:hAnsi="Times New Roman"/>
          <w:sz w:val="2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pharmacodynamic marker. This data was used to develop an exposure-response model which enabled the selection of doses for the APEX Phase 2 trial.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evaluating TX45 in a Phase 1b hemodynamic clinical trial and in a Phase 2 clinical trial. Part A of the TX45 Phase 1b hemodynamic clinical trial is a single dose IV, open-label clinical trial evaluating the safety, tolerability and acute hemodynamic effects of TX45 in patients with Group 2 PH in Heart Failure with Preserved Ejection Fraction (PH-HFpEF). We have completed dosing of all 19 patients in the Part A of the Phase 1b trial. A preliminary analysis of hemodynamic data from 16 out of 19 patients demonstrated improvements which met and or exceeded our prespecified goals and demonstrated that TX45 both improved left heart function and pulmonary hemodynamics over the 8 hour period post dosing which was evaluated. Part B of the Phase 1b trial which is assessing acute hemodynamics effects of TX45 in patients with Group 2 PH-HFrEF is expected to enroll the first patient in the first half of 2025 with data expected to be announced in the second half of 2025. We dosed our first subject in the APEX Phase 2 clinical trial in October 2024. The APEX Phase 2 clinical trial is a global, 24-week, placebo-controlled trial designed to evaluate the safety and efficacy TX45 administered subcutaneously (SC) in subjects with PH-HFpEF. Subjects will be randomized to 300 mg SC (2ml injection) once monthly of TX45, 300 mg SC once every other week of TX45, or placebo. We expect topline trial results from the APEX trial in 2026. </w:t>
      </w:r>
    </w:p>
    <w:p>
      <w:pPr>
        <w:pStyle w:val="TextBody"/>
        <w:bidi w:val="0"/>
        <w:spacing w:before="120" w:after="0"/>
        <w:jc w:val="left"/>
        <w:rPr>
          <w:rFonts w:ascii="Times New Roman" w:hAnsi="Times New Roman"/>
          <w:sz w:val="20"/>
        </w:rPr>
      </w:pPr>
      <w:r>
        <w:rPr>
          <w:rFonts w:ascii="Times New Roman" w:hAnsi="Times New Roman"/>
          <w:sz w:val="20"/>
        </w:rPr>
        <w:t xml:space="preserve">We are also evaluating TX002100 (TX2100) as our second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IND enabling NHP GLP toxicology studies and technical development activities to generate GMP drug supply and drug product for TX2100 started in the second quarter of 2025. We expect to initiate a Phase 1 clinical trial for TX2100 in the fourth quarter of 2025 or the first quarter of 2026, subject to the results of IND enabling studies.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2025, we entered into a securities purchase agreement (the Private Placement) pursuant to which we issued an aggregate of 3,689,465 shares of common stock, at a price of $50.00 per share to institutional accredited investors and $54.14 per share to accredited individual investors that are either an officer or director of our Company, in exchange for aggregate consideration of approximately $185.0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Merger with AVROBIO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we completed our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of costs incurred for our research activities, including our discovery efforts and the development of our programs and platform.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and bonuses, related benefits and stock-based compensation expense, for employees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research and the preclinical and clinical development of our programs and our product candidates, including fees paid to contract research organizations (CROs);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manufacturing material for our preclinical studies and clinical trials, including fees paid to contract development and manufacturing organizations (CDMOs);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consumables and other research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related to research and development activities, which include direct or allocated expenses for rent and maintenance of facilities, and utilities;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made under third-party licensing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120" w:after="0"/>
        <w:jc w:val="left"/>
        <w:rPr>
          <w:rFonts w:ascii="Times New Roman" w:hAnsi="Times New Roman"/>
          <w:sz w:val="20"/>
        </w:rPr>
      </w:pPr>
      <w:r>
        <w:rPr>
          <w:rFonts w:ascii="Times New Roman" w:hAnsi="Times New Roman"/>
          <w:sz w:val="20"/>
        </w:rPr>
        <w:t xml:space="preserve">Our direct research and development expenses relate to the development of TX45 and TX2100,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Costs that are deployed across multiple internal programs, including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employee-related costs, cross-program payments made under third-party licensing agreements, costs of laboratory supplies and facilities expenses, including rent, depreciation and other indirect costs, the costs of our discovery efforts and projects, and other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conduct preclinical studies required to advance our product candidates into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patient trial costs, including based on the number of doses that patients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who enroll in each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of development of the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failing to comply with regulatory requirements or meet their contractual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manufacture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of our product candidates.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employee-related costs, including salaries and bonuses, related benefits and stock-based compensation expense, for our personnel in executive, legal, accounting, human resources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depreciation and other expenses related to general and administrative activities.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our general and administrative expenses will increase in the future as we expect to incur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Loss on Issuance of SAFE Liabilities and 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Legacy Tectonic issued SAFEs for proceeds of $34.1 million. The SAFEs were recorded as liabilities in the condensed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primarily consists of interest earned on money market funds, which are included in cash and cash equivalents in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March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three months ended March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05"/>
        <w:gridCol w:w="229"/>
        <w:gridCol w:w="221"/>
        <w:gridCol w:w="1194"/>
        <w:gridCol w:w="244"/>
        <w:gridCol w:w="271"/>
        <w:gridCol w:w="221"/>
        <w:gridCol w:w="1197"/>
        <w:gridCol w:w="155"/>
        <w:gridCol w:w="205"/>
        <w:gridCol w:w="179"/>
        <w:gridCol w:w="817"/>
        <w:gridCol w:w="154"/>
        <w:gridCol w:w="205"/>
        <w:gridCol w:w="129"/>
        <w:gridCol w:w="1001"/>
        <w:gridCol w:w="361"/>
      </w:tblGrid>
      <w:tr>
        <w:trPr/>
        <w:tc>
          <w:tcPr>
            <w:tcW w:w="260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3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96"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193" w:type="dxa"/>
            <w:gridSpan w:val="14"/>
            <w:tcBorders/>
            <w:vAlign w:val="bottom"/>
          </w:tcPr>
          <w:p>
            <w:pPr>
              <w:pStyle w:val="TableContents"/>
              <w:bidi w:val="0"/>
              <w:spacing w:before="0" w:after="283"/>
              <w:jc w:val="center"/>
              <w:rPr>
                <w:b/>
              </w:rPr>
            </w:pPr>
            <w:r>
              <w:rPr>
                <w:b/>
              </w:rPr>
              <w:t>(dollars in thousands)</w:t>
            </w:r>
          </w:p>
        </w:tc>
        <w:tc>
          <w:tcPr>
            <w:tcW w:w="361"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13,036</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10,818</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2,218</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21</w:t>
            </w:r>
          </w:p>
        </w:tc>
        <w:tc>
          <w:tcPr>
            <w:tcW w:w="361"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5,262</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2,150</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3,112</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145</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18,298</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12,968</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5,330</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41</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(18,298</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(12,968</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(5,330</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41</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the SAFE liabilities</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(2,075</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2,075</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(100</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2,444</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2,188</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855</w:t>
            </w:r>
          </w:p>
        </w:tc>
        <w:tc>
          <w:tcPr>
            <w:tcW w:w="361"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(20</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11</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(35</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(403</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371</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(92</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2,392</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(2,253</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4,645</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(206</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(15,906</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(15,221</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(685</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5</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expenses for the three months ended March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78"/>
        <w:gridCol w:w="196"/>
        <w:gridCol w:w="250"/>
        <w:gridCol w:w="1227"/>
        <w:gridCol w:w="107"/>
        <w:gridCol w:w="286"/>
        <w:gridCol w:w="250"/>
        <w:gridCol w:w="1230"/>
        <w:gridCol w:w="60"/>
        <w:gridCol w:w="196"/>
        <w:gridCol w:w="199"/>
        <w:gridCol w:w="802"/>
        <w:gridCol w:w="155"/>
        <w:gridCol w:w="175"/>
        <w:gridCol w:w="169"/>
        <w:gridCol w:w="946"/>
        <w:gridCol w:w="362"/>
      </w:tblGrid>
      <w:tr>
        <w:trPr/>
        <w:tc>
          <w:tcPr>
            <w:tcW w:w="2778"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77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33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2"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52" w:type="dxa"/>
            <w:gridSpan w:val="14"/>
            <w:tcBorders/>
            <w:vAlign w:val="bottom"/>
          </w:tcPr>
          <w:p>
            <w:pPr>
              <w:pStyle w:val="TableContents"/>
              <w:bidi w:val="0"/>
              <w:spacing w:before="0" w:after="283"/>
              <w:jc w:val="center"/>
              <w:rPr>
                <w:b/>
              </w:rPr>
            </w:pPr>
            <w:r>
              <w:rPr>
                <w:b/>
              </w:rPr>
              <w:t>(dollars in thousands)</w:t>
            </w:r>
          </w:p>
        </w:tc>
        <w:tc>
          <w:tcPr>
            <w:tcW w:w="362" w:type="dxa"/>
            <w:tcBorders/>
            <w:vAlign w:val="bottom"/>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research and development expenses by program:</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TX45</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4,293</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4,755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(462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(10</w:t>
            </w:r>
          </w:p>
        </w:tc>
        <w:tc>
          <w:tcPr>
            <w:tcW w:w="362" w:type="dxa"/>
            <w:tcBorders/>
            <w:vAlign w:val="bottom"/>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TX2100</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2,244</w:t>
            </w:r>
          </w:p>
        </w:tc>
        <w:tc>
          <w:tcPr>
            <w:tcW w:w="107"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261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1,983</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362" w:type="dxa"/>
            <w:tcBorders/>
            <w:shd w:fill="CCEEFF" w:val="clear"/>
            <w:vAlign w:val="bottom"/>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Platform development and unallocated expenses:</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Employee-related expenses, including stock-based compensation</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4,084</w:t>
            </w:r>
          </w:p>
        </w:tc>
        <w:tc>
          <w:tcPr>
            <w:tcW w:w="107"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3,203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881</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28</w:t>
            </w:r>
          </w:p>
        </w:tc>
        <w:tc>
          <w:tcPr>
            <w:tcW w:w="362" w:type="dxa"/>
            <w:tcBorders/>
            <w:shd w:fill="CCEEFF" w:val="clear"/>
            <w:vAlign w:val="bottom"/>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217</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319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(32</w:t>
            </w:r>
          </w:p>
        </w:tc>
        <w:tc>
          <w:tcPr>
            <w:tcW w:w="362" w:type="dxa"/>
            <w:tcBorders/>
            <w:vAlign w:val="bottom"/>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supplies and related expenses</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1,024</w:t>
            </w:r>
          </w:p>
        </w:tc>
        <w:tc>
          <w:tcPr>
            <w:tcW w:w="107"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1,168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(12</w:t>
            </w:r>
          </w:p>
        </w:tc>
        <w:tc>
          <w:tcPr>
            <w:tcW w:w="362" w:type="dxa"/>
            <w:tcBorders/>
            <w:shd w:fill="CCEEFF" w:val="clear"/>
            <w:vAlign w:val="bottom"/>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Facility related and other expenses, including depreciation</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1,174</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1,112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6</w:t>
            </w:r>
          </w:p>
        </w:tc>
        <w:tc>
          <w:tcPr>
            <w:tcW w:w="362"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platform development and unallocated expenses</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6,499</w:t>
            </w:r>
          </w:p>
        </w:tc>
        <w:tc>
          <w:tcPr>
            <w:tcW w:w="107"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5,802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697</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12</w:t>
            </w:r>
          </w:p>
        </w:tc>
        <w:tc>
          <w:tcPr>
            <w:tcW w:w="362" w:type="dxa"/>
            <w:tcBorders/>
            <w:shd w:fill="CCEEFF" w:val="clear"/>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13,036</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10,818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2,218</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21</w:t>
            </w:r>
          </w:p>
        </w:tc>
        <w:tc>
          <w:tcPr>
            <w:tcW w:w="362"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Total research and development expenses increased $2.2 million for the three months ended March 31, 2025, compared to the three months ended March 31, 2024. The increase in research and development expense was primarily the result of increased CRO and CDMO costs related to the discovery and development of TX2100.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general and administrative expenses for the three months ended March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30"/>
        <w:gridCol w:w="223"/>
        <w:gridCol w:w="288"/>
        <w:gridCol w:w="1155"/>
        <w:gridCol w:w="123"/>
        <w:gridCol w:w="345"/>
        <w:gridCol w:w="288"/>
        <w:gridCol w:w="1159"/>
        <w:gridCol w:w="60"/>
        <w:gridCol w:w="223"/>
        <w:gridCol w:w="199"/>
        <w:gridCol w:w="809"/>
        <w:gridCol w:w="60"/>
        <w:gridCol w:w="223"/>
        <w:gridCol w:w="152"/>
        <w:gridCol w:w="970"/>
        <w:gridCol w:w="281"/>
      </w:tblGrid>
      <w:tr>
        <w:trPr/>
        <w:tc>
          <w:tcPr>
            <w:tcW w:w="283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83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3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0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283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2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1" w:type="dxa"/>
            <w:tcBorders/>
            <w:vAlign w:val="bottom"/>
          </w:tcPr>
          <w:p>
            <w:pPr>
              <w:pStyle w:val="TableContents"/>
              <w:bidi w:val="0"/>
              <w:spacing w:before="0" w:after="283"/>
              <w:jc w:val="left"/>
              <w:rPr/>
            </w:pPr>
            <w:r>
              <w:rPr/>
              <w:t> </w:t>
            </w:r>
          </w:p>
        </w:tc>
      </w:tr>
      <w:tr>
        <w:trPr/>
        <w:tc>
          <w:tcPr>
            <w:tcW w:w="283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54" w:type="dxa"/>
            <w:gridSpan w:val="14"/>
            <w:tcBorders/>
            <w:vAlign w:val="bottom"/>
          </w:tcPr>
          <w:p>
            <w:pPr>
              <w:pStyle w:val="TableContents"/>
              <w:bidi w:val="0"/>
              <w:spacing w:before="0" w:after="283"/>
              <w:jc w:val="center"/>
              <w:rPr>
                <w:b/>
              </w:rPr>
            </w:pPr>
            <w:r>
              <w:rPr>
                <w:b/>
              </w:rPr>
              <w:t>(dollars in thousands)</w:t>
            </w:r>
          </w:p>
        </w:tc>
        <w:tc>
          <w:tcPr>
            <w:tcW w:w="281" w:type="dxa"/>
            <w:tcBorders/>
            <w:vAlign w:val="bottom"/>
          </w:tcPr>
          <w:p>
            <w:pPr>
              <w:pStyle w:val="TableContents"/>
              <w:bidi w:val="0"/>
              <w:spacing w:before="0" w:after="283"/>
              <w:jc w:val="left"/>
              <w:rPr/>
            </w:pPr>
            <w:r>
              <w:rPr/>
              <w:t> </w:t>
            </w:r>
          </w:p>
        </w:tc>
      </w:tr>
      <w:tr>
        <w:trPr/>
        <w:tc>
          <w:tcPr>
            <w:tcW w:w="2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Employee-related expenses, including stock-based compensation</w:t>
            </w:r>
          </w:p>
        </w:tc>
        <w:tc>
          <w:tcPr>
            <w:tcW w:w="22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5" w:type="dxa"/>
            <w:tcBorders/>
            <w:shd w:fill="CCEEFF" w:val="clear"/>
            <w:vAlign w:val="bottom"/>
          </w:tcPr>
          <w:p>
            <w:pPr>
              <w:pStyle w:val="TableContents"/>
              <w:bidi w:val="0"/>
              <w:spacing w:before="0" w:after="283"/>
              <w:jc w:val="right"/>
              <w:rPr/>
            </w:pPr>
            <w:r>
              <w:rPr/>
              <w:t>2,519</w:t>
            </w:r>
          </w:p>
        </w:tc>
        <w:tc>
          <w:tcPr>
            <w:tcW w:w="12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1,246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1,273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102</w:t>
            </w:r>
          </w:p>
        </w:tc>
        <w:tc>
          <w:tcPr>
            <w:tcW w:w="281" w:type="dxa"/>
            <w:tcBorders/>
            <w:shd w:fill="CCEEFF" w:val="clear"/>
            <w:vAlign w:val="bottom"/>
          </w:tcPr>
          <w:p>
            <w:pPr>
              <w:pStyle w:val="TableContents"/>
              <w:bidi w:val="0"/>
              <w:spacing w:before="0" w:after="283"/>
              <w:jc w:val="left"/>
              <w:rPr/>
            </w:pPr>
            <w:r>
              <w:rPr/>
              <w:t>% </w:t>
            </w:r>
          </w:p>
        </w:tc>
      </w:tr>
      <w:tr>
        <w:trPr/>
        <w:tc>
          <w:tcPr>
            <w:tcW w:w="2830"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consulting expenses</w:t>
            </w:r>
          </w:p>
        </w:tc>
        <w:tc>
          <w:tcPr>
            <w:tcW w:w="22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2,129</w:t>
            </w:r>
          </w:p>
        </w:tc>
        <w:tc>
          <w:tcPr>
            <w:tcW w:w="12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582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1,547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266</w:t>
            </w:r>
          </w:p>
        </w:tc>
        <w:tc>
          <w:tcPr>
            <w:tcW w:w="281" w:type="dxa"/>
            <w:tcBorders/>
            <w:vAlign w:val="bottom"/>
          </w:tcPr>
          <w:p>
            <w:pPr>
              <w:pStyle w:val="TableContents"/>
              <w:bidi w:val="0"/>
              <w:spacing w:before="0" w:after="283"/>
              <w:jc w:val="left"/>
              <w:rPr/>
            </w:pPr>
            <w:r>
              <w:rPr/>
              <w:t>% </w:t>
            </w:r>
          </w:p>
        </w:tc>
      </w:tr>
      <w:tr>
        <w:trPr/>
        <w:tc>
          <w:tcPr>
            <w:tcW w:w="2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related and other expenses, including depreciation</w:t>
            </w:r>
          </w:p>
        </w:tc>
        <w:tc>
          <w:tcPr>
            <w:tcW w:w="22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614</w:t>
            </w:r>
          </w:p>
        </w:tc>
        <w:tc>
          <w:tcPr>
            <w:tcW w:w="12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322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292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91</w:t>
            </w:r>
          </w:p>
        </w:tc>
        <w:tc>
          <w:tcPr>
            <w:tcW w:w="281" w:type="dxa"/>
            <w:tcBorders/>
            <w:shd w:fill="CCEEFF" w:val="clear"/>
            <w:vAlign w:val="bottom"/>
          </w:tcPr>
          <w:p>
            <w:pPr>
              <w:pStyle w:val="TableContents"/>
              <w:bidi w:val="0"/>
              <w:spacing w:before="0" w:after="283"/>
              <w:jc w:val="left"/>
              <w:rPr/>
            </w:pPr>
            <w:r>
              <w:rPr/>
              <w:t>% </w:t>
            </w:r>
          </w:p>
        </w:tc>
      </w:tr>
      <w:tr>
        <w:trPr/>
        <w:tc>
          <w:tcPr>
            <w:tcW w:w="283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830"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22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1155" w:type="dxa"/>
            <w:tcBorders/>
            <w:vAlign w:val="bottom"/>
          </w:tcPr>
          <w:p>
            <w:pPr>
              <w:pStyle w:val="TableContents"/>
              <w:bidi w:val="0"/>
              <w:spacing w:before="0" w:after="283"/>
              <w:jc w:val="right"/>
              <w:rPr/>
            </w:pPr>
            <w:r>
              <w:rPr/>
              <w:t>5,262</w:t>
            </w:r>
          </w:p>
        </w:tc>
        <w:tc>
          <w:tcPr>
            <w:tcW w:w="12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2,150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3,112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145</w:t>
            </w:r>
          </w:p>
        </w:tc>
        <w:tc>
          <w:tcPr>
            <w:tcW w:w="281" w:type="dxa"/>
            <w:tcBorders/>
            <w:vAlign w:val="bottom"/>
          </w:tcPr>
          <w:p>
            <w:pPr>
              <w:pStyle w:val="TableContents"/>
              <w:bidi w:val="0"/>
              <w:spacing w:before="0" w:after="283"/>
              <w:jc w:val="left"/>
              <w:rPr/>
            </w:pPr>
            <w:r>
              <w:rPr/>
              <w:t>% </w:t>
            </w:r>
          </w:p>
        </w:tc>
      </w:tr>
      <w:tr>
        <w:trPr/>
        <w:tc>
          <w:tcPr>
            <w:tcW w:w="283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1155" w:type="dxa"/>
            <w:tcBorders/>
            <w:vAlign w:val="bottom"/>
          </w:tcPr>
          <w:p>
            <w:pPr>
              <w:pStyle w:val="TableContents"/>
              <w:pBdr>
                <w:top w:val="double" w:sz="6"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increased $3.1 million for the three months ended March 31, 2025 compared to the three months ended March 31, 2024. Personnel-related expenses increased $1.3 million during the three months ended March 31, 2025 compared to the three months ended March 31, 2024. The increase in personnel-related expenses was primarily due to an increase in stock-based compensation for newly granted stock-based awards. Professional and consulting fees increased $1.5 million during the three months ended March 31, 2025 compared to the three months ended March 31, 2024 due to an increase in audit, legal and administrative services to support our operations as a public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Net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$2.2 million for the three months ended March 31, 2025 compared to the three months ended March 31, 2024 primarily due to an increase in cash and cash equivalents as a result of the Merger and Private 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any approved products and have never generated any revenue from product sales. We have funded our operations with proceeds from the sale of convertible preferred stock, the issuance of convertible promissory notes, the Merger, and sale of common stock. In February 2025, we sold shares of our common stock under a securities purchase agreement in exchange for gross proceeds of approximately $185.0 million. As of March 31, 2025, we had $306.2 million in cash and cash equivalents and an accumulated deficit of $164.5 million. Based on our current business plans, management believes that our cash, cash equivalents and marketable securities on hand at December 31, 2024 are sufficient to meet our operating requirements for at least the next 12 months from the issuance of the consolidated financial statements included in this Quarterly Report. We have based this estimate on assumptions that may prove to be wrong, and we could exhaust our capital resources sooner than we expect.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 summary of our cash flows for the three months ended March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9"/>
        <w:gridCol w:w="303"/>
        <w:gridCol w:w="140"/>
        <w:gridCol w:w="812"/>
        <w:gridCol w:w="159"/>
        <w:gridCol w:w="247"/>
        <w:gridCol w:w="140"/>
        <w:gridCol w:w="782"/>
        <w:gridCol w:w="163"/>
      </w:tblGrid>
      <w:tr>
        <w:trPr/>
        <w:tc>
          <w:tcPr>
            <w:tcW w:w="500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0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3" w:type="dxa"/>
            <w:tcBorders/>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80" w:type="dxa"/>
            <w:gridSpan w:val="6"/>
            <w:tcBorders/>
            <w:vAlign w:val="bottom"/>
          </w:tcPr>
          <w:p>
            <w:pPr>
              <w:pStyle w:val="TableContents"/>
              <w:bidi w:val="0"/>
              <w:spacing w:before="0" w:after="283"/>
              <w:jc w:val="center"/>
              <w:rPr>
                <w:b/>
              </w:rPr>
            </w:pPr>
            <w:r>
              <w:rPr>
                <w:b/>
              </w:rPr>
              <w:t>(in thousands)</w:t>
            </w:r>
          </w:p>
        </w:tc>
        <w:tc>
          <w:tcPr>
            <w:tcW w:w="163" w:type="dxa"/>
            <w:tcBorders/>
            <w:vAlign w:val="bottom"/>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(13,083</w:t>
            </w:r>
          </w:p>
        </w:tc>
        <w:tc>
          <w:tcPr>
            <w:tcW w:w="15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(9,273</w:t>
            </w:r>
          </w:p>
        </w:tc>
        <w:tc>
          <w:tcPr>
            <w:tcW w:w="163" w:type="dxa"/>
            <w:tcBorders/>
            <w:shd w:fill="CCEEFF" w:val="clear"/>
            <w:vAlign w:val="bottom"/>
          </w:tcPr>
          <w:p>
            <w:pPr>
              <w:pStyle w:val="TableContents"/>
              <w:bidi w:val="0"/>
              <w:spacing w:before="0" w:after="283"/>
              <w:jc w:val="left"/>
              <w:rPr/>
            </w:pPr>
            <w:r>
              <w:rPr/>
              <w:t>) </w:t>
            </w:r>
          </w:p>
        </w:tc>
      </w:tr>
      <w:tr>
        <w:trPr/>
        <w:tc>
          <w:tcPr>
            <w:tcW w:w="500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(27</w:t>
            </w:r>
          </w:p>
        </w:tc>
        <w:tc>
          <w:tcPr>
            <w:tcW w:w="15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w:t>
            </w:r>
          </w:p>
        </w:tc>
        <w:tc>
          <w:tcPr>
            <w:tcW w:w="163" w:type="dxa"/>
            <w:tcBorders/>
            <w:vAlign w:val="bottom"/>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178,122</w:t>
            </w:r>
          </w:p>
        </w:tc>
        <w:tc>
          <w:tcPr>
            <w:tcW w:w="15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(668</w:t>
            </w:r>
          </w:p>
        </w:tc>
        <w:tc>
          <w:tcPr>
            <w:tcW w:w="163" w:type="dxa"/>
            <w:tcBorders/>
            <w:shd w:fill="CCEEFF" w:val="clear"/>
            <w:vAlign w:val="bottom"/>
          </w:tcPr>
          <w:p>
            <w:pPr>
              <w:pStyle w:val="TableContents"/>
              <w:bidi w:val="0"/>
              <w:spacing w:before="0" w:after="283"/>
              <w:jc w:val="left"/>
              <w:rPr/>
            </w:pPr>
            <w:r>
              <w:rPr/>
              <w:t>) </w:t>
            </w:r>
          </w:p>
        </w:tc>
      </w:tr>
      <w:tr>
        <w:trPr/>
        <w:tc>
          <w:tcPr>
            <w:tcW w:w="5009"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w:t>
            </w:r>
          </w:p>
        </w:tc>
        <w:tc>
          <w:tcPr>
            <w:tcW w:w="15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(76</w:t>
            </w:r>
          </w:p>
        </w:tc>
        <w:tc>
          <w:tcPr>
            <w:tcW w:w="163" w:type="dxa"/>
            <w:tcBorders/>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Net increase (decrease) in cash, cash equivalents and </w:t>
              <w:br/>
              <w:t>restricted cash</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165,007</w:t>
            </w:r>
          </w:p>
        </w:tc>
        <w:tc>
          <w:tcPr>
            <w:tcW w:w="15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(10,021</w:t>
            </w:r>
          </w:p>
        </w:tc>
        <w:tc>
          <w:tcPr>
            <w:tcW w:w="163" w:type="dxa"/>
            <w:tcBorders/>
            <w:shd w:fill="CCEEFF" w:val="clear"/>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cash used in operating activities was $13.1 million. Cash used in operating activities was primarily used to fund our operations to develop our product candidates resulting in a net loss of $15.9 million partially offset by non-cash charges of $3.0 million related to stock-based compensation expense, depreciation and amortization expense and lease expense.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2024, cash used in operating activities was $9.3 million. Cash used in operating activities was primarily due to the use of funds in our operations to develop our product candidates resulting in a net loss of $15.2 million, and changes in our operating assets and liabilities of $2.9 million, partially offset by non-cash charges of $3.1 million related to the change in the fair value of the SAFE liabilities, depreciation and amortization expense, stock-based compensation expense, and lease expense. The increase in operating assets and liabilities relates to accrued expenses, timing of vendor payments, and timing of lease repayments.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and 2024, net cash used in investing activities was nominal and related to purchases of property and equipment.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net cash provided by financing activities was $178.1 million, primarily due to net proceeds of $177.3 million from the sale of shares pursuant to the Private Placement and $1.0 million in proceeds from the exercise of stock options. Net cash used in financing activities during the three months ended March 31, 2024 was primarily due to the payment of $0.6 million of deferred offering costs related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existing cash and cash equivalents will enable us to fund our operating expenses and capital expenditure requirements for at least the next twelve months. 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product discovery,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prioritization and number of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sufficient additional capital on a timely basis and on 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process development and manufacturing scale-up activities associated with our product candidates and other programs as we advance them through preclinical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collaborations on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the license agreements and any other collaboration agreements we enter into;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are obligated to reimburse, or entitled to reimbursement of, clinical trial costs under collaboration agreements,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our intellectual property rights and defending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in-license other product candidates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securing manufacturing arrangements for commercial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publicly traded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establishing or contracting for sales and marketing capabilities if we obtain regulatory approvals to market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macroeconomic environment, including inflation and interest rates.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120" w:after="0"/>
        <w:jc w:val="left"/>
        <w:rPr>
          <w:rFonts w:ascii="Times New Roman" w:hAnsi="Times New Roman"/>
          <w:sz w:val="20"/>
        </w:rPr>
      </w:pPr>
      <w:r>
        <w:rPr>
          <w:rFonts w:ascii="Times New Roman" w:hAnsi="Times New Roman"/>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no ongoing material financing commitments, such as lines of credit or guarantees, that are expected to affect our liquidity over the next five years, other than our lease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&amp;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11, </w:t>
      </w:r>
      <w:r>
        <w:rPr>
          <w:rFonts w:ascii="Times New Roman" w:hAnsi="Times New Roman"/>
          <w:i/>
          <w:sz w:val="20"/>
        </w:rPr>
        <w:t>Commitments and Contingencies</w:t>
      </w:r>
      <w:r>
        <w:rPr>
          <w:rFonts w:ascii="Times New Roman" w:hAnsi="Times New Roman"/>
          <w:sz w:val="20"/>
        </w:rPr>
        <w:t xml:space="preserve">, and to our consolidated financial statements included in this Quarterly Report, which is incorporated 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We have lease obligations including amounts due on leases of certain laboratory equipment and office and laboratory space under the terms of non-cancelable operating and finance leases. The leases expire at various times through 2027. Minimum lease payments as of March 31, 2025 are $2.2 million in 2025, $0.5 million in 2026, and $0.1 million in 2027. The commitment amounts are associated with contracts that are enforceable and legally binding and that specify all significant terms, including fixed or minimum services to be used, fixed, minimum or variable price provisions, and the approximate timing of the actions under the contracts. Such amounts do not include obligations under agreements that we can cancel without a significant penalty. </w:t>
      </w:r>
    </w:p>
    <w:p>
      <w:pPr>
        <w:pStyle w:val="TextBody"/>
        <w:bidi w:val="0"/>
        <w:spacing w:before="120" w:after="0"/>
        <w:jc w:val="left"/>
        <w:rPr>
          <w:rFonts w:ascii="Times New Roman" w:hAnsi="Times New Roman"/>
          <w:sz w:val="20"/>
        </w:rPr>
      </w:pPr>
      <w:r>
        <w:rPr>
          <w:rFonts w:ascii="Times New Roman" w:hAnsi="Times New Roman"/>
          <w:sz w:val="20"/>
        </w:rPr>
        <w:t xml:space="preserve">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 w:name="q15014_9"/>
      <w:bookmarkEnd w:id="11"/>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primary exposure to market risk is to market risk related to interest rate sensitivity, which is affected by changes in the general level of U.S. interest rates. As of March 31, 2025, we had cash and cash equivalents of $306.2 million, which consisted of cash and interest-bearing money market funds. As of March 31, 2025, we had an operating lease liability and a finance lease liability of $1.9 million and $0.8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 </w:t>
      </w:r>
    </w:p>
    <w:p>
      <w:pPr>
        <w:pStyle w:val="TextBody"/>
        <w:bidi w:val="0"/>
        <w:spacing w:before="360" w:after="0"/>
        <w:jc w:val="left"/>
        <w:rPr>
          <w:rFonts w:ascii="Times New Roman" w:hAnsi="Times New Roman"/>
          <w:b/>
          <w:sz w:val="20"/>
        </w:rPr>
      </w:pPr>
      <w:r>
        <w:rPr>
          <w:rFonts w:ascii="Times New Roman" w:hAnsi="Times New Roman"/>
          <w:b/>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2" w:name="q15014_10"/>
      <w:bookmarkEnd w:id="12"/>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with the participation of our Chief Executive Officer and our Chief Financial Officer, evaluated the effectiveness of our disclosure controls and procedures as of March 31, 2025, the end of the period covered by this Quarterly Report. Based on the evaluation of our disclosure controls and procedures as of March 31, 2025, our Chief Executive Officer and Chief Financial Officer concluded that, as of such date, our disclosure controls and procedures were effective at the reasonable assurance level.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Inherent Limitations on Effectiveness of Controls </w:t>
      </w:r>
    </w:p>
    <w:p>
      <w:pPr>
        <w:pStyle w:val="TextBody"/>
        <w:bidi w:val="0"/>
        <w:spacing w:before="120" w:after="0"/>
        <w:jc w:val="left"/>
        <w:rPr>
          <w:rFonts w:ascii="Times New Roman" w:hAnsi="Times New Roman"/>
          <w:sz w:val="20"/>
        </w:rPr>
      </w:pPr>
      <w:r>
        <w:rPr>
          <w:rFonts w:ascii="Times New Roman" w:hAnsi="Times New Roman"/>
          <w:sz w:val="20"/>
        </w:rPr>
        <w:t xml:space="preserve">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q15014_11"/>
      <w:bookmarkEnd w:id="13"/>
      <w:r>
        <w:rPr>
          <w:rFonts w:ascii="Times New Roman" w:hAnsi="Times New Roman"/>
          <w:b/>
          <w:sz w:val="20"/>
        </w:rPr>
        <w:t xml:space="preserve">PART IIOTHER INFORMATION </w:t>
      </w:r>
    </w:p>
    <w:p>
      <w:pPr>
        <w:pStyle w:val="TextBody"/>
        <w:bidi w:val="0"/>
        <w:spacing w:before="240" w:after="0"/>
        <w:jc w:val="left"/>
        <w:rPr>
          <w:rFonts w:ascii="Times New Roman" w:hAnsi="Times New Roman"/>
          <w:b/>
          <w:sz w:val="20"/>
        </w:rPr>
      </w:pPr>
      <w:bookmarkStart w:id="14" w:name="q15014_12"/>
      <w:bookmarkEnd w:id="14"/>
      <w:r>
        <w:rPr>
          <w:rFonts w:ascii="Times New Roman" w:hAnsi="Times New Roman"/>
          <w:b/>
          <w:sz w:val="20"/>
        </w:rPr>
        <w:t xml:space="preserve">Item 1.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5" w:name="q15014_13"/>
      <w:bookmarkEnd w:id="15"/>
      <w:r>
        <w:rPr>
          <w:rFonts w:ascii="Times New Roman" w:hAnsi="Times New Roman"/>
          <w:b/>
          <w:sz w:val="20"/>
        </w:rPr>
        <w:t xml:space="preserve">Item 1A. Risk Factors. </w:t>
      </w:r>
    </w:p>
    <w:p>
      <w:pPr>
        <w:pStyle w:val="TextBody"/>
        <w:bidi w:val="0"/>
        <w:spacing w:before="120" w:after="0"/>
        <w:jc w:val="left"/>
        <w:rPr>
          <w:rFonts w:ascii="Times New Roman" w:hAnsi="Times New Roman"/>
          <w:sz w:val="20"/>
        </w:rPr>
      </w:pPr>
      <w:r>
        <w:rPr>
          <w:rFonts w:ascii="Times New Roman" w:hAnsi="Times New Roman"/>
          <w:sz w:val="20"/>
        </w:rPr>
        <w:t xml:space="preserve">Investing in the Companys common stock involves a high degree of risk. Careful consideration should be given to the following risk factors, in addition to the other information set forth in this Quarterly Report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 Summary </w:t>
      </w:r>
    </w:p>
    <w:p>
      <w:pPr>
        <w:pStyle w:val="TextBody"/>
        <w:bidi w:val="0"/>
        <w:spacing w:before="120" w:after="0"/>
        <w:jc w:val="left"/>
        <w:rPr>
          <w:rFonts w:ascii="Times New Roman" w:hAnsi="Times New Roman"/>
          <w:sz w:val="20"/>
        </w:rPr>
      </w:pPr>
      <w:r>
        <w:rPr>
          <w:rFonts w:ascii="Times New Roman" w:hAnsi="Times New Roman"/>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have incurred net losses in every year since our inception, and expect to continue to incur net losses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experience in therapeutic discovery and development and our GEODe platform may never result in the regulatory approval of a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successfully commercialize any product candidate for which we receive regulatory approval, or experience significant delays in doing so, our business will be materially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in part on our ability to protect our intellectual property. It is difficult and costly to protect our proprietary rights and technology, and we may not be able to ensure their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intellectual property licensed from third parties and termination of any of these licenses could result in the loss of significant rights, which would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currently rely and expect to rely in the future on the use of manufacturing suites in third-party facilities or on third parties to manufacture TX45 and any other product candidates, and we may rely on third parties to produce and process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could be adversely affected if we are unable to use third-party manufacturing suites or if the third-party manufacturers encounter difficulties in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from other biotechnology and pharmaceutical companies, and our operating results will suffer if we fail to compete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common stock is expected to be volatile, and the market price of the common stock may drop.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attract and retain management and other key personnel, we may be unable to continue to successfully develop or commercialize our product candidates or otherwise implement our business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Financial Position and Cash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have incurred net losses in every year since our inception. We expect to continue to incur net losses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March 31, 2025 and 2024, we reported a net loss of $15.9 million and $15.2 million, respectively. As of March 31, 2025, we had an accumulated deficit of $164.5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our expenses will increase substantially if, and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the research and development of our clinical- and preclinical-stage product candidates and discovery-stage programs, including the continued development of our lead product candidate TX45;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amount of research and development activities to identify and develop product candidates using our proprietary discovery approach;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under in-license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operational, financial and management systems and increase personnel, including personnel to support our clinical development, manufacturing and commercialization efforts and our operations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sales, marketing, medical affairs and distribution infrastructure to commercialize any products for which we may obtain marketing approval and intend to commercialize on our own or jointly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 in or in-license other technologies;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any delays or encounter any issues with any of the above, including but not limited to failed studies, complex results, manufacturing challenges, safety issues or other regulatory challenges.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1b and Phase 2 clinical trials of TX45,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we had $306.2 million in cash and cash equivalents. Although we believe that our available cash and cash equivalents will be sufficient to fund our planned operations for at least 12 months following the date of our consolidated financial statements included in this Quarterly Report, this belief is based on assumptions that may prove to be wrong, and we could use our available capital resources sooner than we currently expect. </w:t>
      </w:r>
    </w:p>
    <w:p>
      <w:pPr>
        <w:pStyle w:val="TextBody"/>
        <w:bidi w:val="0"/>
        <w:spacing w:before="120" w:after="0"/>
        <w:jc w:val="left"/>
        <w:rPr>
          <w:rFonts w:ascii="Times New Roman" w:hAnsi="Times New Roman"/>
          <w:sz w:val="20"/>
        </w:rPr>
      </w:pPr>
      <w:r>
        <w:rPr>
          <w:rFonts w:ascii="Times New Roman" w:hAnsi="Times New Roman"/>
          <w:sz w:val="20"/>
        </w:rPr>
        <w:t xml:space="preserve">Future capital requirements for TX45 or our preclinical programs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milestone and royalty payments we are required to make or are eligible to receive under our license agreements with Harvard and other license agreements,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potential new product candidates we identify and decide to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additional or expanded pre-clinical studies and clinical trials beyond those that we plan to conduct with respect to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growing the organization to the size needed to allow for the research, development and potential commercialization of our current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filing patent applications, maintaining and enforcing patents or defending against infringement or other claims raised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our existing license and collaboration agreements and the entry into new license and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and costs involved in obtaining regulatory approval for our product candidates and any delays we may encounter as a result of evolving regulatory requirements or adverse results with respect to any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commercial-scale outsourced manufacturing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establishing sales, marketing and distribution capabilities for any product candidates for which we may receive regulatory approval in regions where we choose to commercialize our products on our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revenues, if any, we may derive either directly or in the form of royalty payments from future sales of our product candidates, if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any approved product candidates.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will cause dilution to our stockholders, and may restrict our operations, or require us to relinquish rights to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Development and Regulatory Approval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limited experience in therapeutic discovery and development and our GEODe platform may never result in the regulatory approval of a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1b clinical trial and recently initiated a Phase 2 clinical trial.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preclinical studies and clinical trials for which the FDA, or any comparable foreign regulatory authority agree with the design, endpoints or implementation;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regulatory approvals or authorizations for conducting our planned clinical trials or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and successful patient enrollment in, and completion of, additional clinical trials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 is safe, pure, and potent for its targeted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for our product candidates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scaling up, either alone or with third-party manufacturers, manufacturing capabilities of clinical supply for our clinical trials and commercial manufacturing, if any of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proprietary information protection or regulatory exclusivity for our product candidates, both in the United States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scaling a sales and marketing organization and launching commercial sales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 candidates benefits and uses, if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our product candidates following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companies developing and commercializing other therapies in the indications which our product candidates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completed only one clinical trial (Phase 1a trial in normal healthy volunteer with TX45) required for the approval of any of our product candidates. Part A of our TX45 Phase1b trial in patients with Group 2 PH and HFpEF is complete and we are currently conducting a Part B trial in Group 2 PH patients with HFrEF. We are enrolling a TX45 Phase 2 clinical trial in Group 2 PH patients with HFpEF, and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regulatory authorizations to commence a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as to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reach agreement on acceptable terms with prospective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institutional review board (IRB) approval at each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recruit a sufficient number of suitable patients to participate in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have patients complete a trial or return for post-treatment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adding new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sufficient quantities of our product candidates for use in clinical trials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clinical trials in accordance with the FDAs or any other regulatory authoritys good clinical practices (GCP) requirements, or regulatory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policies and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third-party research contractors to comply with regulatory requirements or meet their contractual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establishing the appropriate dosage levels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our product candidates falling below acceptable standards;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120" w:after="0"/>
        <w:jc w:val="left"/>
        <w:rPr>
          <w:rFonts w:ascii="Times New Roman" w:hAnsi="Times New Roman"/>
          <w:sz w:val="20"/>
        </w:rPr>
      </w:pPr>
      <w:r>
        <w:rPr>
          <w:rFonts w:ascii="Times New Roman" w:hAnsi="Times New Roman"/>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the Phase 1a healthy volunteer trial and our Phase 1b study in patients with Group 2 PH to date, the results from future preclinical studies and clinical trials, including of our other product candidates, may identify safety concerns or other undesirable properties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our ongoing Phase 1b clinical trial of TX45, the recently initiated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120" w:after="0"/>
        <w:jc w:val="left"/>
        <w:rPr>
          <w:rFonts w:ascii="Times New Roman" w:hAnsi="Times New Roman"/>
          <w:sz w:val="20"/>
        </w:rPr>
      </w:pPr>
      <w:r>
        <w:rPr>
          <w:rFonts w:ascii="Times New Roman" w:hAnsi="Times New Roman"/>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120" w:after="0"/>
        <w:jc w:val="left"/>
        <w:rPr>
          <w:rFonts w:ascii="Times New Roman" w:hAnsi="Times New Roman"/>
          <w:sz w:val="20"/>
        </w:rPr>
      </w:pPr>
      <w:r>
        <w:rPr>
          <w:rFonts w:ascii="Times New Roman" w:hAnsi="Times New Roman"/>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approvals of such product and require us to take such approved product off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specific warnings, a contraindication or field alerts to physicians and pharmacies;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change the way the product is administered, conduct additional clinical trials or change the labeling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limitations on how we may promote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litigation or product liability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find it difficult to enroll patients in our clinical trials, which could delay or prevent us from proceeding with, or otherwise adversely affect, clinical trials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location of trial sites in Eastern Europe for the Phase 1b and Phase II trials with their proximity to the conflict between Russia and the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or the inability to obtain, required approvals from institutional review boards (IRBs) and ethics committees or other governing entities at clinical trial sites selected for participation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clinical trial sites on clinical budgets and/or clinical trial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deviations from the trial protocol by clinical trial sites and investigators, or failures to conduct the trial in accordance with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and process for identifying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for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of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profile, to date,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our approach;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degree of progression of the patients disease at the time of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patient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adequately monitor patients during and after treatment.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12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12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regulatory approval processes of the FDA and comparable foreign regulatory authorities are lengthy, time consuming and inherently unpredictable, and if we are ultimately unable to obtain regulatory approval for our product candidates, our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Our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a product candidate is safe, pure and potent for its proposed indication;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may not be sufficiently broad or representative to assure safety or efficacy in the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clinical significance required by the FDA or comparable foreign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require additional preclinical studies or clinical trials beyond those that we currently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any comparable foreign regulatory authorities or the laws they enforce may significantly change in a manner rendering our clinical data insufficient for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any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120" w:after="0"/>
        <w:jc w:val="left"/>
        <w:rPr>
          <w:rFonts w:ascii="Times New Roman" w:hAnsi="Times New Roman"/>
          <w:sz w:val="20"/>
        </w:rPr>
      </w:pPr>
      <w:r>
        <w:rPr>
          <w:rFonts w:ascii="Times New Roman" w:hAnsi="Times New Roman"/>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our products,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us or suspension or revocation of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120" w:after="0"/>
        <w:jc w:val="left"/>
        <w:rPr>
          <w:rFonts w:ascii="Times New Roman" w:hAnsi="Times New Roman"/>
          <w:sz w:val="20"/>
        </w:rPr>
      </w:pPr>
      <w:r>
        <w:rPr>
          <w:rFonts w:ascii="Times New Roman" w:hAnsi="Times New Roman"/>
          <w:sz w:val="20"/>
        </w:rPr>
        <w:t xml:space="preserve">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approved, our investigational products may face competition from biosimilars approved through an abbreviated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0"/>
        <w:jc w:val="left"/>
        <w:rPr>
          <w:rFonts w:ascii="Times New Roman" w:hAnsi="Times New Roman"/>
          <w:sz w:val="20"/>
        </w:rPr>
      </w:pPr>
      <w:r>
        <w:rPr>
          <w:rFonts w:ascii="Times New Roman" w:hAnsi="Times New Roman"/>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our products due to negative public perception;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or difficulties in recruiting new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or settle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our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revenues from product sales;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of our product candidates, if approved.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Should any of the events described above occur, this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orphan drug designation for product candidates we develop, and we may be unsuccessful or may be unable to maintain the benefits associated with orphan drug designation, including the potential for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120" w:after="0"/>
        <w:jc w:val="left"/>
        <w:rPr>
          <w:rFonts w:ascii="Times New Roman" w:hAnsi="Times New Roman"/>
          <w:sz w:val="20"/>
        </w:rPr>
      </w:pPr>
      <w:r>
        <w:rPr>
          <w:rFonts w:ascii="Times New Roman" w:hAnsi="Times New Roman"/>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Commercialization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If we are successful in obtaining marketing approval from applicable regulatory authorities for TX45 or any other product candidate, our ability to generate revenues from any such products will depend on our success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such products,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approved labels with claims that are necessary or desirable for successful marketing, and that do not contain safety or other limitations that would impede our ability to market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 demand for such products through marketing, sales and promotion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training, and deploying a sales force or contracting with third parties to commercialize such products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strategic collaborations with, or offering licenses to, third parties to promote and sell such products in foreign markets where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such products (i) in sufficient quantities, (ii) at acceptable quality and cost and (iii) in a presentation that is practical and compatible with the intended clinical use to meet commercial demand at launch and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agreements with wholesalers, distributors, and group purchasing organizations on commercially reasonable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patent and trade secret protection and regulatory exclusivity for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market acceptance of such products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coverage and adequate reimbursement from third-party payors for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in the absence of such coverage and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such products following launch.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we are not able to do any of the foregoing, our business, financial condition, results of operations, stock price and prospects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from other biotechnology and pharmaceutical companies, and our operating results will suffer if we fail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In addition, in January 2025, Eli Lilly terminated its Phase 2 trial of volenrelaxin, which has affected investor perception of relaxin product candidates in general.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 </w:t>
      </w:r>
    </w:p>
    <w:p>
      <w:pPr>
        <w:pStyle w:val="TextBody"/>
        <w:bidi w:val="0"/>
        <w:spacing w:before="120" w:after="0"/>
        <w:jc w:val="left"/>
        <w:rPr>
          <w:rFonts w:ascii="Times New Roman" w:hAnsi="Times New Roman"/>
          <w:sz w:val="20"/>
        </w:rPr>
      </w:pPr>
      <w:r>
        <w:rPr>
          <w:rFonts w:ascii="Times New Roman" w:hAnsi="Times New Roman"/>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recruit, train and retain adequate numbers of effective sales and marketing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educate adequate numbers of physicians on the benefits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us at a competitive disadvantage relative to companies with more extensive product 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marketing and promotion above those anticipated by 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120" w:after="0"/>
        <w:jc w:val="left"/>
        <w:rPr>
          <w:rFonts w:ascii="Times New Roman" w:hAnsi="Times New Roman"/>
          <w:sz w:val="20"/>
        </w:rPr>
      </w:pPr>
      <w:r>
        <w:rPr>
          <w:rFonts w:ascii="Times New Roman" w:hAnsi="Times New Roman"/>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commercialized a product candidate for any indication. Even if our product candidates are approved by the appropriate regulatory authorities for marketing and sale, they may not gain acceptance among physicians, patients,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120" w:after="0"/>
        <w:jc w:val="left"/>
        <w:rPr>
          <w:rFonts w:ascii="Times New Roman" w:hAnsi="Times New Roman"/>
          <w:sz w:val="20"/>
        </w:rPr>
      </w:pPr>
      <w:r>
        <w:rPr>
          <w:rFonts w:ascii="Times New Roman" w:hAnsi="Times New Roman"/>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our product candidates as a safe and effective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our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or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our product candidates in relation to other potentially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our product candidates in relation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from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administration, including as compared to alternative treatments and competitive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efforts and distribution support;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or perceived risk of potential product liability claims.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may negatively impact our ability to profitably sell TX45 and any potential future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and amendments to certain aspects of the ACA. </w:t>
      </w:r>
    </w:p>
    <w:p>
      <w:pPr>
        <w:pStyle w:val="TextBody"/>
        <w:bidi w:val="0"/>
        <w:spacing w:before="120" w:after="0"/>
        <w:jc w:val="left"/>
        <w:rPr>
          <w:rFonts w:ascii="Times New Roman" w:hAnsi="Times New Roman"/>
          <w:sz w:val="20"/>
        </w:rPr>
      </w:pPr>
      <w:r>
        <w:rPr>
          <w:rFonts w:ascii="Times New Roman" w:hAnsi="Times New Roman"/>
          <w:sz w:val="20"/>
        </w:rPr>
        <w:t xml:space="preserve">For example, on August 16, 2022, the Inflation Reduction Act (the IRA), was signed into law, which among other things, (1) directs the Department of Health and Human Services (the HHS), to negotiate the price of certain high expenditure, single-source biologics that have been on the market for 11 years covered under Medicare (the Medicare Drug Price Negotiation Program)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eliminates the donut hole under the Medicare Part D program beginning in 2025 by significantly lowering the beneficiary maximum out-of-pocket cost through a newly established manufacturer discount program. These provisions began to take effect progressively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of the second Trump administration may impact the ACA or IRA, increase the pressure on drug pricing or limit the availability of coverage and adequate reimbursement for TX45 and any potential future product candidates, which would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120" w:after="0"/>
        <w:jc w:val="left"/>
        <w:rPr>
          <w:rFonts w:ascii="Times New Roman" w:hAnsi="Times New Roman"/>
          <w:sz w:val="20"/>
        </w:rPr>
      </w:pPr>
      <w:r>
        <w:rPr>
          <w:rFonts w:ascii="Times New Roman" w:hAnsi="Times New Roman"/>
          <w:sz w:val="20"/>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include, for example, directives to reduce agency workforce, program cuts,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w:t>
      </w:r>
      <w:r>
        <w:rPr>
          <w:rFonts w:ascii="Times New Roman" w:hAnsi="Times New Roman"/>
          <w:sz w:val="20"/>
          <w:u w:val="single"/>
        </w:rPr>
        <w:t>,</w:t>
      </w:r>
      <w:r>
        <w:rPr>
          <w:rFonts w:ascii="Times New Roman" w:hAnsi="Times New Roman"/>
          <w:sz w:val="20"/>
        </w:rPr>
        <w:t xml:space="preserve"> directing HHS and other agencies to lower prescription drug costs for Medicare through a variety of initiatives, including by improving upon the Medicare Drug Price Negotiation Program, and directing certain federal agencies to enforce existing law regarding hospital and plan price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w:t>
      </w:r>
    </w:p>
    <w:p>
      <w:pPr>
        <w:pStyle w:val="TextBody"/>
        <w:bidi w:val="0"/>
        <w:spacing w:before="120" w:after="0"/>
        <w:jc w:val="left"/>
        <w:rPr>
          <w:rFonts w:ascii="Times New Roman" w:hAnsi="Times New Roman"/>
          <w:sz w:val="20"/>
        </w:rPr>
      </w:pPr>
      <w:r>
        <w:rPr>
          <w:rFonts w:ascii="Times New Roman" w:hAnsi="Times New Roman"/>
          <w:sz w:val="20"/>
        </w:rPr>
        <w:t xml:space="preserve">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120" w:after="0"/>
        <w:jc w:val="left"/>
        <w:rPr>
          <w:rFonts w:ascii="Times New Roman" w:hAnsi="Times New Roman"/>
          <w:sz w:val="20"/>
        </w:rPr>
      </w:pPr>
      <w:r>
        <w:rPr>
          <w:rFonts w:ascii="Times New Roman" w:hAnsi="Times New Roman"/>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120" w:after="0"/>
        <w:jc w:val="left"/>
        <w:rPr>
          <w:rFonts w:ascii="Times New Roman" w:hAnsi="Times New Roman"/>
          <w:sz w:val="20"/>
        </w:rPr>
      </w:pPr>
      <w:r>
        <w:rPr>
          <w:rFonts w:ascii="Times New Roman" w:hAnsi="Times New Roman"/>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0"/>
        <w:jc w:val="left"/>
        <w:rPr>
          <w:rFonts w:ascii="Times New Roman" w:hAnsi="Times New Roman"/>
          <w:sz w:val="20"/>
        </w:rPr>
      </w:pPr>
      <w:r>
        <w:rPr>
          <w:rFonts w:ascii="Times New Roman" w:hAnsi="Times New Roman"/>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occurs,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be materially and adversely affected in the future by political unrest in China. </w:t>
      </w:r>
    </w:p>
    <w:p>
      <w:pPr>
        <w:pStyle w:val="TextBody"/>
        <w:bidi w:val="0"/>
        <w:spacing w:before="120" w:after="0"/>
        <w:jc w:val="left"/>
        <w:rPr>
          <w:rFonts w:ascii="Times New Roman" w:hAnsi="Times New Roman"/>
          <w:sz w:val="20"/>
        </w:rPr>
      </w:pPr>
      <w:r>
        <w:rPr>
          <w:rFonts w:ascii="Times New Roman" w:hAnsi="Times New Roman"/>
          <w:sz w:val="20"/>
        </w:rPr>
        <w:t>We are exposed to the possibility of product supply disruption and increased costs in the event of changes in the policies, laws, rules and regulations of the United States or Chinese governments, as well as political unrest or unstable economic conditions in China</w:t>
      </w:r>
      <w:r>
        <w:rPr>
          <w:rFonts w:ascii="Times New Roman" w:hAnsi="Times New Roman"/>
          <w:sz w:val="20"/>
          <w:u w:val="single"/>
        </w:rPr>
        <w:t xml:space="preserve">, </w:t>
      </w:r>
      <w:r>
        <w:rPr>
          <w:rFonts w:ascii="Times New Roman" w:hAnsi="Times New Roman"/>
          <w:sz w:val="20"/>
        </w:rPr>
        <w:t xml:space="preserve">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House of Representatives of the prior Congress (the 118thCongress) passed the BIOSECURE Act, which proposed targeting U.S. government contracts, grants, and loans for entities that use biotechnology equipment or services from certain named Chinese biotechnology companies, and potentially additional Chinese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118th Congress. It is unclear whether the current Congress (the 119th Congress) will introduce the BIOSECURE Act or similar legislation in this congressional session and, if so, how the scope, prohibitions, or designated biotechnology companies of concern may differ from the version of the BIOSECURE Act passed by the House in the prior 118th Congress. If these bills become law, or similar laws are passed, they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International trade policies, including tariffs, sanctions and trade barriers may adversely affect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the recently initiated Phase 2 clinical trials. We currently have a sole source relationship with WuXi Biologics for our supply of TX45. </w:t>
      </w:r>
    </w:p>
    <w:p>
      <w:pPr>
        <w:pStyle w:val="TextBody"/>
        <w:bidi w:val="0"/>
        <w:spacing w:before="120" w:after="0"/>
        <w:jc w:val="left"/>
        <w:rPr>
          <w:rFonts w:ascii="Times New Roman" w:hAnsi="Times New Roman"/>
          <w:sz w:val="20"/>
        </w:rPr>
      </w:pPr>
      <w:r>
        <w:rPr>
          <w:rFonts w:ascii="Times New Roman" w:hAnsi="Times New Roman"/>
          <w:sz w:val="20"/>
        </w:rPr>
        <w:t xml:space="preserve">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 </w:t>
      </w:r>
    </w:p>
    <w:p>
      <w:pPr>
        <w:pStyle w:val="TextBody"/>
        <w:bidi w:val="0"/>
        <w:spacing w:before="120" w:after="0"/>
        <w:jc w:val="left"/>
        <w:rPr>
          <w:rFonts w:ascii="Times New Roman" w:hAnsi="Times New Roman"/>
          <w:sz w:val="20"/>
        </w:rPr>
      </w:pPr>
      <w:r>
        <w:rPr>
          <w:rFonts w:ascii="Times New Roman" w:hAnsi="Times New Roman"/>
          <w:sz w:val="20"/>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0"/>
        <w:jc w:val="left"/>
        <w:rPr>
          <w:rFonts w:ascii="Times New Roman" w:hAnsi="Times New Roman"/>
          <w:sz w:val="20"/>
        </w:rPr>
      </w:pPr>
      <w:r>
        <w:rPr>
          <w:rFonts w:ascii="Times New Roman" w:hAnsi="Times New Roman"/>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supply chain issues may be exacerbated during disease outbreaks, epidemics and pandemics and may also impact the ability of our clinical trial sites to obtain basic medical supplies used in our trials in a timely fashion, if at all. </w:t>
      </w:r>
    </w:p>
    <w:p>
      <w:pPr>
        <w:pStyle w:val="TextBody"/>
        <w:bidi w:val="0"/>
        <w:spacing w:before="120" w:after="0"/>
        <w:jc w:val="left"/>
        <w:rPr>
          <w:rFonts w:ascii="Times New Roman" w:hAnsi="Times New Roman"/>
          <w:sz w:val="20"/>
        </w:rPr>
      </w:pPr>
      <w:r>
        <w:rPr>
          <w:rFonts w:ascii="Times New Roman" w:hAnsi="Times New Roman"/>
          <w:sz w:val="20"/>
        </w:rPr>
        <w:t xml:space="preserve">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spacing w:before="12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or use compounds or cells that are similar to the biological compositions of our product candidates but that are not covered by the claims of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active biological ingredients in our current product candidates will eventually become commercially available in biosimilar drug products, and no patent protection may be available with regard to formulation or method of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as the case may be, may fail to meet our obligations to the U.S. government in regards to any in-licensed patents and patent applications funded by U.S. government grants, leading to the loss of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as the case may be, might not have been the first to file patent applications for these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pending patent applications will not result in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us or our licensors patents, as the case may be, or parts of ours or their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others may circumvent our owned or in-licensed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our products or technology similar to our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ours or our licensors, as the case may be, proprietary rights to the same extent as the laws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claims of our owned or in-licensed issued patents or patent applications, if and when issued, may not cover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owned or in-licensed issued patents may not provide us with any competitive advantages, may be narrowed in scope, or be held invalid or unenforceable as a result of legal challenges by third 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engaged in scientific collaborations in the past, and will continue to do so in the future. Such collaborators may develop adjacent or competing products to ours that are outside the scope of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for which we can obtain patent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product candidates we develop may be covered by third parties patents or other exclusive rights;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our business.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Disputes may also arise between us and our licensors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of our product candidates, and what activities satisfy those diligence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or ownership of inventions and know-how resulting from the joint creation or use of intellectual property by our licensors and us and our partners.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our obligations under our patent licenses with a third party, we could lose license rights that are important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license agreements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protect the confidentiality of our proprietary information, our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techniques, including through contractual means with our employees and consultants, third parties may independently develop substantially equivalent proprietary information and techniques or otherwise gain access to, or disclose, our technology. </w:t>
      </w:r>
    </w:p>
    <w:p>
      <w:pPr>
        <w:pStyle w:val="TextBody"/>
        <w:bidi w:val="0"/>
        <w:spacing w:before="120" w:after="0"/>
        <w:jc w:val="left"/>
        <w:rPr>
          <w:rFonts w:ascii="Times New Roman" w:hAnsi="Times New Roman"/>
          <w:sz w:val="20"/>
        </w:rPr>
      </w:pPr>
      <w:r>
        <w:rPr>
          <w:rFonts w:ascii="Times New Roman" w:hAnsi="Times New Roman"/>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our product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 xml:space="preserve">inter partes </w:t>
      </w:r>
      <w:r>
        <w:rPr>
          <w:rFonts w:ascii="Times New Roman" w:hAnsi="Times New Roman"/>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120" w:after="0"/>
        <w:jc w:val="left"/>
        <w:rPr>
          <w:rFonts w:ascii="Times New Roman" w:hAnsi="Times New Roman"/>
          <w:sz w:val="20"/>
        </w:rPr>
      </w:pPr>
      <w:r>
        <w:rPr>
          <w:rFonts w:ascii="Times New Roman" w:hAnsi="Times New Roman"/>
          <w:sz w:val="20"/>
        </w:rPr>
        <w:t xml:space="preserve">If a third-party claims that we infringe its intellectual property rights, we may face a number of issues,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infringement and other intellectual property claims which, regardless of merit, may be expensive and time-consuming to litigate and may divert our managements attention from our core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prohibiting us from developing, manufacturing, marketing or selling our product candidates, or from using our proprietary technologies, unless the third party licenses its intellectual property rights to us, which it is not required to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license is available from a third party, we may have to pay substantial royalties, upfront fees and other amounts, and/or grant cross-licenses to intellectual property rights for its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redesigning our product candidates or processes so they do not infringe, which may not be possible or may require substantial monetary expenditures and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assert that our employees or consultants have wrongfully used or disclosed confidential information or misappropriated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120" w:after="0"/>
        <w:jc w:val="left"/>
        <w:rPr>
          <w:rFonts w:ascii="Times New Roman" w:hAnsi="Times New Roman"/>
          <w:sz w:val="20"/>
        </w:rPr>
      </w:pPr>
      <w:r>
        <w:rPr>
          <w:rFonts w:ascii="Times New Roman" w:hAnsi="Times New Roman"/>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obtaining or maintaining necessary rights to develop any future product candidates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120" w:after="0"/>
        <w:jc w:val="left"/>
        <w:rPr>
          <w:rFonts w:ascii="Times New Roman" w:hAnsi="Times New Roman"/>
          <w:sz w:val="20"/>
        </w:rPr>
      </w:pPr>
      <w:r>
        <w:rPr>
          <w:rFonts w:ascii="Times New Roman" w:hAnsi="Times New Roman"/>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0"/>
        <w:jc w:val="left"/>
        <w:rPr>
          <w:rFonts w:ascii="Times New Roman" w:hAnsi="Times New Roman"/>
          <w:sz w:val="20"/>
        </w:rPr>
      </w:pPr>
      <w:r>
        <w:rPr>
          <w:rFonts w:ascii="Times New Roman" w:hAnsi="Times New Roman"/>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12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involved in lawsuits related to our patents or the patents of our licensors,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120" w:after="0"/>
        <w:jc w:val="left"/>
        <w:rPr>
          <w:rFonts w:ascii="Times New Roman" w:hAnsi="Times New Roman"/>
          <w:sz w:val="20"/>
        </w:rPr>
      </w:pPr>
      <w:r>
        <w:rPr>
          <w:rFonts w:ascii="Times New Roman" w:hAnsi="Times New Roman"/>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Issued patents covering our product candidates could be found invalid or unenforceable if challenged in court or the USPTO. </w:t>
      </w:r>
    </w:p>
    <w:p>
      <w:pPr>
        <w:pStyle w:val="TextBody"/>
        <w:bidi w:val="0"/>
        <w:spacing w:before="120" w:after="0"/>
        <w:jc w:val="left"/>
        <w:rPr>
          <w:rFonts w:ascii="Times New Roman" w:hAnsi="Times New Roman"/>
          <w:sz w:val="20"/>
        </w:rPr>
      </w:pPr>
      <w:r>
        <w:rPr>
          <w:rFonts w:ascii="Times New Roman" w:hAnsi="Times New Roman"/>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U.S. and in ex-U.S. jurisdictions could diminish the value of patents in general, thereby impairing our ability to protect our products.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hAnsi="Times New Roman"/>
          <w:i/>
          <w:sz w:val="20"/>
        </w:rPr>
        <w:t xml:space="preserve">Amgen Inc. v. Sanofi, </w:t>
      </w:r>
      <w:r>
        <w:rPr>
          <w:rFonts w:ascii="Times New Roman" w:hAnsi="Times New Roman"/>
          <w:sz w:val="20"/>
        </w:rPr>
        <w:t xml:space="preserve">the Federal Circuit held that a well-characterized antigen is insufficient to satisfy the written description requirement of certain claims directed to a genus of antibodies that are solely defined by function; and in the case of </w:t>
      </w:r>
      <w:r>
        <w:rPr>
          <w:rFonts w:ascii="Times New Roman" w:hAnsi="Times New Roman"/>
          <w:i/>
          <w:sz w:val="20"/>
        </w:rPr>
        <w:t>Assoc. for Molecular</w:t>
      </w:r>
      <w:r>
        <w:rPr>
          <w:rFonts w:ascii="Times New Roman" w:hAnsi="Times New Roman"/>
          <w:sz w:val="20"/>
        </w:rPr>
        <w:t xml:space="preserve"> </w:t>
      </w:r>
      <w:r>
        <w:rPr>
          <w:rFonts w:ascii="Times New Roman" w:hAnsi="Times New Roman"/>
          <w:i/>
          <w:sz w:val="20"/>
        </w:rPr>
        <w:t xml:space="preserve">Pathology v. Myriad Genetics, Inc., </w:t>
      </w:r>
      <w:r>
        <w:rPr>
          <w:rFonts w:ascii="Times New Roman" w:hAnsi="Times New Roman"/>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substantial costs as a result of litigation or other proceedings relating to patents, and we may be unable to protect our rights to our products and technology. </w:t>
      </w:r>
    </w:p>
    <w:p>
      <w:pPr>
        <w:pStyle w:val="TextBody"/>
        <w:bidi w:val="0"/>
        <w:spacing w:before="120" w:after="0"/>
        <w:jc w:val="left"/>
        <w:rPr>
          <w:rFonts w:ascii="Times New Roman" w:hAnsi="Times New Roman"/>
          <w:sz w:val="20"/>
        </w:rPr>
      </w:pPr>
      <w:r>
        <w:rPr>
          <w:rFonts w:ascii="Times New Roman" w:hAnsi="Times New Roman"/>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120" w:after="0"/>
        <w:jc w:val="left"/>
        <w:rPr>
          <w:rFonts w:ascii="Times New Roman" w:hAnsi="Times New Roman"/>
          <w:sz w:val="20"/>
        </w:rPr>
      </w:pPr>
      <w:r>
        <w:rPr>
          <w:rFonts w:ascii="Times New Roman" w:hAnsi="Times New Roman"/>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120" w:after="0"/>
        <w:jc w:val="left"/>
        <w:rPr>
          <w:rFonts w:ascii="Times New Roman" w:hAnsi="Times New Roman"/>
          <w:sz w:val="20"/>
        </w:rPr>
      </w:pPr>
      <w:r>
        <w:rPr>
          <w:rFonts w:ascii="Times New Roman" w:hAnsi="Times New Roman"/>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120" w:after="0"/>
        <w:jc w:val="left"/>
        <w:rPr>
          <w:rFonts w:ascii="Times New Roman" w:hAnsi="Times New Roman"/>
          <w:sz w:val="20"/>
        </w:rPr>
      </w:pPr>
      <w:r>
        <w:rPr>
          <w:rFonts w:ascii="Times New Roman" w:hAnsi="Times New Roman"/>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sz w:val="20"/>
        </w:rPr>
        <w:t xml:space="preserve">inter partes </w:t>
      </w:r>
      <w:r>
        <w:rPr>
          <w:rFonts w:ascii="Times New Roman" w:hAnsi="Times New Roman"/>
          <w:sz w:val="20"/>
        </w:rPr>
        <w:t xml:space="preserve">review, </w:t>
      </w:r>
      <w:r>
        <w:rPr>
          <w:rFonts w:ascii="Times New Roman" w:hAnsi="Times New Roman"/>
          <w:i/>
          <w:sz w:val="20"/>
        </w:rPr>
        <w:t xml:space="preserve">ex parte </w:t>
      </w:r>
      <w:r>
        <w:rPr>
          <w:rFonts w:ascii="Times New Roman" w:hAnsi="Times New Roman"/>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sz w:val="20"/>
        </w:rPr>
        <w:t xml:space="preserve">ex-parte </w:t>
      </w:r>
      <w:r>
        <w:rPr>
          <w:rFonts w:ascii="Times New Roman" w:hAnsi="Times New Roman"/>
          <w:sz w:val="20"/>
        </w:rPr>
        <w:t xml:space="preserve">re-exam, </w:t>
      </w:r>
      <w:r>
        <w:rPr>
          <w:rFonts w:ascii="Times New Roman" w:hAnsi="Times New Roman"/>
          <w:i/>
          <w:sz w:val="20"/>
        </w:rPr>
        <w:t xml:space="preserve">inter partes </w:t>
      </w:r>
      <w:r>
        <w:rPr>
          <w:rFonts w:ascii="Times New Roman" w:hAnsi="Times New Roman"/>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Patent terms may be inadequate to protect our competitive position on our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obtain patent term extension and data exclusivity for any product candidates we may develop, our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1a, Phase 1b and the recently initiated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Moreover, our CDMOs may experience manufacturing difficulties due to resource constraints, governmental restrictions or as a result of labor disputes or unstable political environments. Supply chain issues, including those resulting from the a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U.S. House of Representatives of the prior Congress (the 118th Congress) passed the BIOSECURE Act, which proposed targeting U.S. government contracts, loans, and grants to entities that use biotechnology equipment or services from certain Chinese biotechnology companies, including Wuxi Biologics, and would authorize the U.S. government to name other Chinese biotechnology companies of concern. The version of the BIOSECURE Act passed by the prior House of Representatives included a grandfathering provision allowing biotechnology equipment and services provided or produced by WuXi Biologics and other named biotechnology companies of concern under a contract or agreement entered into before the effective date until January 1, 2032. The BIOSECURE Act did not become law in the 118th Congress. It is unclear whether the current Congress (the 119th Congress) will introduce the BIOSECURE Act or similar legislation in this congressional session and, if so, how the scope, prohibitions, or designated biotechnology companies of concern may differ from the version of the BIOSECURE Act passed by the House in the prior 118th Congress.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0"/>
        <w:jc w:val="left"/>
        <w:rPr>
          <w:rFonts w:ascii="Times New Roman" w:hAnsi="Times New Roman"/>
          <w:sz w:val="20"/>
        </w:rPr>
      </w:pPr>
      <w:r>
        <w:rPr>
          <w:rFonts w:ascii="Times New Roman" w:hAnsi="Times New Roman"/>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120" w:after="0"/>
        <w:jc w:val="left"/>
        <w:rPr>
          <w:rFonts w:ascii="Times New Roman" w:hAnsi="Times New Roman"/>
          <w:sz w:val="20"/>
        </w:rPr>
      </w:pPr>
      <w:r>
        <w:rPr>
          <w:rFonts w:ascii="Times New Roman" w:hAnsi="Times New Roman"/>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120" w:after="0"/>
        <w:jc w:val="left"/>
        <w:rPr>
          <w:rFonts w:ascii="Times New Roman" w:hAnsi="Times New Roman"/>
          <w:sz w:val="20"/>
        </w:rPr>
      </w:pPr>
      <w:r>
        <w:rPr>
          <w:rFonts w:ascii="Times New Roman" w:hAnsi="Times New Roman"/>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future collaborations will be important to our business. If we are unable to enter into new collaborations, or if these collaborations are not successful, our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Any future collaborations we enter into may pose a number of risks,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with marketing and distribution rights to one or more of our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us to litigation and potential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collaborator of ours is involved in a business combination, the collaborator might deemphasize or terminate the development or commercialization of any product candidate licensed to it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by the collaborator, and, if terminated, we could be required to raise additional capital to pursue further development or commercialization of the applicable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120" w:after="0"/>
        <w:jc w:val="left"/>
        <w:rPr>
          <w:rFonts w:ascii="Times New Roman" w:hAnsi="Times New Roman"/>
          <w:sz w:val="20"/>
        </w:rPr>
      </w:pPr>
      <w:r>
        <w:rPr>
          <w:rFonts w:ascii="Times New Roman" w:hAnsi="Times New Roman"/>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Nonclinical research requires the use of Non-Human Primates (NHP), the supply of which could delay or prevent development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future success depends on our ability to retain key executives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120" w:after="0"/>
        <w:jc w:val="left"/>
        <w:rPr>
          <w:rFonts w:ascii="Times New Roman" w:hAnsi="Times New Roman"/>
          <w:sz w:val="20"/>
        </w:rPr>
      </w:pPr>
      <w:r>
        <w:rPr>
          <w:rFonts w:ascii="Times New Roman" w:hAnsi="Times New Roman"/>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a product candidate in the clinical or at the commercial stage, and our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our future revenue and financial condition and increase our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health-related data protection laws and regulations could lead to government enforcement actions, including civil or criminal penalties, private litigation, and adverse publicity and could negatively affect our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120" w:after="0"/>
        <w:jc w:val="left"/>
        <w:rPr>
          <w:rFonts w:ascii="Times New Roman" w:hAnsi="Times New Roman"/>
          <w:sz w:val="20"/>
        </w:rPr>
      </w:pPr>
      <w:r>
        <w:rPr>
          <w:rFonts w:ascii="Times New Roman" w:hAnsi="Times New Roman"/>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120" w:after="0"/>
        <w:jc w:val="left"/>
        <w:rPr>
          <w:rFonts w:ascii="Times New Roman" w:hAnsi="Times New Roman"/>
          <w:sz w:val="20"/>
        </w:rPr>
      </w:pPr>
      <w:r>
        <w:rPr>
          <w:rFonts w:ascii="Times New Roman" w:hAnsi="Times New Roman"/>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120" w:after="0"/>
        <w:jc w:val="left"/>
        <w:rPr>
          <w:rFonts w:ascii="Times New Roman" w:hAnsi="Times New Roman"/>
          <w:sz w:val="20"/>
        </w:rPr>
      </w:pPr>
      <w:r>
        <w:rPr>
          <w:rFonts w:ascii="Times New Roman" w:hAnsi="Times New Roman"/>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120" w:after="0"/>
        <w:jc w:val="left"/>
        <w:rPr>
          <w:rFonts w:ascii="Times New Roman" w:hAnsi="Times New Roman"/>
          <w:sz w:val="20"/>
        </w:rPr>
      </w:pPr>
      <w:r>
        <w:rPr>
          <w:rFonts w:ascii="Times New Roman" w:hAnsi="Times New Roman"/>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120" w:after="0"/>
        <w:jc w:val="left"/>
        <w:rPr>
          <w:rFonts w:ascii="Times New Roman" w:hAnsi="Times New Roman"/>
          <w:sz w:val="20"/>
        </w:rPr>
      </w:pPr>
      <w:r>
        <w:rPr>
          <w:rFonts w:ascii="Times New Roman" w:hAnsi="Times New Roman"/>
          <w:sz w:val="20"/>
        </w:rPr>
        <w:t xml:space="preserve">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 </w:t>
      </w:r>
    </w:p>
    <w:p>
      <w:pPr>
        <w:pStyle w:val="TextBody"/>
        <w:bidi w:val="0"/>
        <w:spacing w:before="120" w:after="0"/>
        <w:jc w:val="left"/>
        <w:rPr>
          <w:rFonts w:ascii="Times New Roman" w:hAnsi="Times New Roman"/>
          <w:sz w:val="20"/>
        </w:rPr>
      </w:pPr>
      <w:r>
        <w:rPr>
          <w:rFonts w:ascii="Times New Roman" w:hAnsi="Times New Roman"/>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120" w:after="0"/>
        <w:jc w:val="left"/>
        <w:rPr>
          <w:rFonts w:ascii="Times New Roman" w:hAnsi="Times New Roman"/>
          <w:sz w:val="20"/>
        </w:rPr>
      </w:pPr>
      <w:r>
        <w:rPr>
          <w:rFonts w:ascii="Times New Roman" w:hAnsi="Times New Roman"/>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U.S. and certain foreign anti-corruption laws and regulations, export and import controls, sanctions and embargoes. We could face liability and other serious consequences for violations which can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120" w:after="0"/>
        <w:jc w:val="left"/>
        <w:rPr>
          <w:rFonts w:ascii="Times New Roman" w:hAnsi="Times New Roman"/>
          <w:sz w:val="20"/>
        </w:rPr>
      </w:pPr>
      <w:r>
        <w:rPr>
          <w:rFonts w:ascii="Times New Roman" w:hAnsi="Times New Roman"/>
          <w:sz w:val="20"/>
        </w:rPr>
        <w:t xml:space="preserve">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20" w:after="0"/>
        <w:jc w:val="left"/>
        <w:rPr>
          <w:rFonts w:ascii="Times New Roman" w:hAnsi="Times New Roman"/>
          <w:sz w:val="20"/>
        </w:rPr>
      </w:pPr>
      <w:r>
        <w:rPr>
          <w:rFonts w:ascii="Times New Roman" w:hAnsi="Times New Roman"/>
          <w:sz w:val="20"/>
        </w:rPr>
        <w:t xml:space="preserve">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the third parties upon whom we depend may be adversely affected by earthquakes, fires or other natural disasters and our business continuity and disaster recovery plans may not adequately protect us from a serious disaster. </w:t>
      </w:r>
    </w:p>
    <w:p>
      <w:pPr>
        <w:pStyle w:val="TextBody"/>
        <w:bidi w:val="0"/>
        <w:spacing w:before="120" w:after="0"/>
        <w:jc w:val="left"/>
        <w:rPr>
          <w:rFonts w:ascii="Times New Roman" w:hAnsi="Times New Roman"/>
          <w:sz w:val="20"/>
        </w:rPr>
      </w:pPr>
      <w:r>
        <w:rPr>
          <w:rFonts w:ascii="Times New Roman" w:hAnsi="Times New Roman"/>
          <w:sz w:val="20"/>
        </w:rPr>
        <w:t xml:space="preserve">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or other changes in U.S. tax law could adversely affect our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use our U.S. net operating loss carryforwards and certain other U.S.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U.S. federal net operating loss carryforwards of $399.3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utilize our net operating loss carryforwards could be limited by an ownership change as described above, which could result in increased tax liability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our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0"/>
        <w:jc w:val="left"/>
        <w:rPr>
          <w:rFonts w:ascii="Times New Roman" w:hAnsi="Times New Roman"/>
          <w:sz w:val="20"/>
        </w:rPr>
      </w:pPr>
      <w:r>
        <w:rPr>
          <w:rFonts w:ascii="Times New Roman" w:hAnsi="Times New Roman"/>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changes in financial accounting standards or practices may cause adverse and unexpected revenue fluctuations and adversely affect our reported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CDMOs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incur significantly increased costs as a result of operating as a public company, and our management will be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build our finance infrastructure and improve our accounting systems and controls could impair our ability to comply with the financial reporting and internal controls requirements for publicly traded companies.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0"/>
        <w:jc w:val="left"/>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previously filed lawsuits, which were subsequently dismissed, relating to the Merger; however, additional lawsuits could be filed.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hAnsi="Times New Roman"/>
          <w:i/>
          <w:sz w:val="20"/>
        </w:rPr>
        <w:t>Garofalo v. Avrobio, Inc. et al.</w:t>
      </w:r>
      <w:r>
        <w:rPr>
          <w:rFonts w:ascii="Times New Roman" w:hAnsi="Times New Roman"/>
          <w:sz w:val="20"/>
        </w:rPr>
        <w:t xml:space="preserve">, 24-cv-1493 (filed February 27, 2024). Two actions have been filed in the Supreme Court of New York, captioned </w:t>
      </w:r>
      <w:r>
        <w:rPr>
          <w:rFonts w:ascii="Times New Roman" w:hAnsi="Times New Roman"/>
          <w:i/>
          <w:sz w:val="20"/>
        </w:rPr>
        <w:t>Price v. Avrobio, Inc., et al.</w:t>
      </w:r>
      <w:r>
        <w:rPr>
          <w:rFonts w:ascii="Times New Roman" w:hAnsi="Times New Roman"/>
          <w:sz w:val="20"/>
        </w:rPr>
        <w:t xml:space="preserve">, No. 652555/2024 (filed May 17, 2024) and </w:t>
      </w:r>
      <w:r>
        <w:rPr>
          <w:rFonts w:ascii="Times New Roman" w:hAnsi="Times New Roman"/>
          <w:i/>
          <w:sz w:val="20"/>
        </w:rPr>
        <w:t>Keller v. Avrobio, Inc., et al.</w:t>
      </w:r>
      <w:r>
        <w:rPr>
          <w:rFonts w:ascii="Times New Roman" w:hAnsi="Times New Roman"/>
          <w:sz w:val="20"/>
        </w:rPr>
        <w:t xml:space="preserve">, No. 652597/2024 (filed May 21, 2024). The foregoing actions are referred to as the Merger Actions. </w:t>
      </w:r>
    </w:p>
    <w:p>
      <w:pPr>
        <w:pStyle w:val="TextBody"/>
        <w:bidi w:val="0"/>
        <w:spacing w:before="120" w:after="0"/>
        <w:jc w:val="left"/>
        <w:rPr>
          <w:rFonts w:ascii="Times New Roman" w:hAnsi="Times New Roman"/>
          <w:sz w:val="20"/>
        </w:rPr>
      </w:pPr>
      <w:r>
        <w:rPr>
          <w:rFonts w:ascii="Times New Roman" w:hAnsi="Times New Roman"/>
          <w:sz w:val="20"/>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hAnsi="Times New Roman"/>
          <w:i/>
          <w:sz w:val="20"/>
        </w:rPr>
        <w:t>Price</w:t>
      </w:r>
      <w:r>
        <w:rPr>
          <w:rFonts w:ascii="Times New Roman" w:hAnsi="Times New Roman"/>
          <w:sz w:val="20"/>
        </w:rPr>
        <w:t xml:space="preserve"> and </w:t>
      </w:r>
      <w:r>
        <w:rPr>
          <w:rFonts w:ascii="Times New Roman" w:hAnsi="Times New Roman"/>
          <w:i/>
          <w:sz w:val="20"/>
        </w:rPr>
        <w:t>Keller</w:t>
      </w:r>
      <w:r>
        <w:rPr>
          <w:rFonts w:ascii="Times New Roman" w:hAnsi="Times New Roman"/>
          <w:sz w:val="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 </w:t>
      </w:r>
    </w:p>
    <w:p>
      <w:pPr>
        <w:pStyle w:val="TextBody"/>
        <w:bidi w:val="0"/>
        <w:spacing w:before="120" w:after="0"/>
        <w:jc w:val="left"/>
        <w:rPr>
          <w:rFonts w:ascii="Times New Roman" w:hAnsi="Times New Roman"/>
          <w:sz w:val="20"/>
        </w:rPr>
      </w:pPr>
      <w:r>
        <w:rPr>
          <w:rFonts w:ascii="Times New Roman" w:hAnsi="Times New Roman"/>
          <w:sz w:val="20"/>
        </w:rPr>
        <w:t xml:space="preserve">AVROBIO also received demand letters from eleven purported AVROBIO stockholders (the Demands). The Demands generally assert that the Registration Statement misrepresents and/or omits certain purportedly material information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 </w:t>
      </w:r>
    </w:p>
    <w:p>
      <w:pPr>
        <w:pStyle w:val="TextBody"/>
        <w:bidi w:val="0"/>
        <w:spacing w:before="120" w:after="0"/>
        <w:jc w:val="left"/>
        <w:rPr>
          <w:rFonts w:ascii="Times New Roman" w:hAnsi="Times New Roman"/>
          <w:sz w:val="20"/>
        </w:rPr>
      </w:pPr>
      <w:r>
        <w:rPr>
          <w:rFonts w:ascii="Times New Roman" w:hAnsi="Times New Roman"/>
          <w:sz w:val="20"/>
        </w:rPr>
        <w:t xml:space="preserve">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our common stock has been and is likely to continue to be volatile and fluctuate substantially.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our product candidates, or those of our competitors or existing or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we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do not achieve the perceived benefits of the Merger as rapidly or to the extent anticipated by financial or industry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our product candidates, clinical studies,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our ability to obtain patent protection for our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our business, or if they issue adverse or misleading opinions regarding our business and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us, the selling stockholders or other securityholders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raise an adequate amount of capital to fund our operations or continued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our financial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Subscription Agreement, we filed a resale shelf registration statement covering the resale of up to an aggregate of 2,969,583 shares of our common stock, which was declared effective on July 30, 2024. In addition, in connection with the private placement we completed in February 2025 (the Private Placement), we intend to file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addition, certain of our shares are subject to lock-up agreements in connection with the Private Placement.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executive officers, directors and principal stockholders have the ability to control or significantly influence all matters submitted to our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shares outstanding as of March 31, 2025, our executive officers, directors and principal stockholders, in the aggregate, beneficially own approximately 63%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us, our business or our market,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have broad discretion in the use of our cash and cash equivalents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share capital in the foreseeable future, capital appreciation, if any, will be your sole source of gain. </w:t>
      </w:r>
    </w:p>
    <w:p>
      <w:pPr>
        <w:pStyle w:val="TextBody"/>
        <w:bidi w:val="0"/>
        <w:spacing w:before="120" w:after="0"/>
        <w:jc w:val="left"/>
        <w:rPr>
          <w:rFonts w:ascii="Times New Roman" w:hAnsi="Times New Roman"/>
          <w:sz w:val="20"/>
        </w:rPr>
      </w:pPr>
      <w:r>
        <w:rPr>
          <w:rFonts w:ascii="Times New Roman" w:hAnsi="Times New Roman"/>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charter and bylaws, as well as provisions of Delaware law, could make it more difficult for a third party to acquire us or increase the cost of acquiring us, even if doing so would benefit our stockholders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Board without stockholder approval and may contain voting, liquidation, dividend and other rights superior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the Board, the chairperson of the Board, our Chief Executive Officer or our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Board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Board to modify, alter or repeal our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our common stock to amend specified provisions of our charter and bylaws.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bylaws contain exclusive forum provisions, which may limit a stockholders ability to bring a claim in a judicial forum it finds favorable and may discourage lawsuits with respect to such claims.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360" w:after="0"/>
        <w:jc w:val="left"/>
        <w:rPr>
          <w:rFonts w:ascii="Times New Roman" w:hAnsi="Times New Roman"/>
          <w:b/>
          <w:sz w:val="20"/>
        </w:rPr>
      </w:pPr>
      <w:bookmarkStart w:id="16" w:name="q15014_14"/>
      <w:bookmarkEnd w:id="16"/>
      <w:r>
        <w:rPr>
          <w:rFonts w:ascii="Times New Roman" w:hAnsi="Times New Roman"/>
          <w:b/>
          <w:sz w:val="20"/>
        </w:rPr>
        <w:t xml:space="preserve">Item 2. Unregistered Sales of Equity Securities and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7" w:name="q15014_15"/>
      <w:bookmarkEnd w:id="17"/>
      <w:r>
        <w:rPr>
          <w:rFonts w:ascii="Times New Roman" w:hAnsi="Times New Roman"/>
          <w:b/>
          <w:sz w:val="20"/>
        </w:rPr>
        <w:t xml:space="preserve">Item 3. Defaults Upon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8" w:name="q15014_16"/>
      <w:bookmarkEnd w:id="18"/>
      <w:r>
        <w:rPr>
          <w:rFonts w:ascii="Times New Roman" w:hAnsi="Times New Roman"/>
          <w:b/>
          <w:sz w:val="20"/>
        </w:rPr>
        <w:t xml:space="preserve">Item 4. Mine Safety Disclosures.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19" w:name="q15014_17"/>
      <w:bookmarkEnd w:id="19"/>
      <w:r>
        <w:rPr>
          <w:rFonts w:ascii="Times New Roman" w:hAnsi="Times New Roman"/>
          <w:b/>
          <w:sz w:val="20"/>
        </w:rPr>
        <w:t xml:space="preserve">Item 5. Other Information. </w:t>
      </w:r>
    </w:p>
    <w:p>
      <w:pPr>
        <w:pStyle w:val="TextBody"/>
        <w:bidi w:val="0"/>
        <w:spacing w:before="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Trading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the following officers of the Company adopted a Rule 10b5-1 trading arrangement as that term is defined in Item 408(a) of Regulation S-K, all of which were entered into during an open trading window in accordance with the Companys Insider Trading Policy and all of which were intended to satisfy Rule 10b5-1(c):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18, 2025, Peter McNamara, our Chief Scientific Officer, adopted a Rule 10b5-1 trading plan that provides for the sale of up to 24,188 shares of common stock vested under outstanding stock options and RSUs. The plan will expire on December 31, 2025, subject to early termination for certain specified events set forth in the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no director or officer of the Company adopted or terminated a Rule 10b5-1 trading arrangement or non-rule 10b5-1 trading arrangement, as each term is defined in item 408(a) of Regulation S-K, during the three months ended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0" w:name="q15014_18"/>
      <w:bookmarkEnd w:id="20"/>
      <w:r>
        <w:rPr>
          <w:rFonts w:ascii="Times New Roman" w:hAnsi="Times New Roman"/>
          <w:b/>
          <w:sz w:val="20"/>
        </w:rPr>
        <w:t xml:space="preserve">Item 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9"/>
        <w:gridCol w:w="149"/>
        <w:gridCol w:w="5030"/>
        <w:gridCol w:w="149"/>
        <w:gridCol w:w="89"/>
        <w:gridCol w:w="501"/>
        <w:gridCol w:w="60"/>
        <w:gridCol w:w="149"/>
        <w:gridCol w:w="60"/>
        <w:gridCol w:w="823"/>
        <w:gridCol w:w="60"/>
        <w:gridCol w:w="148"/>
        <w:gridCol w:w="121"/>
        <w:gridCol w:w="673"/>
        <w:gridCol w:w="60"/>
        <w:gridCol w:w="149"/>
        <w:gridCol w:w="60"/>
        <w:gridCol w:w="765"/>
        <w:gridCol w:w="70"/>
      </w:tblGrid>
      <w:tr>
        <w:trPr/>
        <w:tc>
          <w:tcPr>
            <w:tcW w:w="108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0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71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70" w:type="dxa"/>
            <w:tcBorders/>
            <w:vAlign w:val="bottom"/>
          </w:tcPr>
          <w:p>
            <w:pPr>
              <w:pStyle w:val="TableContents"/>
              <w:bidi w:val="0"/>
              <w:spacing w:before="0" w:after="283"/>
              <w:jc w:val="left"/>
              <w:rPr/>
            </w:pPr>
            <w:r>
              <w:rPr/>
              <w:t> </w:t>
            </w:r>
          </w:p>
        </w:tc>
      </w:tr>
      <w:tr>
        <w:trPr/>
        <w:tc>
          <w:tcPr>
            <w:tcW w:w="10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49" w:type="dxa"/>
            <w:tcBorders/>
            <w:vAlign w:val="bottom"/>
          </w:tcPr>
          <w:p>
            <w:pPr>
              <w:pStyle w:val="TableContents"/>
              <w:bidi w:val="0"/>
              <w:spacing w:before="0" w:after="283"/>
              <w:jc w:val="left"/>
              <w:rPr/>
            </w:pPr>
            <w:r>
              <w:rPr/>
              <w:t>  </w:t>
            </w:r>
          </w:p>
        </w:tc>
        <w:tc>
          <w:tcPr>
            <w:tcW w:w="5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49"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70" w:type="dxa"/>
            <w:tcBorders/>
            <w:vAlign w:val="bottom"/>
          </w:tcPr>
          <w:p>
            <w:pPr>
              <w:pStyle w:val="TableContents"/>
              <w:bidi w:val="0"/>
              <w:spacing w:before="0" w:after="283"/>
              <w:jc w:val="left"/>
              <w:rPr/>
            </w:pPr>
            <w:r>
              <w:rPr/>
              <w:t> </w:t>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3.1</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hyperlink r:id="rId3">
              <w:r>
                <w:rPr>
                  <w:rStyle w:val="InternetLink"/>
                </w:rPr>
                <w:t xml:space="preserve">Fourth Amended and Restated Certificate of Incorporation, as amended through June 20, 2024. </w:t>
              </w:r>
            </w:hyperlink>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001-38537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8/14/2024</w:t>
            </w:r>
          </w:p>
        </w:tc>
        <w:tc>
          <w:tcPr>
            <w:tcW w:w="70" w:type="dxa"/>
            <w:tcBorders/>
            <w:vAlign w:val="bottom"/>
          </w:tcPr>
          <w:p>
            <w:pPr>
              <w:pStyle w:val="TableContents"/>
              <w:bidi w:val="0"/>
              <w:spacing w:before="0" w:after="283"/>
              <w:jc w:val="left"/>
              <w:rPr/>
            </w:pPr>
            <w:r>
              <w:rPr/>
              <w:t> </w:t>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3.2</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hyperlink r:id="rId4">
              <w:r>
                <w:rPr>
                  <w:rStyle w:val="InternetLink"/>
                </w:rPr>
                <w:t>Amended and Restated Bylaws, as currently in effect.</w:t>
              </w:r>
            </w:hyperlink>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001-38537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6/25/2018</w:t>
            </w:r>
          </w:p>
        </w:tc>
        <w:tc>
          <w:tcPr>
            <w:tcW w:w="70" w:type="dxa"/>
            <w:tcBorders/>
            <w:vAlign w:val="bottom"/>
          </w:tcPr>
          <w:p>
            <w:pPr>
              <w:pStyle w:val="TableContents"/>
              <w:bidi w:val="0"/>
              <w:spacing w:before="0" w:after="283"/>
              <w:jc w:val="left"/>
              <w:rPr/>
            </w:pPr>
            <w:r>
              <w:rPr/>
              <w:t> </w:t>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31.1*</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Certification of Principal Executive Officer Pursuant to Rules 13a-14(a) and 15d-14(a) under the Securities Exchange Act of 1934, as Adopted Pursuant to Section 302 of the Sarbanes-Oxley Act of 2002.</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31.2*</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Certification of Principal Financial Officer Pursuant to Rules 13a-14(a) and 15d-14(a) under the Securities Exchange Act of 1934, as Adopted Pursuant to Section 302 of the Sarbanes-Oxley Act of 2002.</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32.1*^</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Certification of Principal Executive Officer and Principal Financial Officer, Pursuant to 18 U.S.C. Section 1350, as Adopted Pursuant to Section 906 of the Sarbanes-Oxley Act of 2002.</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101.INS*</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Inline XBRL Instance Document  the instance document does not appear in the Interactive Data File as its XBRL tags are embedded within the Inline XBRL document</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101.SCH*</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XBRL Taxonomy Extension Schema Document with Embedded Linkbase Documents</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104*</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Cover page formatted as Inline XBRL and contained in Exhibit 101</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q15014_19"/>
      <w:bookmarkEnd w:id="2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6"/>
        <w:gridCol w:w="60"/>
        <w:gridCol w:w="23"/>
        <w:gridCol w:w="110"/>
        <w:gridCol w:w="377"/>
        <w:gridCol w:w="110"/>
        <w:gridCol w:w="4879"/>
      </w:tblGrid>
      <w:tr>
        <w:trPr/>
        <w:tc>
          <w:tcPr>
            <w:tcW w:w="4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879"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6" w:type="dxa"/>
            <w:gridSpan w:val="3"/>
            <w:tcBorders/>
            <w:vAlign w:val="bottom"/>
          </w:tcPr>
          <w:p>
            <w:pPr>
              <w:pStyle w:val="TableContents"/>
              <w:bidi w:val="0"/>
              <w:spacing w:before="0" w:after="283"/>
              <w:jc w:val="left"/>
              <w:rPr>
                <w:b/>
              </w:rPr>
            </w:pPr>
            <w:r>
              <w:rPr>
                <w:b/>
              </w:rPr>
              <w:t>TECTONIC THERAPEUTIC, INC.</w:t>
            </w:r>
          </w:p>
        </w:tc>
      </w:tr>
      <w:tr>
        <w:trPr>
          <w:trHeight w:val="240" w:hRule="atLeast"/>
        </w:trPr>
        <w:tc>
          <w:tcPr>
            <w:tcW w:w="4646"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4989" w:type="dxa"/>
            <w:gridSpan w:val="2"/>
            <w:tcBorders/>
            <w:vAlign w:val="center"/>
          </w:tcPr>
          <w:p>
            <w:pPr>
              <w:pStyle w:val="TableContents"/>
              <w:bidi w:val="0"/>
              <w:spacing w:before="0" w:after="283"/>
              <w:jc w:val="left"/>
              <w:rPr>
                <w:sz w:val="4"/>
                <w:szCs w:val="4"/>
              </w:rPr>
            </w:pPr>
            <w:r>
              <w:rPr>
                <w:sz w:val="4"/>
                <w:szCs w:val="4"/>
              </w:rPr>
            </w:r>
          </w:p>
        </w:tc>
      </w:tr>
      <w:tr>
        <w:trPr/>
        <w:tc>
          <w:tcPr>
            <w:tcW w:w="4646" w:type="dxa"/>
            <w:tcBorders/>
            <w:vAlign w:val="bottom"/>
          </w:tcPr>
          <w:p>
            <w:pPr>
              <w:pStyle w:val="TableContents"/>
              <w:bidi w:val="0"/>
              <w:spacing w:before="0" w:after="283"/>
              <w:jc w:val="left"/>
              <w:rPr/>
            </w:pPr>
            <w:r>
              <w:rPr/>
              <w:t>Date: May 8, 2025</w:t>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879" w:type="dxa"/>
            <w:tcBorders>
              <w:bottom w:val="single" w:sz="2" w:space="0" w:color="000000"/>
            </w:tcBorders>
            <w:tcMar>
              <w:bottom w:w="28" w:type="dxa"/>
            </w:tcMar>
            <w:vAlign w:val="bottom"/>
          </w:tcPr>
          <w:p>
            <w:pPr>
              <w:pStyle w:val="TableContents"/>
              <w:bidi w:val="0"/>
              <w:spacing w:before="0" w:after="283"/>
              <w:jc w:val="center"/>
              <w:rPr/>
            </w:pPr>
            <w:r>
              <w:rPr/>
              <w:t>/s/ Alise Reicin, M.D.</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pPr>
            <w:r>
              <w:rPr/>
              <w:t>Alise Reicin, M.D.</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pPr>
            <w:r>
              <w:rPr/>
              <w:t>President and Chief Executive Officer</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i/>
              </w:rPr>
            </w:pPr>
            <w:r>
              <w:rPr>
                <w:i/>
              </w:rPr>
              <w:t>(Principal Executive Officer)</w:t>
            </w:r>
          </w:p>
        </w:tc>
      </w:tr>
      <w:tr>
        <w:trPr>
          <w:trHeight w:val="240" w:hRule="atLeast"/>
        </w:trPr>
        <w:tc>
          <w:tcPr>
            <w:tcW w:w="4646"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4989" w:type="dxa"/>
            <w:gridSpan w:val="2"/>
            <w:tcBorders/>
            <w:vAlign w:val="center"/>
          </w:tcPr>
          <w:p>
            <w:pPr>
              <w:pStyle w:val="TableContents"/>
              <w:bidi w:val="0"/>
              <w:spacing w:before="0" w:after="283"/>
              <w:jc w:val="left"/>
              <w:rPr>
                <w:sz w:val="4"/>
                <w:szCs w:val="4"/>
              </w:rPr>
            </w:pPr>
            <w:r>
              <w:rPr>
                <w:sz w:val="4"/>
                <w:szCs w:val="4"/>
              </w:rPr>
            </w:r>
          </w:p>
        </w:tc>
      </w:tr>
      <w:tr>
        <w:trPr/>
        <w:tc>
          <w:tcPr>
            <w:tcW w:w="4646" w:type="dxa"/>
            <w:tcBorders/>
            <w:vAlign w:val="bottom"/>
          </w:tcPr>
          <w:p>
            <w:pPr>
              <w:pStyle w:val="TableContents"/>
              <w:bidi w:val="0"/>
              <w:spacing w:before="0" w:after="283"/>
              <w:jc w:val="left"/>
              <w:rPr/>
            </w:pPr>
            <w:r>
              <w:rPr/>
              <w:t>Date: May 8, 2025</w:t>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879" w:type="dxa"/>
            <w:tcBorders>
              <w:bottom w:val="single" w:sz="2" w:space="0" w:color="000000"/>
            </w:tcBorders>
            <w:tcMar>
              <w:bottom w:w="28" w:type="dxa"/>
            </w:tcMar>
            <w:vAlign w:val="bottom"/>
          </w:tcPr>
          <w:p>
            <w:pPr>
              <w:pStyle w:val="TableContents"/>
              <w:bidi w:val="0"/>
              <w:spacing w:before="0" w:after="283"/>
              <w:jc w:val="center"/>
              <w:rPr/>
            </w:pPr>
            <w:r>
              <w:rPr/>
              <w:t>/s/ Daniel Lochner</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pPr>
            <w:r>
              <w:rPr/>
              <w:t>Daniel Lochner</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pPr>
            <w:r>
              <w:rPr/>
              <w:t>Chief Financial Officer</w:t>
            </w:r>
          </w:p>
        </w:tc>
      </w:tr>
      <w:tr>
        <w:trPr/>
        <w:tc>
          <w:tcPr>
            <w:tcW w:w="4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(Principal Financial Officer and Principal</w:t>
            </w:r>
          </w:p>
          <w:p>
            <w:pPr>
              <w:pStyle w:val="TableContents"/>
              <w:bidi w:val="0"/>
              <w:spacing w:before="0" w:after="20"/>
              <w:jc w:val="center"/>
              <w:rPr>
                <w:rFonts w:ascii="Times New Roman" w:hAnsi="Times New Roman"/>
                <w:i/>
                <w:sz w:val="20"/>
              </w:rPr>
            </w:pPr>
            <w:r>
              <w:rPr>
                <w:rFonts w:ascii="Times New Roman" w:hAnsi="Times New Roman"/>
                <w:i/>
                <w:sz w:val="20"/>
              </w:rPr>
              <w:t>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31.1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Alise Reicin,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Form 10-Q of Tectonic Therapeutic,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Alise Reicin, M.D.</w:t>
            </w:r>
          </w:p>
        </w:tc>
      </w:tr>
      <w:tr>
        <w:trPr/>
        <w:tc>
          <w:tcPr>
            <w:tcW w:w="4082" w:type="dxa"/>
            <w:tcBorders/>
          </w:tcPr>
          <w:p>
            <w:pPr>
              <w:pStyle w:val="TableContents"/>
              <w:bidi w:val="0"/>
              <w:spacing w:before="0" w:after="283"/>
              <w:jc w:val="left"/>
              <w:rPr/>
            </w:pPr>
            <w:r>
              <w:rPr/>
              <w:t>Alise Reicin, M.D.</w:t>
            </w:r>
          </w:p>
        </w:tc>
      </w:tr>
      <w:tr>
        <w:trPr/>
        <w:tc>
          <w:tcPr>
            <w:tcW w:w="4082" w:type="dxa"/>
            <w:tcBorders/>
          </w:tcPr>
          <w:p>
            <w:pPr>
              <w:pStyle w:val="TableContents"/>
              <w:bidi w:val="0"/>
              <w:spacing w:before="0" w:after="283"/>
              <w:jc w:val="left"/>
              <w:rPr/>
            </w:pPr>
            <w:r>
              <w:rPr/>
              <w:t>President and Chief Executive Officer</w:t>
            </w:r>
          </w:p>
        </w:tc>
      </w:tr>
      <w:tr>
        <w:trPr/>
        <w:tc>
          <w:tcPr>
            <w:tcW w:w="4082" w:type="dxa"/>
            <w:tcBorders/>
          </w:tcPr>
          <w:p>
            <w:pPr>
              <w:pStyle w:val="TableContents"/>
              <w:bidi w:val="0"/>
              <w:spacing w:before="0" w:after="283"/>
              <w:jc w:val="left"/>
              <w:rPr>
                <w:i/>
              </w:rPr>
            </w:pPr>
            <w:r>
              <w:rPr>
                <w:i/>
              </w:rPr>
              <w:t>(Principal Executive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31.2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Daniel Lochner,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Form 10-Q of Tectonic Therapeutic,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4082" w:type="dxa"/>
            <w:tcBorders/>
          </w:tcPr>
          <w:p>
            <w:pPr>
              <w:pStyle w:val="TableContents"/>
              <w:bidi w:val="0"/>
              <w:spacing w:before="0" w:after="283"/>
              <w:jc w:val="left"/>
              <w:rPr/>
            </w:pPr>
            <w:r>
              <w:rPr/>
              <w:t>Daniel Lochner</w:t>
            </w:r>
          </w:p>
        </w:tc>
      </w:tr>
      <w:tr>
        <w:trPr/>
        <w:tc>
          <w:tcPr>
            <w:tcW w:w="4082" w:type="dxa"/>
            <w:tcBorders/>
          </w:tcPr>
          <w:p>
            <w:pPr>
              <w:pStyle w:val="TableContents"/>
              <w:bidi w:val="0"/>
              <w:spacing w:before="0" w:after="283"/>
              <w:jc w:val="left"/>
              <w:rPr/>
            </w:pPr>
            <w:r>
              <w:rPr/>
              <w:t>Chief Financial Officer</w:t>
            </w:r>
          </w:p>
        </w:tc>
      </w:tr>
      <w:tr>
        <w:trPr/>
        <w:tc>
          <w:tcPr>
            <w:tcW w:w="4082" w:type="dxa"/>
            <w:tcBorders/>
          </w:tcPr>
          <w:p>
            <w:pPr>
              <w:pStyle w:val="TableContents"/>
              <w:bidi w:val="0"/>
              <w:spacing w:before="0" w:after="283"/>
              <w:jc w:val="left"/>
              <w:rPr>
                <w:i/>
              </w:rPr>
            </w:pPr>
            <w:r>
              <w:rPr>
                <w:i/>
              </w:rPr>
              <w:t>(Principal Financial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32.1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Quarterly Report on Form 10-Q for the period ended March 31, 2025, to which this Certification is attached as Exhibit 32.1 (the Periodic Report), fully complies with the requirements of Section 13(a) or Section 15(d)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Periodic Report fairly presents, in all material respects, the financial condition and results of operations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May 8, 2025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have set their hands hereto as of the 8th day of May,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25"/>
        <w:gridCol w:w="109"/>
        <w:gridCol w:w="1134"/>
        <w:gridCol w:w="120"/>
        <w:gridCol w:w="4317"/>
      </w:tblGrid>
      <w:tr>
        <w:trPr/>
        <w:tc>
          <w:tcPr>
            <w:tcW w:w="452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17" w:type="dxa"/>
            <w:tcBorders/>
            <w:vAlign w:val="center"/>
          </w:tcPr>
          <w:p>
            <w:pPr>
              <w:pStyle w:val="TableContents"/>
              <w:bidi w:val="0"/>
              <w:spacing w:before="0" w:after="283"/>
              <w:jc w:val="left"/>
              <w:rPr>
                <w:sz w:val="4"/>
                <w:szCs w:val="4"/>
              </w:rPr>
            </w:pPr>
            <w:r>
              <w:rPr>
                <w:sz w:val="4"/>
                <w:szCs w:val="4"/>
              </w:rPr>
            </w:r>
          </w:p>
        </w:tc>
      </w:tr>
      <w:tr>
        <w:trPr/>
        <w:tc>
          <w:tcPr>
            <w:tcW w:w="45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Alise Reicin, M.D.</w:t>
            </w:r>
          </w:p>
        </w:tc>
        <w:tc>
          <w:tcPr>
            <w:tcW w:w="109"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3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4525" w:type="dxa"/>
            <w:tcBorders/>
          </w:tcPr>
          <w:p>
            <w:pPr>
              <w:pStyle w:val="TableContents"/>
              <w:bidi w:val="0"/>
              <w:spacing w:before="0" w:after="283"/>
              <w:jc w:val="left"/>
              <w:rPr/>
            </w:pPr>
            <w:r>
              <w:rPr/>
              <w:t>Alise Reicin, M.D.</w:t>
            </w:r>
          </w:p>
        </w:tc>
        <w:tc>
          <w:tcPr>
            <w:tcW w:w="109"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17" w:type="dxa"/>
            <w:tcBorders/>
          </w:tcPr>
          <w:p>
            <w:pPr>
              <w:pStyle w:val="TableContents"/>
              <w:bidi w:val="0"/>
              <w:spacing w:before="0" w:after="283"/>
              <w:jc w:val="left"/>
              <w:rPr/>
            </w:pPr>
            <w:r>
              <w:rPr/>
              <w:t>Daniel Lochner</w:t>
            </w:r>
          </w:p>
        </w:tc>
      </w:tr>
      <w:tr>
        <w:trPr/>
        <w:tc>
          <w:tcPr>
            <w:tcW w:w="4525" w:type="dxa"/>
            <w:tcBorders/>
          </w:tcPr>
          <w:p>
            <w:pPr>
              <w:pStyle w:val="TableContents"/>
              <w:bidi w:val="0"/>
              <w:spacing w:before="0" w:after="283"/>
              <w:jc w:val="left"/>
              <w:rPr/>
            </w:pPr>
            <w:r>
              <w:rPr/>
              <w:t>President and Chief Executive Officer</w:t>
            </w:r>
          </w:p>
        </w:tc>
        <w:tc>
          <w:tcPr>
            <w:tcW w:w="109"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17"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81087/000119312524200609/d878693dex31.htm" TargetMode="External"/><Relationship Id="rId4" Type="http://schemas.openxmlformats.org/officeDocument/2006/relationships/hyperlink" Target="http://www.sec.gov/Archives/edgar/data/1681087/000119312518202460/d153924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57880</Words>
  <Characters>320052</Characters>
  <CharactersWithSpaces>380296</CharactersWithSpaces>
  <Paragraphs>6176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