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  <w:w w:val="95"/>
                </w:rPr>
                <w:t>Avruch Steven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AVROBIO,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AVRO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KENDALL SQUARE, BLDG. 300, 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16.02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98,200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98,200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25% of the shares shall vest and become exercisable on February 4, 2022, and the remaining 75% shall vest in equal monthly installments thereafter over a 3 year period.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N. Avruch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02/04/2021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2236" TargetMode="External"/><Relationship Id="rId14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2021-02-04T16:56:24Z</dcterms:created>
  <dcterms:modified xsi:type="dcterms:W3CDTF">2021-02-04T16:56:24Z</dcterms:modified>
</cp:coreProperties>
</file>