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4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7,000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2.98</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40,879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w:t>
            </w: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12/22/2025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7,000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06/26/2032</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25,065</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June 27, 2022, subject to the Reporting Person's continued service to the Issuer on each such vesting date.</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60,000 shares of common stock pursuant to that certain merger, as more fully described on the Reporting Person's Form 4 filed with the Securities and Exchange Commission on June 24, 2024. https://www.sec.gov/Archives/edgar/data/1681087/000141588924017962/xslF345X05/form4-06242024_080611.xml</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12/29/2025</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2025-12-29T15:49:38Z</dcterms:created>
  <dcterms:modified xsi:type="dcterms:W3CDTF">2025-12-29T15:49:38Z</dcterms:modified>
</cp:coreProperties>
</file>