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320" w:right="248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00" w:type="dxa"/>
        <w:tblCellMar>
          <w:top w:w="0" w:type="dxa"/>
          <w:left w:w="0" w:type="dxa"/>
          <w:bottom w:w="0" w:type="dxa"/>
          <w:right w:w="0" w:type="dxa"/>
        </w:tblCellMar>
      </w:tblPr>
      <w:tr>
        <w:trPr>
          <w:trHeight w:val="212"/>
        </w:trPr>
        <w:tc>
          <w:tcPr>
            <w:tcW w:w="1140" w:type="dxa"/>
            <w:vAlign w:val="bottom"/>
          </w:tcPr>
          <w:p>
            <w:pPr>
              <w:spacing w:after="0"/>
              <w:rPr>
                <w:sz w:val="18"/>
                <w:szCs w:val="18"/>
                <w:color w:val="auto"/>
              </w:rPr>
            </w:pPr>
          </w:p>
        </w:tc>
        <w:tc>
          <w:tcPr>
            <w:tcW w:w="3680" w:type="dxa"/>
            <w:vAlign w:val="bottom"/>
            <w:gridSpan w:val="2"/>
          </w:tcPr>
          <w:p>
            <w:pPr>
              <w:jc w:val="center"/>
              <w:ind w:right="2490"/>
              <w:spacing w:after="0"/>
              <w:rPr>
                <w:sz w:val="20"/>
                <w:szCs w:val="20"/>
                <w:color w:val="auto"/>
              </w:rPr>
            </w:pPr>
            <w:r>
              <w:rPr>
                <w:rFonts w:ascii="Arial" w:cs="Arial" w:eastAsia="Arial" w:hAnsi="Arial"/>
                <w:sz w:val="18"/>
                <w:szCs w:val="18"/>
                <w:b w:val="1"/>
                <w:bCs w:val="1"/>
                <w:color w:val="auto"/>
                <w:w w:val="93"/>
              </w:rPr>
              <w:t>Delaware</w:t>
            </w:r>
          </w:p>
        </w:tc>
        <w:tc>
          <w:tcPr>
            <w:tcW w:w="3500" w:type="dxa"/>
            <w:vAlign w:val="bottom"/>
            <w:gridSpan w:val="2"/>
          </w:tcPr>
          <w:p>
            <w:pPr>
              <w:jc w:val="right"/>
              <w:ind w:right="362"/>
              <w:spacing w:after="0"/>
              <w:rPr>
                <w:sz w:val="20"/>
                <w:szCs w:val="20"/>
                <w:color w:val="auto"/>
              </w:rPr>
            </w:pPr>
            <w:r>
              <w:rPr>
                <w:rFonts w:ascii="Arial" w:cs="Arial" w:eastAsia="Arial" w:hAnsi="Arial"/>
                <w:sz w:val="18"/>
                <w:szCs w:val="18"/>
                <w:b w:val="1"/>
                <w:bCs w:val="1"/>
                <w:color w:val="auto"/>
              </w:rPr>
              <w:t>81-0710585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820" w:type="dxa"/>
            <w:vAlign w:val="bottom"/>
            <w:gridSpan w:val="3"/>
          </w:tcPr>
          <w:p>
            <w:pPr>
              <w:jc w:val="center"/>
              <w:ind w:right="1350"/>
              <w:spacing w:after="0"/>
              <w:rPr>
                <w:sz w:val="20"/>
                <w:szCs w:val="20"/>
                <w:color w:val="auto"/>
              </w:rPr>
            </w:pPr>
            <w:r>
              <w:rPr>
                <w:rFonts w:ascii="Arial" w:cs="Arial" w:eastAsia="Arial" w:hAnsi="Arial"/>
                <w:sz w:val="14"/>
                <w:szCs w:val="14"/>
                <w:b w:val="1"/>
                <w:bCs w:val="1"/>
                <w:color w:val="auto"/>
                <w:w w:val="93"/>
              </w:rPr>
              <w:t>(State of incorporation or organization)</w:t>
            </w:r>
          </w:p>
        </w:tc>
        <w:tc>
          <w:tcPr>
            <w:tcW w:w="3860" w:type="dxa"/>
            <w:vAlign w:val="bottom"/>
            <w:gridSpan w:val="3"/>
          </w:tcPr>
          <w:p>
            <w:pPr>
              <w:jc w:val="center"/>
              <w:ind w:left="1337"/>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99"/>
        </w:trPr>
        <w:tc>
          <w:tcPr>
            <w:tcW w:w="4820" w:type="dxa"/>
            <w:vAlign w:val="bottom"/>
            <w:gridSpan w:val="3"/>
          </w:tcPr>
          <w:p>
            <w:pPr>
              <w:jc w:val="center"/>
              <w:ind w:right="1350"/>
              <w:spacing w:after="0"/>
              <w:rPr>
                <w:sz w:val="20"/>
                <w:szCs w:val="20"/>
                <w:color w:val="auto"/>
              </w:rPr>
            </w:pPr>
            <w:r>
              <w:rPr>
                <w:rFonts w:ascii="Arial" w:cs="Arial" w:eastAsia="Arial" w:hAnsi="Arial"/>
                <w:sz w:val="18"/>
                <w:szCs w:val="18"/>
                <w:b w:val="1"/>
                <w:bCs w:val="1"/>
                <w:color w:val="auto"/>
                <w:w w:val="92"/>
              </w:rPr>
              <w:t>One Kendall Square</w:t>
            </w: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jc w:val="center"/>
              <w:ind w:right="1350"/>
              <w:spacing w:after="0"/>
              <w:rPr>
                <w:sz w:val="20"/>
                <w:szCs w:val="20"/>
                <w:color w:val="auto"/>
              </w:rPr>
            </w:pPr>
            <w:r>
              <w:rPr>
                <w:rFonts w:ascii="Arial" w:cs="Arial" w:eastAsia="Arial" w:hAnsi="Arial"/>
                <w:sz w:val="18"/>
                <w:szCs w:val="18"/>
                <w:b w:val="1"/>
                <w:bCs w:val="1"/>
                <w:color w:val="auto"/>
                <w:w w:val="90"/>
              </w:rPr>
              <w:t>Building 300, Suite 201</w:t>
            </w: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20" w:type="dxa"/>
            <w:vAlign w:val="bottom"/>
            <w:gridSpan w:val="3"/>
          </w:tcPr>
          <w:p>
            <w:pPr>
              <w:jc w:val="center"/>
              <w:ind w:right="1350"/>
              <w:spacing w:after="0"/>
              <w:rPr>
                <w:sz w:val="20"/>
                <w:szCs w:val="20"/>
                <w:color w:val="auto"/>
              </w:rPr>
            </w:pPr>
            <w:r>
              <w:rPr>
                <w:rFonts w:ascii="Arial" w:cs="Arial" w:eastAsia="Arial" w:hAnsi="Arial"/>
                <w:sz w:val="18"/>
                <w:szCs w:val="18"/>
                <w:b w:val="1"/>
                <w:bCs w:val="1"/>
                <w:color w:val="auto"/>
                <w:w w:val="88"/>
              </w:rPr>
              <w:t>Cambridge, Massachusetts</w:t>
            </w:r>
          </w:p>
        </w:tc>
        <w:tc>
          <w:tcPr>
            <w:tcW w:w="3500" w:type="dxa"/>
            <w:vAlign w:val="bottom"/>
            <w:gridSpan w:val="2"/>
          </w:tcPr>
          <w:p>
            <w:pPr>
              <w:jc w:val="right"/>
              <w:ind w:right="562"/>
              <w:spacing w:after="0"/>
              <w:rPr>
                <w:sz w:val="20"/>
                <w:szCs w:val="20"/>
                <w:color w:val="auto"/>
              </w:rPr>
            </w:pPr>
            <w:r>
              <w:rPr>
                <w:rFonts w:ascii="Arial" w:cs="Arial" w:eastAsia="Arial" w:hAnsi="Arial"/>
                <w:sz w:val="18"/>
                <w:szCs w:val="18"/>
                <w:b w:val="1"/>
                <w:bCs w:val="1"/>
                <w:color w:val="auto"/>
              </w:rPr>
              <w:t>02139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820" w:type="dxa"/>
            <w:vAlign w:val="bottom"/>
            <w:gridSpan w:val="3"/>
          </w:tcPr>
          <w:p>
            <w:pPr>
              <w:jc w:val="center"/>
              <w:ind w:right="135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60" w:type="dxa"/>
            <w:vAlign w:val="bottom"/>
          </w:tcPr>
          <w:p>
            <w:pPr>
              <w:spacing w:after="0"/>
              <w:rPr>
                <w:sz w:val="16"/>
                <w:szCs w:val="16"/>
                <w:color w:val="auto"/>
              </w:rPr>
            </w:pPr>
          </w:p>
        </w:tc>
        <w:tc>
          <w:tcPr>
            <w:tcW w:w="210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7540" w:type="dxa"/>
            <w:vAlign w:val="bottom"/>
            <w:gridSpan w:val="5"/>
          </w:tcPr>
          <w:p>
            <w:pPr>
              <w:ind w:left="96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4"/>
                <w:szCs w:val="24"/>
                <w:color w:val="auto"/>
              </w:rPr>
            </w:pPr>
          </w:p>
        </w:tc>
        <w:tc>
          <w:tcPr>
            <w:tcW w:w="3680" w:type="dxa"/>
            <w:vAlign w:val="bottom"/>
            <w:gridSpan w:val="2"/>
          </w:tcPr>
          <w:p>
            <w:pPr>
              <w:jc w:val="center"/>
              <w:ind w:right="2470"/>
              <w:spacing w:after="0"/>
              <w:rPr>
                <w:sz w:val="20"/>
                <w:szCs w:val="20"/>
                <w:color w:val="auto"/>
              </w:rPr>
            </w:pPr>
            <w:r>
              <w:rPr>
                <w:rFonts w:ascii="Arial" w:cs="Arial" w:eastAsia="Arial" w:hAnsi="Arial"/>
                <w:sz w:val="14"/>
                <w:szCs w:val="14"/>
                <w:b w:val="1"/>
                <w:bCs w:val="1"/>
                <w:color w:val="auto"/>
                <w:w w:val="89"/>
              </w:rPr>
              <w:t>Title of each class</w:t>
            </w:r>
          </w:p>
        </w:tc>
        <w:tc>
          <w:tcPr>
            <w:tcW w:w="3860" w:type="dxa"/>
            <w:vAlign w:val="bottom"/>
            <w:gridSpan w:val="3"/>
          </w:tcPr>
          <w:p>
            <w:pPr>
              <w:jc w:val="center"/>
              <w:ind w:left="1317"/>
              <w:spacing w:after="0"/>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680" w:type="dxa"/>
            <w:vAlign w:val="bottom"/>
            <w:gridSpan w:val="2"/>
          </w:tcPr>
          <w:p>
            <w:pPr>
              <w:jc w:val="center"/>
              <w:ind w:right="2490"/>
              <w:spacing w:after="0" w:line="153" w:lineRule="exact"/>
              <w:rPr>
                <w:sz w:val="20"/>
                <w:szCs w:val="20"/>
                <w:color w:val="auto"/>
              </w:rPr>
            </w:pPr>
            <w:r>
              <w:rPr>
                <w:rFonts w:ascii="Arial" w:cs="Arial" w:eastAsia="Arial" w:hAnsi="Arial"/>
                <w:sz w:val="14"/>
                <w:szCs w:val="14"/>
                <w:b w:val="1"/>
                <w:bCs w:val="1"/>
                <w:color w:val="auto"/>
                <w:w w:val="87"/>
              </w:rPr>
              <w:t>to be so registered</w:t>
            </w:r>
          </w:p>
        </w:tc>
        <w:tc>
          <w:tcPr>
            <w:tcW w:w="1760" w:type="dxa"/>
            <w:vAlign w:val="bottom"/>
          </w:tcPr>
          <w:p>
            <w:pPr>
              <w:spacing w:after="0"/>
              <w:rPr>
                <w:sz w:val="13"/>
                <w:szCs w:val="13"/>
                <w:color w:val="auto"/>
              </w:rPr>
            </w:pPr>
          </w:p>
        </w:tc>
        <w:tc>
          <w:tcPr>
            <w:tcW w:w="2100" w:type="dxa"/>
            <w:vAlign w:val="bottom"/>
            <w:gridSpan w:val="2"/>
          </w:tcPr>
          <w:p>
            <w:pPr>
              <w:jc w:val="center"/>
              <w:ind w:right="250"/>
              <w:spacing w:after="0" w:line="153" w:lineRule="exact"/>
              <w:rPr>
                <w:sz w:val="20"/>
                <w:szCs w:val="20"/>
                <w:color w:val="auto"/>
              </w:rPr>
            </w:pPr>
            <w:r>
              <w:rPr>
                <w:rFonts w:ascii="Arial" w:cs="Arial" w:eastAsia="Arial" w:hAnsi="Arial"/>
                <w:sz w:val="14"/>
                <w:szCs w:val="14"/>
                <w:b w:val="1"/>
                <w:bCs w:val="1"/>
                <w:color w:val="auto"/>
                <w:w w:val="88"/>
              </w:rPr>
              <w:t>each class is to be registered</w:t>
            </w:r>
          </w:p>
        </w:tc>
        <w:tc>
          <w:tcPr>
            <w:tcW w:w="0" w:type="dxa"/>
            <w:vAlign w:val="bottom"/>
          </w:tcPr>
          <w:p>
            <w:pPr>
              <w:spacing w:after="0"/>
              <w:rPr>
                <w:sz w:val="1"/>
                <w:szCs w:val="1"/>
                <w:color w:val="auto"/>
              </w:rPr>
            </w:pPr>
          </w:p>
        </w:tc>
      </w:tr>
      <w:tr>
        <w:trPr>
          <w:trHeight w:val="32"/>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w w:val="81"/>
              </w:rPr>
              <w:t>Common Stock,</w:t>
            </w:r>
          </w:p>
        </w:tc>
        <w:tc>
          <w:tcPr>
            <w:tcW w:w="1120" w:type="dxa"/>
            <w:vAlign w:val="bottom"/>
            <w:tcBorders>
              <w:bottom w:val="single" w:sz="8" w:color="auto"/>
            </w:tcBorders>
          </w:tcPr>
          <w:p>
            <w:pPr>
              <w:spacing w:after="0"/>
              <w:rPr>
                <w:sz w:val="2"/>
                <w:szCs w:val="2"/>
                <w:color w:val="auto"/>
              </w:rPr>
            </w:pPr>
          </w:p>
        </w:tc>
        <w:tc>
          <w:tcPr>
            <w:tcW w:w="2560" w:type="dxa"/>
            <w:vAlign w:val="bottom"/>
            <w:vMerge w:val="restart"/>
          </w:tcPr>
          <w:p>
            <w:pPr>
              <w:spacing w:after="0"/>
              <w:rPr>
                <w:sz w:val="20"/>
                <w:szCs w:val="20"/>
                <w:color w:val="auto"/>
              </w:rPr>
            </w:pPr>
            <w:r>
              <w:rPr>
                <w:rFonts w:ascii="Arial" w:cs="Arial" w:eastAsia="Arial" w:hAnsi="Arial"/>
                <w:sz w:val="18"/>
                <w:szCs w:val="18"/>
                <w:b w:val="1"/>
                <w:bCs w:val="1"/>
                <w:color w:val="auto"/>
              </w:rPr>
              <w:t>0.0001 per share</w:t>
            </w:r>
          </w:p>
        </w:tc>
        <w:tc>
          <w:tcPr>
            <w:tcW w:w="1760" w:type="dxa"/>
            <w:vAlign w:val="bottom"/>
            <w:vMerge w:val="restart"/>
          </w:tcPr>
          <w:p>
            <w:pPr>
              <w:ind w:left="1420"/>
              <w:spacing w:after="0"/>
              <w:rPr>
                <w:sz w:val="20"/>
                <w:szCs w:val="20"/>
                <w:color w:val="auto"/>
              </w:rPr>
            </w:pPr>
            <w:r>
              <w:rPr>
                <w:rFonts w:ascii="Arial" w:cs="Arial" w:eastAsia="Arial" w:hAnsi="Arial"/>
                <w:sz w:val="18"/>
                <w:szCs w:val="18"/>
                <w:b w:val="1"/>
                <w:bCs w:val="1"/>
                <w:color w:val="auto"/>
                <w:w w:val="99"/>
              </w:rPr>
              <w:t>The</w:t>
            </w:r>
          </w:p>
        </w:tc>
        <w:tc>
          <w:tcPr>
            <w:tcW w:w="1740" w:type="dxa"/>
            <w:vAlign w:val="bottom"/>
            <w:tcBorders>
              <w:bottom w:val="single" w:sz="8" w:color="auto"/>
            </w:tcBorders>
          </w:tcPr>
          <w:p>
            <w:pPr>
              <w:spacing w:after="0"/>
              <w:rPr>
                <w:sz w:val="2"/>
                <w:szCs w:val="2"/>
                <w:color w:val="auto"/>
              </w:rPr>
            </w:pPr>
          </w:p>
        </w:tc>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97"/>
              </w:rPr>
              <w:t>LLC</w:t>
            </w:r>
          </w:p>
        </w:tc>
        <w:tc>
          <w:tcPr>
            <w:tcW w:w="0" w:type="dxa"/>
            <w:vAlign w:val="bottom"/>
          </w:tcPr>
          <w:p>
            <w:pPr>
              <w:spacing w:after="0"/>
              <w:rPr>
                <w:sz w:val="1"/>
                <w:szCs w:val="1"/>
                <w:color w:val="auto"/>
              </w:rPr>
            </w:pPr>
          </w:p>
        </w:tc>
      </w:tr>
      <w:tr>
        <w:trPr>
          <w:trHeight w:val="228"/>
        </w:trPr>
        <w:tc>
          <w:tcPr>
            <w:tcW w:w="1140" w:type="dxa"/>
            <w:vAlign w:val="bottom"/>
            <w:vMerge w:val="continue"/>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par value $</w:t>
            </w:r>
          </w:p>
        </w:tc>
        <w:tc>
          <w:tcPr>
            <w:tcW w:w="256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b w:val="1"/>
                <w:bCs w:val="1"/>
                <w:color w:val="auto"/>
                <w:w w:val="94"/>
              </w:rPr>
              <w:t>Nasdaq Stock Market</w:t>
            </w: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202565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or (e),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Securities Act registration statement file or Regulation A offering statement number to which this form relates (if applicable): 333-225213</w:t>
      </w:r>
    </w:p>
    <w:p>
      <w:pPr>
        <w:spacing w:after="0" w:line="2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 w:name="page2"/>
    <w:bookmarkEnd w:id="1"/>
    <w:p>
      <w:pPr>
        <w:ind w:left="3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REQUIRED IN REGISTRATION STATEMENT</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a description of the Registrant’s common stock, par value $0.0001 per share (the “Common Stock”), to be registered hereunder, reference is made to the information set forth under the heading “Description of Capital Stock” in the Registrant’s prospectus that constitutes a part of the Registrant’s Registration Statement on Form S-1, as amended (File No. 333-225213) (the “Registration Statement”), filed with the Securities and Exchange Commission (the “Commission”) under the Securities Act of 1933, as amended (the “Securities Act”), which information is hereby incorporated by reference. The description of the Common Stock included in any form of prospectus subsequently filed by the Registrant with the Commission pursuant to Rule 424(b) under the Securities Act shall be deemed to be incorporated by reference herein.</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accordance with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1260"/>
          </w:cols>
          <w:pgMar w:left="240" w:top="270" w:right="3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June 18, 2018</w:t>
      </w:r>
      <w:r>
        <w:rPr>
          <w:sz w:val="20"/>
          <w:szCs w:val="20"/>
          <w:color w:val="auto"/>
        </w:rPr>
        <w:tab/>
      </w:r>
      <w:r>
        <w:rPr>
          <w:rFonts w:ascii="Arial" w:cs="Arial" w:eastAsia="Arial" w:hAnsi="Arial"/>
          <w:sz w:val="17"/>
          <w:szCs w:val="17"/>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0940"/>
      </w:cols>
      <w:pgMar w:left="240" w:top="27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2019-12-08T14:34:44Z</dcterms:created>
  <dcterms:modified xsi:type="dcterms:W3CDTF">2019-12-08T14:34:44Z</dcterms:modified>
</cp:coreProperties>
</file>