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SCHEDULE 13G/A</w:t>
      </w: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(Amendment No. 2 _)*</w:t>
      </w:r>
    </w:p>
    <w:p>
      <w:pPr>
        <w:spacing w:after="0" w:line="182"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43"/>
          <w:szCs w:val="43"/>
          <w:color w:val="auto"/>
        </w:rPr>
        <w:t>Avrobio,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(Name of Issuer)</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3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(Title of Class of Securities)</w:t>
      </w:r>
    </w:p>
    <w:p>
      <w:pPr>
        <w:spacing w:after="0" w:line="225" w:lineRule="exact"/>
        <w:rPr>
          <w:sz w:val="24"/>
          <w:szCs w:val="24"/>
          <w:color w:val="auto"/>
        </w:rPr>
      </w:pPr>
    </w:p>
    <w:p>
      <w:pPr>
        <w:ind w:left="5180"/>
        <w:spacing w:after="0"/>
        <w:rPr>
          <w:sz w:val="20"/>
          <w:szCs w:val="20"/>
          <w:color w:val="auto"/>
        </w:rPr>
      </w:pPr>
      <w:r>
        <w:rPr>
          <w:rFonts w:ascii="Times New Roman" w:cs="Times New Roman" w:eastAsia="Times New Roman" w:hAnsi="Times New Roman"/>
          <w:sz w:val="18"/>
          <w:szCs w:val="18"/>
          <w:color w:val="auto"/>
        </w:rPr>
        <w:t>05455M100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24" w:lineRule="exact"/>
        <w:rPr>
          <w:sz w:val="24"/>
          <w:szCs w:val="24"/>
          <w:color w:val="auto"/>
        </w:rPr>
      </w:pPr>
    </w:p>
    <w:p>
      <w:pPr>
        <w:ind w:left="5020"/>
        <w:spacing w:after="0"/>
        <w:rPr>
          <w:sz w:val="20"/>
          <w:szCs w:val="20"/>
          <w:color w:val="auto"/>
        </w:rPr>
      </w:pPr>
      <w:r>
        <w:rPr>
          <w:rFonts w:ascii="Times New Roman" w:cs="Times New Roman" w:eastAsia="Times New Roman" w:hAnsi="Times New Roman"/>
          <w:sz w:val="18"/>
          <w:szCs w:val="18"/>
          <w:color w:val="auto"/>
        </w:rPr>
        <w:t>(CUSIP Number)</w:t>
      </w:r>
    </w:p>
    <w:p>
      <w:pPr>
        <w:spacing w:after="0" w:line="225"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December 31,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 of Event which Requires Filing of this Statement)</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 to designate the rule pursuant to which this Schedule is filed:</w:t>
      </w:r>
    </w:p>
    <w:p>
      <w:pPr>
        <w:spacing w:after="0" w:line="22" w:lineRule="exact"/>
        <w:rPr>
          <w:sz w:val="24"/>
          <w:szCs w:val="24"/>
          <w:color w:val="auto"/>
        </w:rPr>
      </w:pPr>
    </w:p>
    <w:p>
      <w:pPr>
        <w:jc w:val="both"/>
        <w:ind w:right="9960" w:firstLine="8"/>
        <w:spacing w:after="0" w:line="227" w:lineRule="exact"/>
        <w:tabs>
          <w:tab w:leader="none" w:pos="252"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 xml:space="preserve">Rule 13d-1(b)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Rule 13d-1(c)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Rule 13d-1(d)</w:t>
      </w:r>
    </w:p>
    <w:p>
      <w:pPr>
        <w:spacing w:after="0" w:line="211" w:lineRule="exact"/>
        <w:rPr>
          <w:sz w:val="24"/>
          <w:szCs w:val="24"/>
          <w:color w:val="auto"/>
        </w:rPr>
      </w:pPr>
    </w:p>
    <w:p>
      <w:pPr>
        <w:ind w:firstLine="8"/>
        <w:spacing w:after="0" w:line="195" w:lineRule="auto"/>
        <w:tabs>
          <w:tab w:leader="none" w:pos="112" w:val="left"/>
        </w:tabs>
        <w:numPr>
          <w:ilvl w:val="0"/>
          <w:numId w:val="2"/>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200"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157480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183515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500380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64" w:right="339" w:bottom="1440" w:gutter="0" w:footer="0" w:header="0"/>
        </w:sectPr>
      </w:pPr>
    </w:p>
    <w:bookmarkStart w:id="1" w:name="page2"/>
    <w:bookmarkEnd w:id="1"/>
    <w:p>
      <w:pPr>
        <w:spacing w:after="0"/>
        <w:tabs>
          <w:tab w:leader="none" w:pos="5320" w:val="left"/>
          <w:tab w:leader="none" w:pos="1020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551815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t>CUSIP No. 05455M100</w:t>
      </w:r>
      <w:r>
        <w:rPr>
          <w:sz w:val="20"/>
          <w:szCs w:val="20"/>
          <w:color w:val="auto"/>
        </w:rPr>
        <w:tab/>
      </w:r>
      <w:r>
        <w:rPr>
          <w:rFonts w:ascii="Times New Roman" w:cs="Times New Roman" w:eastAsia="Times New Roman" w:hAnsi="Times New Roman"/>
          <w:sz w:val="18"/>
          <w:szCs w:val="18"/>
          <w:color w:val="auto"/>
        </w:rPr>
        <w:t>13G/A</w:t>
      </w:r>
      <w:r>
        <w:rPr>
          <w:sz w:val="20"/>
          <w:szCs w:val="20"/>
          <w:color w:val="auto"/>
        </w:rPr>
        <w:tab/>
      </w:r>
      <w:r>
        <w:rPr>
          <w:rFonts w:ascii="Times New Roman" w:cs="Times New Roman" w:eastAsia="Times New Roman" w:hAnsi="Times New Roman"/>
          <w:sz w:val="18"/>
          <w:szCs w:val="18"/>
          <w:color w:val="auto"/>
        </w:rPr>
        <w:t>Page 2 of 6</w:t>
      </w:r>
    </w:p>
    <w:p>
      <w:pPr>
        <w:spacing w:after="0" w:line="266" w:lineRule="exact"/>
        <w:rPr>
          <w:sz w:val="20"/>
          <w:szCs w:val="20"/>
          <w:color w:val="auto"/>
        </w:rPr>
      </w:pPr>
    </w:p>
    <w:p>
      <w:pPr>
        <w:ind w:left="800" w:right="7560" w:hanging="795"/>
        <w:spacing w:after="0" w:line="386" w:lineRule="auto"/>
        <w:tabs>
          <w:tab w:leader="none" w:pos="8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NAMES OF REPORTING PERSONS GMT Capital Corp.</w:t>
      </w:r>
    </w:p>
    <w:p>
      <w:pPr>
        <w:ind w:left="800" w:right="5360" w:hanging="795"/>
        <w:spacing w:after="0" w:line="258" w:lineRule="auto"/>
        <w:tabs>
          <w:tab w:leader="none" w:pos="8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ind w:left="1180" w:hanging="378"/>
        <w:spacing w:after="0" w:line="207" w:lineRule="exact"/>
        <w:tabs>
          <w:tab w:leader="none" w:pos="1180" w:val="left"/>
        </w:tabs>
        <w:numPr>
          <w:ilvl w:val="1"/>
          <w:numId w:val="3"/>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0" w:lineRule="exact"/>
        <w:rPr>
          <w:rFonts w:ascii="Times New Roman" w:cs="Times New Roman" w:eastAsia="Times New Roman" w:hAnsi="Times New Roman"/>
          <w:sz w:val="18"/>
          <w:szCs w:val="18"/>
          <w:color w:val="auto"/>
        </w:rPr>
      </w:pPr>
    </w:p>
    <w:p>
      <w:pPr>
        <w:ind w:left="1200" w:hanging="398"/>
        <w:spacing w:after="0" w:line="207" w:lineRule="exact"/>
        <w:tabs>
          <w:tab w:leader="none" w:pos="1200" w:val="left"/>
        </w:tabs>
        <w:numPr>
          <w:ilvl w:val="1"/>
          <w:numId w:val="3"/>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22" w:lineRule="exact"/>
        <w:rPr>
          <w:rFonts w:ascii="Times New Roman" w:cs="Times New Roman" w:eastAsia="Times New Roman" w:hAnsi="Times New Roman"/>
          <w:sz w:val="18"/>
          <w:szCs w:val="18"/>
          <w:color w:val="auto"/>
        </w:rPr>
      </w:pPr>
    </w:p>
    <w:p>
      <w:pPr>
        <w:ind w:left="800" w:hanging="795"/>
        <w:spacing w:after="0"/>
        <w:tabs>
          <w:tab w:leader="none" w:pos="8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7" w:lineRule="exact"/>
        <w:rPr>
          <w:rFonts w:ascii="Times New Roman" w:cs="Times New Roman" w:eastAsia="Times New Roman" w:hAnsi="Times New Roman"/>
          <w:sz w:val="18"/>
          <w:szCs w:val="18"/>
          <w:color w:val="auto"/>
        </w:rPr>
      </w:pPr>
    </w:p>
    <w:p>
      <w:pPr>
        <w:ind w:left="800" w:right="6660" w:hanging="795"/>
        <w:spacing w:after="0" w:line="406" w:lineRule="auto"/>
        <w:tabs>
          <w:tab w:leader="none" w:pos="80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CITIZENSHIP OR PLACE OF ORGANIZATION Georgia, United States of America</w:t>
      </w:r>
    </w:p>
    <w:p>
      <w:pPr>
        <w:ind w:left="2260" w:hanging="338"/>
        <w:spacing w:after="0"/>
        <w:tabs>
          <w:tab w:leader="none" w:pos="2260" w:val="left"/>
        </w:tabs>
        <w:numPr>
          <w:ilvl w:val="2"/>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VOTING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-130810</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-57785</wp:posOffset>
            </wp:positionH>
            <wp:positionV relativeFrom="paragraph">
              <wp:posOffset>-550545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-57785</wp:posOffset>
            </wp:positionH>
            <wp:positionV relativeFrom="paragraph">
              <wp:posOffset>-696595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-57785</wp:posOffset>
            </wp:positionH>
            <wp:positionV relativeFrom="paragraph">
              <wp:posOffset>-1673860</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-57785</wp:posOffset>
            </wp:positionH>
            <wp:positionV relativeFrom="paragraph">
              <wp:posOffset>-1253490</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1700" w:type="dxa"/>
            <w:vAlign w:val="bottom"/>
            <w:vMerge w:val="restart"/>
          </w:tcPr>
          <w:p>
            <w:pPr>
              <w:jc w:val="center"/>
              <w:ind w:right="130"/>
              <w:spacing w:after="0"/>
              <w:rPr>
                <w:sz w:val="20"/>
                <w:szCs w:val="20"/>
                <w:color w:val="auto"/>
              </w:rPr>
            </w:pPr>
            <w:r>
              <w:rPr>
                <w:rFonts w:ascii="Times New Roman" w:cs="Times New Roman" w:eastAsia="Times New Roman" w:hAnsi="Times New Roman"/>
                <w:sz w:val="18"/>
                <w:szCs w:val="18"/>
                <w:color w:val="auto"/>
                <w:w w:val="99"/>
              </w:rPr>
              <w:t>NUMBER OF</w:t>
            </w:r>
          </w:p>
        </w:tc>
        <w:tc>
          <w:tcPr>
            <w:tcW w:w="340" w:type="dxa"/>
            <w:vAlign w:val="bottom"/>
            <w:tcBorders>
              <w:bottom w:val="single" w:sz="8" w:color="auto"/>
            </w:tcBorders>
          </w:tcPr>
          <w:p>
            <w:pPr>
              <w:spacing w:after="0"/>
              <w:rPr>
                <w:sz w:val="20"/>
                <w:szCs w:val="20"/>
                <w:color w:val="auto"/>
              </w:rPr>
            </w:pPr>
          </w:p>
        </w:tc>
        <w:tc>
          <w:tcPr>
            <w:tcW w:w="89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91"/>
        </w:trPr>
        <w:tc>
          <w:tcPr>
            <w:tcW w:w="1700" w:type="dxa"/>
            <w:vAlign w:val="bottom"/>
            <w:vMerge w:val="continue"/>
          </w:tcPr>
          <w:p>
            <w:pPr>
              <w:spacing w:after="0"/>
              <w:rPr>
                <w:sz w:val="16"/>
                <w:szCs w:val="16"/>
                <w:color w:val="auto"/>
              </w:rPr>
            </w:pPr>
          </w:p>
        </w:tc>
        <w:tc>
          <w:tcPr>
            <w:tcW w:w="340" w:type="dxa"/>
            <w:vAlign w:val="bottom"/>
          </w:tcPr>
          <w:p>
            <w:pPr>
              <w:jc w:val="right"/>
              <w:ind w:right="10"/>
              <w:spacing w:after="0" w:line="191" w:lineRule="exact"/>
              <w:rPr>
                <w:sz w:val="20"/>
                <w:szCs w:val="20"/>
                <w:color w:val="auto"/>
              </w:rPr>
            </w:pPr>
            <w:r>
              <w:rPr>
                <w:rFonts w:ascii="Times New Roman" w:cs="Times New Roman" w:eastAsia="Times New Roman" w:hAnsi="Times New Roman"/>
                <w:sz w:val="18"/>
                <w:szCs w:val="18"/>
                <w:color w:val="auto"/>
              </w:rPr>
              <w:t>6.</w:t>
            </w:r>
          </w:p>
        </w:tc>
        <w:tc>
          <w:tcPr>
            <w:tcW w:w="8980" w:type="dxa"/>
            <w:vAlign w:val="bottom"/>
          </w:tcPr>
          <w:p>
            <w:pPr>
              <w:ind w:left="100"/>
              <w:spacing w:after="0" w:line="191" w:lineRule="exact"/>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16"/>
        </w:trPr>
        <w:tc>
          <w:tcPr>
            <w:tcW w:w="170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rPr>
              <w:t>SHARES</w:t>
            </w:r>
          </w:p>
        </w:tc>
        <w:tc>
          <w:tcPr>
            <w:tcW w:w="340" w:type="dxa"/>
            <w:vAlign w:val="bottom"/>
          </w:tcPr>
          <w:p>
            <w:pPr>
              <w:spacing w:after="0"/>
              <w:rPr>
                <w:sz w:val="18"/>
                <w:szCs w:val="18"/>
                <w:color w:val="auto"/>
              </w:rPr>
            </w:pPr>
          </w:p>
        </w:tc>
        <w:tc>
          <w:tcPr>
            <w:tcW w:w="8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70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7"/>
              </w:rPr>
              <w:t>BENEFICIALLY</w:t>
            </w:r>
          </w:p>
        </w:tc>
        <w:tc>
          <w:tcPr>
            <w:tcW w:w="340" w:type="dxa"/>
            <w:vAlign w:val="bottom"/>
            <w:tcBorders>
              <w:bottom w:val="single" w:sz="8" w:color="auto"/>
            </w:tcBorders>
          </w:tcPr>
          <w:p>
            <w:pPr>
              <w:spacing w:after="0"/>
              <w:rPr>
                <w:sz w:val="20"/>
                <w:szCs w:val="20"/>
                <w:color w:val="auto"/>
              </w:rPr>
            </w:pPr>
          </w:p>
        </w:tc>
        <w:tc>
          <w:tcPr>
            <w:tcW w:w="89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78"/>
        </w:trPr>
        <w:tc>
          <w:tcPr>
            <w:tcW w:w="1700" w:type="dxa"/>
            <w:vAlign w:val="bottom"/>
          </w:tcPr>
          <w:p>
            <w:pPr>
              <w:jc w:val="center"/>
              <w:ind w:right="110"/>
              <w:spacing w:after="0" w:line="177" w:lineRule="exact"/>
              <w:rPr>
                <w:sz w:val="20"/>
                <w:szCs w:val="20"/>
                <w:color w:val="auto"/>
              </w:rPr>
            </w:pPr>
            <w:r>
              <w:rPr>
                <w:rFonts w:ascii="Times New Roman" w:cs="Times New Roman" w:eastAsia="Times New Roman" w:hAnsi="Times New Roman"/>
                <w:sz w:val="18"/>
                <w:szCs w:val="18"/>
                <w:color w:val="auto"/>
                <w:w w:val="99"/>
              </w:rPr>
              <w:t>OWNED BY EACH</w:t>
            </w:r>
          </w:p>
        </w:tc>
        <w:tc>
          <w:tcPr>
            <w:tcW w:w="340" w:type="dxa"/>
            <w:vAlign w:val="bottom"/>
          </w:tcPr>
          <w:p>
            <w:pPr>
              <w:jc w:val="right"/>
              <w:ind w:right="10"/>
              <w:spacing w:after="0" w:line="177" w:lineRule="exact"/>
              <w:rPr>
                <w:sz w:val="20"/>
                <w:szCs w:val="20"/>
                <w:color w:val="auto"/>
              </w:rPr>
            </w:pPr>
            <w:r>
              <w:rPr>
                <w:rFonts w:ascii="Times New Roman" w:cs="Times New Roman" w:eastAsia="Times New Roman" w:hAnsi="Times New Roman"/>
                <w:sz w:val="18"/>
                <w:szCs w:val="18"/>
                <w:color w:val="auto"/>
              </w:rPr>
              <w:t>7.</w:t>
            </w:r>
          </w:p>
        </w:tc>
        <w:tc>
          <w:tcPr>
            <w:tcW w:w="8980" w:type="dxa"/>
            <w:vAlign w:val="bottom"/>
          </w:tcPr>
          <w:p>
            <w:pPr>
              <w:ind w:left="100"/>
              <w:spacing w:after="0" w:line="177" w:lineRule="exact"/>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16"/>
        </w:trPr>
        <w:tc>
          <w:tcPr>
            <w:tcW w:w="170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8"/>
              </w:rPr>
              <w:t>REPORTING</w:t>
            </w:r>
          </w:p>
        </w:tc>
        <w:tc>
          <w:tcPr>
            <w:tcW w:w="340" w:type="dxa"/>
            <w:vAlign w:val="bottom"/>
          </w:tcPr>
          <w:p>
            <w:pPr>
              <w:spacing w:after="0"/>
              <w:rPr>
                <w:sz w:val="18"/>
                <w:szCs w:val="18"/>
                <w:color w:val="auto"/>
              </w:rPr>
            </w:pPr>
          </w:p>
        </w:tc>
        <w:tc>
          <w:tcPr>
            <w:tcW w:w="8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170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9"/>
              </w:rPr>
              <w:t>PERSON WITH</w:t>
            </w:r>
          </w:p>
        </w:tc>
        <w:tc>
          <w:tcPr>
            <w:tcW w:w="340" w:type="dxa"/>
            <w:vAlign w:val="bottom"/>
          </w:tcPr>
          <w:p>
            <w:pPr>
              <w:spacing w:after="0"/>
              <w:rPr>
                <w:sz w:val="21"/>
                <w:szCs w:val="21"/>
                <w:color w:val="auto"/>
              </w:rPr>
            </w:pPr>
          </w:p>
        </w:tc>
        <w:tc>
          <w:tcPr>
            <w:tcW w:w="89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1158875</wp:posOffset>
            </wp:positionH>
            <wp:positionV relativeFrom="paragraph">
              <wp:posOffset>0</wp:posOffset>
            </wp:positionV>
            <wp:extent cx="591502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915025" cy="8255"/>
                    </a:xfrm>
                    <a:prstGeom prst="rect">
                      <a:avLst/>
                    </a:prstGeom>
                    <a:noFill/>
                  </pic:spPr>
                </pic:pic>
              </a:graphicData>
            </a:graphic>
          </wp:anchor>
        </w:drawing>
      </w:r>
    </w:p>
    <w:p>
      <w:pPr>
        <w:ind w:left="2260" w:right="6360" w:hanging="338"/>
        <w:spacing w:after="0" w:line="383" w:lineRule="auto"/>
        <w:tabs>
          <w:tab w:leader="none" w:pos="2260" w:val="left"/>
        </w:tabs>
        <w:numPr>
          <w:ilvl w:val="2"/>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DISPOSITIVE POWER 0</w:t>
      </w:r>
    </w:p>
    <w:p>
      <w:pPr>
        <w:ind w:left="800" w:right="3780" w:hanging="795"/>
        <w:spacing w:after="0" w:line="383" w:lineRule="auto"/>
        <w:tabs>
          <w:tab w:leader="none" w:pos="80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0</w:t>
      </w:r>
    </w:p>
    <w:p>
      <w:pPr>
        <w:ind w:left="800" w:right="3700" w:hanging="795"/>
        <w:spacing w:after="0" w:line="231" w:lineRule="exact"/>
        <w:tabs>
          <w:tab w:leader="none" w:pos="80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CHECK IF THE AGGREGATE AMOUNT IN ROW (9) EXCLUDES CERTAIN SHARES (see instructions) </w:t>
      </w:r>
      <w:r>
        <w:rPr>
          <w:rFonts w:ascii="MS PGothic" w:cs="MS PGothic" w:eastAsia="MS PGothic" w:hAnsi="MS PGothic"/>
          <w:sz w:val="18"/>
          <w:szCs w:val="18"/>
          <w:color w:val="auto"/>
        </w:rPr>
        <w:t>☐</w:t>
      </w:r>
    </w:p>
    <w:p>
      <w:pPr>
        <w:ind w:left="800" w:hanging="795"/>
        <w:spacing w:after="0"/>
        <w:tabs>
          <w:tab w:leader="none" w:pos="80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(9)</w:t>
      </w:r>
    </w:p>
    <w:p>
      <w:pPr>
        <w:spacing w:after="0" w:line="161" w:lineRule="exact"/>
        <w:rPr>
          <w:rFonts w:ascii="Times New Roman" w:cs="Times New Roman" w:eastAsia="Times New Roman" w:hAnsi="Times New Roman"/>
          <w:sz w:val="18"/>
          <w:szCs w:val="18"/>
          <w:color w:val="auto"/>
        </w:rPr>
      </w:pPr>
    </w:p>
    <w:p>
      <w:pPr>
        <w:ind w:left="8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0.0%</w:t>
      </w:r>
      <w:r>
        <w:rPr>
          <w:rFonts w:ascii="Times New Roman" w:cs="Times New Roman" w:eastAsia="Times New Roman" w:hAnsi="Times New Roman"/>
          <w:sz w:val="29"/>
          <w:szCs w:val="29"/>
          <w:color w:val="auto"/>
          <w:vertAlign w:val="superscript"/>
        </w:rPr>
        <w:t>1</w:t>
      </w:r>
    </w:p>
    <w:p>
      <w:pPr>
        <w:ind w:left="800" w:hanging="795"/>
        <w:spacing w:after="0"/>
        <w:tabs>
          <w:tab w:leader="none" w:pos="80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w:t>
      </w:r>
    </w:p>
    <w:p>
      <w:pPr>
        <w:spacing w:after="0" w:line="205" w:lineRule="exact"/>
        <w:rPr>
          <w:rFonts w:ascii="Times New Roman" w:cs="Times New Roman" w:eastAsia="Times New Roman" w:hAnsi="Times New Roman"/>
          <w:sz w:val="18"/>
          <w:szCs w:val="18"/>
          <w:color w:val="auto"/>
        </w:rPr>
      </w:pPr>
    </w:p>
    <w:p>
      <w:pPr>
        <w:ind w:left="8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IA</w:t>
      </w:r>
    </w:p>
    <w:p>
      <w:pPr>
        <w:spacing w:after="0" w:line="238" w:lineRule="exact"/>
        <w:rPr>
          <w:rFonts w:ascii="Times New Roman" w:cs="Times New Roman" w:eastAsia="Times New Roman" w:hAnsi="Times New Roman"/>
          <w:sz w:val="18"/>
          <w:szCs w:val="18"/>
          <w:color w:val="auto"/>
        </w:rPr>
      </w:pPr>
    </w:p>
    <w:p>
      <w:pPr>
        <w:ind w:left="240" w:right="120" w:hanging="337"/>
        <w:spacing w:after="0" w:line="199" w:lineRule="auto"/>
        <w:rPr>
          <w:rFonts w:ascii="Times New Roman" w:cs="Times New Roman" w:eastAsia="Times New Roman" w:hAnsi="Times New Roman"/>
          <w:sz w:val="18"/>
          <w:szCs w:val="18"/>
          <w:color w:val="auto"/>
        </w:rPr>
      </w:pP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 xml:space="preserve"> Calculated based on 44,573,911 shares of common stock of the Issuer (the “Common Stock”) outstanding as of November 2, 2023, as reported on the Issuer’s Quarterly Report on Form 10-Q, filed with the Securities and Exchange Commission on November 9,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-417830</wp:posOffset>
            </wp:positionV>
            <wp:extent cx="71323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-57785</wp:posOffset>
            </wp:positionH>
            <wp:positionV relativeFrom="paragraph">
              <wp:posOffset>-838200</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-57785</wp:posOffset>
            </wp:positionH>
            <wp:positionV relativeFrom="paragraph">
              <wp:posOffset>-1283970</wp:posOffset>
            </wp:positionV>
            <wp:extent cx="71323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-57785</wp:posOffset>
            </wp:positionH>
            <wp:positionV relativeFrom="paragraph">
              <wp:posOffset>-1566545</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-57785</wp:posOffset>
            </wp:positionH>
            <wp:positionV relativeFrom="paragraph">
              <wp:posOffset>-1986915</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-57785</wp:posOffset>
            </wp:positionH>
            <wp:positionV relativeFrom="paragraph">
              <wp:posOffset>387350</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40"/>
          </w:cols>
          <w:pgMar w:left="420" w:top="931" w:right="339" w:bottom="1440" w:gutter="0" w:footer="0" w:header="0"/>
        </w:sectPr>
      </w:pPr>
    </w:p>
    <w:bookmarkStart w:id="2" w:name="page3"/>
    <w:bookmarkEnd w:id="2"/>
    <w:p>
      <w:pPr>
        <w:spacing w:after="0"/>
        <w:tabs>
          <w:tab w:leader="none" w:pos="5320" w:val="left"/>
          <w:tab w:leader="none" w:pos="1020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568960</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t>CUSIP No. 05455M100</w:t>
      </w:r>
      <w:r>
        <w:rPr>
          <w:sz w:val="20"/>
          <w:szCs w:val="20"/>
          <w:color w:val="auto"/>
        </w:rPr>
        <w:tab/>
      </w:r>
      <w:r>
        <w:rPr>
          <w:rFonts w:ascii="Times New Roman" w:cs="Times New Roman" w:eastAsia="Times New Roman" w:hAnsi="Times New Roman"/>
          <w:sz w:val="18"/>
          <w:szCs w:val="18"/>
          <w:color w:val="auto"/>
        </w:rPr>
        <w:t>13G/A</w:t>
      </w:r>
      <w:r>
        <w:rPr>
          <w:sz w:val="20"/>
          <w:szCs w:val="20"/>
          <w:color w:val="auto"/>
        </w:rPr>
        <w:tab/>
      </w:r>
      <w:r>
        <w:rPr>
          <w:rFonts w:ascii="Times New Roman" w:cs="Times New Roman" w:eastAsia="Times New Roman" w:hAnsi="Times New Roman"/>
          <w:sz w:val="18"/>
          <w:szCs w:val="18"/>
          <w:color w:val="auto"/>
        </w:rPr>
        <w:t>Page 3 of 6</w:t>
      </w:r>
    </w:p>
    <w:p>
      <w:pPr>
        <w:spacing w:after="0" w:line="266" w:lineRule="exact"/>
        <w:rPr>
          <w:sz w:val="20"/>
          <w:szCs w:val="20"/>
          <w:color w:val="auto"/>
        </w:rPr>
      </w:pPr>
    </w:p>
    <w:p>
      <w:pPr>
        <w:ind w:left="800" w:right="7560" w:hanging="795"/>
        <w:spacing w:after="0" w:line="386" w:lineRule="auto"/>
        <w:tabs>
          <w:tab w:leader="none" w:pos="8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NAMES OF REPORTING PERSONS Thomas E. Claugus</w:t>
      </w:r>
    </w:p>
    <w:p>
      <w:pPr>
        <w:ind w:left="800" w:right="5360" w:hanging="795"/>
        <w:spacing w:after="0" w:line="258" w:lineRule="auto"/>
        <w:tabs>
          <w:tab w:leader="none" w:pos="8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ind w:left="1180" w:hanging="378"/>
        <w:spacing w:after="0" w:line="207" w:lineRule="exact"/>
        <w:tabs>
          <w:tab w:leader="none" w:pos="1180" w:val="left"/>
        </w:tabs>
        <w:numPr>
          <w:ilvl w:val="1"/>
          <w:numId w:val="6"/>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0" w:lineRule="exact"/>
        <w:rPr>
          <w:rFonts w:ascii="Times New Roman" w:cs="Times New Roman" w:eastAsia="Times New Roman" w:hAnsi="Times New Roman"/>
          <w:sz w:val="18"/>
          <w:szCs w:val="18"/>
          <w:color w:val="auto"/>
        </w:rPr>
      </w:pPr>
    </w:p>
    <w:p>
      <w:pPr>
        <w:ind w:left="1200" w:hanging="398"/>
        <w:spacing w:after="0" w:line="207" w:lineRule="exact"/>
        <w:tabs>
          <w:tab w:leader="none" w:pos="1200" w:val="left"/>
        </w:tabs>
        <w:numPr>
          <w:ilvl w:val="1"/>
          <w:numId w:val="6"/>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22" w:lineRule="exact"/>
        <w:rPr>
          <w:rFonts w:ascii="Times New Roman" w:cs="Times New Roman" w:eastAsia="Times New Roman" w:hAnsi="Times New Roman"/>
          <w:sz w:val="18"/>
          <w:szCs w:val="18"/>
          <w:color w:val="auto"/>
        </w:rPr>
      </w:pPr>
    </w:p>
    <w:p>
      <w:pPr>
        <w:ind w:left="800" w:hanging="795"/>
        <w:spacing w:after="0"/>
        <w:tabs>
          <w:tab w:leader="none" w:pos="8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7" w:lineRule="exact"/>
        <w:rPr>
          <w:rFonts w:ascii="Times New Roman" w:cs="Times New Roman" w:eastAsia="Times New Roman" w:hAnsi="Times New Roman"/>
          <w:sz w:val="18"/>
          <w:szCs w:val="18"/>
          <w:color w:val="auto"/>
        </w:rPr>
      </w:pPr>
    </w:p>
    <w:p>
      <w:pPr>
        <w:ind w:left="800" w:right="6660" w:hanging="795"/>
        <w:spacing w:after="0" w:line="383" w:lineRule="auto"/>
        <w:tabs>
          <w:tab w:leader="none" w:pos="8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 United States</w:t>
      </w:r>
    </w:p>
    <w:p>
      <w:pPr>
        <w:ind w:left="2260" w:hanging="338"/>
        <w:spacing w:after="0"/>
        <w:tabs>
          <w:tab w:leader="none" w:pos="2260" w:val="left"/>
        </w:tabs>
        <w:numPr>
          <w:ilvl w:val="2"/>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VOTING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-130810</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-57785</wp:posOffset>
            </wp:positionH>
            <wp:positionV relativeFrom="paragraph">
              <wp:posOffset>-550545</wp:posOffset>
            </wp:positionV>
            <wp:extent cx="71323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-57785</wp:posOffset>
            </wp:positionH>
            <wp:positionV relativeFrom="paragraph">
              <wp:posOffset>-696595</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-57785</wp:posOffset>
            </wp:positionH>
            <wp:positionV relativeFrom="paragraph">
              <wp:posOffset>-1673860</wp:posOffset>
            </wp:positionV>
            <wp:extent cx="713232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-57785</wp:posOffset>
            </wp:positionH>
            <wp:positionV relativeFrom="paragraph">
              <wp:posOffset>-1253490</wp:posOffset>
            </wp:positionV>
            <wp:extent cx="7132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1700" w:type="dxa"/>
            <w:vAlign w:val="bottom"/>
            <w:vMerge w:val="restart"/>
          </w:tcPr>
          <w:p>
            <w:pPr>
              <w:jc w:val="center"/>
              <w:ind w:right="130"/>
              <w:spacing w:after="0"/>
              <w:rPr>
                <w:sz w:val="20"/>
                <w:szCs w:val="20"/>
                <w:color w:val="auto"/>
              </w:rPr>
            </w:pPr>
            <w:r>
              <w:rPr>
                <w:rFonts w:ascii="Times New Roman" w:cs="Times New Roman" w:eastAsia="Times New Roman" w:hAnsi="Times New Roman"/>
                <w:sz w:val="18"/>
                <w:szCs w:val="18"/>
                <w:color w:val="auto"/>
                <w:w w:val="99"/>
              </w:rPr>
              <w:t>NUMBER OF</w:t>
            </w:r>
          </w:p>
        </w:tc>
        <w:tc>
          <w:tcPr>
            <w:tcW w:w="340" w:type="dxa"/>
            <w:vAlign w:val="bottom"/>
            <w:tcBorders>
              <w:bottom w:val="single" w:sz="8" w:color="auto"/>
            </w:tcBorders>
          </w:tcPr>
          <w:p>
            <w:pPr>
              <w:spacing w:after="0"/>
              <w:rPr>
                <w:sz w:val="20"/>
                <w:szCs w:val="20"/>
                <w:color w:val="auto"/>
              </w:rPr>
            </w:pPr>
          </w:p>
        </w:tc>
        <w:tc>
          <w:tcPr>
            <w:tcW w:w="89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91"/>
        </w:trPr>
        <w:tc>
          <w:tcPr>
            <w:tcW w:w="1700" w:type="dxa"/>
            <w:vAlign w:val="bottom"/>
            <w:vMerge w:val="continue"/>
          </w:tcPr>
          <w:p>
            <w:pPr>
              <w:spacing w:after="0"/>
              <w:rPr>
                <w:sz w:val="16"/>
                <w:szCs w:val="16"/>
                <w:color w:val="auto"/>
              </w:rPr>
            </w:pPr>
          </w:p>
        </w:tc>
        <w:tc>
          <w:tcPr>
            <w:tcW w:w="340" w:type="dxa"/>
            <w:vAlign w:val="bottom"/>
          </w:tcPr>
          <w:p>
            <w:pPr>
              <w:jc w:val="right"/>
              <w:ind w:right="10"/>
              <w:spacing w:after="0" w:line="191" w:lineRule="exact"/>
              <w:rPr>
                <w:sz w:val="20"/>
                <w:szCs w:val="20"/>
                <w:color w:val="auto"/>
              </w:rPr>
            </w:pPr>
            <w:r>
              <w:rPr>
                <w:rFonts w:ascii="Times New Roman" w:cs="Times New Roman" w:eastAsia="Times New Roman" w:hAnsi="Times New Roman"/>
                <w:sz w:val="18"/>
                <w:szCs w:val="18"/>
                <w:color w:val="auto"/>
              </w:rPr>
              <w:t>6.</w:t>
            </w:r>
          </w:p>
        </w:tc>
        <w:tc>
          <w:tcPr>
            <w:tcW w:w="8980" w:type="dxa"/>
            <w:vAlign w:val="bottom"/>
          </w:tcPr>
          <w:p>
            <w:pPr>
              <w:ind w:left="100"/>
              <w:spacing w:after="0" w:line="191" w:lineRule="exact"/>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16"/>
        </w:trPr>
        <w:tc>
          <w:tcPr>
            <w:tcW w:w="170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rPr>
              <w:t>SHARES</w:t>
            </w:r>
          </w:p>
        </w:tc>
        <w:tc>
          <w:tcPr>
            <w:tcW w:w="340" w:type="dxa"/>
            <w:vAlign w:val="bottom"/>
          </w:tcPr>
          <w:p>
            <w:pPr>
              <w:spacing w:after="0"/>
              <w:rPr>
                <w:sz w:val="18"/>
                <w:szCs w:val="18"/>
                <w:color w:val="auto"/>
              </w:rPr>
            </w:pPr>
          </w:p>
        </w:tc>
        <w:tc>
          <w:tcPr>
            <w:tcW w:w="8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70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7"/>
              </w:rPr>
              <w:t>BENEFICIALLY</w:t>
            </w:r>
          </w:p>
        </w:tc>
        <w:tc>
          <w:tcPr>
            <w:tcW w:w="340" w:type="dxa"/>
            <w:vAlign w:val="bottom"/>
            <w:tcBorders>
              <w:bottom w:val="single" w:sz="8" w:color="auto"/>
            </w:tcBorders>
          </w:tcPr>
          <w:p>
            <w:pPr>
              <w:spacing w:after="0"/>
              <w:rPr>
                <w:sz w:val="20"/>
                <w:szCs w:val="20"/>
                <w:color w:val="auto"/>
              </w:rPr>
            </w:pPr>
          </w:p>
        </w:tc>
        <w:tc>
          <w:tcPr>
            <w:tcW w:w="89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78"/>
        </w:trPr>
        <w:tc>
          <w:tcPr>
            <w:tcW w:w="1700" w:type="dxa"/>
            <w:vAlign w:val="bottom"/>
          </w:tcPr>
          <w:p>
            <w:pPr>
              <w:jc w:val="center"/>
              <w:ind w:right="110"/>
              <w:spacing w:after="0" w:line="177" w:lineRule="exact"/>
              <w:rPr>
                <w:sz w:val="20"/>
                <w:szCs w:val="20"/>
                <w:color w:val="auto"/>
              </w:rPr>
            </w:pPr>
            <w:r>
              <w:rPr>
                <w:rFonts w:ascii="Times New Roman" w:cs="Times New Roman" w:eastAsia="Times New Roman" w:hAnsi="Times New Roman"/>
                <w:sz w:val="18"/>
                <w:szCs w:val="18"/>
                <w:color w:val="auto"/>
                <w:w w:val="99"/>
              </w:rPr>
              <w:t>OWNED BY EACH</w:t>
            </w:r>
          </w:p>
        </w:tc>
        <w:tc>
          <w:tcPr>
            <w:tcW w:w="340" w:type="dxa"/>
            <w:vAlign w:val="bottom"/>
          </w:tcPr>
          <w:p>
            <w:pPr>
              <w:jc w:val="right"/>
              <w:ind w:right="10"/>
              <w:spacing w:after="0" w:line="177" w:lineRule="exact"/>
              <w:rPr>
                <w:sz w:val="20"/>
                <w:szCs w:val="20"/>
                <w:color w:val="auto"/>
              </w:rPr>
            </w:pPr>
            <w:r>
              <w:rPr>
                <w:rFonts w:ascii="Times New Roman" w:cs="Times New Roman" w:eastAsia="Times New Roman" w:hAnsi="Times New Roman"/>
                <w:sz w:val="18"/>
                <w:szCs w:val="18"/>
                <w:color w:val="auto"/>
              </w:rPr>
              <w:t>7.</w:t>
            </w:r>
          </w:p>
        </w:tc>
        <w:tc>
          <w:tcPr>
            <w:tcW w:w="8980" w:type="dxa"/>
            <w:vAlign w:val="bottom"/>
          </w:tcPr>
          <w:p>
            <w:pPr>
              <w:ind w:left="100"/>
              <w:spacing w:after="0" w:line="177" w:lineRule="exact"/>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16"/>
        </w:trPr>
        <w:tc>
          <w:tcPr>
            <w:tcW w:w="170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8"/>
              </w:rPr>
              <w:t>REPORTING</w:t>
            </w:r>
          </w:p>
        </w:tc>
        <w:tc>
          <w:tcPr>
            <w:tcW w:w="340" w:type="dxa"/>
            <w:vAlign w:val="bottom"/>
          </w:tcPr>
          <w:p>
            <w:pPr>
              <w:spacing w:after="0"/>
              <w:rPr>
                <w:sz w:val="18"/>
                <w:szCs w:val="18"/>
                <w:color w:val="auto"/>
              </w:rPr>
            </w:pPr>
          </w:p>
        </w:tc>
        <w:tc>
          <w:tcPr>
            <w:tcW w:w="8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170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9"/>
              </w:rPr>
              <w:t>PERSON WITH</w:t>
            </w:r>
          </w:p>
        </w:tc>
        <w:tc>
          <w:tcPr>
            <w:tcW w:w="340" w:type="dxa"/>
            <w:vAlign w:val="bottom"/>
          </w:tcPr>
          <w:p>
            <w:pPr>
              <w:spacing w:after="0"/>
              <w:rPr>
                <w:sz w:val="21"/>
                <w:szCs w:val="21"/>
                <w:color w:val="auto"/>
              </w:rPr>
            </w:pPr>
          </w:p>
        </w:tc>
        <w:tc>
          <w:tcPr>
            <w:tcW w:w="89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1158875</wp:posOffset>
            </wp:positionH>
            <wp:positionV relativeFrom="paragraph">
              <wp:posOffset>0</wp:posOffset>
            </wp:positionV>
            <wp:extent cx="591502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915025" cy="8890"/>
                    </a:xfrm>
                    <a:prstGeom prst="rect">
                      <a:avLst/>
                    </a:prstGeom>
                    <a:noFill/>
                  </pic:spPr>
                </pic:pic>
              </a:graphicData>
            </a:graphic>
          </wp:anchor>
        </w:drawing>
      </w:r>
    </w:p>
    <w:p>
      <w:pPr>
        <w:ind w:left="2260" w:right="6360" w:hanging="338"/>
        <w:spacing w:after="0" w:line="383" w:lineRule="auto"/>
        <w:tabs>
          <w:tab w:leader="none" w:pos="2260" w:val="left"/>
        </w:tabs>
        <w:numPr>
          <w:ilvl w:val="2"/>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DISPOSITIVE POWER 0</w:t>
      </w:r>
    </w:p>
    <w:p>
      <w:pPr>
        <w:ind w:left="800" w:right="3780" w:hanging="795"/>
        <w:spacing w:after="0" w:line="383" w:lineRule="auto"/>
        <w:tabs>
          <w:tab w:leader="none" w:pos="80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0</w:t>
      </w:r>
    </w:p>
    <w:p>
      <w:pPr>
        <w:ind w:left="800" w:right="3700" w:hanging="795"/>
        <w:spacing w:after="0" w:line="231" w:lineRule="exact"/>
        <w:tabs>
          <w:tab w:leader="none" w:pos="80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CHECK IF THE AGGREGATE AMOUNT IN ROW (9) EXCLUDES CERTAIN SHARES (see instructions) </w:t>
      </w:r>
      <w:r>
        <w:rPr>
          <w:rFonts w:ascii="MS PGothic" w:cs="MS PGothic" w:eastAsia="MS PGothic" w:hAnsi="MS PGothic"/>
          <w:sz w:val="18"/>
          <w:szCs w:val="18"/>
          <w:color w:val="auto"/>
        </w:rPr>
        <w:t>☐</w:t>
      </w:r>
    </w:p>
    <w:p>
      <w:pPr>
        <w:ind w:left="800" w:hanging="795"/>
        <w:spacing w:after="0"/>
        <w:tabs>
          <w:tab w:leader="none" w:pos="80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(9)</w:t>
      </w:r>
    </w:p>
    <w:p>
      <w:pPr>
        <w:spacing w:after="0" w:line="161" w:lineRule="exact"/>
        <w:rPr>
          <w:rFonts w:ascii="Times New Roman" w:cs="Times New Roman" w:eastAsia="Times New Roman" w:hAnsi="Times New Roman"/>
          <w:sz w:val="18"/>
          <w:szCs w:val="18"/>
          <w:color w:val="auto"/>
        </w:rPr>
      </w:pPr>
    </w:p>
    <w:p>
      <w:pPr>
        <w:ind w:left="8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0.0%</w:t>
      </w:r>
      <w:r>
        <w:rPr>
          <w:rFonts w:ascii="Times New Roman" w:cs="Times New Roman" w:eastAsia="Times New Roman" w:hAnsi="Times New Roman"/>
          <w:sz w:val="29"/>
          <w:szCs w:val="29"/>
          <w:color w:val="auto"/>
          <w:vertAlign w:val="superscript"/>
        </w:rPr>
        <w:t>1</w:t>
      </w:r>
    </w:p>
    <w:p>
      <w:pPr>
        <w:ind w:left="800" w:hanging="795"/>
        <w:spacing w:after="0"/>
        <w:tabs>
          <w:tab w:leader="none" w:pos="80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w:t>
      </w:r>
    </w:p>
    <w:p>
      <w:pPr>
        <w:spacing w:after="0" w:line="205" w:lineRule="exact"/>
        <w:rPr>
          <w:rFonts w:ascii="Times New Roman" w:cs="Times New Roman" w:eastAsia="Times New Roman" w:hAnsi="Times New Roman"/>
          <w:sz w:val="18"/>
          <w:szCs w:val="18"/>
          <w:color w:val="auto"/>
        </w:rPr>
      </w:pPr>
    </w:p>
    <w:p>
      <w:pPr>
        <w:ind w:left="8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HC</w:t>
      </w:r>
    </w:p>
    <w:p>
      <w:pPr>
        <w:spacing w:after="0" w:line="238" w:lineRule="exact"/>
        <w:rPr>
          <w:rFonts w:ascii="Times New Roman" w:cs="Times New Roman" w:eastAsia="Times New Roman" w:hAnsi="Times New Roman"/>
          <w:sz w:val="18"/>
          <w:szCs w:val="18"/>
          <w:color w:val="auto"/>
        </w:rPr>
      </w:pPr>
    </w:p>
    <w:p>
      <w:pPr>
        <w:ind w:left="240" w:right="120" w:hanging="337"/>
        <w:spacing w:after="0" w:line="199" w:lineRule="auto"/>
        <w:rPr>
          <w:rFonts w:ascii="Times New Roman" w:cs="Times New Roman" w:eastAsia="Times New Roman" w:hAnsi="Times New Roman"/>
          <w:sz w:val="18"/>
          <w:szCs w:val="18"/>
          <w:color w:val="auto"/>
        </w:rPr>
      </w:pP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 xml:space="preserve"> Calculated based on 44,573,911 shares of common stock of the Issuer (the “Common Stock”) outstanding as of November 2, 2023, as reported on the Issuer’s Quarterly Report on Form 10-Q, filed with the Securities and Exchange Commission on November 9,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-417830</wp:posOffset>
            </wp:positionV>
            <wp:extent cx="71323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-57785</wp:posOffset>
            </wp:positionH>
            <wp:positionV relativeFrom="paragraph">
              <wp:posOffset>-838200</wp:posOffset>
            </wp:positionV>
            <wp:extent cx="71323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-57785</wp:posOffset>
            </wp:positionH>
            <wp:positionV relativeFrom="paragraph">
              <wp:posOffset>-1283970</wp:posOffset>
            </wp:positionV>
            <wp:extent cx="713232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-57785</wp:posOffset>
            </wp:positionH>
            <wp:positionV relativeFrom="paragraph">
              <wp:posOffset>-1566545</wp:posOffset>
            </wp:positionV>
            <wp:extent cx="713232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-57785</wp:posOffset>
            </wp:positionH>
            <wp:positionV relativeFrom="paragraph">
              <wp:posOffset>-1986915</wp:posOffset>
            </wp:positionV>
            <wp:extent cx="713232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-57785</wp:posOffset>
            </wp:positionH>
            <wp:positionV relativeFrom="paragraph">
              <wp:posOffset>387350</wp:posOffset>
            </wp:positionV>
            <wp:extent cx="713232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40"/>
          </w:cols>
          <w:pgMar w:left="420" w:top="958" w:right="339" w:bottom="1440" w:gutter="0" w:footer="0" w:header="0"/>
        </w:sectPr>
      </w:pPr>
    </w:p>
    <w:bookmarkStart w:id="3" w:name="page4"/>
    <w:bookmarkEnd w:id="3"/>
    <w:p>
      <w:pPr>
        <w:ind w:left="100"/>
        <w:spacing w:after="0"/>
        <w:tabs>
          <w:tab w:leader="none" w:pos="5420" w:val="left"/>
          <w:tab w:leader="none" w:pos="1030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568960</wp:posOffset>
            </wp:positionV>
            <wp:extent cx="713232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255"/>
                    </a:xfrm>
                    <a:prstGeom prst="rect">
                      <a:avLst/>
                    </a:prstGeom>
                    <a:noFill/>
                  </pic:spPr>
                </pic:pic>
              </a:graphicData>
            </a:graphic>
          </wp:anchor>
        </w:drawing>
        <w:t>CUSIP No. 05455M100</w:t>
      </w:r>
      <w:r>
        <w:rPr>
          <w:sz w:val="20"/>
          <w:szCs w:val="20"/>
          <w:color w:val="auto"/>
        </w:rPr>
        <w:tab/>
      </w:r>
      <w:r>
        <w:rPr>
          <w:rFonts w:ascii="Times New Roman" w:cs="Times New Roman" w:eastAsia="Times New Roman" w:hAnsi="Times New Roman"/>
          <w:sz w:val="18"/>
          <w:szCs w:val="18"/>
          <w:color w:val="auto"/>
        </w:rPr>
        <w:t>13G/A</w:t>
      </w:r>
      <w:r>
        <w:rPr>
          <w:sz w:val="20"/>
          <w:szCs w:val="20"/>
          <w:color w:val="auto"/>
        </w:rPr>
        <w:tab/>
      </w:r>
      <w:r>
        <w:rPr>
          <w:rFonts w:ascii="Times New Roman" w:cs="Times New Roman" w:eastAsia="Times New Roman" w:hAnsi="Times New Roman"/>
          <w:sz w:val="18"/>
          <w:szCs w:val="18"/>
          <w:color w:val="auto"/>
        </w:rPr>
        <w:t>Page 4 of 6</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w:t>
      </w:r>
    </w:p>
    <w:p>
      <w:pPr>
        <w:spacing w:after="0" w:line="229" w:lineRule="exact"/>
        <w:rPr>
          <w:sz w:val="20"/>
          <w:szCs w:val="20"/>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Issuer</w:t>
      </w:r>
    </w:p>
    <w:p>
      <w:pPr>
        <w:spacing w:after="0" w:line="225"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of the issuer is Avrobio, Inc. (herein referred to as “Issuer”).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Address of Issuer’s Principal Executive Offices</w:t>
      </w:r>
    </w:p>
    <w:p>
      <w:pPr>
        <w:spacing w:after="0" w:line="225"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principal executive offices of the Issuer are located at 100 Technology Square, Sixth Floor</w:t>
      </w:r>
    </w:p>
    <w:p>
      <w:pPr>
        <w:spacing w:after="0" w:line="225"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Cambridge, Massachusetts 02139</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w:t>
      </w:r>
    </w:p>
    <w:p>
      <w:pPr>
        <w:spacing w:after="0" w:line="229" w:lineRule="exact"/>
        <w:rPr>
          <w:sz w:val="20"/>
          <w:szCs w:val="20"/>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Persons Filing</w:t>
      </w:r>
    </w:p>
    <w:p>
      <w:pPr>
        <w:spacing w:after="0" w:line="225"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Statement is being filed jointly on behalf of each of the following persons (collectively, the “Reporting Persons”)</w:t>
      </w:r>
    </w:p>
    <w:p>
      <w:pPr>
        <w:spacing w:after="0" w:line="225" w:lineRule="exact"/>
        <w:rPr>
          <w:rFonts w:ascii="Times New Roman" w:cs="Times New Roman" w:eastAsia="Times New Roman" w:hAnsi="Times New Roman"/>
          <w:sz w:val="18"/>
          <w:szCs w:val="18"/>
          <w:color w:val="auto"/>
        </w:rPr>
      </w:pPr>
    </w:p>
    <w:p>
      <w:pPr>
        <w:jc w:val="both"/>
        <w:ind w:left="1300" w:hanging="644"/>
        <w:spacing w:after="0" w:line="255" w:lineRule="auto"/>
        <w:tabs>
          <w:tab w:leader="none" w:pos="130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GMT Capital Corp. (“GMT Capital”) with respect to shares of Common Stock directly owned by each of Bay Resource Partners, L.P. (“Bay”), Bay II Resource Partners, L.P. (“Bay II”), Bay Resource Partners Offshore Master Fund, L.P. (“Bay Offshore”) and certain sub-advisory and separate account clients advised by GMT Capital (together with Bay, Bay II and Bay Offshore, collectively, the “Managed Funds and Accounts”).</w:t>
      </w:r>
    </w:p>
    <w:p>
      <w:pPr>
        <w:spacing w:after="0" w:line="2" w:lineRule="exact"/>
        <w:rPr>
          <w:rFonts w:ascii="Times New Roman" w:cs="Times New Roman" w:eastAsia="Times New Roman" w:hAnsi="Times New Roman"/>
          <w:sz w:val="18"/>
          <w:szCs w:val="18"/>
          <w:color w:val="auto"/>
        </w:rPr>
      </w:pPr>
    </w:p>
    <w:p>
      <w:pPr>
        <w:ind w:left="1300" w:hanging="644"/>
        <w:spacing w:after="0" w:line="260" w:lineRule="auto"/>
        <w:tabs>
          <w:tab w:leader="none" w:pos="130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Thomas E. Claugus, the control person of GMT Capital, with respect to the shares of Common Stock directly owned by the Managed Funds and Accounts.</w:t>
      </w:r>
    </w:p>
    <w:p>
      <w:pPr>
        <w:spacing w:after="0" w:line="18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Address of the Principal Office or, if none, residence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address of the business office of each of the Reporting Persons is 2300 Windy Ridge Parkway, Ste. 550 South</w:t>
      </w:r>
    </w:p>
    <w:p>
      <w:pPr>
        <w:spacing w:after="0" w:line="225"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Atlanta, GA 30339.</w:t>
      </w:r>
    </w:p>
    <w:p>
      <w:pPr>
        <w:spacing w:after="0" w:line="225" w:lineRule="exact"/>
        <w:rPr>
          <w:sz w:val="20"/>
          <w:szCs w:val="20"/>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w:t>
      </w:r>
    </w:p>
    <w:p>
      <w:pPr>
        <w:spacing w:after="0" w:line="225"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GMT Capital is a Georgia corporation.</w:t>
      </w:r>
    </w:p>
    <w:p>
      <w:pPr>
        <w:spacing w:after="0" w:line="27"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Claugus is a citizen of the United States.</w:t>
      </w:r>
    </w:p>
    <w:p>
      <w:pPr>
        <w:spacing w:after="0" w:line="206" w:lineRule="exact"/>
        <w:rPr>
          <w:rFonts w:ascii="Times New Roman" w:cs="Times New Roman" w:eastAsia="Times New Roman" w:hAnsi="Times New Roman"/>
          <w:sz w:val="18"/>
          <w:szCs w:val="18"/>
          <w:color w:val="auto"/>
        </w:rPr>
      </w:pPr>
    </w:p>
    <w:p>
      <w:pPr>
        <w:ind w:left="660" w:right="8680" w:hanging="328"/>
        <w:spacing w:after="0" w:line="500"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Title of Class of Securities Common Stock</w:t>
      </w:r>
    </w:p>
    <w:p>
      <w:pPr>
        <w:spacing w:after="0" w:line="1" w:lineRule="exact"/>
        <w:rPr>
          <w:rFonts w:ascii="Times New Roman" w:cs="Times New Roman" w:eastAsia="Times New Roman" w:hAnsi="Times New Roman"/>
          <w:sz w:val="18"/>
          <w:szCs w:val="18"/>
          <w:color w:val="auto"/>
        </w:rPr>
      </w:pPr>
    </w:p>
    <w:p>
      <w:pPr>
        <w:ind w:left="660" w:right="9440" w:hanging="328"/>
        <w:spacing w:after="0" w:line="578" w:lineRule="auto"/>
        <w:tabs>
          <w:tab w:leader="none" w:pos="66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CUSIP Number 05455M100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193675</wp:posOffset>
            </wp:positionV>
            <wp:extent cx="713232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58" w:right="339" w:bottom="1440" w:gutter="0" w:footer="0" w:header="0"/>
        </w:sectPr>
      </w:pPr>
    </w:p>
    <w:bookmarkStart w:id="4" w:name="page5"/>
    <w:bookmarkEnd w:id="4"/>
    <w:p>
      <w:pPr>
        <w:ind w:left="100"/>
        <w:spacing w:after="0"/>
        <w:tabs>
          <w:tab w:leader="none" w:pos="5420" w:val="left"/>
          <w:tab w:leader="none" w:pos="1030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551815</wp:posOffset>
            </wp:positionV>
            <wp:extent cx="713232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255"/>
                    </a:xfrm>
                    <a:prstGeom prst="rect">
                      <a:avLst/>
                    </a:prstGeom>
                    <a:noFill/>
                  </pic:spPr>
                </pic:pic>
              </a:graphicData>
            </a:graphic>
          </wp:anchor>
        </w:drawing>
        <w:t>CUSIP No: 05455M100</w:t>
      </w:r>
      <w:r>
        <w:rPr>
          <w:sz w:val="20"/>
          <w:szCs w:val="20"/>
          <w:color w:val="auto"/>
        </w:rPr>
        <w:tab/>
      </w:r>
      <w:r>
        <w:rPr>
          <w:rFonts w:ascii="Times New Roman" w:cs="Times New Roman" w:eastAsia="Times New Roman" w:hAnsi="Times New Roman"/>
          <w:sz w:val="18"/>
          <w:szCs w:val="18"/>
          <w:color w:val="auto"/>
        </w:rPr>
        <w:t>13G/A</w:t>
      </w:r>
      <w:r>
        <w:rPr>
          <w:sz w:val="20"/>
          <w:szCs w:val="20"/>
          <w:color w:val="auto"/>
        </w:rPr>
        <w:tab/>
      </w:r>
      <w:r>
        <w:rPr>
          <w:rFonts w:ascii="Times New Roman" w:cs="Times New Roman" w:eastAsia="Times New Roman" w:hAnsi="Times New Roman"/>
          <w:sz w:val="18"/>
          <w:szCs w:val="18"/>
          <w:color w:val="auto"/>
        </w:rPr>
        <w:t>Page 5 of 6</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Filing pursuant to §240.13d-1(c)</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this statement is filed pursuant to Sec. 240.13d-1(b) or 240.13d-2(b) or (c), check whether the person filing is a :</w:t>
      </w:r>
    </w:p>
    <w:p>
      <w:pPr>
        <w:spacing w:after="0" w:line="184" w:lineRule="exact"/>
        <w:rPr>
          <w:sz w:val="20"/>
          <w:szCs w:val="20"/>
          <w:color w:val="auto"/>
        </w:rPr>
      </w:pPr>
    </w:p>
    <w:p>
      <w:pPr>
        <w:ind w:left="660" w:hanging="328"/>
        <w:spacing w:after="0" w:line="207" w:lineRule="exact"/>
        <w:tabs>
          <w:tab w:leader="none" w:pos="660" w:val="left"/>
        </w:tabs>
        <w:numPr>
          <w:ilvl w:val="0"/>
          <w:numId w:val="12"/>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Broker or dealer registered under section 15 of the Act (15 U.S.D. 78o):</w:t>
      </w:r>
    </w:p>
    <w:p>
      <w:pPr>
        <w:spacing w:after="0" w:line="69" w:lineRule="exact"/>
        <w:rPr>
          <w:rFonts w:ascii="Times New Roman" w:cs="Times New Roman" w:eastAsia="Times New Roman" w:hAnsi="Times New Roman"/>
          <w:sz w:val="18"/>
          <w:szCs w:val="18"/>
          <w:color w:val="auto"/>
        </w:rPr>
      </w:pPr>
    </w:p>
    <w:p>
      <w:pPr>
        <w:ind w:left="660" w:hanging="328"/>
        <w:spacing w:after="0" w:line="207" w:lineRule="exact"/>
        <w:tabs>
          <w:tab w:leader="none" w:pos="660" w:val="left"/>
        </w:tabs>
        <w:numPr>
          <w:ilvl w:val="0"/>
          <w:numId w:val="12"/>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Bank as defined in section 3(a)(6) of the Act (15 U.S.C. 78c);</w:t>
      </w:r>
    </w:p>
    <w:p>
      <w:pPr>
        <w:spacing w:after="0" w:line="9" w:lineRule="exact"/>
        <w:rPr>
          <w:rFonts w:ascii="Times New Roman" w:cs="Times New Roman" w:eastAsia="Times New Roman" w:hAnsi="Times New Roman"/>
          <w:sz w:val="18"/>
          <w:szCs w:val="18"/>
          <w:color w:val="auto"/>
        </w:rPr>
      </w:pPr>
    </w:p>
    <w:p>
      <w:pPr>
        <w:ind w:left="660" w:hanging="328"/>
        <w:spacing w:after="0" w:line="207" w:lineRule="exact"/>
        <w:tabs>
          <w:tab w:leader="none" w:pos="660" w:val="left"/>
        </w:tabs>
        <w:numPr>
          <w:ilvl w:val="0"/>
          <w:numId w:val="12"/>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Insurance company as defined in section 3(a)(19) of the Act (15 U.S.C. 78c);</w:t>
      </w:r>
    </w:p>
    <w:p>
      <w:pPr>
        <w:spacing w:after="0" w:line="9" w:lineRule="exact"/>
        <w:rPr>
          <w:rFonts w:ascii="Times New Roman" w:cs="Times New Roman" w:eastAsia="Times New Roman" w:hAnsi="Times New Roman"/>
          <w:sz w:val="18"/>
          <w:szCs w:val="18"/>
          <w:color w:val="auto"/>
        </w:rPr>
      </w:pPr>
    </w:p>
    <w:p>
      <w:pPr>
        <w:ind w:left="660" w:hanging="328"/>
        <w:spacing w:after="0" w:line="207" w:lineRule="exact"/>
        <w:tabs>
          <w:tab w:leader="none" w:pos="660" w:val="left"/>
        </w:tabs>
        <w:numPr>
          <w:ilvl w:val="0"/>
          <w:numId w:val="12"/>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Investment company registered under section 8 of the Investment Company Act of 1940 (15 U.S.C 80a-8);</w:t>
      </w:r>
    </w:p>
    <w:p>
      <w:pPr>
        <w:spacing w:after="0" w:line="9" w:lineRule="exact"/>
        <w:rPr>
          <w:rFonts w:ascii="Times New Roman" w:cs="Times New Roman" w:eastAsia="Times New Roman" w:hAnsi="Times New Roman"/>
          <w:sz w:val="18"/>
          <w:szCs w:val="18"/>
          <w:color w:val="auto"/>
        </w:rPr>
      </w:pPr>
    </w:p>
    <w:p>
      <w:pPr>
        <w:ind w:left="660" w:hanging="328"/>
        <w:spacing w:after="0" w:line="207" w:lineRule="exact"/>
        <w:tabs>
          <w:tab w:leader="none" w:pos="660" w:val="left"/>
        </w:tabs>
        <w:numPr>
          <w:ilvl w:val="0"/>
          <w:numId w:val="12"/>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An investment adviser in accordance with Sec. 240.13d-1(b)(1)(ii)(E);</w:t>
      </w:r>
    </w:p>
    <w:p>
      <w:pPr>
        <w:spacing w:after="0" w:line="9" w:lineRule="exact"/>
        <w:rPr>
          <w:rFonts w:ascii="Times New Roman" w:cs="Times New Roman" w:eastAsia="Times New Roman" w:hAnsi="Times New Roman"/>
          <w:sz w:val="18"/>
          <w:szCs w:val="18"/>
          <w:color w:val="auto"/>
        </w:rPr>
      </w:pPr>
    </w:p>
    <w:p>
      <w:pPr>
        <w:ind w:left="660" w:hanging="328"/>
        <w:spacing w:after="0" w:line="207" w:lineRule="exact"/>
        <w:tabs>
          <w:tab w:leader="none" w:pos="660" w:val="left"/>
        </w:tabs>
        <w:numPr>
          <w:ilvl w:val="0"/>
          <w:numId w:val="12"/>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An employee benefit plan or endowment fund in accordance with Sec. 240.13d-1(b)(1)(ii)(F);</w:t>
      </w:r>
    </w:p>
    <w:p>
      <w:pPr>
        <w:spacing w:after="0" w:line="9" w:lineRule="exact"/>
        <w:rPr>
          <w:rFonts w:ascii="Times New Roman" w:cs="Times New Roman" w:eastAsia="Times New Roman" w:hAnsi="Times New Roman"/>
          <w:sz w:val="18"/>
          <w:szCs w:val="18"/>
          <w:color w:val="auto"/>
        </w:rPr>
      </w:pPr>
    </w:p>
    <w:p>
      <w:pPr>
        <w:ind w:left="660" w:hanging="328"/>
        <w:spacing w:after="0" w:line="207" w:lineRule="exact"/>
        <w:tabs>
          <w:tab w:leader="none" w:pos="660" w:val="left"/>
        </w:tabs>
        <w:numPr>
          <w:ilvl w:val="0"/>
          <w:numId w:val="12"/>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 parent holding company or control person in accordance with Sec. 240.13d-1(b)(1)(ii)(G);</w:t>
      </w:r>
    </w:p>
    <w:p>
      <w:pPr>
        <w:spacing w:after="0" w:line="9" w:lineRule="exact"/>
        <w:rPr>
          <w:rFonts w:ascii="Times New Roman" w:cs="Times New Roman" w:eastAsia="Times New Roman" w:hAnsi="Times New Roman"/>
          <w:sz w:val="18"/>
          <w:szCs w:val="18"/>
          <w:color w:val="auto"/>
        </w:rPr>
      </w:pPr>
    </w:p>
    <w:p>
      <w:pPr>
        <w:ind w:left="660" w:hanging="328"/>
        <w:spacing w:after="0" w:line="207" w:lineRule="exact"/>
        <w:tabs>
          <w:tab w:leader="none" w:pos="660" w:val="left"/>
        </w:tabs>
        <w:numPr>
          <w:ilvl w:val="0"/>
          <w:numId w:val="12"/>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 savings association as defined in Section 3(b) of the Federal Deposit Insurance Act (12 U.S.C. 1813);</w:t>
      </w:r>
    </w:p>
    <w:p>
      <w:pPr>
        <w:spacing w:after="0" w:line="9" w:lineRule="exact"/>
        <w:rPr>
          <w:rFonts w:ascii="Times New Roman" w:cs="Times New Roman" w:eastAsia="Times New Roman" w:hAnsi="Times New Roman"/>
          <w:sz w:val="18"/>
          <w:szCs w:val="18"/>
          <w:color w:val="auto"/>
        </w:rPr>
      </w:pPr>
    </w:p>
    <w:p>
      <w:pPr>
        <w:ind w:left="660" w:hanging="328"/>
        <w:spacing w:after="0" w:line="215" w:lineRule="exact"/>
        <w:tabs>
          <w:tab w:leader="none" w:pos="660" w:val="left"/>
        </w:tabs>
        <w:numPr>
          <w:ilvl w:val="0"/>
          <w:numId w:val="12"/>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 church plan that is excluded from the definition of an investment company under section 3(c)(14) of the Investment Company Act of 1940 (15 U.S.C. 80a-3);</w:t>
      </w:r>
    </w:p>
    <w:p>
      <w:pPr>
        <w:ind w:left="660" w:hanging="328"/>
        <w:spacing w:after="0" w:line="207" w:lineRule="exact"/>
        <w:tabs>
          <w:tab w:leader="none" w:pos="660" w:val="left"/>
        </w:tabs>
        <w:numPr>
          <w:ilvl w:val="0"/>
          <w:numId w:val="12"/>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 non-U.S. institution in accordance with Sec. 240.13d-1(b)(1)(ii)(J);</w:t>
      </w:r>
    </w:p>
    <w:p>
      <w:pPr>
        <w:spacing w:after="0" w:line="10" w:lineRule="exact"/>
        <w:rPr>
          <w:rFonts w:ascii="Times New Roman" w:cs="Times New Roman" w:eastAsia="Times New Roman" w:hAnsi="Times New Roman"/>
          <w:sz w:val="18"/>
          <w:szCs w:val="18"/>
          <w:color w:val="auto"/>
        </w:rPr>
      </w:pPr>
    </w:p>
    <w:p>
      <w:pPr>
        <w:ind w:left="660" w:hanging="328"/>
        <w:spacing w:after="0" w:line="207" w:lineRule="exact"/>
        <w:tabs>
          <w:tab w:leader="none" w:pos="660" w:val="left"/>
        </w:tabs>
        <w:numPr>
          <w:ilvl w:val="0"/>
          <w:numId w:val="12"/>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Group, in accordance with Sec. 240.13d-1(b)(1)(ii)(J).</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Ownership</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Rows 5 through 11 of each Reporting Person’s cover page.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Ownership of Five Percent or Less of a Class.</w:t>
      </w:r>
    </w:p>
    <w:p>
      <w:pPr>
        <w:spacing w:after="0" w:line="229" w:lineRule="exact"/>
        <w:rPr>
          <w:sz w:val="20"/>
          <w:szCs w:val="20"/>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this statement is being filed to report the fact that as of the date hereof the reporting person has ceased to be the beneficial owner of more than 5 percent of the class of securities, check the following </w:t>
      </w:r>
      <w:r>
        <w:rPr>
          <w:rFonts w:ascii="MS PGothic" w:cs="MS PGothic" w:eastAsia="MS PGothic" w:hAnsi="MS PGothic"/>
          <w:sz w:val="18"/>
          <w:szCs w:val="18"/>
          <w:color w:val="auto"/>
        </w:rPr>
        <w:t>☒</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Ownership of More than Five Percent on Behalf of another Person.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Identification and Classification of the Subsidiary Which Acquired the Security Being Reported on By the Parent Holding Company.</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Thomas E. Claugus is the President of GMT Capital and in that capacity directs the operations GMT Capital, including the voting and disposition of shares held by the Managed Funds and Accounts.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Identification and Classification of Members of the Group.</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Notice of Dissolution of Group.</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386080</wp:posOffset>
            </wp:positionV>
            <wp:extent cx="713232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5" w:name="page6"/>
    <w:bookmarkEnd w:id="5"/>
    <w:p>
      <w:pPr>
        <w:ind w:left="100"/>
        <w:spacing w:after="0"/>
        <w:tabs>
          <w:tab w:leader="none" w:pos="5440" w:val="left"/>
          <w:tab w:leader="none" w:pos="1030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551815</wp:posOffset>
            </wp:positionV>
            <wp:extent cx="713232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255"/>
                    </a:xfrm>
                    <a:prstGeom prst="rect">
                      <a:avLst/>
                    </a:prstGeom>
                    <a:noFill/>
                  </pic:spPr>
                </pic:pic>
              </a:graphicData>
            </a:graphic>
          </wp:anchor>
        </w:drawing>
        <w:t>CUSIP No. 05455M100</w:t>
      </w:r>
      <w:r>
        <w:rPr>
          <w:sz w:val="20"/>
          <w:szCs w:val="20"/>
          <w:color w:val="auto"/>
        </w:rPr>
        <w:tab/>
      </w:r>
      <w:r>
        <w:rPr>
          <w:rFonts w:ascii="Times New Roman" w:cs="Times New Roman" w:eastAsia="Times New Roman" w:hAnsi="Times New Roman"/>
          <w:sz w:val="18"/>
          <w:szCs w:val="18"/>
          <w:color w:val="auto"/>
        </w:rPr>
        <w:t>13G/A</w:t>
      </w:r>
      <w:r>
        <w:rPr>
          <w:sz w:val="20"/>
          <w:szCs w:val="20"/>
          <w:color w:val="auto"/>
        </w:rPr>
        <w:tab/>
      </w:r>
      <w:r>
        <w:rPr>
          <w:rFonts w:ascii="Times New Roman" w:cs="Times New Roman" w:eastAsia="Times New Roman" w:hAnsi="Times New Roman"/>
          <w:sz w:val="18"/>
          <w:szCs w:val="18"/>
          <w:color w:val="auto"/>
        </w:rPr>
        <w:t>Page 6 of 6</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Certification</w:t>
      </w:r>
    </w:p>
    <w:p>
      <w:pPr>
        <w:spacing w:after="0" w:line="229" w:lineRule="exact"/>
        <w:rPr>
          <w:sz w:val="20"/>
          <w:szCs w:val="20"/>
          <w:color w:val="auto"/>
        </w:rPr>
      </w:pPr>
    </w:p>
    <w:p>
      <w:pPr>
        <w:jc w:val="both"/>
        <w:ind w:left="420" w:right="580"/>
        <w:spacing w:after="0" w:line="261" w:lineRule="auto"/>
        <w:rPr>
          <w:sz w:val="20"/>
          <w:szCs w:val="20"/>
          <w:color w:val="auto"/>
        </w:rPr>
      </w:pPr>
      <w:r>
        <w:rPr>
          <w:rFonts w:ascii="Times New Roman" w:cs="Times New Roman" w:eastAsia="Times New Roman" w:hAnsi="Times New Roman"/>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180" w:lineRule="exact"/>
        <w:rPr>
          <w:sz w:val="20"/>
          <w:szCs w:val="20"/>
          <w:color w:val="auto"/>
        </w:rPr>
      </w:pPr>
    </w:p>
    <w:p>
      <w:pPr>
        <w:ind w:left="420" w:right="620"/>
        <w:spacing w:after="0" w:line="282" w:lineRule="auto"/>
        <w:rPr>
          <w:sz w:val="20"/>
          <w:szCs w:val="20"/>
          <w:color w:val="auto"/>
        </w:rPr>
      </w:pPr>
      <w:r>
        <w:rPr>
          <w:rFonts w:ascii="Times New Roman" w:cs="Times New Roman" w:eastAsia="Times New Roman" w:hAnsi="Times New Roman"/>
          <w:sz w:val="18"/>
          <w:szCs w:val="18"/>
          <w:color w:val="auto"/>
        </w:rPr>
        <w:t>After reasonable inquiry and to the best of my knowledge and belief, I certify that the information set forth in this statement is true, complete, and correct.</w:t>
      </w:r>
    </w:p>
    <w:p>
      <w:pPr>
        <w:spacing w:after="0" w:line="162" w:lineRule="exact"/>
        <w:rPr>
          <w:sz w:val="20"/>
          <w:szCs w:val="20"/>
          <w:color w:val="auto"/>
        </w:rPr>
      </w:pPr>
    </w:p>
    <w:p>
      <w:pPr>
        <w:jc w:val="center"/>
        <w:ind w:left="6740"/>
        <w:spacing w:after="0"/>
        <w:rPr>
          <w:sz w:val="20"/>
          <w:szCs w:val="20"/>
          <w:color w:val="auto"/>
        </w:rPr>
      </w:pPr>
      <w:r>
        <w:rPr>
          <w:rFonts w:ascii="Times New Roman" w:cs="Times New Roman" w:eastAsia="Times New Roman" w:hAnsi="Times New Roman"/>
          <w:sz w:val="18"/>
          <w:szCs w:val="18"/>
          <w:color w:val="auto"/>
        </w:rPr>
        <w:t>February 12,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284607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7" w:lineRule="exact"/>
        <w:rPr>
          <w:sz w:val="20"/>
          <w:szCs w:val="20"/>
          <w:color w:val="auto"/>
        </w:rPr>
      </w:pPr>
    </w:p>
    <w:p>
      <w:pPr>
        <w:jc w:val="center"/>
        <w:ind w:left="6740"/>
        <w:spacing w:after="0"/>
        <w:rPr>
          <w:sz w:val="20"/>
          <w:szCs w:val="20"/>
          <w:color w:val="auto"/>
        </w:rPr>
      </w:pPr>
      <w:r>
        <w:rPr>
          <w:rFonts w:ascii="Times New Roman" w:cs="Times New Roman" w:eastAsia="Times New Roman" w:hAnsi="Times New Roman"/>
          <w:sz w:val="18"/>
          <w:szCs w:val="18"/>
          <w:color w:val="auto"/>
        </w:rPr>
        <w:t>Date</w:t>
      </w:r>
    </w:p>
    <w:p>
      <w:pPr>
        <w:spacing w:after="0" w:line="22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GMT Capital Corp.</w:t>
      </w:r>
    </w:p>
    <w:p>
      <w:pPr>
        <w:spacing w:after="0" w:line="22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By: /s/ Omar Z. Idilby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56616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7"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Name: Omar Z. Idilby</w:t>
      </w:r>
    </w:p>
    <w:p>
      <w:pPr>
        <w:spacing w:after="0" w:line="2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Title: General Counsel and CCO</w:t>
      </w:r>
    </w:p>
    <w:p>
      <w:pPr>
        <w:spacing w:after="0" w:line="234"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/s/ Thomas E. Claugus.</w:t>
      </w:r>
    </w:p>
    <w:p>
      <w:pPr>
        <w:spacing w:after="0" w:line="239"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Thomas E. Claugus, Omar Z. Idilby, attorney in 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356616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32" w:lineRule="exact"/>
        <w:rPr>
          <w:sz w:val="20"/>
          <w:szCs w:val="20"/>
          <w:color w:val="auto"/>
        </w:rPr>
      </w:pPr>
    </w:p>
    <w:p>
      <w:pPr>
        <w:jc w:val="both"/>
        <w:ind w:left="340" w:hanging="332"/>
        <w:spacing w:after="0" w:line="266" w:lineRule="auto"/>
        <w:tabs>
          <w:tab w:leader="none" w:pos="3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Omar Z. Idilby is signing on behalf of Thomas E. Claugus as attorney-in-fact pursuant to a power of attorney previously filed with the Securities and Exchange Commission, and hereby incorporated by reference herein. The power of attorney was filed as an attachment to a filing by GMT Capital Corp. on Schedule 13G for Hudbay Minerals Inc. on 2/12/24.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372110</wp:posOffset>
            </wp:positionV>
            <wp:extent cx="71323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93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
      <w:numFmt w:val="bullet"/>
      <w:start w:val="1"/>
    </w:lvl>
  </w:abstractNum>
  <w:abstractNum w:abstractNumId="2">
    <w:nsid w:val="7545E146"/>
    <w:multiLevelType w:val="hybridMultilevel"/>
    <w:lvl w:ilvl="0">
      <w:lvlJc w:val="left"/>
      <w:lvlText w:val="%1."/>
      <w:numFmt w:val="decimal"/>
      <w:start w:val="1"/>
    </w:lvl>
    <w:lvl w:ilvl="1">
      <w:lvlJc w:val="left"/>
      <w:lvlText w:val="(%2)"/>
      <w:numFmt w:val="lowerLetter"/>
      <w:start w:val="1"/>
    </w:lvl>
    <w:lvl w:ilvl="2">
      <w:lvlJc w:val="left"/>
      <w:lvlText w:val="%3."/>
      <w:numFmt w:val="decimal"/>
      <w:start w:val="5"/>
    </w:lvl>
  </w:abstractNum>
  <w:abstractNum w:abstractNumId="3">
    <w:nsid w:val="515F007C"/>
    <w:multiLevelType w:val="hybridMultilevel"/>
    <w:lvl w:ilvl="0">
      <w:lvlJc w:val="left"/>
      <w:lvlText w:val="%1"/>
      <w:numFmt w:val="decimal"/>
      <w:start w:val="1"/>
    </w:lvl>
    <w:lvl w:ilvl="1">
      <w:lvlJc w:val="left"/>
      <w:lvlText w:val="%2"/>
      <w:numFmt w:val="decimal"/>
      <w:start w:val="1"/>
    </w:lvl>
    <w:lvl w:ilvl="2">
      <w:lvlJc w:val="left"/>
      <w:lvlText w:val="%3."/>
      <w:numFmt w:val="decimal"/>
      <w:start w:val="8"/>
    </w:lvl>
  </w:abstractNum>
  <w:abstractNum w:abstractNumId="4">
    <w:nsid w:val="5BD062C2"/>
    <w:multiLevelType w:val="hybridMultilevel"/>
    <w:lvl w:ilvl="0">
      <w:lvlJc w:val="left"/>
      <w:lvlText w:val="%1"/>
      <w:numFmt w:val="decimal"/>
      <w:start w:val="1"/>
    </w:lvl>
    <w:lvl w:ilvl="1">
      <w:lvlJc w:val="left"/>
      <w:lvlText w:val="%2."/>
      <w:numFmt w:val="decimal"/>
      <w:start w:val="9"/>
    </w:lvl>
    <w:lvl w:ilvl="2">
      <w:lvlJc w:val="left"/>
      <w:lvlText w:val="%3"/>
      <w:numFmt w:val="decimal"/>
      <w:start w:val="1"/>
    </w:lvl>
  </w:abstractNum>
  <w:abstractNum w:abstractNumId="5">
    <w:nsid w:val="12200854"/>
    <w:multiLevelType w:val="hybridMultilevel"/>
    <w:lvl w:ilvl="0">
      <w:lvlJc w:val="left"/>
      <w:lvlText w:val="%1."/>
      <w:numFmt w:val="decimal"/>
      <w:start w:val="1"/>
    </w:lvl>
    <w:lvl w:ilvl="1">
      <w:lvlJc w:val="left"/>
      <w:lvlText w:val="(%2)"/>
      <w:numFmt w:val="lowerLetter"/>
      <w:start w:val="1"/>
    </w:lvl>
    <w:lvl w:ilvl="2">
      <w:lvlJc w:val="left"/>
      <w:lvlText w:val="%3."/>
      <w:numFmt w:val="decimal"/>
      <w:start w:val="5"/>
    </w:lvl>
  </w:abstractNum>
  <w:abstractNum w:abstractNumId="6">
    <w:nsid w:val="4DB127F8"/>
    <w:multiLevelType w:val="hybridMultilevel"/>
    <w:lvl w:ilvl="0">
      <w:lvlJc w:val="left"/>
      <w:lvlText w:val="%1"/>
      <w:numFmt w:val="decimal"/>
      <w:start w:val="1"/>
    </w:lvl>
    <w:lvl w:ilvl="1">
      <w:lvlJc w:val="left"/>
      <w:lvlText w:val="%2"/>
      <w:numFmt w:val="decimal"/>
      <w:start w:val="1"/>
    </w:lvl>
    <w:lvl w:ilvl="2">
      <w:lvlJc w:val="left"/>
      <w:lvlText w:val="%3."/>
      <w:numFmt w:val="decimal"/>
      <w:start w:val="8"/>
    </w:lvl>
  </w:abstractNum>
  <w:abstractNum w:abstractNumId="7">
    <w:nsid w:val="216231B"/>
    <w:multiLevelType w:val="hybridMultilevel"/>
    <w:lvl w:ilvl="0">
      <w:lvlJc w:val="left"/>
      <w:lvlText w:val="%1"/>
      <w:numFmt w:val="decimal"/>
      <w:start w:val="1"/>
    </w:lvl>
    <w:lvl w:ilvl="1">
      <w:lvlJc w:val="left"/>
      <w:lvlText w:val="%2."/>
      <w:numFmt w:val="decimal"/>
      <w:start w:val="9"/>
    </w:lvl>
    <w:lvl w:ilvl="2">
      <w:lvlJc w:val="left"/>
      <w:lvlText w:val="%3"/>
      <w:numFmt w:val="decimal"/>
      <w:start w:val="1"/>
    </w:lvl>
  </w:abstractNum>
  <w:abstractNum w:abstractNumId="8">
    <w:nsid w:val="1F16E9E8"/>
    <w:multiLevelType w:val="hybridMultilevel"/>
    <w:lvl w:ilvl="0">
      <w:lvlJc w:val="left"/>
      <w:lvlText w:val="(%1)"/>
      <w:numFmt w:val="lowerLetter"/>
      <w:start w:val="1"/>
    </w:lvl>
  </w:abstractNum>
  <w:abstractNum w:abstractNumId="9">
    <w:nsid w:val="1190CDE7"/>
    <w:multiLevelType w:val="hybridMultilevel"/>
    <w:lvl w:ilvl="0">
      <w:lvlJc w:val="left"/>
      <w:lvlText w:val="(%1)"/>
      <w:numFmt w:val="lowerLetter"/>
      <w:start w:val="1"/>
    </w:lvl>
    <w:lvl w:ilvl="1">
      <w:lvlJc w:val="left"/>
      <w:lvlText w:val="%2)"/>
      <w:numFmt w:val="lowerRoman"/>
      <w:start w:val="1"/>
    </w:lvl>
  </w:abstractNum>
  <w:abstractNum w:abstractNumId="10">
    <w:nsid w:val="66EF438D"/>
    <w:multiLevelType w:val="hybridMultilevel"/>
    <w:lvl w:ilvl="0">
      <w:lvlJc w:val="left"/>
      <w:lvlText w:val="(%1)"/>
      <w:numFmt w:val="lowerLetter"/>
      <w:start w:val="3"/>
    </w:lvl>
  </w:abstractNum>
  <w:abstractNum w:abstractNumId="11">
    <w:nsid w:val="140E0F76"/>
    <w:multiLevelType w:val="hybridMultilevel"/>
    <w:lvl w:ilvl="0">
      <w:lvlJc w:val="left"/>
      <w:lvlText w:val="(%1)"/>
      <w:numFmt w:val="lowerLetter"/>
      <w:start w:val="1"/>
    </w:lvl>
  </w:abstractNum>
  <w:abstractNum w:abstractNumId="12">
    <w:nsid w:val="3352255A"/>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2024-02-13T13:16:47Z</dcterms:created>
  <dcterms:modified xsi:type="dcterms:W3CDTF">2024-02-13T13:16:47Z</dcterms:modified>
</cp:coreProperties>
</file>