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12" w:space="0" w:color="808080"/>
        </w:pBdr>
        <w:bidi w:val="0"/>
        <w:jc w:val="left"/>
        <w:rPr/>
      </w:pPr>
      <w:r>
        <w:rPr/>
      </w:r>
      <w:bookmarkStart w:id="0" w:name="ef20013948_rw.htm"/>
      <w:bookmarkStart w:id="1" w:name="ksef20013948_rw"/>
      <w:bookmarkStart w:id="2" w:name="ef20013948_rw.htm"/>
      <w:bookmarkStart w:id="3" w:name="ksef20013948_rw"/>
      <w:bookmarkEnd w:id="2"/>
      <w:bookmarkEnd w:id="3"/>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AVROBIO,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100 Technology Square</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Sixth Floor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Cambridge, MA 02139</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November 3, 2023</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Via EDGAR Transmission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Securities and Exchange Commission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Division of Corporation Finance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100 F Street N.E.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Washington, D.C. 20549</w:t>
      </w:r>
    </w:p>
    <w:p>
      <w:pPr>
        <w:pStyle w:val="TextBody"/>
        <w:bidi w:val="0"/>
        <w:spacing w:before="0" w:after="0"/>
        <w:jc w:val="left"/>
        <w:rPr/>
      </w:pPr>
      <w:r>
        <w:rPr/>
      </w:r>
      <w:bookmarkStart w:id="4" w:name="z22af28f5f27c43b9ba46373ae0b505f0"/>
      <w:bookmarkStart w:id="5" w:name="z22af28f5f27c43b9ba46373ae0b505f0"/>
      <w:bookmarkEnd w:id="5"/>
    </w:p>
    <w:tbl>
      <w:tblPr>
        <w:tblW w:w="6363" w:type="dxa"/>
        <w:jc w:val="left"/>
        <w:tblInd w:w="0" w:type="dxa"/>
        <w:tblLayout w:type="fixed"/>
        <w:tblCellMar>
          <w:top w:w="0" w:type="dxa"/>
          <w:left w:w="0" w:type="dxa"/>
          <w:bottom w:w="0" w:type="dxa"/>
          <w:right w:w="0" w:type="dxa"/>
        </w:tblCellMar>
      </w:tblPr>
      <w:tblGrid>
        <w:gridCol w:w="38"/>
        <w:gridCol w:w="350"/>
        <w:gridCol w:w="5975"/>
      </w:tblGrid>
      <w:tr>
        <w:trPr/>
        <w:tc>
          <w:tcPr>
            <w:tcW w:w="38"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pPr>
            <w:r>
              <w:rPr/>
              <w:t>Re:</w:t>
            </w:r>
          </w:p>
        </w:tc>
        <w:tc>
          <w:tcPr>
            <w:tcW w:w="5975" w:type="dxa"/>
            <w:tcBorders/>
            <w:vAlign w:val="center"/>
          </w:tcPr>
          <w:p>
            <w:pPr>
              <w:pStyle w:val="TableContents"/>
              <w:bidi w:val="0"/>
              <w:spacing w:before="0" w:after="0"/>
              <w:jc w:val="left"/>
              <w:rPr>
                <w:b/>
              </w:rPr>
            </w:pPr>
            <w:r>
              <w:rPr>
                <w:b/>
              </w:rPr>
              <w:t>AVROBIO, Inc. – Request for Withdrawal of Registration</w:t>
            </w:r>
          </w:p>
        </w:tc>
      </w:tr>
    </w:tbl>
    <w:p>
      <w:pPr>
        <w:pStyle w:val="TextBody"/>
        <w:bidi w:val="0"/>
        <w:spacing w:before="0" w:after="0"/>
        <w:ind w:left="2160" w:right="0" w:hanging="720"/>
        <w:jc w:val="left"/>
        <w:rPr>
          <w:rFonts w:ascii="Times New Roman" w:hAnsi="Times New Roman"/>
          <w:b/>
          <w:color w:val="000000"/>
          <w:sz w:val="20"/>
        </w:rPr>
      </w:pPr>
      <w:r>
        <w:rPr>
          <w:rFonts w:ascii="Times New Roman" w:hAnsi="Times New Roman"/>
          <w:b/>
          <w:color w:val="000000"/>
          <w:sz w:val="20"/>
        </w:rPr>
        <w:t>Statement on Form S-3 (File No. 333-268255)</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Ladies and Gentlemen: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Pursuant to Rule 477 promulgated under the Securities Act of 1933, as amended (the “</w:t>
      </w:r>
      <w:r>
        <w:rPr>
          <w:rFonts w:ascii="Times New Roman" w:hAnsi="Times New Roman"/>
          <w:b/>
          <w:color w:val="000000"/>
          <w:sz w:val="20"/>
        </w:rPr>
        <w:t>Securities Act</w:t>
      </w:r>
      <w:r>
        <w:rPr>
          <w:rFonts w:ascii="Times New Roman" w:hAnsi="Times New Roman"/>
          <w:color w:val="000000"/>
          <w:sz w:val="20"/>
        </w:rPr>
        <w:t>”), AVROBIO, Inc. (the “</w:t>
      </w:r>
      <w:r>
        <w:rPr>
          <w:rFonts w:ascii="Times New Roman" w:hAnsi="Times New Roman"/>
          <w:b/>
          <w:color w:val="000000"/>
          <w:sz w:val="20"/>
        </w:rPr>
        <w:t>Company</w:t>
      </w:r>
      <w:r>
        <w:rPr>
          <w:rFonts w:ascii="Times New Roman" w:hAnsi="Times New Roman"/>
          <w:color w:val="000000"/>
          <w:sz w:val="20"/>
        </w:rPr>
        <w:t>”) hereby requests that the Securities and Exchange Commission (the “</w:t>
      </w:r>
      <w:r>
        <w:rPr>
          <w:rFonts w:ascii="Times New Roman" w:hAnsi="Times New Roman"/>
          <w:b/>
          <w:color w:val="000000"/>
          <w:sz w:val="20"/>
        </w:rPr>
        <w:t>Commission</w:t>
      </w:r>
      <w:r>
        <w:rPr>
          <w:rFonts w:ascii="Times New Roman" w:hAnsi="Times New Roman"/>
          <w:color w:val="000000"/>
          <w:sz w:val="20"/>
        </w:rPr>
        <w:t>”) consent to the withdrawal of the Company’s registration statement on Form S-3 (File No. 333-268255), together with the exhibits and amendments thereto, which was filed on November 8, 2022 (the “</w:t>
      </w:r>
      <w:r>
        <w:rPr>
          <w:rFonts w:ascii="Times New Roman" w:hAnsi="Times New Roman"/>
          <w:b/>
          <w:color w:val="000000"/>
          <w:sz w:val="20"/>
        </w:rPr>
        <w:t>Registration Statement</w:t>
      </w:r>
      <w:r>
        <w:rPr>
          <w:rFonts w:ascii="Times New Roman" w:hAnsi="Times New Roman"/>
          <w:color w:val="000000"/>
          <w:sz w:val="20"/>
        </w:rPr>
        <w:t>”), as of the date hereof or at the earliest practicable date hereafter. The Registration Statement has not been declared effective by the Commission and no securities have been issued or sold under the Registration Statement.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Accordingly, the Company respectfully requests, in accordance with Rule 457(p) under the Securities Act, that all fees paid to the Commission in connection with the filing of the Registration Statement be credited to the Company’s account to be offset against the filing fee for any future registration statement or registration statements.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If you have questions regarding this request, please contact the Company’s legal counsel, James Xu, Esq., of Goodwin Procter LLP, at (617) 570-1000.</w:t>
      </w:r>
    </w:p>
    <w:p>
      <w:pPr>
        <w:pStyle w:val="TextBody"/>
        <w:bidi w:val="0"/>
        <w:spacing w:before="0" w:after="0"/>
        <w:jc w:val="left"/>
        <w:rPr/>
      </w:pPr>
      <w:r>
        <w:rPr/>
      </w:r>
      <w:bookmarkStart w:id="6" w:name="z71d946a2934d452a8c9c8fb7b187c132"/>
      <w:bookmarkStart w:id="7" w:name="z71d946a2934d452a8c9c8fb7b187c132"/>
      <w:bookmarkEnd w:id="7"/>
    </w:p>
    <w:tbl>
      <w:tblPr>
        <w:tblW w:w="7708" w:type="dxa"/>
        <w:jc w:val="left"/>
        <w:tblInd w:w="0" w:type="dxa"/>
        <w:tblLayout w:type="fixed"/>
        <w:tblCellMar>
          <w:top w:w="0" w:type="dxa"/>
          <w:left w:w="0" w:type="dxa"/>
          <w:bottom w:w="0" w:type="dxa"/>
          <w:right w:w="0" w:type="dxa"/>
        </w:tblCellMar>
      </w:tblPr>
      <w:tblGrid>
        <w:gridCol w:w="23"/>
        <w:gridCol w:w="7685"/>
      </w:tblGrid>
      <w:tr>
        <w:trPr/>
        <w:tc>
          <w:tcPr>
            <w:tcW w:w="23" w:type="dxa"/>
            <w:tcBorders/>
            <w:vAlign w:val="center"/>
          </w:tcPr>
          <w:p>
            <w:pPr>
              <w:pStyle w:val="TableContents"/>
              <w:bidi w:val="0"/>
              <w:spacing w:before="0" w:after="283"/>
              <w:jc w:val="left"/>
              <w:rPr/>
            </w:pPr>
            <w:r>
              <w:rPr/>
            </w:r>
          </w:p>
        </w:tc>
        <w:tc>
          <w:tcPr>
            <w:tcW w:w="7685" w:type="dxa"/>
            <w:tcBorders/>
            <w:vAlign w:val="center"/>
          </w:tcPr>
          <w:p>
            <w:pPr>
              <w:pStyle w:val="TableContents"/>
              <w:bidi w:val="0"/>
              <w:spacing w:before="0" w:after="0"/>
              <w:jc w:val="left"/>
              <w:rPr/>
            </w:pPr>
            <w:r>
              <w:rPr/>
              <w:t>Very truly yours,</w:t>
            </w:r>
          </w:p>
        </w:tc>
      </w:tr>
      <w:tr>
        <w:trPr/>
        <w:tc>
          <w:tcPr>
            <w:tcW w:w="23" w:type="dxa"/>
            <w:tcBorders/>
            <w:vAlign w:val="center"/>
          </w:tcPr>
          <w:p>
            <w:pPr>
              <w:pStyle w:val="TableContents"/>
              <w:bidi w:val="0"/>
              <w:spacing w:before="0" w:after="283"/>
              <w:jc w:val="left"/>
              <w:rPr/>
            </w:pPr>
            <w:r>
              <w:rPr/>
            </w:r>
          </w:p>
        </w:tc>
        <w:tc>
          <w:tcPr>
            <w:tcW w:w="7685" w:type="dxa"/>
            <w:tcBorders/>
            <w:vAlign w:val="center"/>
          </w:tcPr>
          <w:p>
            <w:pPr>
              <w:pStyle w:val="TableContents"/>
              <w:bidi w:val="0"/>
              <w:spacing w:before="0" w:after="0"/>
              <w:jc w:val="left"/>
              <w:rPr/>
            </w:pPr>
            <w:r>
              <w:rPr/>
              <w:t>AVROBIO, INC.</w:t>
            </w:r>
          </w:p>
        </w:tc>
      </w:tr>
      <w:tr>
        <w:trPr/>
        <w:tc>
          <w:tcPr>
            <w:tcW w:w="23" w:type="dxa"/>
            <w:tcBorders/>
            <w:vAlign w:val="center"/>
          </w:tcPr>
          <w:p>
            <w:pPr>
              <w:pStyle w:val="TableContents"/>
              <w:bidi w:val="0"/>
              <w:spacing w:before="0" w:after="283"/>
              <w:jc w:val="left"/>
              <w:rPr/>
            </w:pPr>
            <w:r>
              <w:rPr/>
            </w:r>
          </w:p>
        </w:tc>
        <w:tc>
          <w:tcPr>
            <w:tcW w:w="7685"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7685" w:type="dxa"/>
            <w:tcBorders>
              <w:bottom w:val="single" w:sz="2" w:space="0" w:color="000000"/>
            </w:tcBorders>
            <w:tcMar>
              <w:bottom w:w="28" w:type="dxa"/>
            </w:tcMar>
            <w:vAlign w:val="center"/>
          </w:tcPr>
          <w:p>
            <w:pPr>
              <w:pStyle w:val="TableContents"/>
              <w:bidi w:val="0"/>
              <w:spacing w:before="0" w:after="0"/>
              <w:jc w:val="left"/>
              <w:rPr/>
            </w:pPr>
            <w:r>
              <w:rPr/>
              <w:t>/s/ Erik Ostrowski</w:t>
            </w:r>
          </w:p>
        </w:tc>
      </w:tr>
      <w:tr>
        <w:trPr/>
        <w:tc>
          <w:tcPr>
            <w:tcW w:w="23" w:type="dxa"/>
            <w:tcBorders/>
            <w:vAlign w:val="center"/>
          </w:tcPr>
          <w:p>
            <w:pPr>
              <w:pStyle w:val="TableContents"/>
              <w:bidi w:val="0"/>
              <w:spacing w:before="0" w:after="283"/>
              <w:jc w:val="left"/>
              <w:rPr/>
            </w:pPr>
            <w:r>
              <w:rPr/>
            </w:r>
          </w:p>
        </w:tc>
        <w:tc>
          <w:tcPr>
            <w:tcW w:w="7685" w:type="dxa"/>
            <w:tcBorders/>
            <w:vAlign w:val="center"/>
          </w:tcPr>
          <w:p>
            <w:pPr>
              <w:pStyle w:val="TableContents"/>
              <w:bidi w:val="0"/>
              <w:spacing w:before="0" w:after="0"/>
              <w:jc w:val="left"/>
              <w:rPr/>
            </w:pPr>
            <w:r>
              <w:rPr/>
              <w:t>President, Interim Chief Executive Officer, Chief Financial Officer and Treasurer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 w:name="z73d8ac63da734312b385de5c46925899"/>
      <w:bookmarkStart w:id="9" w:name="z73d8ac63da734312b385de5c46925899"/>
      <w:bookmarkEnd w:id="9"/>
    </w:p>
    <w:tbl>
      <w:tblPr>
        <w:tblW w:w="3940" w:type="dxa"/>
        <w:jc w:val="left"/>
        <w:tblInd w:w="0" w:type="dxa"/>
        <w:tblLayout w:type="fixed"/>
        <w:tblCellMar>
          <w:top w:w="0" w:type="dxa"/>
          <w:left w:w="0" w:type="dxa"/>
          <w:bottom w:w="0" w:type="dxa"/>
          <w:right w:w="0" w:type="dxa"/>
        </w:tblCellMar>
      </w:tblPr>
      <w:tblGrid>
        <w:gridCol w:w="305"/>
        <w:gridCol w:w="3635"/>
      </w:tblGrid>
      <w:tr>
        <w:trPr/>
        <w:tc>
          <w:tcPr>
            <w:tcW w:w="305" w:type="dxa"/>
            <w:tcBorders/>
            <w:vAlign w:val="center"/>
          </w:tcPr>
          <w:p>
            <w:pPr>
              <w:pStyle w:val="TableContents"/>
              <w:bidi w:val="0"/>
              <w:spacing w:before="0" w:after="283"/>
              <w:jc w:val="left"/>
              <w:rPr/>
            </w:pPr>
            <w:r>
              <w:rPr/>
              <w:t>cc:</w:t>
            </w:r>
          </w:p>
        </w:tc>
        <w:tc>
          <w:tcPr>
            <w:tcW w:w="3635" w:type="dxa"/>
            <w:tcBorders/>
            <w:vAlign w:val="center"/>
          </w:tcPr>
          <w:p>
            <w:pPr>
              <w:pStyle w:val="TableContents"/>
              <w:bidi w:val="0"/>
              <w:spacing w:before="0" w:after="0"/>
              <w:jc w:val="left"/>
              <w:rPr/>
            </w:pPr>
            <w:r>
              <w:rPr/>
              <w:t xml:space="preserve">Steven Avruch, Esq., </w:t>
            </w:r>
            <w:r>
              <w:rPr>
                <w:i/>
              </w:rPr>
              <w:t>AVROBIO, Inc.</w:t>
            </w:r>
          </w:p>
        </w:tc>
      </w:tr>
    </w:tbl>
    <w:p>
      <w:pPr>
        <w:pStyle w:val="TextBody"/>
        <w:bidi w:val="0"/>
        <w:spacing w:before="0" w:after="0"/>
        <w:ind w:left="630" w:right="0" w:firstLine="90"/>
        <w:jc w:val="left"/>
        <w:rPr>
          <w:rFonts w:ascii="Times New Roman" w:hAnsi="Times New Roman"/>
          <w:color w:val="000000"/>
          <w:sz w:val="20"/>
        </w:rPr>
      </w:pPr>
      <w:r>
        <w:rPr>
          <w:rFonts w:ascii="Times New Roman" w:hAnsi="Times New Roman"/>
          <w:color w:val="000000"/>
          <w:sz w:val="20"/>
        </w:rPr>
        <w:t xml:space="preserve">Mitchell S. Bloom, Esq., </w:t>
      </w:r>
      <w:r>
        <w:rPr>
          <w:rFonts w:ascii="Times New Roman" w:hAnsi="Times New Roman"/>
          <w:i/>
          <w:color w:val="000000"/>
          <w:sz w:val="20"/>
        </w:rPr>
        <w:t>Goodwin Procter LLP</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 xml:space="preserve">James Xu, Esq., </w:t>
      </w:r>
      <w:r>
        <w:rPr>
          <w:rFonts w:ascii="Times New Roman" w:hAnsi="Times New Roman"/>
          <w:i/>
          <w:color w:val="000000"/>
          <w:sz w:val="20"/>
        </w:rPr>
        <w:t>Goodwin Procter LLP</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257</Words>
  <Characters>1480</Characters>
  <CharactersWithSpaces>1713</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