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134620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5"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73" w:lineRule="exact"/>
        <w:rPr>
          <w:sz w:val="24"/>
          <w:szCs w:val="24"/>
          <w:color w:val="auto"/>
        </w:rPr>
      </w:pPr>
    </w:p>
    <w:p>
      <w:pPr>
        <w:ind w:left="640" w:right="420" w:hanging="43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 w:lineRule="exact"/>
        <w:rPr>
          <w:sz w:val="24"/>
          <w:szCs w:val="24"/>
          <w:color w:val="auto"/>
        </w:rPr>
      </w:pPr>
    </w:p>
    <w:p>
      <w:pPr>
        <w:ind w:left="392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3839210</wp:posOffset>
            </wp:positionH>
            <wp:positionV relativeFrom="paragraph">
              <wp:posOffset>-4445</wp:posOffset>
            </wp:positionV>
            <wp:extent cx="934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Commission File Number 001-38537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132080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AVROBIO, INC.</w:t>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120650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8" w:lineRule="exact"/>
        <w:rPr>
          <w:sz w:val="24"/>
          <w:szCs w:val="24"/>
          <w:color w:val="auto"/>
        </w:rPr>
      </w:pPr>
    </w:p>
    <w:tbl>
      <w:tblPr>
        <w:tblLayout w:type="fixed"/>
        <w:tblInd w:w="200" w:type="dxa"/>
        <w:tblCellMar>
          <w:top w:w="0" w:type="dxa"/>
          <w:left w:w="0" w:type="dxa"/>
          <w:bottom w:w="0" w:type="dxa"/>
          <w:right w:w="0" w:type="dxa"/>
        </w:tblCellMar>
      </w:tblPr>
      <w:tr>
        <w:trPr>
          <w:trHeight w:val="194"/>
        </w:trPr>
        <w:tc>
          <w:tcPr>
            <w:tcW w:w="2240" w:type="dxa"/>
            <w:vAlign w:val="bottom"/>
          </w:tcPr>
          <w:p>
            <w:pPr>
              <w:spacing w:after="0"/>
              <w:rPr>
                <w:sz w:val="16"/>
                <w:szCs w:val="16"/>
                <w:color w:val="auto"/>
              </w:rPr>
            </w:pPr>
          </w:p>
        </w:tc>
        <w:tc>
          <w:tcPr>
            <w:tcW w:w="2120" w:type="dxa"/>
            <w:vAlign w:val="bottom"/>
            <w:gridSpan w:val="2"/>
          </w:tcPr>
          <w:p>
            <w:pPr>
              <w:jc w:val="center"/>
              <w:ind w:right="943"/>
              <w:spacing w:after="0"/>
              <w:rPr>
                <w:sz w:val="20"/>
                <w:szCs w:val="20"/>
                <w:color w:val="auto"/>
              </w:rPr>
            </w:pPr>
            <w:r>
              <w:rPr>
                <w:rFonts w:ascii="Arial" w:cs="Arial" w:eastAsia="Arial" w:hAnsi="Arial"/>
                <w:sz w:val="16"/>
                <w:szCs w:val="16"/>
                <w:b w:val="1"/>
                <w:bCs w:val="1"/>
                <w:color w:val="auto"/>
                <w:w w:val="93"/>
              </w:rPr>
              <w:t>Delaware</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81-0710585</w:t>
            </w:r>
          </w:p>
        </w:tc>
        <w:tc>
          <w:tcPr>
            <w:tcW w:w="0" w:type="dxa"/>
            <w:vAlign w:val="bottom"/>
          </w:tcPr>
          <w:p>
            <w:pPr>
              <w:spacing w:after="0"/>
              <w:rPr>
                <w:sz w:val="1"/>
                <w:szCs w:val="1"/>
                <w:color w:val="auto"/>
              </w:rPr>
            </w:pPr>
          </w:p>
        </w:tc>
      </w:tr>
      <w:tr>
        <w:trPr>
          <w:trHeight w:val="149"/>
        </w:trPr>
        <w:tc>
          <w:tcPr>
            <w:tcW w:w="4360" w:type="dxa"/>
            <w:vAlign w:val="bottom"/>
            <w:gridSpan w:val="3"/>
          </w:tcPr>
          <w:p>
            <w:pPr>
              <w:jc w:val="center"/>
              <w:ind w:left="11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gridSpan w:val="2"/>
          </w:tcPr>
          <w:p>
            <w:pPr>
              <w:jc w:val="center"/>
              <w:ind w:right="679"/>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360" w:type="dxa"/>
            <w:vAlign w:val="bottom"/>
            <w:gridSpan w:val="3"/>
          </w:tcPr>
          <w:p>
            <w:pPr>
              <w:jc w:val="center"/>
              <w:ind w:left="1122"/>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gridSpan w:val="2"/>
          </w:tcPr>
          <w:p>
            <w:pPr>
              <w:jc w:val="center"/>
              <w:ind w:right="679"/>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4360" w:type="dxa"/>
            <w:vAlign w:val="bottom"/>
            <w:gridSpan w:val="3"/>
          </w:tcPr>
          <w:p>
            <w:pPr>
              <w:jc w:val="center"/>
              <w:ind w:left="1142"/>
              <w:spacing w:after="0"/>
              <w:rPr>
                <w:sz w:val="20"/>
                <w:szCs w:val="20"/>
                <w:color w:val="auto"/>
              </w:rPr>
            </w:pPr>
            <w:r>
              <w:rPr>
                <w:rFonts w:ascii="Arial" w:cs="Arial" w:eastAsia="Arial" w:hAnsi="Arial"/>
                <w:sz w:val="16"/>
                <w:szCs w:val="16"/>
                <w:b w:val="1"/>
                <w:bCs w:val="1"/>
                <w:color w:val="auto"/>
                <w:w w:val="93"/>
              </w:rPr>
              <w:t>One Kendall Square</w:t>
            </w:r>
          </w:p>
        </w:tc>
        <w:tc>
          <w:tcPr>
            <w:tcW w:w="2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jc w:val="center"/>
              <w:ind w:left="1122"/>
              <w:spacing w:after="0"/>
              <w:rPr>
                <w:sz w:val="20"/>
                <w:szCs w:val="20"/>
                <w:color w:val="auto"/>
              </w:rPr>
            </w:pPr>
            <w:r>
              <w:rPr>
                <w:rFonts w:ascii="Arial" w:cs="Arial" w:eastAsia="Arial" w:hAnsi="Arial"/>
                <w:sz w:val="16"/>
                <w:szCs w:val="16"/>
                <w:b w:val="1"/>
                <w:bCs w:val="1"/>
                <w:color w:val="auto"/>
                <w:w w:val="91"/>
              </w:rPr>
              <w:t>Building 300, Suite 201</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360" w:type="dxa"/>
            <w:vAlign w:val="bottom"/>
            <w:gridSpan w:val="3"/>
          </w:tcPr>
          <w:p>
            <w:pPr>
              <w:jc w:val="center"/>
              <w:ind w:left="1142"/>
              <w:spacing w:after="0"/>
              <w:rPr>
                <w:sz w:val="20"/>
                <w:szCs w:val="20"/>
                <w:color w:val="auto"/>
              </w:rPr>
            </w:pPr>
            <w:r>
              <w:rPr>
                <w:rFonts w:ascii="Arial" w:cs="Arial" w:eastAsia="Arial" w:hAnsi="Arial"/>
                <w:sz w:val="16"/>
                <w:szCs w:val="16"/>
                <w:b w:val="1"/>
                <w:bCs w:val="1"/>
                <w:color w:val="auto"/>
                <w:w w:val="89"/>
              </w:rPr>
              <w:t>Cambridge, Massachusetts</w:t>
            </w: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40" w:type="dxa"/>
            <w:vAlign w:val="bottom"/>
            <w:gridSpan w:val="2"/>
          </w:tcPr>
          <w:p>
            <w:pPr>
              <w:jc w:val="right"/>
              <w:ind w:right="105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86"/>
        </w:trPr>
        <w:tc>
          <w:tcPr>
            <w:tcW w:w="4360" w:type="dxa"/>
            <w:vAlign w:val="bottom"/>
            <w:gridSpan w:val="3"/>
          </w:tcPr>
          <w:p>
            <w:pPr>
              <w:jc w:val="center"/>
              <w:ind w:left="11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40" w:type="dxa"/>
            <w:vAlign w:val="bottom"/>
            <w:gridSpan w:val="2"/>
          </w:tcPr>
          <w:p>
            <w:pPr>
              <w:jc w:val="center"/>
              <w:ind w:right="67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9"/>
        </w:trPr>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3"/>
              </w:rPr>
              <w:t>(617) 914-8420</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0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6"/>
                <w:szCs w:val="16"/>
                <w:b w:val="1"/>
                <w:bCs w:val="1"/>
                <w:color w:val="auto"/>
                <w:w w:val="85"/>
              </w:rPr>
              <w:t>value per share</w:t>
            </w: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gridSpan w:val="2"/>
          </w:tcPr>
          <w:p>
            <w:pPr>
              <w:ind w:left="1260"/>
              <w:spacing w:after="0"/>
              <w:rPr>
                <w:sz w:val="20"/>
                <w:szCs w:val="20"/>
                <w:color w:val="auto"/>
              </w:rPr>
            </w:pPr>
            <w:r>
              <w:rPr>
                <w:rFonts w:ascii="Arial" w:cs="Arial" w:eastAsia="Arial" w:hAnsi="Arial"/>
                <w:sz w:val="16"/>
                <w:szCs w:val="16"/>
                <w:b w:val="1"/>
                <w:bCs w:val="1"/>
                <w:color w:val="auto"/>
                <w:w w:val="96"/>
              </w:rPr>
              <w:t>Common Stock, $0.0001 par</w:t>
            </w:r>
          </w:p>
        </w:tc>
        <w:tc>
          <w:tcPr>
            <w:tcW w:w="102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Nasdaq Global Select Market</w:t>
            </w:r>
          </w:p>
        </w:tc>
        <w:tc>
          <w:tcPr>
            <w:tcW w:w="0" w:type="dxa"/>
            <w:vAlign w:val="bottom"/>
          </w:tcPr>
          <w:p>
            <w:pPr>
              <w:spacing w:after="0"/>
              <w:rPr>
                <w:sz w:val="1"/>
                <w:szCs w:val="1"/>
                <w:color w:val="auto"/>
              </w:rPr>
            </w:pPr>
          </w:p>
        </w:tc>
      </w:tr>
      <w:tr>
        <w:trPr>
          <w:trHeight w:val="226"/>
        </w:trPr>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0" w:type="dxa"/>
            <w:vAlign w:val="bottom"/>
            <w:gridSpan w:val="3"/>
          </w:tcPr>
          <w:p>
            <w:pPr>
              <w:jc w:val="center"/>
              <w:ind w:right="999"/>
              <w:spacing w:after="0"/>
              <w:rPr>
                <w:sz w:val="20"/>
                <w:szCs w:val="20"/>
                <w:color w:val="auto"/>
              </w:rPr>
            </w:pPr>
            <w:r>
              <w:rPr>
                <w:rFonts w:ascii="Arial" w:cs="Arial" w:eastAsia="Arial" w:hAnsi="Arial"/>
                <w:sz w:val="14"/>
                <w:szCs w:val="14"/>
                <w:b w:val="1"/>
                <w:bCs w:val="1"/>
                <w:color w:val="auto"/>
                <w:w w:val="91"/>
              </w:rPr>
              <w:t>None</w:t>
            </w: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100" w:type="dxa"/>
            <w:vAlign w:val="bottom"/>
            <w:gridSpan w:val="2"/>
          </w:tcPr>
          <w:p>
            <w:pPr>
              <w:spacing w:after="0"/>
              <w:rPr>
                <w:sz w:val="13"/>
                <w:szCs w:val="13"/>
                <w:color w:val="auto"/>
              </w:rPr>
            </w:pPr>
          </w:p>
        </w:tc>
        <w:tc>
          <w:tcPr>
            <w:tcW w:w="62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3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7760" w:type="dxa"/>
            <w:vAlign w:val="bottom"/>
            <w:gridSpan w:val="6"/>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32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00" w:right="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200" w:right="1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2" w:lineRule="exact"/>
        <w:rPr>
          <w:sz w:val="24"/>
          <w:szCs w:val="24"/>
          <w:color w:val="auto"/>
        </w:rPr>
      </w:pPr>
    </w:p>
    <w:p>
      <w:pPr>
        <w:ind w:left="200" w:right="40"/>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3" w:lineRule="exact"/>
        <w:rPr>
          <w:sz w:val="24"/>
          <w:szCs w:val="24"/>
          <w:color w:val="auto"/>
        </w:rPr>
      </w:pPr>
    </w:p>
    <w:p>
      <w:pPr>
        <w:ind w:left="200"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37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6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46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5380" w:type="dxa"/>
            <w:vAlign w:val="bottom"/>
          </w:tcPr>
          <w:p>
            <w:pPr>
              <w:ind w:left="3460"/>
              <w:spacing w:after="0"/>
              <w:rPr>
                <w:sz w:val="20"/>
                <w:szCs w:val="20"/>
                <w:color w:val="auto"/>
              </w:rPr>
            </w:pPr>
            <w:r>
              <w:rPr>
                <w:rFonts w:ascii="Arial" w:cs="Arial" w:eastAsia="Arial" w:hAnsi="Arial"/>
                <w:sz w:val="16"/>
                <w:szCs w:val="16"/>
                <w:color w:val="auto"/>
                <w:w w:val="99"/>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ind w:left="200" w:right="3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200"/>
        <w:spacing w:after="0" w:line="184" w:lineRule="exact"/>
        <w:tabs>
          <w:tab w:leader="none" w:pos="7700" w:val="left"/>
          <w:tab w:leader="none" w:pos="83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left="200" w:right="60"/>
        <w:spacing w:after="0" w:line="273"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approximately $360,591,820 million as of June 29, 2018 (based on a closing price of $28.56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27" w:lineRule="exact"/>
        <w:rPr>
          <w:sz w:val="24"/>
          <w:szCs w:val="24"/>
          <w:color w:val="auto"/>
        </w:rPr>
      </w:pPr>
    </w:p>
    <w:p>
      <w:pPr>
        <w:ind w:left="200"/>
        <w:spacing w:after="0"/>
        <w:rPr>
          <w:sz w:val="20"/>
          <w:szCs w:val="20"/>
          <w:color w:val="auto"/>
        </w:rPr>
      </w:pPr>
      <w:r>
        <w:rPr>
          <w:rFonts w:ascii="Arial" w:cs="Arial" w:eastAsia="Arial" w:hAnsi="Arial"/>
          <w:sz w:val="16"/>
          <w:szCs w:val="16"/>
          <w:color w:val="auto"/>
        </w:rPr>
        <w:t>The registrant had 24,073,876 shares of Common Stock, $0.0001 par value per share, outstanding as of March 20, 2019.</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ind w:left="200" w:right="20"/>
        <w:spacing w:after="0" w:line="273" w:lineRule="auto"/>
        <w:rPr>
          <w:sz w:val="20"/>
          <w:szCs w:val="20"/>
          <w:color w:val="auto"/>
        </w:rPr>
      </w:pPr>
      <w:r>
        <w:rPr>
          <w:rFonts w:ascii="Arial" w:cs="Arial" w:eastAsia="Arial" w:hAnsi="Arial"/>
          <w:sz w:val="16"/>
          <w:szCs w:val="16"/>
          <w:color w:val="auto"/>
        </w:rPr>
        <w:t>Part III of this Annual Report on Form 10-K incorporates by reference certain information from the registrant’s definitive Proxy Statement for its 2019 annual meeting of shareholders, which the registrant intends to file pursuant to Regulation 14A with the Securities and Exchange Commission not later than 120 days after the registrant’s fiscal year end of December 31, 2018.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118110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Annual Report on Form 10-K for the Fiscal Year Ended December 31, 2018</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b w:val="1"/>
                <w:bCs w:val="1"/>
                <w:color w:val="auto"/>
              </w:rPr>
              <w:t>Item No.</w:t>
            </w:r>
          </w:p>
        </w:tc>
        <w:tc>
          <w:tcPr>
            <w:tcW w:w="1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908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2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860" w:type="dxa"/>
            <w:vAlign w:val="bottom"/>
            <w:vMerge w:val="continue"/>
          </w:tcPr>
          <w:p>
            <w:pPr>
              <w:spacing w:after="0"/>
              <w:rPr>
                <w:sz w:val="13"/>
                <w:szCs w:val="13"/>
                <w:color w:val="auto"/>
              </w:rPr>
            </w:pPr>
          </w:p>
        </w:tc>
        <w:tc>
          <w:tcPr>
            <w:tcW w:w="9800" w:type="dxa"/>
            <w:vAlign w:val="bottom"/>
            <w:gridSpan w:val="2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Risk Factors</w:t>
              </w:r>
            </w:hyperlink>
          </w:p>
        </w:tc>
        <w:tc>
          <w:tcPr>
            <w:tcW w:w="8880" w:type="dxa"/>
            <w:vAlign w:val="bottom"/>
            <w:gridSpan w:val="17"/>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Unresolved Staff Comments</w:t>
              </w:r>
            </w:hyperlink>
          </w:p>
        </w:tc>
        <w:tc>
          <w:tcPr>
            <w:tcW w:w="77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Properties</w:t>
              </w:r>
            </w:hyperlink>
          </w:p>
        </w:tc>
        <w:tc>
          <w:tcPr>
            <w:tcW w:w="90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800" w:type="dxa"/>
            <w:vAlign w:val="bottom"/>
            <w:gridSpan w:val="23"/>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Mine Safety Disclosures</w:t>
              </w:r>
            </w:hyperlink>
          </w:p>
        </w:tc>
        <w:tc>
          <w:tcPr>
            <w:tcW w:w="802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800" w:type="dxa"/>
            <w:vAlign w:val="bottom"/>
            <w:gridSpan w:val="2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Market for the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Selected Financial Data</w:t>
              </w:r>
            </w:hyperlink>
          </w:p>
        </w:tc>
        <w:tc>
          <w:tcPr>
            <w:tcW w:w="6620" w:type="dxa"/>
            <w:vAlign w:val="bottom"/>
            <w:tcBorders>
              <w:top w:val="single" w:sz="8" w:color="0000EE"/>
            </w:tcBorders>
            <w:gridSpan w:val="13"/>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800" w:type="dxa"/>
            <w:vAlign w:val="bottom"/>
            <w:gridSpan w:val="2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2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3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Financial Statements and Supplementary Data</w:t>
              </w:r>
            </w:hyperlink>
          </w:p>
        </w:tc>
        <w:tc>
          <w:tcPr>
            <w:tcW w:w="64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800" w:type="dxa"/>
            <w:vAlign w:val="bottom"/>
            <w:gridSpan w:val="2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3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800" w:type="dxa"/>
            <w:vAlign w:val="bottom"/>
            <w:gridSpan w:val="2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76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124">
              <w:r>
                <w:rPr>
                  <w:rFonts w:ascii="Arial" w:cs="Arial" w:eastAsia="Arial" w:hAnsi="Arial"/>
                  <w:sz w:val="18"/>
                  <w:szCs w:val="18"/>
                  <w:b w:val="1"/>
                  <w:bCs w:val="1"/>
                  <w:color w:val="0000EE"/>
                </w:rPr>
                <w:t>PART III</w:t>
              </w:r>
            </w:hyperlink>
          </w:p>
        </w:tc>
        <w:tc>
          <w:tcPr>
            <w:tcW w:w="580" w:type="dxa"/>
            <w:vAlign w:val="bottom"/>
            <w:tcBorders>
              <w:top w:val="single" w:sz="8" w:color="0000EE"/>
            </w:tcBorders>
            <w:gridSpan w:val="2"/>
          </w:tcPr>
          <w:p>
            <w:pPr>
              <w:spacing w:after="0"/>
              <w:rPr>
                <w:sz w:val="24"/>
                <w:szCs w:val="24"/>
                <w:color w:val="auto"/>
              </w:rPr>
            </w:pPr>
          </w:p>
        </w:tc>
        <w:tc>
          <w:tcPr>
            <w:tcW w:w="8460" w:type="dxa"/>
            <w:vAlign w:val="bottom"/>
            <w:gridSpan w:val="1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9800" w:type="dxa"/>
            <w:vAlign w:val="bottom"/>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7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800" w:type="dxa"/>
            <w:vAlign w:val="bottom"/>
            <w:gridSpan w:val="23"/>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5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Principal Accounting Fees and Services</w:t>
              </w:r>
            </w:hyperlink>
          </w:p>
        </w:tc>
        <w:tc>
          <w:tcPr>
            <w:tcW w:w="692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b w:val="1"/>
                <w:bCs w:val="1"/>
                <w:color w:val="0000EE"/>
              </w:rPr>
            </w:pPr>
            <w:hyperlink w:anchor="page125">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9800" w:type="dxa"/>
            <w:vAlign w:val="bottom"/>
            <w:gridSpan w:val="2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25">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6"/>
          </w:tcPr>
          <w:p>
            <w:pPr>
              <w:spacing w:after="0"/>
              <w:rPr>
                <w:sz w:val="17"/>
                <w:szCs w:val="17"/>
                <w:color w:val="auto"/>
              </w:rPr>
            </w:pPr>
          </w:p>
        </w:tc>
        <w:tc>
          <w:tcPr>
            <w:tcW w:w="66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Signatures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This Annual Report on Form 10-K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103" w:lineRule="exact"/>
        <w:rPr>
          <w:sz w:val="20"/>
          <w:szCs w:val="20"/>
          <w:color w:val="auto"/>
        </w:rPr>
      </w:pPr>
    </w:p>
    <w:p>
      <w:pPr>
        <w:ind w:left="106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right="12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400" w:hanging="316"/>
        <w:spacing w:after="0" w:line="30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 platform, including our transition to LV2 and our use of a therapeutic drug monitoring, or TDM, conditioning regimen;</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4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24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All of our forward-looking statements are as of the date of this Annual Report on Form 10-K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on Form 10-K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on Form 10-K, even if such results, changes or circumstances make it clear that any forward-looking information will not be realized. Any public statements or disclosures by us following this Annual Report on Form 10-K that modify or impact any of the forward-looking statements contained in this Annual Report on Form 10-K will be deemed to modify or supersede such statements in this Annual Report on Form 10-K.</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Annual Report on Form 10-K to the “Company,” “AVROBIO,” “we,” “us,” and “our” refer to AVROBIO, Inc. Our “board of directors” refers to the board of directors of AVROBIO, Inc.</w:t>
      </w:r>
    </w:p>
    <w:p>
      <w:pPr>
        <w:spacing w:after="0" w:line="315"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2017.</w:t>
      </w:r>
    </w:p>
    <w:p>
      <w:pPr>
        <w:spacing w:after="0" w:line="19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Our initial pipeline is comprised of four lentiviral-based gene therapy programs, including AVR-RD-01 for the treatment of Fabry disease, AVR-RD-02 for the treatment of Gaucher disease, AVR-RD-04 for the treatment of cystinosis and AVR-RD-03 for the treatment of Pompe disease. AVR-RD-01 is currently being evaluated in an investigator-sponsored Phase 1 clinical trial and a company-sponsored Phase 2 clinical trial and a total of seven patients have been dosed across both trials as of March 15, 2019. To date, AVR-RD-01 has demonstrated significant increased enzyme activity, with plasma α-galactosidase A, or AGA, enzyme activity levels in the first four patients treated in the investigator-sponsored Phase 1 clinical trial and the first patient in our company-sponsored Phase 2 clinical trial, for whom we have provided interim data, increasing above the range for males with classical Fabry disease, defined as less than 1 nmol/hr/ml. The fifth patient in the investigator-sponsored Phase 1 clinical trial of AVR-RD-01 was dosed on February 21, 2019, and we do not expect any further enrollment in this investigator-sponsored clinical trial. On December 13, 2018, the second patient was dosed in our company-sponsored Phase 2 clinical trial of AVR-RD-01. In addition, Phase 1/2 clinical trials for both AVR-RD-02 and AVR-RD-04 are being planned and we expect patients will be dosed in the second half of 2019.</w:t>
      </w:r>
    </w:p>
    <w:p>
      <w:pPr>
        <w:spacing w:after="0" w:line="16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8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and ongoing clinical efforts.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134620</wp:posOffset>
            </wp:positionV>
            <wp:extent cx="4425315" cy="140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2531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 xml:space="preserve">Our lead product candidate, AVR-RD-01 for the treatment of Fabry disease, is derived from hematopoietic stem cells to which the gene encoding AGA is added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process using a lentiviral vector. In an ongoing investigator-sponsored Phase 1 clinical trial of patients with Fabry disease, AVR-RD-01 has been observed to be well-tolerated and has led to the production of active AGA enzyme in the first four patients treated for whom we have provided interim data. In all four patients, the level of AGA enzyme activity began to rise from nearly undetectable levels before treatment to levels above the range for males with classical Fabry disease. In this clinical trial, the protocol provides that ERT for these patients is suspended one month prior to receiving AVR-RD-01 and ERT is then resumed one month after the AVR-RD-01 treatment and continued at bi-weekly intervals. After the 18-month follow-up visit for the first patient, the investigator team for the trial recommended, and the patient consented, to discontinue the regular bi-weekly treatment with ERT and the patient remains off ERT as of 22 months post-treatment with AVR-RD-01. Additionally, the third patient in this clinical trial discontinued ERT one month prior to receiving AVR-RD-01 and voluntarily elected not to resume ERT. This patient remains off ERT as of six months post-treatment with AVR-RD-01. The second and fourth patients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continue to receive concurrent ERT in accordance with the clinical trial protocol. The trial protocol has been amended to allow the investigator team, at their discretion, to discontinue ERT six months after treatment with AVR-RD-01. Plasma AGA enzyme activity levels in the first, second, third and fourth patients remained above the range for males with classical Fabry disease, defined as less than 1 nmol/hr/ml, as of twenty-two months, twelve months, six months and twenty-two days after treatment, respectively. In addition, as of six months after receiving AVR-RD-01, the level of AGA enzyme activity for the first patient in our company-sponsored Phase 2 clinical trial of AVR-RD-01 remained above the range for males with classical Fabry disease. The second patient was dosed in our company-sponsored Phase 2 clinical trial of AVR-RD-01 on December 13, 2018. We recently held a pre-investigational new drug, or IND, meeting with the FDA to discuss the requirements to commence clinical trials in the United States, and we expect to open a U.S. site for our ongoing Phase 2 clinical trial of AVR-RD-01 in the second half of 2019.</w:t>
      </w:r>
    </w:p>
    <w:p>
      <w:pPr>
        <w:spacing w:after="0" w:line="17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demonstrated positive results and we expect that patients will begin to be dosed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Included in our process optimization efforts is the development of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also utilize a cryopreservation process that we believe will allow for the global distribution and, if approved, commercialization of our gene therapies. Key to our strategy is to continuously improve our technology and production processes and to leverage these improvements across our gene therapies. We continue our move towards implementing our commercial-scale plato platform, including heightened vector efficiency, our closed, automated manufacturing system and utilization of a TDM conditioning regimen. These platform improvements have been designed with the intent of improving safety and enhancing the potency and long-term durability of our therapies.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GlaxoSmithKline, Lonza and other companies pursuing development, manufacturing and commercialization of gene and cellular therapies and therapies to treat rare diseases.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 xml:space="preserve">Our goal is to develop and commercialize potentially curative lentiviral-based gene therapies for patients and expand the use of this approach to treat a number of diseases potentially addressable by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candidates. Key elements of our strategy include:</w:t>
      </w:r>
    </w:p>
    <w:p>
      <w:pPr>
        <w:spacing w:after="0" w:line="52" w:lineRule="exact"/>
        <w:rPr>
          <w:sz w:val="20"/>
          <w:szCs w:val="20"/>
          <w:color w:val="auto"/>
        </w:rPr>
      </w:pPr>
    </w:p>
    <w:p>
      <w:pPr>
        <w:ind w:left="1060" w:right="140" w:hanging="316"/>
        <w:spacing w:after="0" w:line="31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Rapidly Advance Our Initial Gene Therapies Targeting Lysosomal Storage Diseases. </w:t>
      </w:r>
      <w:r>
        <w:rPr>
          <w:rFonts w:ascii="Arial" w:cs="Arial" w:eastAsia="Arial" w:hAnsi="Arial"/>
          <w:sz w:val="16"/>
          <w:szCs w:val="16"/>
          <w:color w:val="auto"/>
        </w:rPr>
        <w:t>We are initially targeting lysosomal storage diseases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developing a deep pipeline of four gene therapies to treat Fabry disease, Gaucher disease, cystinosis and Pompe disease. We intend to rapidly advance these gene therapies into clinical trials and obtain initial efficacy data in patients from these development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69" w:lineRule="auto"/>
        <w:rPr>
          <w:sz w:val="20"/>
          <w:szCs w:val="20"/>
          <w:color w:val="auto"/>
        </w:rPr>
      </w:pPr>
      <w:r>
        <w:rPr>
          <w:rFonts w:ascii="Arial" w:cs="Arial" w:eastAsia="Arial" w:hAnsi="Arial"/>
          <w:sz w:val="17"/>
          <w:szCs w:val="17"/>
          <w:color w:val="auto"/>
        </w:rPr>
        <w:t>programs. AVR-RD-01 has been well tolerated and demonstrated significant increased enzyme activity to date in an ongoing investigator-sponsored Phase 1 clinical trial. We received approval from both the Australian and Canadian regulatory authorities to initiate our company-sponsored Phase 2 clinical trial for AVR-RD-01 and, on December 13, 2018, the second patient in this clinical trial was dosed at an Australian site. In 2018, we held a pre-IND meeting with the FDA to discuss the requirements to commence clinical trials in the United States, and we expect to open a U.S. site for our ongoing Phase 2 clinical trial of AVR-RD-01 in the second half of 2019. In addition, we also expect enrollment in Japan for AVR-RD-01 to begin in 2020 following receipt of regulatory clearance. We are also planning to conduct a Phase 1/2 clinical trial of AVR-RD-02, and we expect patients will be dosed in that clinical trial the second half of 2019. In addition, an academic investigator-sponsored Phase 1/2 clinical trial of AVR-RD-04 is being planned and we expect patients will be dosed in that clinical trial in the second half of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8" w:lineRule="exact"/>
        <w:rPr>
          <w:sz w:val="20"/>
          <w:szCs w:val="20"/>
          <w:color w:val="auto"/>
        </w:rPr>
      </w:pPr>
    </w:p>
    <w:p>
      <w:pPr>
        <w:ind w:left="1060" w:right="80" w:hanging="316"/>
        <w:spacing w:after="0" w:line="268"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Implement our plato Platform with Refined Approach to Conditioning, Enhanced Vector Technology and Optimized Manufacturing Processes. </w:t>
      </w:r>
      <w:r>
        <w:rPr>
          <w:rFonts w:ascii="Arial" w:cs="Arial" w:eastAsia="Arial" w:hAnsi="Arial"/>
          <w:sz w:val="17"/>
          <w:szCs w:val="17"/>
          <w:color w:val="auto"/>
        </w:rPr>
        <w:t>We believe our innovations in viral vector design, cellular manufacturing, cryopreservation, and other related processes are</w:t>
      </w:r>
      <w:r>
        <w:rPr>
          <w:rFonts w:ascii="Arial" w:cs="Arial" w:eastAsia="Arial" w:hAnsi="Arial"/>
          <w:sz w:val="17"/>
          <w:szCs w:val="17"/>
          <w:i w:val="1"/>
          <w:iCs w:val="1"/>
          <w:color w:val="auto"/>
        </w:rPr>
        <w:t xml:space="preserve"> </w:t>
      </w:r>
      <w:r>
        <w:rPr>
          <w:rFonts w:ascii="Arial" w:cs="Arial" w:eastAsia="Arial" w:hAnsi="Arial"/>
          <w:sz w:val="17"/>
          <w:szCs w:val="17"/>
          <w:color w:val="auto"/>
        </w:rPr>
        <w:t>important steps towards advancing the field of lentiviral-based gene therapy and realizing its full potential to treat a number of diseases. We are continuing our move towards implementing our commercial-scale plato platform, which we believe will serve as the foundation for our anticipated worldwide commercialization activities. Our current activities include moving our cell processing to an automated, closed system, transitioning to our proprietary four-plasmid-produced lentiviral vector, or LV2, and implementing a conditioning regimen that is administered using TDM. We have developed a manufacturing process that we believe is both reproducible and scalable and intend to leverage our core competencies to implement a closed, automated manufacturing system that will enable us to deliver our gene therapies to patients at an industrialized scale. In addition, with our planned changes to our conditioning regimen, we intend to use a single-agent myeloablative conditioning that is administered using TDM.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safety and tolerability of our lentiviral-based gene therapies.</w:t>
      </w:r>
    </w:p>
    <w:p>
      <w:pPr>
        <w:spacing w:after="0" w:line="93" w:lineRule="exact"/>
        <w:rPr>
          <w:rFonts w:ascii="Arial" w:cs="Arial" w:eastAsia="Arial" w:hAnsi="Arial"/>
          <w:sz w:val="17"/>
          <w:szCs w:val="17"/>
          <w:color w:val="auto"/>
        </w:rPr>
      </w:pPr>
    </w:p>
    <w:p>
      <w:pPr>
        <w:ind w:left="1060" w:right="80" w:hanging="316"/>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Build Global Infrastructure to Reach Patients Across the World. </w:t>
      </w:r>
      <w:r>
        <w:rPr>
          <w:rFonts w:ascii="Arial" w:cs="Arial" w:eastAsia="Arial" w:hAnsi="Arial"/>
          <w:sz w:val="18"/>
          <w:szCs w:val="18"/>
          <w:color w:val="auto"/>
        </w:rPr>
        <w:t>Lysosomal storage diseases afflict patients globally and we intend to build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auto"/>
        </w:rPr>
      </w:pPr>
    </w:p>
    <w:p>
      <w:pPr>
        <w:ind w:left="1060" w:right="440" w:hanging="316"/>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 xml:space="preserve">We develop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 in the cell and can be reproduced as the cell divides. We focus on delivering our lentiviral-based gene therapies to patient-derived hematopoietic stem cells, which are primitive stem cells that develop into all types of blood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 xml:space="preserve">cells, including white blood cells, red blood cells and platelets. To accomplish this, we harvest a patient’s hematopoietic stem cells and modify them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to add a new, functional copy of the gene that is defective in the target disease. We then infuse the modified cells back into the patient. Our gene</w:t>
      </w:r>
      <w:r>
        <w:rPr>
          <w:rFonts w:ascii="Arial" w:cs="Arial" w:eastAsia="Arial" w:hAnsi="Arial"/>
          <w:sz w:val="17"/>
          <w:szCs w:val="17"/>
          <w:i w:val="1"/>
          <w:iCs w:val="1"/>
          <w:color w:val="auto"/>
        </w:rPr>
        <w:t xml:space="preserve"> </w:t>
      </w:r>
      <w:r>
        <w:rPr>
          <w:rFonts w:ascii="Arial" w:cs="Arial" w:eastAsia="Arial" w:hAnsi="Arial"/>
          <w:sz w:val="17"/>
          <w:szCs w:val="17"/>
          <w:color w:val="auto"/>
        </w:rPr>
        <w:t>therapies are designed to be administered to the patient as a one-time therapy following a TDM conditioning regimen.</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well-understood biologies, identified patient populations, established standards of care yet with significant unmet medical needs,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across different geographies with these and other serious monogenic disorders.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316"/>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genome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140" w:hanging="316"/>
        <w:spacing w:after="0" w:line="25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may migrate into tissues and therefore have the ability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benefit to affected tissues and organs throughout the body. In addition, we believe that the conditioning regimen designed to be used as part of our plato platform may have the potential to allow our gene therapies to cross the blood-brain barrier, a feature which may yield therapeutic benefit in diseases that have a central nervous system component.</w:t>
      </w:r>
    </w:p>
    <w:p>
      <w:pPr>
        <w:spacing w:after="0" w:line="92"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Function cell correction. </w:t>
      </w:r>
      <w:r>
        <w:rPr>
          <w:rFonts w:ascii="Arial" w:cs="Arial" w:eastAsia="Arial" w:hAnsi="Arial"/>
          <w:sz w:val="18"/>
          <w:szCs w:val="18"/>
          <w:color w:val="auto"/>
        </w:rPr>
        <w:t>Lentiviral-based gene therapy has the potential to restore functional proteins in CD34 stem cell daughter cells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macrophages.</w:t>
      </w:r>
    </w:p>
    <w:p>
      <w:pPr>
        <w:spacing w:after="0" w:line="75" w:lineRule="exact"/>
        <w:rPr>
          <w:rFonts w:ascii="Arial" w:cs="Arial" w:eastAsia="Arial" w:hAnsi="Arial"/>
          <w:sz w:val="18"/>
          <w:szCs w:val="18"/>
          <w:color w:val="auto"/>
        </w:rPr>
      </w:pPr>
    </w:p>
    <w:p>
      <w:pPr>
        <w:ind w:left="1060" w:right="50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316"/>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detect viral vectors and trigger the immune system to destroy the vector and cells infected by the vector.</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cystinosis and Pompe disease. Each of these diseases affects a meaningful number of patients, has a suboptimal standard of care with unmet medical need and, we believe, is appropriate for lentiviral-based gene therapy. We believe our approach addresses the shortcomings of existing therapies where patients’ disease continues to progress despite chronic dosing and that our approach has the potential to halt progression of these diseases.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approach allows patients to be their own cell donor, eliminating the need to find 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matched bone marrow donor, while reducing the risk of complications related to the immunosuppression regimens required in allogeneic cell transplant in order to prevent both rejection and graft versus host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TDM-Enabled Conditioning Regimen</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utilizing a single myeloablative agent, busulfan, which we are transitioning to as part of implementing our plato platform. Busulfan is mildly immunosuppressive and is designed to be personalized to each patient using TDM to achieve the desired level of conditioning to allow for gene therapy administration while limiting complications. We believe our approach to conditioning has the potential for reduced short- and long-term toxicities and effective long-term engraftment. If realized, we believe these benefits may promote lentiviral-based gene therapy as a therapeutic option for less acutely severe diseases or diseases with approved therapies in which large unmet medical needs remain.</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Prior to the reintroduction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modified stem cells, a conditioning regimen is generally required to remove existing stem cells from the bone marrow in order to create space for the modified stem cells. Creating sufficient space in the bone marrow for the lentivirally-modified hematopoietic stem cells is required to enable the cells to engraft long-term and produce their progeny cells. Ablation requires the use of cytotoxic drugs that can transiently compromise the patient’s immune system, known as neutropenia, and ability to form blood clots, known as thrombocytopenia.</w:t>
      </w:r>
    </w:p>
    <w:p>
      <w:pPr>
        <w:spacing w:after="0" w:line="154"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Since its first clinical use in 2003, lentiviral-based gene therapy has been observed to be well-tolerated in third parties’ clinical trials for rare diseases such as beta thalassemia, ALD, MLD and ADA-SCID. The use of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of choosing diseases where a single myeloablative conditioning agent, coupled with TDM, can manage patient tolerability, which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plato: Our Commercial-Scale Platform</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Our plato platform is designed to feature:</w:t>
      </w:r>
    </w:p>
    <w:p>
      <w:pPr>
        <w:spacing w:after="0" w:line="92" w:lineRule="exact"/>
        <w:rPr>
          <w:sz w:val="20"/>
          <w:szCs w:val="20"/>
          <w:color w:val="auto"/>
        </w:rPr>
      </w:pPr>
    </w:p>
    <w:p>
      <w:pPr>
        <w:ind w:left="1060" w:right="18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Large scale vector production</w:t>
      </w:r>
      <w:r>
        <w:rPr>
          <w:rFonts w:ascii="Arial" w:cs="Arial" w:eastAsia="Arial" w:hAnsi="Arial"/>
          <w:sz w:val="18"/>
          <w:szCs w:val="18"/>
          <w:color w:val="auto"/>
        </w:rPr>
        <w:t>: We expect to have manufacturing capabilities at 200-liter bioreactor scale in the second half of 2019,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vector production capable of treating a substantial number of patients per year.</w:t>
      </w:r>
    </w:p>
    <w:p>
      <w:pPr>
        <w:spacing w:after="0" w:line="75" w:lineRule="exact"/>
        <w:rPr>
          <w:rFonts w:ascii="Arial" w:cs="Arial" w:eastAsia="Arial" w:hAnsi="Arial"/>
          <w:sz w:val="18"/>
          <w:szCs w:val="18"/>
          <w:color w:val="auto"/>
        </w:rPr>
      </w:pPr>
    </w:p>
    <w:p>
      <w:pPr>
        <w:ind w:left="1060" w:right="40" w:hanging="316"/>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Global reach</w:t>
      </w:r>
      <w:r>
        <w:rPr>
          <w:rFonts w:ascii="Arial" w:cs="Arial" w:eastAsia="Arial" w:hAnsi="Arial"/>
          <w:sz w:val="18"/>
          <w:szCs w:val="18"/>
          <w:color w:val="auto"/>
        </w:rPr>
        <w:t>: We intend to utilize an automated, closed system for manufacturing, which is designed to allow for the flexible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 therapies. The automated, closed manufacturing system is portable with proprietary AVROBIO algorithms which allow for efficient establishment of manufacturing capabilities in multiple geographies that can be expanded or adjusted as our global supply requirements evolve. We believe this approach will facilitate global manufacturing and shipping of our gene therapies, and will promote access to our products by patients and caregivers.</w:t>
      </w:r>
    </w:p>
    <w:p>
      <w:pPr>
        <w:spacing w:after="0" w:line="93" w:lineRule="exact"/>
        <w:rPr>
          <w:rFonts w:ascii="Arial" w:cs="Arial" w:eastAsia="Arial" w:hAnsi="Arial"/>
          <w:sz w:val="18"/>
          <w:szCs w:val="18"/>
          <w:color w:val="auto"/>
        </w:rPr>
      </w:pPr>
    </w:p>
    <w:p>
      <w:pPr>
        <w:ind w:left="1060" w:right="80" w:hanging="316"/>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Quality of manufacturing</w:t>
      </w:r>
      <w:r>
        <w:rPr>
          <w:rFonts w:ascii="Arial" w:cs="Arial" w:eastAsia="Arial" w:hAnsi="Arial"/>
          <w:sz w:val="16"/>
          <w:szCs w:val="16"/>
          <w:color w:val="auto"/>
        </w:rPr>
        <w:t>: Our platform is designed to utilize current good manufacturing practices, or CGMP, and we believe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automated, closed manufacturing system may result in less production variability and reduce the risk of operator error, while enhancing the potency of the drug product. We believe these features will improve the quality of our gene therapies that are produced.</w:t>
      </w:r>
    </w:p>
    <w:p>
      <w:pPr>
        <w:spacing w:after="0" w:line="52" w:lineRule="exact"/>
        <w:rPr>
          <w:rFonts w:ascii="Arial" w:cs="Arial" w:eastAsia="Arial" w:hAnsi="Arial"/>
          <w:sz w:val="16"/>
          <w:szCs w:val="16"/>
          <w:color w:val="auto"/>
        </w:rPr>
      </w:pPr>
    </w:p>
    <w:p>
      <w:pPr>
        <w:ind w:left="1060" w:right="30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Patient convenience</w:t>
      </w:r>
      <w:r>
        <w:rPr>
          <w:rFonts w:ascii="Arial" w:cs="Arial" w:eastAsia="Arial" w:hAnsi="Arial"/>
          <w:sz w:val="18"/>
          <w:szCs w:val="18"/>
          <w:color w:val="auto"/>
        </w:rPr>
        <w:t>: Our gene therapies are cryopreserved, which is a feature designed to promote a longer shelf-life. We believe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longer shelf-life will allow patients and clinics to schedule treatment sessions with greater convenience.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Cost containment</w:t>
      </w:r>
      <w:r>
        <w:rPr>
          <w:rFonts w:ascii="Arial" w:cs="Arial" w:eastAsia="Arial" w:hAnsi="Arial"/>
          <w:sz w:val="16"/>
          <w:szCs w:val="16"/>
          <w:color w:val="auto"/>
        </w:rPr>
        <w:t>: Our platform is designed to control fixed and variable expenses associated with manufacturing our gene therapies.</w:t>
      </w:r>
    </w:p>
    <w:p>
      <w:pPr>
        <w:spacing w:after="0" w:line="248"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In 2019, we plan to introduce three upgrades to our plato platform. These upgrades include moving our cell processing to an automated closed system, upgrading our lentiviral vector and implementing TDM using busulfan in our single-agent myeloablative conditioning regimen.</w:t>
      </w:r>
    </w:p>
    <w:p>
      <w:pPr>
        <w:spacing w:after="0" w:line="14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believe the plato platform will form the backbone of our future commercialization efforts and our goal to take gene therapy mainstream. We intend to implement our planned upgrades from our plato platform in 2019 for clinical trials investigating AVR-RD-01 and AVR-RD-02. Specifically, we plan to transition to utilizing the plato platform for the majority of our company-sponsored Phase 2 clinical trial of AVR-RD-01 for the treatment of Fabry disease and at the initiation of our Phase 1/2 clinical trial of AVR-RD-02 for Gaucher disease.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For example, clinical trials of AVR-RD-01 to date have utilized our original academic three-plasmid-produced lentiviral vector, which we refer to as LV1. In our ongoing Phase 2 clinical trial of AVR-RD-01 and for future planned trials of our product candidates, we intend to transition to utilizing our proprietary LV2. Our goal is to employ vectors that are state of the art and that can be produced in a cost-effective and scalable manner.</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more cost efficient and scalable manufacturing of our gene therapies. In contrast to a number of other gene therapy companies that have not developed their commercial scale plans from the outset, we are currently executing on our plans to move to a closed suspension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12" w:lineRule="auto"/>
        <w:rPr>
          <w:sz w:val="20"/>
          <w:szCs w:val="20"/>
          <w:color w:val="auto"/>
        </w:rPr>
      </w:pPr>
      <w:r>
        <w:rPr>
          <w:rFonts w:ascii="Arial" w:cs="Arial" w:eastAsia="Arial" w:hAnsi="Arial"/>
          <w:sz w:val="16"/>
          <w:szCs w:val="16"/>
          <w:color w:val="auto"/>
        </w:rPr>
        <w:t>bioreactor system for vector production, as well as a closed, automated system for manufacturing our gene therapy product. Our move to a closed, automated manufacturing system is expected to be complete by the end of 2019 as part of implementing upgrades from our plato platform. If successfully implemented, we believe our plato platform will feature the first automated, closed manufacturing system in CD34+ gene therapy.</w:t>
      </w:r>
    </w:p>
    <w:p>
      <w:pPr>
        <w:spacing w:after="0" w:line="147"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Our manufacturing approach is intended to allow for the production of drug product using relatively small, discrete devices that can be placed in a clean room, which may reduce our reliance on large traditional clean rooms that are expensive to establish. We believe our manufacturing approach may result in greater flexibility in the location of manufacture and help to control costs associated with traditional manufacturing. In addition, we believe our automated manufacturing process may reduce operator error and yield greater consistency and less variability in the manufactured drug product.</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currently have a CMO partner for the production of our cellular drug product in Australia and we have established two CMO partners in the United States who are currently preparing for production with CGMP-readiness in process for AVR-RD-01 and AVR-RD-02. We also are in the process of establishing a CMO partnership in Europe.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Below are data generated as part of our comparability studies supporting our transition to LV2 and our automated manufacturing process. These data are derived from full-scale development runs using starting material from normal donors, as well as from a limited number of patient production runs. The results support our belief in the enhanced potency of the drug product produced using LV2 and the automated process, and show the improved efficacy of our optimized LV2 over our original LV1, as measured by increases in both vector copy number, or VCN, and enzyme activity. VCN refers to the average number of copies of the lentiviral-vector inserted gene that are integrated into the genome of a cell. We believe that our transition from LV1 to LV2 and the automated manufacturing process has the potential to increase transduction efficiency and VCN in the drug product that is delivered to the patient.</w:t>
      </w: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Increased % Transduction with LV2 and Automated Manufacturing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172085</wp:posOffset>
            </wp:positionV>
            <wp:extent cx="3378835" cy="167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78835" cy="167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Increased Vector Copy Number with LV2 and Automated Manufacturing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172085</wp:posOffset>
            </wp:positionV>
            <wp:extent cx="3190240" cy="154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024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Increased AGA Enzyme Activity with LV2 and Automated Manufacturing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172085</wp:posOffset>
            </wp:positionV>
            <wp:extent cx="3190240" cy="1534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Optimization of Conditioning Regimen</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 xml:space="preserve">The conditioning regimen that we have historically employed utilizes melphalan, a common chemotherapy drug, to ablate the patient’s bone marrow. As part of the upgrades to our plato platform, we intend to transition to utilizing busulfan, another chemotherapy drug, that has been in use since the 1950’s. Busulfan is indicated for use in combination with cyclophosphamide as a conditioning regimen prior to allogeneic stem cell transplantation for chronic myeloid leukemia. Busulfan is routinely used in conditioning regimens before allogeneic stem cell transplantations for both malignant and non-malignant conditions. It has also been used as a single-agent, or in combination with an immunosuppressive agent, such as cyclophosphamide, in conditioning regimens prior to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transplants.</w:t>
      </w:r>
    </w:p>
    <w:p>
      <w:pPr>
        <w:spacing w:after="0" w:line="17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believe that the transition to busulfan for our conditioning regimen may confer several advantages. For example, busulfan will permit utilization of TDM in our conditioning regimen, thereby enabling physicians to personalize the dosing to each patient by titrating over four days to enhance patient tolerability to the conditioning procedure and promote cell engraftment. By contrast, melphalan is administered once with no TDM, and may cause concern of conditioning-related toxicity across patients due to individual differences in metabolism of the drug. In addition, we believe that the utilization of busulfan in our single-agent myeloablative conditioning regimen may have the potential to allow our gene therapies to cross the blood-brain barrier, a feature which may yield therapeutic benefit in diseases that have a central nervous system component, such as Fabry disease, Gaucher disease, Pompe disease and other rare and non-rare diseases. Finally, our busulfan conditioning regimen is designed to create more space in the ablated bone marrow compared to melphalan and may increase the average VCN of the patient bone marrow following treatment with the drug product, which are features that we believe will promote better cell engraftment and durability of the gene therapy.</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5" w:lineRule="auto"/>
        <w:rPr>
          <w:sz w:val="20"/>
          <w:szCs w:val="20"/>
          <w:color w:val="auto"/>
        </w:rPr>
      </w:pPr>
      <w:r>
        <w:rPr>
          <w:rFonts w:ascii="Arial" w:cs="Arial" w:eastAsia="Arial" w:hAnsi="Arial"/>
          <w:sz w:val="16"/>
          <w:szCs w:val="16"/>
          <w:color w:val="auto"/>
        </w:rPr>
        <w:t>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ex-vivo gene therapy for non-malignant indications, of which 648 were from peer-reviewed literature. Of the 648 busulfan exposures reported in peer-reviewed literature, none of the cases reported t-MDS. Of the 67 exposures reported in non-peer-reviewed published abstracts,</w:t>
      </w:r>
    </w:p>
    <w:p>
      <w:pPr>
        <w:spacing w:after="0" w:line="2"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66 reported no cases of t-MDS resulting from busulfan exposure, and in one case it was reported that a patient developed t-MDS. In that case, which has not yet been peer-reviewed, busulfan treatment was posited to be a contributing factor. We believe that due to the presence of other confounding factors in the patient, the cause of that patient’s t-MDS has not been conclusively determined. We also intend to utilize molecular cytogenetic screening to further reduce such risks to patients.</w:t>
      </w:r>
    </w:p>
    <w:p>
      <w:pPr>
        <w:spacing w:after="0" w:line="19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While the busulfan conditioning regimen is more intensive than the original conditioning regimen that utilizes melphalan, we believe it is still milder than some of the more aggressive conditioning regimens associated with gene therapies for other diseases, such as when busulfan is used in combination with cyclophosphamide, used at a higher dose, or when TDM is not applied. Furthermore, we believe our conditioning regimen may produce the desired effect while potentially allowing for a limited hospital stay or potentially for an outpatient procedure, on a case-by-case basis as may be directed by the patient’s physician.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316"/>
        <w:spacing w:after="0" w:line="293"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transiently increase plasma enzyme levels and the therapies for cystinosis require multiple doses throughout the day. In contrast, our lentiviral-based gene therapies are designed to enable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130810</wp:posOffset>
            </wp:positionV>
            <wp:extent cx="5196840" cy="1912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9684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060" w:right="240" w:hanging="316"/>
        <w:spacing w:after="0" w:line="25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w:t>
      </w:r>
    </w:p>
    <w:p>
      <w:pPr>
        <w:ind w:left="1080"/>
        <w:spacing w:after="0"/>
        <w:rPr>
          <w:rFonts w:ascii="Arial" w:cs="Arial" w:eastAsia="Arial" w:hAnsi="Arial"/>
          <w:sz w:val="18"/>
          <w:szCs w:val="18"/>
          <w:color w:val="auto"/>
        </w:rPr>
      </w:pPr>
      <w:r>
        <w:rPr>
          <w:rFonts w:ascii="Arial" w:cs="Arial" w:eastAsia="Arial" w:hAnsi="Arial"/>
          <w:sz w:val="16"/>
          <w:szCs w:val="16"/>
          <w:color w:val="auto"/>
        </w:rPr>
        <w:t>cells into a drug product that enables the continuous delivery of functional enzyme or other protein throughout the body after a single dose.</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316"/>
        <w:spacing w:after="0" w:line="31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initial gene therapies are AVR-RD-01 for the treatment of Fabry disease, AVR-RD-02 for the treatment of Gaucher disease, AVR-RD-04 for the treatment of cystinosis and AVR-RD-03 for the treatment of Pompe disease. AVR-RD-01 is currently being evaluated in an investigator-sponsored Phase 1 clinical trial and a company-sponsored Phase 2 clinical trial, which we initiated on June 7, 2018. In addition, Phase 1/2 clinical trials for both AVR-RD-02 and AVR-RD-04 are being planned and we expect patients will be dosed in the second half of 2019.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146050</wp:posOffset>
            </wp:positionV>
            <wp:extent cx="4425315" cy="1406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2531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developing AVR-RD-01 for the treatment of Fabry disease. We manufacture AVR-RD-01 from stem cells that are first harvested from the patient, modified to add the gene that encodes for AGA, and then infused into the patient. AVR-RD-01 is currently being evaluated in an investigator-sponsored Phase 1 clinical trial and a company-sponsored Phase 2 clinical trial. To date, AVR-RD-01 has demonstrated significant increased enzyme activity in the first four patients treated in the investigator-sponsored Phase 1 clinical trial and the first patient in our company-sponsored Phase 2 clinical trial, for whom we have provided interim data. The fifth patient in the investigator-sponsored Phase 1 clinical trial of AVR-RD-01 was dosed on February 21, 2019, completing enrollment in this investigator-sponsored clinical trial. On December 13, 2018, the second patient was dosed in our company-sponsored Phase 2 clinical trial of AVR-RD-01.</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these become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Fabry disease is an X-linked disorder, meaning the gene that is responsible is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Fabry disease is primarily treated with periodic infusions of ERT consisting of AGA enzyme over the patient’s lifetime. The most commonly prescribed ERTs for Fabry disease are Fabrazyme, marketed by Sanofi Genzyme, and Replagal, marketed by Shire, which was acquired by Takeda Pharmaceutical Company Ltd. In 2018, Fabrazyme and Replagal generated worldwide net sales of over $855 million and $490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Alternatives to ERT for patients with Fabry disease are limited. Galafold (migalastat), an oral therapy marketed by Amicus, was approved by the European Medicines Agency, or EMA, in May 2016, and by the FDA in August 2018. Amicus reports that only 35% to 50% of the gene mutations associated with Fabry disease are amenable to migalastat.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activity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7" w:lineRule="auto"/>
        <w:rPr>
          <w:sz w:val="20"/>
          <w:szCs w:val="20"/>
          <w:color w:val="auto"/>
        </w:rPr>
      </w:pPr>
      <w:r>
        <w:rPr>
          <w:rFonts w:ascii="Arial" w:cs="Arial" w:eastAsia="Arial" w:hAnsi="Arial"/>
          <w:sz w:val="18"/>
          <w:szCs w:val="18"/>
          <w:color w:val="auto"/>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60" w:hanging="316"/>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Investigator-Sponsored Clinical Trial</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and sponsored by Fabry Disease Clinical Research and Therapeutics, or FACTs, at three centers in Canada, a total of five patients with Fabry disease who have been treated with ERT for at least six months have been enrolled, and enrollment is complete. In this clinical trial, ERT for these patients is suspended one month prior to receiving AVR-RD-01 and ERT is then resumed one month after the AVR-RD-01 treatment and continued at bi-weekly intervals. The protocol has been amended to allow the investigator team, at their discretion, to discontinue ERT six months after treatment with AVR-RD-01. The fifth patient is the last to be enrolled and was dosed February 21, 2019.</w:t>
      </w:r>
    </w:p>
    <w:p>
      <w:pPr>
        <w:spacing w:after="0" w:line="19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or severity of clinically notable abnormal vital signs and laboratory values and the frequency or severity of treatment-related adverse events. The safety of our initial, academic-based conditioning regimen is also being assessed in this clinical trial.</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the level of AGA activity was assessed in a patient immediately prior to the administration of the patient’s next dose of ERT, when limited or no plasma AGA activity from previously-administered ERT dose would be expected.</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All five patients in this clinical trial have been dosed. To date, the treatment was generally well-tolerated. In addition, in the first four patients for whom we have provided interim data, all of whom are males with classical Fabry disease, the level of plasma AGA enzyme activity began to rise after infusion. Plasma AGA enzyme activity was observed to increase from nearly undetectable levels before treatment to a peak within six months after treatment, followed by a decline and trending to stablilize to levels above the range for males with classical Fabry disease, defined as less than 1 nmol/hr/ml. We believe that the steep initial increase reflects AGA enzyme activity from the early progeny of the transduced stem cells, while the subsequent decline and stabilization in AGA enzyme levels reflect a shift from short term progenitor cells towards the gradual secretion of AGA enzyme by long-term engraftment cells that become more predominant over time.</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As of 22 months after receiving AVR-RD-01, the first patient’s plasma AGA enzyme activity levels continued to be above the range for males with classical Fabry disease. Based on the level of endogenously produced enzyme activity, at the 18-month follow-up visit for this patient, the investigator team for the trial made a clinical decision to discontinue the bi-weekly ERT and the patient remains off ERT as of 22 months post-treatment with AVR-RD-01. Additionally, the third patient in this clinical trial voluntarily elected not to resume his regular bi-weekly treatment with ERT, and the patient remains off ERT as of six months post-treatment with AVR-RD-01. The second and fourth patients continue to receive concurrent ERT in accordance with the clinical trial protocol. Plasma AGA enzyme activity levels in the first, second, third and fourth patients remained above the range for males with classical Fabry disease, defined as less than 1 nmol/hr/ml, as of twenty-two months, twelve months, six months and twenty-two days after treatment, respectively. We believe these preliminary results, particularly from the first two patients in the trial with longer-term AGA data points reported, support the potential of AVR-RD-01 to drive functional enzyme production for long durations.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Pr>
          <w:p>
            <w:pPr>
              <w:jc w:val="right"/>
              <w:ind w:right="162"/>
              <w:spacing w:after="0"/>
              <w:rPr>
                <w:sz w:val="20"/>
                <w:szCs w:val="20"/>
                <w:color w:val="auto"/>
              </w:rPr>
            </w:pPr>
            <w:r>
              <w:rPr>
                <w:rFonts w:ascii="Arial" w:cs="Arial" w:eastAsia="Arial" w:hAnsi="Arial"/>
                <w:sz w:val="14"/>
                <w:szCs w:val="14"/>
                <w:b w:val="1"/>
                <w:bCs w:val="1"/>
                <w:color w:val="auto"/>
              </w:rPr>
              <w:t>Day 0</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(Infusion of</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 Months</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 Months</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12 Months</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17 Months</w:t>
            </w:r>
          </w:p>
        </w:tc>
        <w:tc>
          <w:tcPr>
            <w:tcW w:w="12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22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AVR-RD-01)</w:t>
            </w: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Patient 1</w:t>
            </w:r>
          </w:p>
        </w:tc>
        <w:tc>
          <w:tcPr>
            <w:tcW w:w="1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Patient 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Patient 3</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For patients on ERT, enzyme activity is measured at trough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twenty-two days after receiving AVR-RD-01, the level of AGA enzyme activity for the fourth patient was 10.9 nmol/hr/ml.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four patients over various points in time.</w:t>
      </w: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172085</wp:posOffset>
            </wp:positionV>
            <wp:extent cx="5128260" cy="1603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2826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patients on ERT, enzyme activity is measured at trough.</w:t>
      </w:r>
    </w:p>
    <w:p>
      <w:pPr>
        <w:spacing w:after="0" w:line="23" w:lineRule="exact"/>
        <w:rPr>
          <w:rFonts w:ascii="Arial" w:cs="Arial" w:eastAsia="Arial" w:hAnsi="Arial"/>
          <w:sz w:val="18"/>
          <w:szCs w:val="18"/>
          <w:color w:val="auto"/>
        </w:rPr>
      </w:pPr>
    </w:p>
    <w:p>
      <w:pPr>
        <w:ind w:left="420" w:hanging="216"/>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Dotted line illustrative only.</w:t>
      </w:r>
    </w:p>
    <w:p>
      <w:pPr>
        <w:spacing w:after="0" w:line="21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All four patients are classical Fabry patients who were on ERT prior to the trial and who entered the FACTs trial with negligible endogenous AGA activity. Following treatment with AVR-RD-01, patients were observed to sustain endogenous enzyme activity levels above the threshold for classical Fabry disease.</w:t>
      </w:r>
    </w:p>
    <w:p>
      <w:pPr>
        <w:spacing w:after="0" w:line="181"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The substrate, Gb3, and its toxic metabolite, known as lyso-Gb3 are considered surrogate markers for disease activity and treatment response for Fabry disease. In the case of ERT-naïve patients and patients who have discontinued ERT, we believe that reductions in Gb3 levels following treatment with gene therapy are likely driven by the therapeutic effect of gene therapy. The first patient in the investigator-sponsored Phase 1 clinical trial, who suspended ERT for one month following treatment with AVR-RD-01, discontinued ERT after 18 months post-treatment and currently remains off ERT. This patient had a plasma lyso-Gb3 value of 31 nmol/hr/ml on the day of treatment with AVR-RD-01 and this value was observed to rapidly decline following treatment and resumption of ERT, to 20 nmol/hr/ml and 13 nmol/hr/ml at one and three months, respectively. Even after discontinuation of ERT, the reduction in plasma lyso-Gb3 values was sustained, and remains below levels observed prior to treatment with AVR-RD-01. The third patient in this trial discontinued ERT one month prior to treatment with AVR-RD-01 and voluntarily elected not to resume ERT. This patient had a plasma lyso-Gb3 value of 52 nmol/hr/ml on the day of treatment with AVR-RD-01, and this value was observed to decrease to 33 nmol/hr/ml at three months.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Patient 1 Plasma Lyso-Gb3 Concentration Following Treatment with AVR-RD-01 in the</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Ongoing Phase 1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table below displays the average VCN counts in patients in the ongoing investigator-sponsored Phase 1 clinical trial following dosing and at subsequent measurement points.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Average VCN* in Nucleated Blood Cells for Patients Dosed with AVR-RD-01 in the</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Ongoing Phase 1 Clinical Trial</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Patient 1</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Patient 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Patient 3</w:t>
            </w:r>
          </w:p>
        </w:tc>
        <w:tc>
          <w:tcPr>
            <w:tcW w:w="12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Patient 4</w:t>
            </w: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Drug Product VCN (day 4)</w:t>
            </w:r>
          </w:p>
        </w:tc>
        <w:tc>
          <w:tcPr>
            <w:tcW w:w="19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1 month VCN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 month VCN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6 month VCN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9 month VCN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12 month VCN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17 month VCN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22 month VCN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6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10" w:lineRule="exact"/>
        <w:rPr>
          <w:sz w:val="20"/>
          <w:szCs w:val="20"/>
          <w:color w:val="auto"/>
        </w:rPr>
      </w:pPr>
    </w:p>
    <w:p>
      <w:pPr>
        <w:ind w:left="420" w:right="240" w:hanging="216"/>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VCN refers to the average number of copies of the lentiviral-vector inserted gene that are integrated into the genome of a cell, for a given cell population.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Preliminary safety data indicate AVR-RD-01 was generally well-tolerated with no serious adverse events, or SAEs, related to study drug. Adverse events, or AEs, were consistent with expectations for the melphalan conditioning regimen prescribed by the study protocol. As of November 26, 2018, there were 79 AEs reported, 67 of which were assessed by the investigator as being possibly, probably or definitely related to protocol treatment or procedures (which includes apheresis, stem cell transplant procedure, blood draws, insertion of central catheters, drugs used for mobilization of stem cells and/or conditioning, and the drug product). No new AEs have been reported for the first patient since January 17, 2018 (12 months post-transplant), for the second patient since May 9, 2018 (seven months post-transplant), and the third patient since August 6, 2018 (four weeks post-transplant).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Only one event, the development of a left thigh mass, was originally reported as an SAE but has now been considered by the study investigator as not serious and has resolved in the patient. In addition, investigators observed a temporary suppression of neutrophils counts and thrombocytopenia in two patients which is expected as consequence of the conditioning regimen. These decreases were transient and not associated with any negative long-term impact on the patients. Neutrophil and platelet counts recovered after dosing. Because this clinical trial is ongoing, safety data are preliminary and subject to change. Subsequent to November 26, 2018, we have not been notified by the investigators in this clinical trial of any suspected unexpected serious adverse reactions related to the study drug.</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Phase 2 Multinational Clinical Trial</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are sponsoring an open label, multinational Phase 2 clinical trial of AVR-RD-01. This study was initiated in June 2018 in Australia and enrollment in this Phase 2 clinical trial is ongoing. Eight to 12 treatment-naïve males, 16 years and older, with classical Fabry disease are expected to be enrolled in this trial. Our objectives for this trial are to assess safety and efficacy as measured by multiple indicators, such as AGA enzyme activity, lyso-Gb3 and Gb3 levels in blood and various tissues, kidney and cardiac function, gastrointestinal symptoms, and pain and quality of life scores. All enrolled patients will receive a single treatment with AVR-RD-01 and will be followed for 48 weeks to measure safety and efficacy. We received approval from both the Australian and Canadian regulatory authorities to initiate our Phase 2 clinical trial for AVR-RD-01. We also plan to submit applications to allow commencement of clinical trials in the United States to the FDA and in Japan to the Pharmaceuticals and Medical Devices Agency, or PMDA, following meetings with each of these respective regulatory authorities. For the United States specifically, in 2018 we held a pre-IND meeting with the FDA to discuss the requirements to commence clinical trials in the United States, and we expect to open a U.S. site for our ongoing Phase 2 clinical trial of AVR-RD-01 in 2019. The second patient in our Phase 2 clinical trial was dosed at an Australian site on December 13, 2018 and the data safety monitoring committee has approved the consenting of the third patient in this trial.</w:t>
      </w:r>
    </w:p>
    <w:p>
      <w:pPr>
        <w:spacing w:after="0" w:line="18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By the first month after treatment with AVR-RD-01, AGA enzyme activity was observed to increase in the first patient to levels well above the level associated with classical Fabry disease in males. These enzyme levels were sustained at three months and six months after treatment. As of six months after receiving AVR-RD-01, the level of AGA enzyme activity for the first patient was 2.9 nmol/hr/ml. In addition, during the first three months after treatment, we observed a rapid decline in lyso-Gb3 levels, which stabilized at significantly lower levels compared to those prior to treatment. Within six months of treatment with AVR-RD-01, skin biopsy assessment revealed that the first patient also achieved a substantial reduction in substrate inclusions in capillary endothelium of the skin. The skin biopsies were evaluated using a standard scoring system for Gb3 accumulation and clearance. The scoring system has a range of zero to 3, with a score of zero representing none or trace accumulation, and a score of 3 representing severe accumulation. This patient scored a 3 at baseline and scored a 2 at six months after treatment with AVR-RD-01, as assessed by two independent blinded readers. The first patient in this clinical trial, who never received ERT, had a plasma lyso-Gb3 level of 31 nmol/hr/ml at six months after treatment with AVR-RD-01, compared to 202 nmol/hr/ml prior to administration with AVR-RD-01. The observed increase and stabilization in AGA enzyme activity was observed to correlate with the observed reduction in plasma lyso-Gb3 levels.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Patient 1 AGA Enzyme Activity and Plasma Lyso-Gb3 Levels in the Ongoing Phase 2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1620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885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Dotted line represents AGA activity measured in serum.</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For the first patient, the VCN measurement for the drug product was 0.7, and average VCN measurements at one month, two months, three months and six months post-treatment were 0.2, 0.2, 0.5 and 0.2,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Preliminary safety data from the ongoing Phase 2 study indicates that AVR-RD-01 was generally well-tolerated in both patients enrolled in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study.</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of January 1, 2019, there were 39 AEs reported, one of which was deemed by the investigator to be possibly, probably, or definitely related to drug product. AEs in this study can be assigned to more than one causality assessment.</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of January 1, 2019, five AEs were related to study procedures, 19 were related to the medication used in the conditioning regimen, seven were related to an underlying disease, and 10 were related to other causes.</w:t>
      </w:r>
    </w:p>
    <w:p>
      <w:pPr>
        <w:spacing w:after="0" w:line="170"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As of January 1, 2019, four SAEs were reported, one pre-treatment and three post-treatment. No events were related to AVR-RD-01, and two events were related to the conditioning regimen. Because this clinical trial is ongoing, safety data are preliminary and subject to change.</w:t>
      </w:r>
    </w:p>
    <w:p>
      <w:pPr>
        <w:spacing w:after="0" w:line="124"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After beginning stem cell mobilization but prior to undergoing the conditioning regimen and treatment with AVR-RD-01, the first patient experienced a seizure, which is categorized as an SAE but unrelated to the study drug, conditioning regimen or stem cell mobilization. This event has resolved in the patient. In addition, during a scheduled protocol visit seven days after dosing, the same patient reported nausea and vomiting and was admitted to hospital for fluid hydration. Because the nausea and vomiting warranted hospital admission, the event was categorized as an SAE, possibly related to the conditioning regimen; nausea and vomiting have resolved in the patient. A transient suppression of neutrophils and platelets, which is an anticipated consequence of the conditioning regimen, was also observed in the patient. The treating physician decided to monitor the patient in hospital until the patient’s neutrophil count increased. Neutrophil and platelet counts recovered after dosing. On June 20, 2018, the patient was discharged from the hospital six days after admission and 13 days after transplant. Nausea, vomiting and dehydration resolved as of June 15, 2018. In the opinion of the investigator, the event was unrelated to the study drug or stem cell mobilization, but was deemed probably related to the conditioning regimen.</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second patient experienced a post-treatment SAE of drug induced dermatosis seven days post-dosing. The rash was described as small, raised red bumps and were not painful. The patient was treated with hydrocortisone cream, and the rash appeared to be resolving after a single application and is continuing to resolve as of January 1, 2019. The patient was discharged from the hospital in less than 24 hours. In the opinion of the investigator, the relationship of the SAE to the procedure was not applicable and the relationship to stem cell mobilization, conditioning regimen and AVR-RD-01 was unknown.</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An additional SAE of culture negative sepsis was reported in the second patient nine days after treatment on December 22, 2018. The patient was admitted to the hospital with a mild sore throat. His urine cultures were negative and his blood cultures were negative for both aerobic and anaerobic organisms. The patient was discharged from the hospital on the fourteenth day after transplant. In the opinion of the investigator, the relationship of the SAE to the conditioning regimen was definite and the relationship to stem cell mobilization and AVR-RD-01 was unrelated.</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from our plato platform,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transduction process, and not the actual AGA enzyme that is produced by the transduced cells, or drug product, we believe this transition will 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Increased Enzyme Activity in Fabry Mouse Model After Receiving a Murine Equivalent of our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Drug Product, mAVR-RD-01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160020</wp:posOffset>
            </wp:positionV>
            <wp:extent cx="2615565" cy="1869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 direct test of the ability of AVR-RD-01 to correct deficiencies in plasma AGA enzyme activity, a mouse model was created using a mouse strain in which the gene for AGA was inactivated. Human stem cells were harvested from patients with Fabry disease and the gene for AGA was added using the same lentiviral vector that was used to produce AVR-RD-01. This vector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(p &lt; 0.05) to define statistical significance for the data presented in this Annual Report on Form 10-K. Levels in other tissues such as the heart and kidney also showed downward trends in Gb3. This study demonstrated that:</w:t>
      </w:r>
    </w:p>
    <w:p>
      <w:pPr>
        <w:spacing w:after="0" w:line="76"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Vector transduced human CD34 stem cells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After Receiving LV-transduced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developing AVR-RD-02 for the treatment of Type 1 Gaucher disease. We will manufacture AVR-RD-02 from hematopoietic stem cells that are first harvested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the second half of 2019. In September 2018, we received no objections from Health Canada in connection with our Clinical Trial Application, or CTA, in Canada for this planned Phase 1/2 clinical trial. We have subsequently received no objections letters to two CTA amendments that update our manufacturing process and clinical protocol to be consistent with our plato platform. We are currently working with potential investigative sites in Canada, and have submitted this trial for institutional review board, or IRB,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308" w:lineRule="auto"/>
        <w:rPr>
          <w:sz w:val="20"/>
          <w:szCs w:val="20"/>
          <w:color w:val="auto"/>
        </w:rPr>
      </w:pPr>
      <w:r>
        <w:rPr>
          <w:rFonts w:ascii="Arial" w:cs="Arial" w:eastAsia="Arial" w:hAnsi="Arial"/>
          <w:sz w:val="17"/>
          <w:szCs w:val="17"/>
          <w:color w:val="auto"/>
        </w:rPr>
        <w:t>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4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Compared with the general population, patients with Type 1 Gaucher disease have an approximately 20-fold increased risk of developing Parkinson’s disease. Type 1 Gaucher disease does not have manifestations of central nervous system symptoms.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14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one or more of these six target goals.</w:t>
      </w:r>
    </w:p>
    <w:p>
      <w:pPr>
        <w:spacing w:after="0" w:line="19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2018, Sanofi Genzyme’s Cerezyme and Cerdelga together generated worldwide net sales of over $1.0 billion and Shire’s VPRIV generated worldwide net sales of approximately $362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We are developing AVR-RD-02 to potentially cure patients with Type 1 Gaucher disease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plan to initiate a Phase 1/2 clinical trial of AVR-RD-02 in patients with Type 1 Gaucher disease and to begin dosing patients in this clinical trial in 2019. In September 2018, we received a “no objections” letter for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CTA in Canada for this planned Phase 1/2 clinical trial.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preclinical studies, a mouse model of Type I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 infiltration, and spleen volume in the mouse model over 20 weeks following treatment with mAVR-RD-02.</w:t>
      </w:r>
      <w:r>
        <w:rPr>
          <w:rFonts w:ascii="Arial" w:cs="Arial" w:eastAsia="Arial" w:hAnsi="Arial"/>
          <w:sz w:val="13"/>
          <w:szCs w:val="13"/>
          <w:color w:val="auto"/>
        </w:rPr>
        <w:t>4</w:t>
      </w:r>
      <w:r>
        <w:rPr>
          <w:rFonts w:ascii="Arial" w:cs="Arial" w:eastAsia="Arial" w:hAnsi="Arial"/>
          <w:sz w:val="16"/>
          <w:szCs w:val="16"/>
          <w:color w:val="auto"/>
        </w:rPr>
        <w:t xml:space="preserve">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mAVR-RD-02 prior to manifesting symptoms did not develop symptoms of the disease. These data support the potential efficacy of AVR-RD-02 to prevent, as well as reverse, symptoms in patients with Gaucher disease.</w:t>
      </w: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mAVR-RD-02 Leads to a Significant Reduction in Glucocerebroside Levels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2544445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160020</wp:posOffset>
            </wp:positionV>
            <wp:extent cx="3816350" cy="2298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635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right="500" w:hanging="216"/>
        <w:spacing w:after="0" w:line="264" w:lineRule="auto"/>
        <w:tabs>
          <w:tab w:leader="none" w:pos="4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The vector used in this preclinical study of mAVR-RD-02 was an academic vector of similar design to LV2, but also included a marker gene to enable tracking of the transduced cells in vivo. This marker gene was removed as it is not required in the clinic, and the transgene encoding functional glucocerebrosidase was inserted into the LV2 backbone.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160020</wp:posOffset>
            </wp:positionV>
            <wp:extent cx="2795905" cy="182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590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Together with University of California, San Diego, or UCSD, we are developing CTNS-RD-04, which we refer to as AVR-RD-04, for the treatment of patients with cystinosis. AVR-RD-04 is manufactured from hematopoietic stem cells that are first harvested from the patient, modified to add the gene that encodes for cystinosin, and then infused into the patient. In December 2018, our collaborators at UCSD received clearance from the FDA for the IND application for CTNS-RD-04, and site opening activities have been initiated at UCSD. The academic investigator has submitted a grant application to secure funding for the planned academic sponsored Phase 1/2 clinical trial, and we expect the trial will open for enrollment in mid-2019 with the first patient anticipated to be dosed in the second half of 2019.</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and Recordati S.p.A. In 2018, Procysbi generated worldwide net sales of $155 million. The annual average cost to the healthcare system per patient prescribed Procysbi in the United States is between approximately $625,000 and $750,000.</w:t>
      </w:r>
    </w:p>
    <w:p>
      <w:pPr>
        <w:spacing w:after="0" w:line="16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 planned Phase 1/2 clinical trial of AVR-RD-04 that will be conducted by our collaborators at UCSD,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Our collaborators received clearance of an IND in the U.S. in December 2018. The study drug utilized in this trial will not be manufactured using our plato platform, and neither the automated, closed manufacturing system nor LV2 will be used in connection with this investigator-sponsored clinical trial.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Introduction of mAVR-RD-04 into the diseased mice was observed to significantly lower cystine levels in tissues such as the liver, spleen and, in male mice, the kidney. These lower levels persisted until the end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experiment at eight months. AVR-RD-04 treatment was also associated with potentially improved kidney function in male mice, thus addressing an essential clinical need in patients with cystinosis.</w:t>
      </w:r>
    </w:p>
    <w:p>
      <w:pPr>
        <w:spacing w:after="0" w:line="27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mAVR-RD-04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172085</wp:posOffset>
            </wp:positionV>
            <wp:extent cx="2761615" cy="16465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6161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hematopoietic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developing AVR-RD-03 for the treatment of Pompe disease. We will manufacture AVR-RD-03 from hematopoietic stem cells that are first harvested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 and a target tissue that is considered difficult to access for ERT. AVR-RD-03 is designed to incorporate a proprietary potent promoter to increase volume of system enzyme in circulation.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and is associated with cardiomyopathy.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but are not at increased risk of developing cardiomyopathy. Late-onset patients experience progressive difficulty walking and respiratory decline. While life expectancy can vary, Pompe disease is a life-limiting disease that can result in death due to complications from respiratory failure.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2018.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are in early preclinical development of AVR-RD-03 to potentially cure patients with late-onset Pompe disease. We are developing AVR-RD-03 to be a gene therapy product containing a codon-optimized human gene for GAA attached to a GILT tag designed to increase uptake of GAA in muscle cells. AVR-RD-03 will target patients with late onset Pompe disease, which represent the majority of patients with this disease. In addition, we believe that the utilization of busulfan in our conditioning regimen may have the potential to allow AVR-RD-03 to cross the blood-brain barrier, a feature which may yield therapeutic benefit.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that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Compared to 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160020</wp:posOffset>
            </wp:positionV>
            <wp:extent cx="3567430" cy="1620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743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establishing global manufacturing relationships that will provide us with drug product manufacturing capabilities to support all aspects of the development and eventual commercialization of our gene therapies. 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 We believe cryopreservation will also enable us to supply our products globally, as well as significantly increase the convenience of infusion scheduling for clinicians and patients, compared to fresh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products that may have shelf-lives of only a few hours.</w:t>
      </w:r>
    </w:p>
    <w:p>
      <w:pPr>
        <w:spacing w:after="0" w:line="178"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may be administered in either an inpatient or an outpatient treatment setting on a case-by-case basis as may be directed by the patient’s physician.</w:t>
      </w:r>
    </w:p>
    <w:p>
      <w:pPr>
        <w:spacing w:after="0" w:line="17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After the conditioning regimen is complete, the lentivirally-modified stem cells are infused into the patient by intravenous administration in an outpatient setting. After infusion, these cells engraft into the bone marrow, replicate and differentiate into all the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management team has significant experience in cell processing and commercial-scale cellular therapy manufacturing. Leveraging this experience, we are building our global network of suppliers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40"/>
        <w:spacing w:after="0" w:line="277" w:lineRule="auto"/>
        <w:rPr>
          <w:sz w:val="20"/>
          <w:szCs w:val="20"/>
          <w:color w:val="auto"/>
        </w:rPr>
      </w:pPr>
      <w:r>
        <w:rPr>
          <w:rFonts w:ascii="Arial" w:cs="Arial" w:eastAsia="Arial" w:hAnsi="Arial"/>
          <w:sz w:val="18"/>
          <w:szCs w:val="18"/>
          <w:color w:val="auto"/>
        </w:rPr>
        <w:t>and CMO partners which combines their expertise in vector manufacturing with a closed, automated manufacturing system, all utilizing CGMP.</w:t>
      </w:r>
    </w:p>
    <w:p>
      <w:pPr>
        <w:spacing w:after="0" w:line="76" w:lineRule="exact"/>
        <w:rPr>
          <w:sz w:val="20"/>
          <w:szCs w:val="20"/>
          <w:color w:val="auto"/>
        </w:rPr>
      </w:pPr>
    </w:p>
    <w:p>
      <w:pPr>
        <w:ind w:left="1060" w:hanging="316"/>
        <w:spacing w:after="0" w:line="286"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316"/>
        <w:spacing w:after="0" w:line="302" w:lineRule="auto"/>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developing therapies to treat rare diseases and expect to pursue orphan-drug designation in the United States and similar protection outside of the United States. To date, we have received from the FDA orphan-drug designation for AVR-RD-01 for the treatment of Fabry disease.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59" w:lineRule="exact"/>
        <w:rPr>
          <w:rFonts w:ascii="Arial" w:cs="Arial" w:eastAsia="Arial" w:hAnsi="Arial"/>
          <w:sz w:val="16"/>
          <w:szCs w:val="16"/>
          <w:color w:val="auto"/>
        </w:rPr>
      </w:pPr>
    </w:p>
    <w:p>
      <w:pPr>
        <w:ind w:left="1060" w:hanging="316"/>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academic scientists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15, 2019, our in-licensed patent portfolio relating to certain of our gene therapies included the following:</w:t>
      </w:r>
    </w:p>
    <w:p>
      <w:pPr>
        <w:spacing w:after="0" w:line="131" w:lineRule="exact"/>
        <w:rPr>
          <w:sz w:val="20"/>
          <w:szCs w:val="20"/>
          <w:color w:val="auto"/>
        </w:rPr>
      </w:pPr>
    </w:p>
    <w:p>
      <w:pPr>
        <w:ind w:left="1060" w:right="20" w:hanging="316"/>
        <w:spacing w:after="0" w:line="279"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316"/>
        <w:spacing w:after="0" w:line="259"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 expressing cystinosin and methods of using the same for the treatment of cystinosis. This patent application is licensed to us by GenStem Therapeutics, and GenStem obtained its rights from the University of California, San Diego.</w:t>
      </w:r>
    </w:p>
    <w:p>
      <w:pPr>
        <w:spacing w:after="0" w:line="18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double-digit percentage of our royalty payments and regulatory milestone payments, up to a maximum amount of C$500,000 in any calendar year.</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In January 2017, we entered into an exclusive license agreement with Prof. Stefan Karlsson and Dr. Maria Dahl, affiliates of Lund University, pursuant to which Prof. Karlsson and Dr. Dahl, and certain other relevant rights holders that may have an interest in intellectual property generated under a research project we are funding with Lund University, granted to us an exclusive worldwide license, subject to certain retained rights, under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certain intellectual property rights to develop, commercialize and sell products in any and all uses relevant to Gaucher disease. Intellectual property licensed to us under this agreement relates to our Gaucher program.</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consistent with the California Institute for Regenerative Medicine regulations and to manufacture certain licensed products substantially in the United States.</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Annual Report on Form 10-K for more information regarding competitors and competitive products.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8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75" w:lineRule="exact"/>
        <w:rPr>
          <w:rFonts w:ascii="Arial" w:cs="Arial" w:eastAsia="Arial" w:hAnsi="Arial"/>
          <w:sz w:val="18"/>
          <w:szCs w:val="18"/>
          <w:color w:val="auto"/>
        </w:rPr>
      </w:pPr>
    </w:p>
    <w:p>
      <w:pPr>
        <w:ind w:left="1060" w:right="180" w:hanging="316"/>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reviews and oversees basic and clinical research conducted at that institution. The IBC assesses the safety of the research and identifies any potential risk to public health or the environment.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316"/>
        <w:spacing w:after="0" w:line="264"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GTPs. These are FDA regulations that govern the methods used in, and the facilities and controls used for, the manufacture of human cells, tissues, and cellular and tissue-based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88" w:lineRule="auto"/>
        <w:rPr>
          <w:sz w:val="20"/>
          <w:szCs w:val="20"/>
          <w:color w:val="auto"/>
        </w:rPr>
      </w:pPr>
      <w:r>
        <w:rPr>
          <w:rFonts w:ascii="Arial" w:cs="Arial" w:eastAsia="Arial" w:hAnsi="Arial"/>
          <w:sz w:val="16"/>
          <w:szCs w:val="16"/>
          <w:color w:val="auto"/>
        </w:rPr>
        <w:t>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w:t>
      </w:r>
    </w:p>
    <w:p>
      <w:pPr>
        <w:ind w:left="200" w:right="40"/>
        <w:spacing w:after="0" w:line="295" w:lineRule="auto"/>
        <w:rPr>
          <w:sz w:val="20"/>
          <w:szCs w:val="20"/>
          <w:color w:val="auto"/>
        </w:rPr>
      </w:pPr>
      <w:r>
        <w:rPr>
          <w:rFonts w:ascii="Arial" w:cs="Arial" w:eastAsia="Arial" w:hAnsi="Arial"/>
          <w:sz w:val="16"/>
          <w:szCs w:val="16"/>
          <w:color w:val="auto"/>
        </w:rPr>
        <w:t>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6" w:lineRule="auto"/>
        <w:rPr>
          <w:sz w:val="20"/>
          <w:szCs w:val="20"/>
          <w:color w:val="auto"/>
        </w:rPr>
      </w:pPr>
      <w:r>
        <w:rPr>
          <w:rFonts w:ascii="Arial" w:cs="Arial" w:eastAsia="Arial" w:hAnsi="Arial"/>
          <w:sz w:val="17"/>
          <w:szCs w:val="17"/>
          <w:color w:val="auto"/>
        </w:rPr>
        <w:t>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73"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Patient Protection and Affordable Care Act, or Affordable Care Act or ACA or PPACA,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2" w:lineRule="auto"/>
        <w:rPr>
          <w:sz w:val="20"/>
          <w:szCs w:val="20"/>
          <w:color w:val="auto"/>
        </w:rPr>
      </w:pPr>
      <w:r>
        <w:rPr>
          <w:rFonts w:ascii="Arial" w:cs="Arial" w:eastAsia="Arial" w:hAnsi="Arial"/>
          <w:sz w:val="16"/>
          <w:szCs w:val="16"/>
          <w:color w:val="auto"/>
        </w:rPr>
        <w:t>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54"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3"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jc w:val="center"/>
        <w:ind w:left="5620" w:right="1200" w:hanging="4876"/>
        <w:spacing w:after="0" w:line="449" w:lineRule="auto"/>
        <w:tabs>
          <w:tab w:leader="none" w:pos="10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 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GCPs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316"/>
        <w:spacing w:after="0" w:line="270"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7" w:lineRule="exact"/>
        <w:rPr>
          <w:rFonts w:ascii="Arial" w:cs="Arial" w:eastAsia="Arial" w:hAnsi="Arial"/>
          <w:sz w:val="17"/>
          <w:szCs w:val="17"/>
          <w:color w:val="auto"/>
        </w:rPr>
      </w:pPr>
    </w:p>
    <w:p>
      <w:pPr>
        <w:ind w:left="1060" w:right="80" w:hanging="316"/>
        <w:spacing w:after="0" w:line="271"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4" w:lineRule="exact"/>
        <w:rPr>
          <w:rFonts w:ascii="Arial" w:cs="Arial" w:eastAsia="Arial" w:hAnsi="Arial"/>
          <w:sz w:val="17"/>
          <w:szCs w:val="17"/>
          <w:color w:val="auto"/>
        </w:rPr>
      </w:pPr>
    </w:p>
    <w:p>
      <w:pPr>
        <w:ind w:left="1060" w:right="160" w:hanging="316"/>
        <w:spacing w:after="0" w:line="25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316"/>
        <w:spacing w:after="0" w:line="291"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316"/>
        <w:spacing w:after="0" w:line="302"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316"/>
        <w:spacing w:after="0" w:line="25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18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Regulators globally are also imposing greater monetary fines for privacy violations. For example, in 2016, the European Union adopted a new regulation governing data practices and privacy called the General Data Protection Regulation, or GDPR, which became effective on May 25, 2018. Non-compliance with the GDPR may result in monetary penalties of up to €20 million or 4% of worldwide revenue, whichever is higher. Notably, on January 21, 2019, Google was fined almost $57 million by French regulators for violating GDPR.</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collection and use of personal health data in the European Union is governed by the provisions of the Data Protection Directive, and as of May 25, 2018 the GDPR. The GDPR applies to any company established in the European Union as well as to those outside the European Union if they collect and use personal data in connection with the offering of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manufacturers under the Medicaid Drug Rebate Program are calculated for drugs that are inhaled, infused, instilled, implanted or injected; extended the Medicaid Drug Rebate Program to utilization of prescriptions of individuals enrolled in Medicaid managed care plans; created a new Medicare Part D coverage gap discount program, in which manufacturers must agree to offer 70% (as of 2019) point-of-sale discounts off negotiated prices of applicable brand drugs to eligible beneficiaries during their coverage gap period, as a condition for manufacturers’ outpatient drugs coverage under Medicare Part D; subjects drug manufacturers to new annual fees based on pharmaceutical companies’ share of sales to federal healthcare programs; imposes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Centers for Medicare &amp; Medicaid Services, or CMS, to test innovative payment and service delivery models to lower Medicare and Medicaid spending.</w:t>
      </w:r>
    </w:p>
    <w:p>
      <w:pPr>
        <w:spacing w:after="0" w:line="166"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Since its enactment, there have been a number of significant changes to the Affordable Care Act. As a result, there have been delays in the implementation of, and action taken to repeal or replace, certain aspects of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w:t>
      </w:r>
    </w:p>
    <w:p>
      <w:pPr>
        <w:spacing w:after="0" w:line="3" w:lineRule="exact"/>
        <w:rPr>
          <w:sz w:val="20"/>
          <w:szCs w:val="20"/>
          <w:color w:val="auto"/>
        </w:rPr>
      </w:pPr>
    </w:p>
    <w:p>
      <w:pPr>
        <w:ind w:left="200" w:right="100"/>
        <w:spacing w:after="0" w:line="287" w:lineRule="auto"/>
        <w:rPr>
          <w:sz w:val="20"/>
          <w:szCs w:val="20"/>
          <w:color w:val="auto"/>
        </w:rPr>
      </w:pPr>
      <w:r>
        <w:rPr>
          <w:rFonts w:ascii="Arial" w:cs="Arial" w:eastAsia="Arial" w:hAnsi="Arial"/>
          <w:sz w:val="16"/>
          <w:szCs w:val="16"/>
          <w:color w:val="auto"/>
        </w:rPr>
        <w:t>2017. Further, on June 14, 2018, the U.S. Court of Appeals for the Federal Circuit ruled that the federal government was not required to pay more than $12 billion in ACA risk corridor payments asserted to be owed to third-party payors. In addition, CMS finalized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pre-authorization (PA) and step therapy (ST) for six protected classes of drugs, with certain exceptions, permit plans to implement PA and ST in Medicare Part B drugs, and change the definition of “negotiated prices” and add a definition of “price concession” to the regulations. It is unclear whether these proposed changes will be accepted, and if so, what effect such changes will have on our business.</w:t>
      </w:r>
    </w:p>
    <w:p>
      <w:pPr>
        <w:spacing w:after="0" w:line="166"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of 2017, the remaining provisions of the Affordable Care Act are invalid as well. While the Trump Administration and CMS have both stated that the ruling will have no immediate effect, and on December 30, 2018 the Texas District Court Judge issued an order staying the judgment pending appeal, it is unclear how this decision, subsequent appeals and other efforts to repeal and replace the Affordable Care Act will impact the Affordable Care Act and our business.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effect that the Affordable Care Act and its possible repeal, replacement or further modification could have on our business. It is uncertain the extent to which any such changes may impact our business or financial condition.</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proposing and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Finally,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5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foreign federal and state governments will pay for healthcare products and services, which could result in limited coverage and reimbursement and reduced demand for our products, if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 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8"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2018, we had 49 full-time employees, 20 of whom have Ph.D. or M.D. degrees. Of these full-time employees, 35 employees are engaged in research and development activities and 14 employees are engaged in finance, legal, human resources, facilities and general management. We have no collective bargaining agreements with our employees and we have not experienced any work stoppages. We consider our relationship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subject to the informational requirements of the Exchange Act and are required to file annual, quarterly and current reports, proxy statements and other information with the SEC. You can read our SEC filings at the SEC’s website at www.sec.gov. We also maintain a website at www.avrobio.com.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Annual Report on Form 10-K, including our consolidated financial statements and related notes and “Management’s Discussion and Analysis of Financial Condition and Results of Operations,” as well as our other filings with the Securities and Exchange Commission,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Annual Report on Form 10-K.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$46.4 million and $18.6 million for the years ended December 31, 2018 and 2017, respectively. We historically have financed our operations primarily through private placements of our preferred stock and our initial public offering of our Common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316"/>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continuing enrollment in our ongoing Phase 2 clinical trial for AVR-RD-01;</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316"/>
        <w:spacing w:after="0" w:line="34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480"/>
        <w:spacing w:after="0" w:line="308" w:lineRule="auto"/>
        <w:rPr>
          <w:sz w:val="20"/>
          <w:szCs w:val="20"/>
          <w:color w:val="auto"/>
        </w:rPr>
      </w:pPr>
      <w:r>
        <w:rPr>
          <w:rFonts w:ascii="Arial" w:cs="Arial" w:eastAsia="Arial" w:hAnsi="Arial"/>
          <w:sz w:val="17"/>
          <w:szCs w:val="17"/>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we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the implementation of our plato platform with our planned upgrades, including our transition to TDM conditioning using busulfan for our single-agent conditioning regimen, may result in delays or setbacks in our research and development activities, and we may not realize the intended benefits of these efforts. In addition,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not yet dosed any patients using our plato platform, which we plan to utilize for the majority our ongoing Phase 2 clinical trial for AVR-RD-01. The transition to LV2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or manufactured using this automated system will achieve the same favorable preliminary results observed to date in the Phase 1 clinical trial of AVR-RD-01.</w:t>
      </w:r>
    </w:p>
    <w:p>
      <w:pPr>
        <w:spacing w:after="0" w:line="17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8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FDA continues to develop its approach to assessing gene and cell therapy products. For example, the agency has released a series of draft guidance documents relating to, among other topics, various aspects of gene therapy product development, review, and approval, including aspects relating to clinical and manufacturing issues related to gene therapy products. We cannot be certain whether such guidance will be relevant to or have an impact on our gene therapy candidates or the duration or expense of any applicable regulatory development and review processes.</w:t>
      </w:r>
    </w:p>
    <w:p>
      <w:pPr>
        <w:spacing w:after="0" w:line="262"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3" w:lineRule="auto"/>
        <w:rPr>
          <w:sz w:val="20"/>
          <w:szCs w:val="20"/>
          <w:color w:val="auto"/>
        </w:rPr>
      </w:pPr>
      <w:r>
        <w:rPr>
          <w:rFonts w:ascii="Arial" w:cs="Arial" w:eastAsia="Arial" w:hAnsi="Arial"/>
          <w:sz w:val="16"/>
          <w:szCs w:val="16"/>
          <w:color w:val="auto"/>
        </w:rPr>
        <w:t>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65"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8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7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are planning to implement a transition, beginning in 2019 in connection with our company-sponsored clinical trials, towards a new conditioning regimen for our product candidates utilizing busulfan as the myeloablative conditioning agent instead of the melphalan that is currently used. The use of this conditioning regimen is designed to utilize therapeutic drug monitoring, or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We are aware that there have been cases of therapy-related myelodysplastic syndrome, or t-MDS, a type of blood disorder that is a potential precursor to acute myeloid leukemia, in patients with pre-existing cancer where busulfan treatment was posited to be a contributing factor to this secondary malignancy. However, we have reviewed over 700 published cases of busulfan exposure preceding bone marrow transplant, hematopoietic cell transplant, or ex-vivo gene therapy for non-malignant indications, of which 648 were from peer-reviewed literature. Of the 648 busulfan exposures reported in peer-reviewed literature, none of the cases reported t-MDS. Of the 67 exposures reported in non-peer-reviewed published abstracts, 66 reported no cases of t-MDS resulting from busulfan exposure, and in one case it was reported that a patient developed t-MDS and that busulfan treatment was posited to be a contributing factor. That case has not yet been peer-reviewed, and we believe that due to the presence of other</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confounding factors in that patient, it has not been conclusively determined that busulfan exposure was the cause of that patient’s t-MDS. However, there can be no guarantees that our plan to utilize busulfan in our conditioning regimen will not result in similar adverse events. In addition, although we intend as a precautionary measure to implement new procedures to screen for certain pre-cancerous genetic mutations prior to commencement of the conditioning regimen as an additional risk reduction measure, there can be no guarantees that these procedures will be successful. Even if we are able to demonstrate that adverse events are not product-related, such occurrences could adversely affect patient recruitment or the ability of enrolled patients to complete the clinical trial.</w:t>
      </w:r>
    </w:p>
    <w:p>
      <w:pPr>
        <w:spacing w:after="0" w:line="193"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ind w:left="640" w:right="200"/>
        <w:spacing w:after="0" w:line="312" w:lineRule="auto"/>
        <w:rPr>
          <w:sz w:val="20"/>
          <w:szCs w:val="20"/>
          <w:color w:val="auto"/>
        </w:rPr>
      </w:pPr>
      <w:r>
        <w:rPr>
          <w:rFonts w:ascii="Arial" w:cs="Arial" w:eastAsia="Arial" w:hAnsi="Arial"/>
          <w:sz w:val="16"/>
          <w:szCs w:val="16"/>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39"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are at an early stage of development for all of our product candidates including AVR-RD-01. As of March 15, 2019, our product candidate AVR-RD-01 has been administered to only five patients in an ongoing investigator-sponsored Phase 1 clinical trial and to two patients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dosed the second patient in our company-sponsored Phase 2 clinical trial in the fourth quarter of 2018. We have limited experience in preparing, submitting and prosecuting regulatory filings, and have not previously submitted a biologics license application, or BLA, for any product candidate.</w:t>
      </w:r>
    </w:p>
    <w:p>
      <w:pPr>
        <w:spacing w:after="0" w:line="165"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our interactions with the FDA have been limited.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In 2018, we held a pre-IND meeting with the FDA to discuss the requirements to commence clinical trials in the United States, and we expect to open a U.S. site for our ongoing Phase 2 clinical trial of AVR-RD-01 in the second half of 2019. We intend to file an IND that will permit us to utilize LV2 in our Phase 2 clinical trial of AVR-RD-01. In order to do so, we will, among other things, be required to demonstrate the analytical comparability of LV2 to LV1. However, there can be no assurance that we will be able to demonstrate analytical comparability, that our IND will be approved or that we</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will commence clinical trials in the United States on our expected timeframe or at all.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93"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for which the FDA recently accepted an IND in December 2018.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AGA in patients treated with AVR-RD-01 will be maintained over time. In addition, while the first and third patients from the ongoing investigator-sponsored Phase 1 clinical trial of AVR-RD-01 discontinued ERT, there can be no assurance that these patients, or others who in the future may discontinue ERT, will remain off ERT.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89"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225"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ongoing Phase 2 clinical trial for AVR-RD-01 for which enrollment is ongoing, if we cannot enroll a sufficient number of eligible patients to participate in the clinical trials required by FDA or other foreign regulatory authorities. Our ability to successfully initiate, enroll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complete a clinical trial in any foreign country is subject to numerous risks unique to conducting business in foreign countries, including:</w:t>
      </w:r>
    </w:p>
    <w:p>
      <w:pPr>
        <w:spacing w:after="0" w:line="142"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In addition, if we make changes to our product candidates, we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in connection with our plato platform implementation. While LV2 is intended to confer improvements in transduction efficiency in viral production, there is no guarantee that we can realize these intended benefits. In addition, the transition from LV1 to LV2 will require that we demonstrate analytical comparability between LV1 and LV2 and will likely require updates to our clinical trial applications and INDs with the relevant regulatory authorities, any of which may result in delay, suspension or termination of ongoing or future clinical trials pending our submission, and the agencies’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2" w:lineRule="auto"/>
        <w:rPr>
          <w:sz w:val="20"/>
          <w:szCs w:val="20"/>
          <w:color w:val="auto"/>
        </w:rPr>
      </w:pPr>
      <w:r>
        <w:rPr>
          <w:rFonts w:ascii="Arial" w:cs="Arial" w:eastAsia="Arial" w:hAnsi="Arial"/>
          <w:sz w:val="17"/>
          <w:szCs w:val="17"/>
          <w:b w:val="1"/>
          <w:bCs w:val="1"/>
          <w:i w:val="1"/>
          <w:iCs w:val="1"/>
          <w:color w:val="auto"/>
        </w:rPr>
        <w:t>Certain of our clinical trials, including the ongoing investigator-sponsored clinical trial of AVR-RD-01, the planned investigator-sponsored clinical trial of AVR-RD-04 and a portion of our Company-sponsored clinical trial of AVR-RD-01, will not utilize our commercial-scale plato platform. While we intend to submit comparability studies to the FDA and other regulatory agencies with respect to our transition towards implementing our commercial-scale plato platform, there can be no assurance that the FDA or other regulatory agencies will accept our comparability studies, and we may be required to conduct additional preclinical studies or clinical trials that could result in delays in our development or commercialization programs of our product candidates, if approved, and additional expenses and otherwise could adversely affect our business.</w:t>
      </w:r>
    </w:p>
    <w:p>
      <w:pPr>
        <w:spacing w:after="0" w:line="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intend to transition towards implementing our commercial-scale plato platform, including heightened vector efficiency, our closed, automated manufacturing system and utilization of a TDM conditioning regimen, in connection with each of our investigational product candidates. We are developing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may need to conduct additional studies to bridge our modified product candidates to earlier versions, which could delay our clinical development plans or marketing approvals, if any, including for AVR-RD-01 and AVR-RD-04 where ongoing or planned clinical trials will not utilize the plato platform. For example, while we are currently utilizing the LV1 version of the lentiviral vector in the ongoing Phase 1 and Phase 2 clinical trials of AVR-RD-01, we plan to transition our AVR-RD-01 lentiviral vectors to an LV2 version. While LV2 is intended to confer improvements in transduction efficiency in viral production, there is no guarantee that we can realize these intended benefits. In addition, the transition from LV1 to LV2 will require that we demonstrate analytical comparability between LV1 and LV2 and will likely require updates to our clinical trial applications and INDs with the relevant regulatory authorities, any of which may result in delay, suspension or termination of ongoing or future clinical trials pending our submission, and the agencies’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91"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240" w:firstLine="441"/>
        <w:spacing w:after="0" w:line="293" w:lineRule="auto"/>
        <w:rPr>
          <w:sz w:val="20"/>
          <w:szCs w:val="20"/>
          <w:color w:val="auto"/>
        </w:rPr>
      </w:pPr>
      <w:r>
        <w:rPr>
          <w:rFonts w:ascii="Arial" w:cs="Arial" w:eastAsia="Arial" w:hAnsi="Arial"/>
          <w:sz w:val="16"/>
          <w:szCs w:val="16"/>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left="200" w:right="440" w:firstLine="441"/>
        <w:spacing w:after="0" w:line="276"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firstLine="4"/>
        <w:spacing w:after="0" w:line="268" w:lineRule="auto"/>
        <w:tabs>
          <w:tab w:leader="none" w:pos="4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8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If we request orphan drug designation (or the foreign equivalent) for AVR-RD-01 or any of our other product candidates, there can be no assurances that the FDA or foreign regulatory authorities will grant any of our product candidates such designation. In December 2018, the FDA granted our request for orphan drug designation for AVR-RD-01 for the treatment of Fabry disease. To date, we have not requested orphan drug designation (or the foreign equivalent) for any other product candidates.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40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6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Recently, Amicus has secured regulatory approval in the United States and Europe for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 (which on February 25, 2019 announced that it had entered into an agreement to be acquired by Roche in a transaction expected to close in the second quarter of 2019).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Sangamo and uniQure which have announced gene therapy programs for Fabry disease; Freeline and Prevail which have announced gene therapy programs for Gaucher disease; and Abeona, Actus, Amicus, Audentes, Sarepta and Spark Therapeutics which have announced gene therapy programs for Pompe disease.</w:t>
      </w:r>
    </w:p>
    <w:p>
      <w:pPr>
        <w:spacing w:after="0" w:line="169"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66"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for our product candidates. We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color w:val="auto"/>
        </w:rPr>
        <w:t>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89"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cystinosis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ongoing Phase 1 and Phase 2 clinical trials, we have not yet advanced AVR-RD-02, AVR-RD-03 and AVR-RD-04 into clinical trials, nor have we obtained regulatory approval to sell any product based on our therapeutic approaches. Accordingly, our focus on treating these diseases may not result in the development of commercially viable products.</w:t>
      </w:r>
    </w:p>
    <w:p>
      <w:pPr>
        <w:spacing w:after="0" w:line="189"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third-party supplier.</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7"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20" w:hanging="31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2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6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28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5620" w:right="1780" w:hanging="4876"/>
        <w:spacing w:after="0" w:line="449"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 68</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or side effects, including any limitations or warnings contained in a product’s approved labeling;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prevalence and severity of any side effects resulting from the conditioning regimen for the administration of our product candidates;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5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240" w:top="459" w:right="5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66"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4"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7"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Patient Protection and Affordable Care Act or ACA or PPACA,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enrolled in Medicaid managed care organizations, subjects manufacturers to new annual fees and taxes for certain branded prescription drugs, creates a new Medicare Part D coverage gap discount program, in which manufacturers must agree to offer 70% (as of 2019)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88"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Since January 2017, the Trump administration has signed two Executive Orders designed to delay the implementation of certain provisions of the ACA or otherwise circumvent some of the requirements for health insurance mandated by the ACA.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more than</w:t>
      </w:r>
    </w:p>
    <w:p>
      <w:pPr>
        <w:spacing w:after="0" w:line="1" w:lineRule="exact"/>
        <w:rPr>
          <w:sz w:val="20"/>
          <w:szCs w:val="20"/>
          <w:color w:val="auto"/>
        </w:rPr>
      </w:pPr>
    </w:p>
    <w:p>
      <w:pPr>
        <w:ind w:left="200" w:right="340"/>
        <w:spacing w:after="0" w:line="261" w:lineRule="auto"/>
        <w:rPr>
          <w:sz w:val="20"/>
          <w:szCs w:val="20"/>
          <w:color w:val="auto"/>
        </w:rPr>
      </w:pPr>
      <w:r>
        <w:rPr>
          <w:rFonts w:ascii="Arial" w:cs="Arial" w:eastAsia="Arial" w:hAnsi="Arial"/>
          <w:sz w:val="18"/>
          <w:szCs w:val="18"/>
          <w:color w:val="auto"/>
        </w:rPr>
        <w:t>$12 billion in ACA risk corridor payments asserted to be owed to third-party payors. The effects of this gap in reimbursement on third-party payors, providers, the viability of the ACA marketplace and potentially our business, are not yet known.</w:t>
      </w:r>
    </w:p>
    <w:p>
      <w:pPr>
        <w:spacing w:after="0" w:line="18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or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or pay a penalty, which is commonly known as the “individual mandate.” However, as a result of tax reform legislation passed in December 2017, the Tax Cuts and Jobs Act of 2017, or TCJA, the individual mandate has been eliminated effective January 1, 2019.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of 2017, the remaining provisions of the Affordable Care Act are invalid as well. While the Trump Administration and CMS have both stated that the ruling will have no immediate effect, and on December 30, 2018 the Texas District Court Judge issued an order staying the judgment pending appeal, it is unclear how this decision, subsequent appeals and other efforts to repeal and replace the Affordable Care Act will impact the Affordable Care Act and our business.</w:t>
      </w:r>
    </w:p>
    <w:p>
      <w:pPr>
        <w:spacing w:after="0" w:line="18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158"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76" w:lineRule="auto"/>
        <w:rPr>
          <w:sz w:val="20"/>
          <w:szCs w:val="20"/>
          <w:color w:val="auto"/>
        </w:rPr>
      </w:pPr>
      <w:r>
        <w:rPr>
          <w:rFonts w:ascii="Arial" w:cs="Arial" w:eastAsia="Arial" w:hAnsi="Arial"/>
          <w:sz w:val="17"/>
          <w:szCs w:val="17"/>
          <w:color w:val="auto"/>
        </w:rPr>
        <w:t>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7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The current presidential administration’s Blueprint contains certain measures that the U.S. Department of Health and Human Services, or HHS, is already working to implement.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Finally, on October 25, 2018, CMS issued an Advanced Notice of Proposed Rulemaking, or ANPRM, indicating it is considering issuing a proposed rule in the spring of 2019 on a model called the International Pricing Index, or IPI. This model would utilize a basket of other countries’ prices as a reference for the Medicare program to use in reimbursing for drugs covered under Part B. The ANPRM also included an updated version of the Competitive Acquisition Program, or CAP, as an alternative to current “buy and bill” payment methods for Part B drugs.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government, insurance companies, managed care organizations and other payors of healthcare services to contain or reduce costs of healthcare and/or impose price controls may adversely affect:</w:t>
      </w:r>
    </w:p>
    <w:p>
      <w:pPr>
        <w:spacing w:after="0" w:line="76"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9" w:lineRule="exact"/>
        <w:rPr>
          <w:sz w:val="20"/>
          <w:szCs w:val="20"/>
          <w:color w:val="auto"/>
        </w:rPr>
      </w:pPr>
    </w:p>
    <w:p>
      <w:pPr>
        <w:ind w:left="640" w:right="40"/>
        <w:spacing w:after="0" w:line="340" w:lineRule="auto"/>
        <w:rPr>
          <w:sz w:val="20"/>
          <w:szCs w:val="20"/>
          <w:color w:val="auto"/>
        </w:rPr>
      </w:pPr>
      <w:r>
        <w:rPr>
          <w:rFonts w:ascii="Arial" w:cs="Arial" w:eastAsia="Arial" w:hAnsi="Arial"/>
          <w:sz w:val="15"/>
          <w:szCs w:val="15"/>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7"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right="2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8"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highly dependent on principal members of our executive team and key employees, including our Chief Executive Officer, Chief Financial Officer, President of Research and Development, Head of Operations, Chief Science Officer, Chief Business Officer, and General Counsel,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jc w:val="both"/>
        <w:ind w:left="200" w:right="380" w:firstLine="441"/>
        <w:spacing w:after="0" w:line="279" w:lineRule="auto"/>
        <w:rPr>
          <w:sz w:val="20"/>
          <w:szCs w:val="20"/>
          <w:color w:val="auto"/>
        </w:rPr>
      </w:pPr>
      <w:r>
        <w:rPr>
          <w:rFonts w:ascii="Arial" w:cs="Arial" w:eastAsia="Arial" w:hAnsi="Arial"/>
          <w:sz w:val="17"/>
          <w:szCs w:val="17"/>
          <w:color w:val="auto"/>
        </w:rPr>
        <w:t>As of December 31, 2018, we had 49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6"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305"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316"/>
        <w:spacing w:after="0" w:line="270"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7" w:lineRule="exact"/>
        <w:rPr>
          <w:rFonts w:ascii="Arial" w:cs="Arial" w:eastAsia="Arial" w:hAnsi="Arial"/>
          <w:sz w:val="17"/>
          <w:szCs w:val="17"/>
          <w:color w:val="auto"/>
        </w:rPr>
      </w:pPr>
    </w:p>
    <w:p>
      <w:pPr>
        <w:ind w:left="1060" w:right="80" w:hanging="316"/>
        <w:spacing w:after="0" w:line="271"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84" w:lineRule="exact"/>
        <w:rPr>
          <w:rFonts w:ascii="Arial" w:cs="Arial" w:eastAsia="Arial" w:hAnsi="Arial"/>
          <w:sz w:val="17"/>
          <w:szCs w:val="17"/>
          <w:color w:val="auto"/>
        </w:rPr>
      </w:pPr>
    </w:p>
    <w:p>
      <w:pPr>
        <w:ind w:left="1060" w:right="160" w:hanging="316"/>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720"/>
        <w:spacing w:after="0" w:line="277" w:lineRule="auto"/>
        <w:rPr>
          <w:sz w:val="20"/>
          <w:szCs w:val="20"/>
          <w:color w:val="auto"/>
        </w:rPr>
      </w:pPr>
      <w:r>
        <w:rPr>
          <w:rFonts w:ascii="Arial" w:cs="Arial" w:eastAsia="Arial" w:hAnsi="Arial"/>
          <w:sz w:val="18"/>
          <w:szCs w:val="18"/>
          <w:color w:val="auto"/>
        </w:rPr>
        <w:t>know is likely to influence the beneficiary’s selection of a particular supplier of items or services reimbursable by a federal or state governmental program;</w:t>
      </w:r>
    </w:p>
    <w:p>
      <w:pPr>
        <w:spacing w:after="0" w:line="76" w:lineRule="exact"/>
        <w:rPr>
          <w:sz w:val="20"/>
          <w:szCs w:val="20"/>
          <w:color w:val="auto"/>
        </w:rPr>
      </w:pPr>
    </w:p>
    <w:p>
      <w:pPr>
        <w:ind w:left="1060" w:hanging="316"/>
        <w:spacing w:after="0" w:line="291"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316"/>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316"/>
        <w:spacing w:after="0" w:line="255"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5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78"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305" w:lineRule="exact"/>
        <w:rPr>
          <w:sz w:val="20"/>
          <w:szCs w:val="20"/>
          <w:color w:val="auto"/>
        </w:rPr>
      </w:pPr>
    </w:p>
    <w:p>
      <w:pPr>
        <w:ind w:left="640" w:right="200"/>
        <w:spacing w:after="0" w:line="375"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93" w:lineRule="auto"/>
        <w:rPr>
          <w:sz w:val="20"/>
          <w:szCs w:val="20"/>
          <w:color w:val="auto"/>
        </w:rPr>
      </w:pPr>
      <w:r>
        <w:rPr>
          <w:rFonts w:ascii="Arial" w:cs="Arial" w:eastAsia="Arial" w:hAnsi="Arial"/>
          <w:sz w:val="16"/>
          <w:szCs w:val="16"/>
          <w:color w:val="auto"/>
        </w:rPr>
        <w:t>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73" w:lineRule="exact"/>
        <w:rPr>
          <w:sz w:val="20"/>
          <w:szCs w:val="20"/>
          <w:color w:val="auto"/>
        </w:rPr>
      </w:pPr>
    </w:p>
    <w:p>
      <w:pPr>
        <w:ind w:left="640" w:right="860"/>
        <w:spacing w:after="0" w:line="277"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use, processing and cross-border transfer of personal information.</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86"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carry master product liability insurance of $5.0 million per occurrence and USD $5.0 million in the aggregate in the United States. For Canada, we carry product liability insurance of CAD $5.0 million per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occurrence and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67"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86"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are implementing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On December 22, 2017, President Trump signed into law the TCJA that significantly reforms the Internal Revenue Code of 1986, as amended, or the Code. The TCJA, among other things, contains significant changes 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w:t>
      </w:r>
    </w:p>
    <w:p>
      <w:pPr>
        <w:spacing w:after="0" w:line="266" w:lineRule="exact"/>
        <w:rPr>
          <w:sz w:val="20"/>
          <w:szCs w:val="20"/>
          <w:color w:val="auto"/>
        </w:rPr>
      </w:pPr>
    </w:p>
    <w:p>
      <w:pPr>
        <w:ind w:left="640" w:right="72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of December 31, 2018, we had federal and state net operating loss carryforwards of $57.3 million and $54.2 million, respectively, and federal and state research and development tax credit carryforwards of approximately $0.3 million and $0.1 million, respectively.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Under the TCJA, net operating losses generated after December 31, 2017 will not be subject to expiration.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60"/>
          </w:cols>
          <w:pgMar w:left="24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claim of infringement, even if successful, is time-consuming, expensive and diverts the attention of our management from our ongoing business operations.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86"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7" w:lineRule="exact"/>
        <w:rPr>
          <w:sz w:val="20"/>
          <w:szCs w:val="20"/>
          <w:color w:val="auto"/>
        </w:rPr>
      </w:pPr>
    </w:p>
    <w:p>
      <w:pPr>
        <w:ind w:left="640" w:right="24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patent applications and the enforcement or defense of our issued patents, all of which could have a material adverse effect on our business, financial condition, results of operations and prospects.</w:t>
      </w:r>
    </w:p>
    <w:p>
      <w:pPr>
        <w:spacing w:after="0" w:line="17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a pending trademark application with the USPTO for the mark “plato” but do not have trademarks or trademark applications with the USPTO for the marks “AVROBIO”,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0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30" w:lineRule="exact"/>
        <w:rPr>
          <w:rFonts w:ascii="Arial" w:cs="Arial" w:eastAsia="Arial" w:hAnsi="Arial"/>
          <w:sz w:val="18"/>
          <w:szCs w:val="18"/>
          <w:color w:val="auto"/>
        </w:rPr>
      </w:pPr>
    </w:p>
    <w:p>
      <w:pPr>
        <w:ind w:left="1060" w:right="620" w:hanging="316"/>
        <w:spacing w:after="0" w:line="308"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Should any of these events occur, they could significantly harm our business, financial condition, results of operations and prospects.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Our stock price is likely to be volatile. Since our IPO in June 2018, the trading price of our common stock has ranged from $11.85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60" w:lineRule="exact"/>
        <w:rPr>
          <w:sz w:val="20"/>
          <w:szCs w:val="20"/>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4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Based on shares outstanding as of January 15, 2019, our executive officers, directors, five percent stockholders and their affiliates beneficially owned approximately 61% of our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5"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316"/>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60" w:hanging="316"/>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this report. In particular, we have not included in this report, and do not intend to include in our 2019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ourselves of this exemption from new or revised accounting standards and, therefore, we will not be subject to the same new or revised accounting standards as other public companies that are not emerging growth companies.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296"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and maintain director and officer liability insurance.</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86"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will be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2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as of December 31, 2018, management and our independent registered public accounting firm have concluded that the material weaknesses remain unremediated. In addition, in February 2019, one of our vendors was subject to a cyberattack by a third party, which resulted in the payment by us of a fraudulent invoice.</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expect to incur additional costs to remediate these control deficiencies, though there can be no assurance that our efforts will be successful or avoid potential future material weaknesses.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30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February 1, 2019, holders of an aggregate of approximately 7.7 million shares of our common stock will have rights, subject to certain conditions, to require us to file registration statements covering their shares or to include their shares in registration statements that we may file for ourselves or other stockholders. In addition, 2,164,101 shares reserved for issuance upon the exercise of existing stock options outstanding as of December 31, 2018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87" w:lineRule="exact"/>
        <w:rPr>
          <w:sz w:val="20"/>
          <w:szCs w:val="20"/>
          <w:color w:val="auto"/>
        </w:rPr>
      </w:pPr>
    </w:p>
    <w:p>
      <w:pPr>
        <w:ind w:left="1060" w:right="320" w:hanging="316"/>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40" w:hanging="31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jc w:val="both"/>
        <w:ind w:left="1060" w:right="200" w:hanging="316"/>
        <w:spacing w:after="0" w:line="264"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200" w:right="360"/>
        <w:spacing w:after="0" w:line="286" w:lineRule="auto"/>
        <w:rPr>
          <w:sz w:val="20"/>
          <w:szCs w:val="20"/>
          <w:color w:val="auto"/>
        </w:rPr>
      </w:pPr>
      <w:r>
        <w:rPr>
          <w:rFonts w:ascii="Arial" w:cs="Arial" w:eastAsia="Arial" w:hAnsi="Arial"/>
          <w:sz w:val="17"/>
          <w:szCs w:val="17"/>
          <w:color w:val="auto"/>
        </w:rPr>
        <w:t>Our corporate headquarters are located in Cambridge, Massachusetts. Our current leased facility for our corporate headquarters encompasses approximately 11,218 square feet of office space. The lease for this facility expires in January 2023. In August 2018, we entered into a sub-lease for 13,643 square feet of laboratory space located in Cambridge Massachusetts, which expires in October 2020.</w:t>
      </w:r>
    </w:p>
    <w:p>
      <w:pPr>
        <w:spacing w:after="0" w:line="310"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3"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Our common stock is traded on the Nasdaq Global Select Market under the symbol “AVRO”. Trading of our common stock commenced on June 21, 2018, following the completion of our initial public offering. Prior to that time, there was no established public trading market for our common stock.</w:t>
      </w:r>
    </w:p>
    <w:p>
      <w:pPr>
        <w:spacing w:after="0" w:line="12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 of March 20, 2019, the number of holders of record of our common stock was 16. This number does not include beneficial owners whose shares are held in street name.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Equity Compensation Plans</w:t>
      </w:r>
    </w:p>
    <w:p>
      <w:pPr>
        <w:spacing w:after="0" w:line="117"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July 2018, we sold 6,091 shares of common stock to Silicon Valley Bank upon its net exercise of its common stock warrants to purchase 6,850 shares of common stock at $3.28 per share.</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December 2018, we granted stock options to purchase 293,000 shares of our common stock with an exercise price of $21.76, as a material inducement to the employment of Birgitte Volck, M.D., Ph.D.</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issuance of the securities described above was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On June 25, 2018, we completed our initial public offering of 6,035,151 shares of our common stock at a price of $19.00 per share for an aggregate offering price of approximately $114.7 million, including the full exercise of the underwriters’ option to purchase additional shares. Morgan Stanley &amp; Co. LLC, Cowen and Company, LLC, Wells Fargo Securities, LLC and Wedbush Securities Inc. served as the underwriters of the IPO. The offer and sale of all of the shares in the offering were registered under the Securities Act pursuant to a registration statement on Form S-1 (File Nos. 333-225213 and 333-225764), which became effective on June 20, 2018.</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received aggregate net proceeds from the offering of approximately $104.0 million, after deducting underwriting discounts and commissions, as well as other offering expenses. No offering expenses were paid directly or indirectly to any of our directors or officers (or their associates) or persons owning ten percent or more of any class of our equity securities or to any other affiliates.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of December 31, 2018, we had used approximately $28.7 million of the net proceeds from the IPO, primarily to fund our current programs in Fabry disease, Gaucher disease, cystinosis, and Pompe disease; our external and internal manufacturing and process development activities related to our programs and to fund research and development activities that relate to all of our clinical and preclinical activities, including the cost of research and development personnel; and general and administrative expenses, working capital and other general corporate purposes. There has been no material change in our planned use of the net proceeds from the offering as described in the final prospectus filed with the SEC pursuant to Rule 424(b) under the Securities Act.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i w:val="1"/>
          <w:iCs w:val="1"/>
          <w:color w:val="auto"/>
        </w:rPr>
        <w:t>Our management’s discussion and analysis of our financial condition and results of operations are based upon our consolidated financial statements included in this Annual Report on Form 10-K, which have been prepared by us in accordance with United States (“U.S.”) generally accepted accounting principles, or GAAP, and with Regulation S-X promulgated under the Securities Exchange Act of 1934, as amended. This discussion and analysis should be read in conjunction with these consolidated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Part I, Item 1A. Risk Factors of this Annual Report on Form 10-K, our actual results could differ materially from the results described in or implied by the forward-looking statements contained in the following discussion and analysis.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international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Through December 31, 2018, we had received gross proceeds of $87.5 million from the sales of our preferred stock and $114.7 million from the sales of common stock through our IPO. Since our inception, we have incurred significant operating losses. Our ability to generate product revenue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90" w:lineRule="auto"/>
        <w:rPr>
          <w:sz w:val="20"/>
          <w:szCs w:val="20"/>
          <w:color w:val="auto"/>
        </w:rPr>
      </w:pPr>
      <w:r>
        <w:rPr>
          <w:rFonts w:ascii="Arial" w:cs="Arial" w:eastAsia="Arial" w:hAnsi="Arial"/>
          <w:sz w:val="16"/>
          <w:szCs w:val="16"/>
          <w:color w:val="auto"/>
        </w:rPr>
        <w:t>sufficient to achieve profitability will depend heavily on the successful development and eventual commercialization of one or more of our current or future product candidates and programs. Our net losses were $46.4 million and $18.6 million for the years ended December 31, 2018 and 2017, respectively. As of December 31, 2018 we had an accumulated deficit of $71.7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incur additional costs associated with operating as a public company, including significant legal, accounting, investor relations and other expenses that we did not incur as a private company.</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As of December 31, 2018, we had cash and cash equivalents of $126.3 million. We believe that our existing cash and cash equivalents as of December 31, 2018 will enable us to fund our operating expenses and capital expenditure requirements into the second half of 2020.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154"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On December 13, 2018, we dosed the second patient in our ongoing Phase 2 clinical trial of AVR-RD-01 for Fabry disease. In 2018, we held a pre-Investigational New Drug, or pre-IND, meeting with the U.S. Food and Drug Administration, or FDA, to discuss the requirements to commence clinical trials in the United States. We expect to open a U.S. site for our ongoing Phase 2 clinical trial of AVR-RD-01 in the second half of 2019. In addition, on November 22, 2018 and February 21, 2019, the fourth and fifth patients were dosed in the ongoing investigator-sponsored Phase 1 clinical trial of AVR-RD-01 for Fabry disease, respectively. On October 1, 2018 and February 6, 2019, we released clinical data from the investigator-sponsored Phase 1 clinical trial and our Phase 2 clinical trial of AVR-RD-01 for Fabry disease. In December 2018, clearance was received from the FDA for the IND application for the planned academic sponsored Phase 1/2 clinical trial of AVR-RD-04. In September 2018, we received acceptance of the Clinical Trial Application, or CTA, in Canada for the planned Phase 1/2 clinical trial for AVR-RD-02.</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87" w:lineRule="exact"/>
        <w:rPr>
          <w:sz w:val="20"/>
          <w:szCs w:val="20"/>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0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 (in thousands):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$10,673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Gaucher</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7,503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Cystinosis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1,241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Unallocated research and development expenses</w:t>
            </w:r>
          </w:p>
        </w:tc>
        <w:tc>
          <w:tcPr>
            <w:tcW w:w="28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14,619</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research and development expenses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20" w:type="dxa"/>
            <w:vAlign w:val="bottom"/>
            <w:vMerge w:val="restart"/>
          </w:tcPr>
          <w:p>
            <w:pPr>
              <w:jc w:val="right"/>
              <w:ind w:right="2190"/>
              <w:spacing w:after="0"/>
              <w:rPr>
                <w:sz w:val="20"/>
                <w:szCs w:val="20"/>
                <w:color w:val="auto"/>
              </w:rPr>
            </w:pPr>
            <w:r>
              <w:rPr>
                <w:rFonts w:ascii="Arial" w:cs="Arial" w:eastAsia="Arial" w:hAnsi="Arial"/>
                <w:sz w:val="18"/>
                <w:szCs w:val="18"/>
                <w:color w:val="auto"/>
              </w:rPr>
              <w:t>105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680" w:hanging="316"/>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risks disclosed in the section entitled “Risk Factors” of this Annual Report on Form 10-K.</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connection with entering into our loan agreement, we agreed to issue a warrant to purchase shares of our preferred stock to the lender. Prior to the completion of our IPO, we classified the warrant as a liability on our consolidated balance sheet and we were required to remeasure to fair value at each reporting date. We recognized changes in the fair value of the warrant liability as a component of other income (expense), net in our consolidated statements of operations and comprehensive loss. Upon the closing of our IPO, the warrant to purchase preferred stock was converted to a warrant to purchase common stock. The carrying amount of the warrant to purchase preferred stock as of the date of our IPO was transferred to additional paid in capital. No further revaluation is needed for the warrant to purchase common stock.</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stock purchase agreement with University Health Network, or UHN, provides for a payment to UHN upon completion of an initial public offering, which included our IPO, if UHN’s fully-diluted percentage ownership of our company is reduced within a range of specified percentages. We classified the IPO dilution payment obligation as a liability on our consolidated balance sheet and we were required to remeasure to fair value at each reporting date. We recognized changes in the fair value of the derivative liability as a component of other income (expense), net in our consolidated statements of operations and comprehensive loss. On June 21, 2018, in connection with our IPO, we remeasured the fair value of the derivative liability to $2.0 million as we were required to pay the dilution payment as mentioned above, which was paid in July 2018.</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our consolidated results of operations for the years ended December 31, 2018 and 2017 (in thousands):</w:t>
      </w:r>
    </w:p>
    <w:p>
      <w:pPr>
        <w:spacing w:after="0" w:line="24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w w:val="91"/>
              </w:rPr>
              <w:t>$ 35,095</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$ 15,191</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$ 19,904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5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(46,243)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(18,386)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(162)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(1,629)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(46,361</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(27,713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2018 and 2017 (in thousands):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Fabry</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$10,673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Gaucher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AML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Cystinosis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Pompe</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9,297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3,203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23"/>
        </w:trPr>
        <w:tc>
          <w:tcPr>
            <w:tcW w:w="636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35,095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Research and development expenses were $35.1 million for the year ended December 31, 2018, compared to $15.2 million for the year ended December 31, 2017. The increase of $19.9 million was primarily due to increases of $4.6 million in direct costs for our Fabry program, $4.9 million in direct costs connected with our Gaucher program, $0.2 million in direct costs related to our Cystinosis program, and $10.4 million in unallocated research and development expenses, all partially offset by a decrease of $0.1 million in direct costs for our AML program.</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40"/>
          </w:cols>
          <w:pgMar w:left="240" w:top="459" w:right="6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costs of $1.1 million, as well as CMO, CRO and consulting fees of $3.5 million.</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costs of $3.0 million, as well as CMO, CRO and consulting fees of $1.7 million.</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increase in direct costs for our Cystinosis program was primarily due to pre-clinical and process development costs of $0.4 million, as well as CRO and consulting fees of $0.7 million, all partially off-set by a decrease in upfront license cost of $1.0 million paid to GenStem.</w:t>
      </w:r>
    </w:p>
    <w:p>
      <w:pPr>
        <w:spacing w:after="0" w:line="14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increase in unallocated research and development expenses was primarily due to an increase of $6.1 million in personnel-related costs, including stock-based compensation as a result of hiring additional personnel in our research and development department, an increase of $0.7 million in consulting expenses, an increase in lab supplies and pre-clinical and process development costs of $0.8 million and an increase of $2.2 million in facility costs, rent expense and other miscellaneous expenses. Personnel-related costs for the years ended December 31, 2018 and 2017 included stock-based compensation expense of $0.9 million and less than $0.1 million, respectively.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General and administrative expenses were $11.1 million for the year ended December 31, 2018, compared to $3.2 million for the year ended December 31, 2017. The increase of $8.0 million was primarily due to increases of $4.2 million in personnel-related costs, including stock-based compensation, $1.4 million in consulting expense, $0.6 million in professional fees, $0.6 million in legal fees, $0.2 million in depreciation expense, $0.3 million in facility expense and $0.6 million in other miscellaneous expenses. The increase in personnel-related costs was due to the hiring of additional personnel in our general and administrative functions, including the hiring of our former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employee headcount.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Other income (expense), net was an expense of $0.1 million for the year ended December 31, 2018, compared to a net expense of $0.3 million for the year ended December 31, 2017. The decrease in other expense of $0.2 million was primarily due to a $1.7 million increase in interest income, partially offset by an increase of $1.5 million in the change in fair value of derivative liability and the preferred stock warrant liability.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Through December 31, 2018, we had received gross cash proceeds of $87.5 million and $114.7 million from sales of our preferred stock and IPO, respectively.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4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Year Ended</w:t>
      </w:r>
    </w:p>
    <w:p>
      <w:pPr>
        <w:jc w:val="center"/>
        <w:ind w:left="63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(37,648)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(1,832)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160,287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120,807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During the year ended December 31, 2018, operating activities used $37.6 million of cash and cash equivalents, resulting from our net loss of $46.4 million, partially offset by non-cash charges of $4.6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$4.2 million. Net cash provided by changes in our operating assets and liabilities for the year ended December 31, 2018 consisted primarily of a</w:t>
      </w:r>
    </w:p>
    <w:p>
      <w:pPr>
        <w:spacing w:after="0" w:line="21" w:lineRule="exact"/>
        <w:rPr>
          <w:sz w:val="20"/>
          <w:szCs w:val="20"/>
          <w:color w:val="auto"/>
        </w:rPr>
      </w:pPr>
    </w:p>
    <w:p>
      <w:pPr>
        <w:ind w:left="200" w:right="160"/>
        <w:spacing w:after="0" w:line="252" w:lineRule="auto"/>
        <w:rPr>
          <w:sz w:val="20"/>
          <w:szCs w:val="20"/>
          <w:color w:val="auto"/>
        </w:rPr>
      </w:pPr>
      <w:r>
        <w:rPr>
          <w:rFonts w:ascii="Arial" w:cs="Arial" w:eastAsia="Arial" w:hAnsi="Arial"/>
          <w:sz w:val="18"/>
          <w:szCs w:val="18"/>
          <w:color w:val="auto"/>
        </w:rPr>
        <w:t>$5.3 million increase in accrued expenses and other current liabilities and a $2.0 million increase in accounts payable, partially offset by a $0.1 million increase in other assets and a $3.0 million increase in prepaid expenses and other current assets. The increases in accrued expenses and other current liabilities were primarily due to ongoing research, development, and clinical trial work, and an increase in the incentive bonus accrual as of December 31, 2018. The increase in prepaid expenses and other current assets was primarily due to a $0.8 million increase in prepaid development costs, a $1.3 million increase in tax incentive refund receivable from the Australian government and a $0.2 million increase in interest income receivable.</w:t>
      </w:r>
    </w:p>
    <w:p>
      <w:pPr>
        <w:spacing w:after="0" w:line="194"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ind w:left="200"/>
        <w:spacing w:after="0" w:line="252"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 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During the years ended December 31, 2018 and 2017, we used $1.8 million and $0.4 million of cash and cash equivalents in investing activities consisting of purchases of property and equipment.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During the year ended December 31, 2018, net cash provided by financing activities was $160.3 million, primarily consisting of net cash proceeds of $104.0 million from our IPO proceeds and $58.3 million from our issuance of Series B preferred stock in January 2018.</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Through the end of the drawdown period on October 31, 2018, we had not drawn down from the facility. The Loan Agreement expired on October 31, 2018.</w:t>
      </w:r>
    </w:p>
    <w:p>
      <w:pPr>
        <w:spacing w:after="0" w:line="17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first tranche of $3.5 million was made available upon entry into the Loan Agreement as we satisfied the borrowing conditions at such time. The second tranche of $3.5 million would be made available after the funding of the first tranche amounts and upon confirmation by SVB that either we have met certain clinical and developmental milestones, or we have subsequently obtained at least $7.5 million in cash proceeds from the sale of our equity securities from investors reasonably acceptable to SVB. The third tranche of $3.0 million would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would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contained a negative pledge on our intellectual property.</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was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 Following the completion of our IPO, this warrant was initially exercisable for 6,850 shares of common stock, and up to an additional 38,818 shares of common stock may become subject to this warrant. In July 2018, the initially exercisable warrant of 6,850 shares was net exercised for 6,091 shares of common stock.</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Loan Agreement allowed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58"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Loan Agreement contained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81"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The Loan Agreement included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In October 2018, we amended the Loan Agreement with our lender to, among other things, permit us to create a Massachusetts securities corporation. In addition, we were required at all times, if we maintain cash or other investments in the securities corporation’s accounts, to have on deposit in operating, depository and securities accounts in our name maintained with our lender, cash in an amount equal to 105% of the then-outstanding loan amount.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continue to incur additional costs associated with operating as a public company that we had not incurred as a private company. Our expenses will also increase as we:</w:t>
      </w:r>
    </w:p>
    <w:p>
      <w:pPr>
        <w:spacing w:after="0" w:line="87" w:lineRule="exact"/>
        <w:rPr>
          <w:sz w:val="20"/>
          <w:szCs w:val="20"/>
          <w:color w:val="auto"/>
        </w:rPr>
      </w:pPr>
    </w:p>
    <w:p>
      <w:pPr>
        <w:ind w:left="1060" w:hanging="316"/>
        <w:spacing w:after="0"/>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continue our development of our product candidates, including continuing enrollment in our ongoing Phase 2 clinical trial for AVR-RD-01;</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 to transition our organization to operating as a public company.</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believe that our existing cash and cash equivalents as of December 31, 2018 will enable us to fund our operating expenses and capital expenditure requirements into the second half of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jc w:val="both"/>
        <w:ind w:left="200" w:right="340" w:firstLine="441"/>
        <w:spacing w:after="0" w:line="312"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5" w:lineRule="auto"/>
        <w:rPr>
          <w:sz w:val="20"/>
          <w:szCs w:val="20"/>
          <w:color w:val="auto"/>
        </w:rPr>
      </w:pPr>
      <w:r>
        <w:rPr>
          <w:rFonts w:ascii="Arial" w:cs="Arial" w:eastAsia="Arial" w:hAnsi="Arial"/>
          <w:sz w:val="18"/>
          <w:szCs w:val="18"/>
          <w:color w:val="auto"/>
        </w:rPr>
        <w:t>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5"/>
              </w:rPr>
              <w:t>Less than</w:t>
            </w:r>
          </w:p>
        </w:tc>
        <w:tc>
          <w:tcPr>
            <w:tcW w:w="46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1 to 3</w:t>
            </w:r>
          </w:p>
        </w:tc>
        <w:tc>
          <w:tcPr>
            <w:tcW w:w="460" w:type="dxa"/>
            <w:vAlign w:val="bottom"/>
          </w:tcPr>
          <w:p>
            <w:pPr>
              <w:spacing w:after="0"/>
              <w:rPr>
                <w:sz w:val="10"/>
                <w:szCs w:val="10"/>
                <w:color w:val="auto"/>
              </w:rPr>
            </w:pPr>
          </w:p>
        </w:tc>
        <w:tc>
          <w:tcPr>
            <w:tcW w:w="36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4 to 5</w:t>
            </w:r>
          </w:p>
        </w:tc>
        <w:tc>
          <w:tcPr>
            <w:tcW w:w="112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commitments (1)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2,268</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4,861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2,268</w:t>
            </w:r>
          </w:p>
        </w:tc>
        <w:tc>
          <w:tcPr>
            <w:tcW w:w="46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787</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120" w:hanging="436"/>
        <w:spacing w:after="0" w:line="264"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for office and laboratory space, which are located in Cambridge, Massachusetts. Those leases will expire from October 2020 to January 2023. The minimum lease payments above do not include any related common area maintenance charges or real estate taxes.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Additionally, the table above excludes the $2.0 million payment that we made to UHN following the closing of our IPO.</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report, we believe that the following accounting policies are those most critical to the judgments and estimates used in the preparation of our consolidated financial statements.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Prior to the adoption of Accounting Standards Update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 (ASU 2018-07)</w:t>
      </w:r>
      <w:r>
        <w:rPr>
          <w:rFonts w:ascii="Arial" w:cs="Arial" w:eastAsia="Arial" w:hAnsi="Arial"/>
          <w:sz w:val="18"/>
          <w:szCs w:val="18"/>
          <w:color w:val="auto"/>
        </w:rPr>
        <w:t>, as discussed in Note 2 to our consolidated financial statements appearing at the end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document, the measurement date for non-employee awards was generally the date the services are completed, resulting in financial reporting period adjustments to stock-based compensation during the vesting terms for changes in the fair value of the awards. After the adoption of ASU 2018-07, the measurement date for non-employee awards is the later of the adoption date of ASU 2018-07, or the date of grant, without change in the fair value of the award.</w:t>
      </w:r>
    </w:p>
    <w:p>
      <w:pPr>
        <w:spacing w:after="0" w:line="19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24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The fair value of our common stock is determined based on the quoted market price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Prior to our IPO, our stock was not publicly traded, and therefore we estimated the fair value of our common stock, as discussed in “Determination of the Fair Value of Common Stock” below.</w:t>
      </w:r>
    </w:p>
    <w:p>
      <w:pPr>
        <w:spacing w:after="0" w:line="86" w:lineRule="exact"/>
        <w:rPr>
          <w:rFonts w:ascii="Arial" w:cs="Arial" w:eastAsia="Arial" w:hAnsi="Arial"/>
          <w:sz w:val="18"/>
          <w:szCs w:val="18"/>
          <w:color w:val="auto"/>
        </w:rPr>
      </w:pPr>
    </w:p>
    <w:p>
      <w:pPr>
        <w:ind w:left="1060" w:right="20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20" w:hanging="316"/>
        <w:spacing w:after="0" w:line="308"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20" w:hanging="316"/>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24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our common stock is determined based on the quoted market price of our common stock.</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After a public trading market for our common stock was established following the closing of our IPO, it was no longer necessary for our board of directors to estimate the fair market value of our common stock in connection with our accounting for granted equity awards.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probability-weighted expected return method, or PWERM, which considered as inputs the type and probability of occurrence of an IPO dilution event, the amount of the payment, the expected timing of an IPO dilution event and a risk-adjusted discount rate.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connection with entering into the Loan Agreement, we agreed to issue a warrant to purchase shares of our Series A preferred stock to the lender. We classified the warrant as a liability on our consolidated balance sheet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because the warrant represented a free-standing financial instrument that may have required us to transfer assets upon exercise. The warrant liability was initially recorded at fair value upon the date of the warrant issuance and was subsequently remeasured to fair value at each reporting date. Changes in the fair value of the warrant liability were recognized as a component of other income (expense), net in the consolidated statements of operations.</w:t>
      </w:r>
    </w:p>
    <w:p>
      <w:pPr>
        <w:spacing w:after="0" w:line="14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utilized the Black-Scholes option-pricing model, which incorporates assumptions and estimates, to value the warrant. We assessed these assumptions and estimates on a quarterly basis as additional information impacting the assumptions was obtained. Estimates and assumptions impacting the fair value measurement included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lacked company-specific historical and implied volatility information of our stock. Therefore, we estimated expected stock volatility based on the historical volatility of publicly traded peer companies for a term equal to the remaining contractual term of the warrant. The risk-free interest rate was determined by reference to the U.S. Treasury yield curve for time periods approximately equal to the remaining contractual term of the warrant. We estimated a 0% dividend yield based on the fact that we have never paid or declared dividends.</w:t>
      </w:r>
    </w:p>
    <w:p>
      <w:pPr>
        <w:spacing w:after="0" w:line="166"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Upon the closing of our IPO, the preferred stock warrant became exercisable for common stock instead of preferred stock. The carrying amount of the warrant to purchase preferred stock as of the date of IPO was transferred to additional paid in capital. No further revaluation was required for the warrant to purchase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advantage of certain exemptions from various reporting requirements that are applicable to other public companies that are not emerging growth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We may take advantage of these exemptions until we are no longer an emerging growth company. Section 107 of the JOBS Act provides that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 emerging growth company can take advantage of the extended transition period afforded by the JOBS Act for the implementation of new or revised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standards. We have elected to use the extended transition period for complying with new or revised accounting standards and, as a result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election, our financial statements may not be comparable to companies that comply with public company effective dates. We may take advantage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exemptions up until the last day of the fiscal year following the fifth anniversary of our IPO or such earlier time that we are no longer an emerging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 company. We would cease to be an emerging growth company if we have more than $1.07 billion in annual revenue, we have more than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$700.0 million in market value of our stock held by non-affiliates (and we have been a public company for at least 12 months and have filed one annual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 on Form 10-K) or we issue more than $1.0 billion of non-convertible debt securities over a three-year period.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audited financial statements appearing elsewhere in this report.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As of December 31, 2018, we had cash and cash equivalents of $126.3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2018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$51 thousand and $19 thousand, respectively. These losses primarily related to unrealized and realized foreign currency gains and losses as a result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All financial statements and supplementary data required to be filed hereunder are filed as listed under Item 15(a) of this Annual Report on Form 10-K and are incorporated herein by this reference.</w:t>
      </w:r>
    </w:p>
    <w:p>
      <w:pPr>
        <w:spacing w:after="0" w:line="275" w:lineRule="exact"/>
        <w:rPr>
          <w:sz w:val="20"/>
          <w:szCs w:val="20"/>
          <w:color w:val="auto"/>
        </w:rPr>
      </w:pPr>
    </w:p>
    <w:p>
      <w:pPr>
        <w:ind w:left="200" w:right="352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December 31,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assurance of achieving their objectives and management necessarily applies its judgment in evaluating the cost-benefit relationship of possible controls and procedures. Based on the evaluation of our disclosure controls and procedures as of December 31, 2018, our Chief Executive Officer and Chief Financial Officer concluded that, as a result of the material weaknesses in our internal control over financial reporting as described below and in Part II, Item 1A. of this report, our disclosure controls and procedures were not effective as of December 31, 2018. Notwithstanding the material weaknesses, our management has concluded that the financial statements included elsewhere in this report present fairly, in all material respects, our financial position, results of operations and cash flows in conformity with GAAP.</w:t>
      </w:r>
    </w:p>
    <w:p>
      <w:pPr>
        <w:spacing w:after="0" w:line="178"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In 2018, we began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 Although progress has been made to strengthen our controls, as of December 31, 2018, management and our independent registered public accounting firm have concluded that the material weaknesses remain unremediated. In addition, in February 2019, one of our vendors was subject to a cyberattack by a third party, which resulted in the payment by us of a fraudulent invoice.</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Additionally, in connection with the audit of our consolidated financial statements for the year ended December 31, 2018, we and our independent registered public accounting firm identified a further material weakness in our internal control over financial reporting related to deficiencies in our controls over the financial statement close process. Specifically, there was a lack of controls over the accounting for accrued research and development expenses.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measures we are implementing are subject to continued management review supported by confirmation and testing, as well as audit committee oversight. Management remains committed to the implementation of remediation efforts to address these material weaknesses.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weaknesses previously disclosed, and as described above, will continue to exist.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quarter ended December 31, 2018 that has materially affected, or is reasonably likely to materially affect, our internal control over financial reporting.</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240" w:top="459" w:right="5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on Form 10-K and is incorporated by reference from our definitive proxy statement relating to our 2019 annual meeting of stockholders, pursuant to Regulation 14A of the Securities Exchange Act of 1934, as amended, also referred to in this Annual Report on Form 10-K as our 2019 Proxy Statement, which we expect to file with the SEC no later than April 30, 2019.</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Information required by this item with respect to our directors and executive officers and compliance with Section 16(a) of the Exchange Act will be included in our 2019 Proxy Statement and is incorporated herein by reference.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information required by this item regarding executive compensation will be included in our 2019 Proxy Statement and is incorporated herein by reference.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and securities authorized for issuance under equity compensation plans will be included in our 2019 Proxy Statement and is incorporated herein by reference.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included in our 2019 Proxy Statement and is incorporated herein by reference.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information required by this item regarding principal accounting fees and services will be included in our 2019 Proxy Statement and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440" w:hanging="23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documents are included in this Annual Report on Form 10-K:</w:t>
      </w:r>
    </w:p>
    <w:p>
      <w:pPr>
        <w:spacing w:after="0" w:line="130" w:lineRule="exact"/>
        <w:rPr>
          <w:rFonts w:ascii="Arial" w:cs="Arial" w:eastAsia="Arial" w:hAnsi="Arial"/>
          <w:sz w:val="18"/>
          <w:szCs w:val="18"/>
          <w:color w:val="auto"/>
        </w:rPr>
      </w:pPr>
    </w:p>
    <w:p>
      <w:pPr>
        <w:ind w:left="1080" w:right="1940" w:hanging="444"/>
        <w:spacing w:after="0" w:line="375" w:lineRule="auto"/>
        <w:tabs>
          <w:tab w:leader="none" w:pos="106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following Report and Consolidated Financial Statements of the Company are included in this Annual Report: Report of Independent Registered Public Accounting Firm</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w:t>
      </w:r>
    </w:p>
    <w:p>
      <w:pPr>
        <w:spacing w:after="0" w:line="117" w:lineRule="exact"/>
        <w:rPr>
          <w:rFonts w:ascii="Arial" w:cs="Arial" w:eastAsia="Arial" w:hAnsi="Arial"/>
          <w:sz w:val="18"/>
          <w:szCs w:val="18"/>
          <w:color w:val="auto"/>
        </w:rPr>
      </w:pPr>
    </w:p>
    <w:p>
      <w:pPr>
        <w:ind w:left="1080" w:right="2600"/>
        <w:spacing w:after="0" w:line="375" w:lineRule="auto"/>
        <w:rPr>
          <w:rFonts w:ascii="Arial" w:cs="Arial" w:eastAsia="Arial" w:hAnsi="Arial"/>
          <w:sz w:val="18"/>
          <w:szCs w:val="18"/>
          <w:color w:val="auto"/>
        </w:rPr>
      </w:pPr>
      <w:r>
        <w:rPr>
          <w:rFonts w:ascii="Arial" w:cs="Arial" w:eastAsia="Arial" w:hAnsi="Arial"/>
          <w:sz w:val="18"/>
          <w:szCs w:val="18"/>
          <w:color w:val="auto"/>
        </w:rPr>
        <w:t>Consolidated Statements of Redeemable Convertible Preferred Stock and Stockholders’ (Deficit) Equity Consolidated Statements of Cash Flows</w:t>
      </w:r>
    </w:p>
    <w:p>
      <w:pPr>
        <w:spacing w:after="0" w:line="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financial schedules have been omitted because the required information is either presented in the consolidated financial statements or the notes thereto or is not applicable or required.</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are incorporated by reference 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Redeemable Convertible Preferred Stock and Stockholders’ (Deficit) Equity</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31">
              <w:r>
                <w:rPr>
                  <w:rFonts w:ascii="Arial" w:cs="Arial" w:eastAsia="Arial" w:hAnsi="Arial"/>
                  <w:sz w:val="18"/>
                  <w:szCs w:val="18"/>
                  <w:color w:val="0000EE"/>
                  <w:w w:val="89"/>
                </w:rPr>
                <w:t>Consolidated Statements of Cash Flows</w:t>
              </w:r>
            </w:hyperlink>
          </w:p>
        </w:tc>
        <w:tc>
          <w:tcPr>
            <w:tcW w:w="4620" w:type="dxa"/>
            <w:vAlign w:val="bottom"/>
            <w:tcBorders>
              <w:top w:val="single" w:sz="8" w:color="0000EE"/>
            </w:tcBorders>
            <w:gridSpan w:val="4"/>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AVROBIO, Inc. (the Company) as of December 31, 2018 and 2017, the related consolidated statements of operations and comprehensive loss, redeemable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25,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133,479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80" w:type="dxa"/>
            <w:vAlign w:val="bottom"/>
          </w:tcPr>
          <w:p>
            <w:pPr>
              <w:ind w:left="340"/>
              <w:spacing w:after="0" w:line="201" w:lineRule="exact"/>
              <w:rPr>
                <w:sz w:val="20"/>
                <w:szCs w:val="20"/>
                <w:color w:val="auto"/>
              </w:rPr>
            </w:pPr>
            <w:r>
              <w:rPr>
                <w:rFonts w:ascii="Arial" w:cs="Arial" w:eastAsia="Arial" w:hAnsi="Arial"/>
                <w:sz w:val="18"/>
                <w:szCs w:val="18"/>
                <w:color w:val="auto"/>
                <w:w w:val="97"/>
              </w:rPr>
              <w:t>Preferred stock, $0.0001 par value; 10,000,000 shares authorized and no shares issued or outstanding as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520"/>
              <w:spacing w:after="0"/>
              <w:rPr>
                <w:sz w:val="20"/>
                <w:szCs w:val="20"/>
                <w:color w:val="auto"/>
              </w:rPr>
            </w:pPr>
            <w:r>
              <w:rPr>
                <w:rFonts w:ascii="Arial" w:cs="Arial" w:eastAsia="Arial" w:hAnsi="Arial"/>
                <w:sz w:val="18"/>
                <w:szCs w:val="18"/>
                <w:color w:val="auto"/>
              </w:rPr>
              <w:t>December 31, 2018; No shares authorized, issued or outstanding at December 31, 2017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$0.0001 par value; 150,000,000 and 51,000,000 shares authorized as of December 31, 2018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3"/>
              </w:rPr>
              <w:t>2017, respectively; 23,959,903 and 2,581,474 shares issued as of December 31, 2018 and 2017,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23,806,628 and 2,305,173 shares outstanding as of December 31, 2018 and 2017,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(71,739)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(23,474)</w:t>
            </w:r>
          </w:p>
        </w:tc>
      </w:tr>
      <w:tr>
        <w:trPr>
          <w:trHeight w:val="230"/>
        </w:trPr>
        <w:tc>
          <w:tcPr>
            <w:tcW w:w="20" w:type="dxa"/>
            <w:vAlign w:val="bottom"/>
          </w:tcPr>
          <w:p>
            <w:pPr>
              <w:spacing w:after="0"/>
              <w:rPr>
                <w:sz w:val="20"/>
                <w:szCs w:val="20"/>
                <w:color w:val="auto"/>
              </w:rPr>
            </w:pPr>
          </w:p>
        </w:tc>
        <w:tc>
          <w:tcPr>
            <w:tcW w:w="8780" w:type="dxa"/>
            <w:vAlign w:val="bottom"/>
          </w:tcPr>
          <w:p>
            <w:pPr>
              <w:ind w:left="700"/>
              <w:spacing w:after="0"/>
              <w:rPr>
                <w:sz w:val="20"/>
                <w:szCs w:val="20"/>
                <w:color w:val="auto"/>
              </w:rPr>
            </w:pPr>
            <w:r>
              <w:rPr>
                <w:rFonts w:ascii="Arial" w:cs="Arial" w:eastAsia="Arial" w:hAnsi="Arial"/>
                <w:sz w:val="18"/>
                <w:szCs w:val="18"/>
                <w:color w:val="auto"/>
              </w:rPr>
              <w:t>Total stockholders’ equity (deficit)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122,184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(23,135)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133,479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35,095</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(46,361</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(2,243)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in computing net loss per share attributable to common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13,435,478</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0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5"/>
              </w:rPr>
              <w:t>Series Seed</w:t>
            </w:r>
          </w:p>
        </w:tc>
        <w:tc>
          <w:tcPr>
            <w:tcW w:w="15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960" w:type="dxa"/>
            <w:vAlign w:val="bottom"/>
            <w:gridSpan w:val="4"/>
            <w:vMerge w:val="restart"/>
          </w:tcPr>
          <w:p>
            <w:pPr>
              <w:jc w:val="center"/>
              <w:ind w:left="388"/>
              <w:spacing w:after="0"/>
              <w:rPr>
                <w:sz w:val="20"/>
                <w:szCs w:val="20"/>
                <w:color w:val="auto"/>
              </w:rPr>
            </w:pPr>
            <w:r>
              <w:rPr>
                <w:rFonts w:ascii="Arial" w:cs="Arial" w:eastAsia="Arial" w:hAnsi="Arial"/>
                <w:sz w:val="14"/>
                <w:szCs w:val="14"/>
                <w:b w:val="1"/>
                <w:bCs w:val="1"/>
                <w:color w:val="auto"/>
                <w:w w:val="89"/>
              </w:rPr>
              <w:t>Series B</w:t>
            </w: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1580" w:type="dxa"/>
            <w:vAlign w:val="bottom"/>
            <w:gridSpan w:val="5"/>
            <w:vMerge w:val="continue"/>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5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Redeemable</w:t>
            </w:r>
          </w:p>
        </w:tc>
        <w:tc>
          <w:tcPr>
            <w:tcW w:w="1540" w:type="dxa"/>
            <w:vAlign w:val="bottom"/>
            <w:tcBorders>
              <w:right w:val="single" w:sz="8" w:color="auto"/>
            </w:tcBorders>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Redeemable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00" w:type="dxa"/>
            <w:vAlign w:val="bottom"/>
            <w:gridSpan w:val="5"/>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580" w:type="dxa"/>
            <w:vAlign w:val="bottom"/>
            <w:gridSpan w:val="5"/>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540" w:type="dxa"/>
            <w:vAlign w:val="bottom"/>
            <w:tcBorders>
              <w:right w:val="single" w:sz="8" w:color="auto"/>
            </w:tcBorders>
            <w:gridSpan w:val="6"/>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40" w:type="dxa"/>
            <w:vAlign w:val="bottom"/>
          </w:tcPr>
          <w:p>
            <w:pPr>
              <w:spacing w:after="0"/>
              <w:rPr>
                <w:sz w:val="13"/>
                <w:szCs w:val="13"/>
                <w:color w:val="auto"/>
              </w:rPr>
            </w:pPr>
          </w:p>
        </w:tc>
        <w:tc>
          <w:tcPr>
            <w:tcW w:w="132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4"/>
          </w:tcPr>
          <w:p>
            <w:pPr>
              <w:ind w:left="100"/>
              <w:spacing w:after="0" w:line="158" w:lineRule="exact"/>
              <w:rPr>
                <w:sz w:val="20"/>
                <w:szCs w:val="20"/>
                <w:color w:val="auto"/>
              </w:rPr>
            </w:pPr>
            <w:r>
              <w:rPr>
                <w:rFonts w:ascii="Arial" w:cs="Arial" w:eastAsia="Arial" w:hAnsi="Arial"/>
                <w:sz w:val="14"/>
                <w:szCs w:val="14"/>
                <w:b w:val="1"/>
                <w:bCs w:val="1"/>
                <w:color w:val="auto"/>
              </w:rPr>
              <w:t>Additional</w:t>
            </w:r>
          </w:p>
        </w:tc>
        <w:tc>
          <w:tcPr>
            <w:tcW w:w="10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Preferred Stock</w:t>
            </w: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54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96"/>
              </w:rPr>
              <w:t>Balance as of December 31, 2016</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3,333,333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1,500</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5,714,286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  7,500</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2,172,068</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w w:val="85"/>
              </w:rPr>
              <w:t>247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Issuance of series A</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preferred stock dividend</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3,720,864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Issuance of series A</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net of</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issuance costs of $85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22,015,349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17,415</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Vesting of restricted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awards</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133,105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85"/>
              </w:rPr>
              <w:t>177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Accretion of issuance costs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related to redeemable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w w:val="98"/>
              </w:rPr>
              <w:t>convertible preferred stock</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w w:val="97"/>
              </w:rPr>
              <w:t>Balance as of December 31, 2017</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6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31,450,499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25,000</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2,305,173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360"/>
              <w:spacing w:after="0" w:line="155" w:lineRule="exact"/>
              <w:rPr>
                <w:sz w:val="20"/>
                <w:szCs w:val="20"/>
                <w:color w:val="auto"/>
              </w:rPr>
            </w:pPr>
            <w:r>
              <w:rPr>
                <w:rFonts w:ascii="Arial" w:cs="Arial" w:eastAsia="Arial" w:hAnsi="Arial"/>
                <w:sz w:val="14"/>
                <w:szCs w:val="14"/>
                <w:color w:val="auto"/>
                <w:w w:val="85"/>
              </w:rPr>
              <w:t>339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(23,474)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(23,135)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Issuance of series B</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net of</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issuance costs of $2,243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28,285,557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58,257</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Issuance of series B</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redeemable convertible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to settle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accrued liability of license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cost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233,765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40"/>
              <w:spacing w:after="0"/>
              <w:rPr>
                <w:sz w:val="20"/>
                <w:szCs w:val="20"/>
                <w:color w:val="auto"/>
              </w:rPr>
            </w:pPr>
            <w:r>
              <w:rPr>
                <w:rFonts w:ascii="Arial" w:cs="Arial" w:eastAsia="Arial" w:hAnsi="Arial"/>
                <w:sz w:val="14"/>
                <w:szCs w:val="14"/>
                <w:color w:val="auto"/>
                <w:w w:val="85"/>
              </w:rPr>
              <w:t>500</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Accretion of issuance costs</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 redeemable</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8"/>
              </w:rPr>
              <w:t>convertible preferred stock</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2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upon IPO, net of issuance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costs of $2,628</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6,035,151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104,012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Reclassification of warrants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to purchase redeemable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convertible stock into</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line="149" w:lineRule="exact"/>
              <w:rPr>
                <w:sz w:val="20"/>
                <w:szCs w:val="20"/>
                <w:color w:val="auto"/>
              </w:rPr>
            </w:pPr>
            <w:r>
              <w:rPr>
                <w:rFonts w:ascii="Arial" w:cs="Arial" w:eastAsia="Arial" w:hAnsi="Arial"/>
                <w:sz w:val="14"/>
                <w:szCs w:val="14"/>
                <w:color w:val="auto"/>
              </w:rPr>
              <w:t>warrants to purchase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common stock</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w w:val="85"/>
              </w:rPr>
              <w:t>197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redeemable</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convertible preferred stock into</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(3,333,333)</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(31,450,499)</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(28,519,322)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(61,000)</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15,320,213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80"/>
              <w:spacing w:after="0" w:line="130" w:lineRule="exact"/>
              <w:rPr>
                <w:sz w:val="20"/>
                <w:szCs w:val="20"/>
                <w:color w:val="auto"/>
              </w:rPr>
            </w:pPr>
            <w:r>
              <w:rPr>
                <w:rFonts w:ascii="Arial" w:cs="Arial" w:eastAsia="Arial" w:hAnsi="Arial"/>
                <w:sz w:val="14"/>
                <w:szCs w:val="14"/>
                <w:color w:val="auto"/>
              </w:rPr>
              <w:t>Exercise of warrants to</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420"/>
              <w:spacing w:after="0"/>
              <w:rPr>
                <w:sz w:val="20"/>
                <w:szCs w:val="20"/>
                <w:color w:val="auto"/>
              </w:rPr>
            </w:pPr>
            <w:r>
              <w:rPr>
                <w:rFonts w:ascii="Arial" w:cs="Arial" w:eastAsia="Arial" w:hAnsi="Arial"/>
                <w:sz w:val="14"/>
                <w:szCs w:val="14"/>
                <w:color w:val="auto"/>
              </w:rPr>
              <w:t>purchase common stock</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ind w:lef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restricted stock</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awards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(46,361)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(46,361)</w:t>
            </w: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w w:val="97"/>
              </w:rPr>
              <w:t>Balance as of December 31, 2018</w:t>
            </w:r>
          </w:p>
        </w:tc>
        <w:tc>
          <w:tcPr>
            <w:tcW w:w="6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23,806,628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193,921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(71,739)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122,184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Year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(46,361)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16"/>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Other long-term liability</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(37,648)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(16,382)</w:t>
            </w: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r>
      <w:tr>
        <w:trPr>
          <w:trHeight w:val="230"/>
        </w:trPr>
        <w:tc>
          <w:tcPr>
            <w:tcW w:w="20" w:type="dxa"/>
            <w:vAlign w:val="bottom"/>
          </w:tcPr>
          <w:p>
            <w:pPr>
              <w:spacing w:after="0"/>
              <w:rPr>
                <w:sz w:val="20"/>
                <w:szCs w:val="20"/>
                <w:color w:val="auto"/>
              </w:rPr>
            </w:pPr>
          </w:p>
        </w:tc>
        <w:tc>
          <w:tcPr>
            <w:tcW w:w="83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shares upon completion of initial public offering, net of offering costs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Payment of dilution liability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Payments of issuance costs on debt facility</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160,287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shd w:val="clear" w:color="auto" w:fill="CCEEFF"/>
          </w:tcPr>
          <w:p>
            <w:pPr>
              <w:spacing w:after="0"/>
              <w:rPr>
                <w:sz w:val="18"/>
                <w:szCs w:val="18"/>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120,807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20" w:type="dxa"/>
            <w:vAlign w:val="bottom"/>
            <w:shd w:val="clear" w:color="auto" w:fill="CCEEFF"/>
          </w:tcPr>
          <w:p>
            <w:pPr>
              <w:spacing w:after="0"/>
              <w:rPr>
                <w:sz w:val="18"/>
                <w:szCs w:val="18"/>
                <w:color w:val="auto"/>
              </w:rPr>
            </w:pPr>
          </w:p>
        </w:tc>
      </w:tr>
      <w:tr>
        <w:trPr>
          <w:trHeight w:val="223"/>
        </w:trPr>
        <w:tc>
          <w:tcPr>
            <w:tcW w:w="83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7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126,794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held for sale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Purchase of property and equipment paid for by landlord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Through December 31, 2018, the Company has funded its operations primarily with proceeds from the sale of series Seed redeemable convertible preferred stock (the “Series Seed Preferred Stock”), series A redeemable convertible preferred stock (the “Series A Preferred Stock”), series B redeemable convertible preferred stock (the “Series B Preferred Stock”) (the Series Seed Preferred Stock, the Series A Preferred Stock and the Series B Preferred Stock are collectively referred to as the “Preferred Stock”) and common stock through the Company’s initial public offering (“IPO”). The Company has incurred recurring losses since its inception, including net losses of $46,361 and $18,648 for the years ended December 31, 2018 and 2017, respectively. In addition, as of December 31, 2018, the Company had an accumulated deficit of $71,739.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 The Company believes the cash and cash equivalents on hand as of December 31, 2018 of $126,302 will be sufficient to fund its operations and capital expenditure requirements through at least the next twelve months from the filing date of this Annual Report on Form 10-K with the SEC.</w:t>
      </w:r>
    </w:p>
    <w:p>
      <w:pPr>
        <w:spacing w:after="0" w:line="284" w:lineRule="exact"/>
        <w:rPr>
          <w:sz w:val="20"/>
          <w:szCs w:val="20"/>
          <w:color w:val="auto"/>
        </w:rPr>
      </w:pPr>
    </w:p>
    <w:p>
      <w:pPr>
        <w:ind w:left="640" w:right="7440" w:hanging="436"/>
        <w:spacing w:after="0" w:line="378" w:lineRule="auto"/>
        <w:tabs>
          <w:tab w:leader="none" w:pos="37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December 31, 2018 and 2017, restricted cash consisted of $492 and $24, respectively, used to secure the letters of credit for the benefit of the landlord in connection with the Company’s lease agreements (Note 14). These amounts are classified as other assets in the Company’s consolidated balance sheets.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8).</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60" w:type="dxa"/>
            <w:vAlign w:val="bottom"/>
            <w:tcBorders>
              <w:bottom w:val="single" w:sz="8" w:color="CCEEFF"/>
            </w:tcBorders>
          </w:tcPr>
          <w:p>
            <w:pPr>
              <w:spacing w:after="0"/>
              <w:rPr>
                <w:sz w:val="14"/>
                <w:szCs w:val="14"/>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22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Lesser of lease term or 10 years</w:t>
            </w:r>
          </w:p>
        </w:tc>
      </w:tr>
    </w:tbl>
    <w:p>
      <w:pPr>
        <w:spacing w:after="0" w:line="202"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2018, the Company recorded an impairment loss of $235 on long-lived assets related to leasehold improvements.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316"/>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20" w:hanging="316"/>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Prior to the adoption of Accounting Standards Update (“ASU”) No. 2018-07,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the measurement date for non-employee awards was generally the date the services are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financial reporting period 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520" w:hanging="436"/>
        <w:spacing w:after="0" w:line="434" w:lineRule="auto"/>
        <w:tabs>
          <w:tab w:leader="none" w:pos="379"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b w:val="1"/>
          <w:bCs w:val="1"/>
          <w:color w:val="auto"/>
        </w:rPr>
        <w:t>(continued)</w:t>
      </w:r>
    </w:p>
    <w:p>
      <w:pPr>
        <w:ind w:left="200" w:right="48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prior to the IPO,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2018,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67"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2018.</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Prior to the IPO, the Company classified the warrant for the purchase of shares of its redeemable convertible preferred stock (see Note 7) as a liability on its consolidated balance sheets as the warrant was a free-standing financial instrument that may require the Company to transfer assets upon exercise. The preferred stock warrant liability was initially recorded at fair value upon the date of issuance and was subsequently remeasured to fair</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540" w:hanging="436"/>
        <w:spacing w:after="0" w:line="434" w:lineRule="auto"/>
        <w:tabs>
          <w:tab w:leader="none" w:pos="379"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 xml:space="preserve">Warrant to Purchase Preferred Stock </w:t>
      </w:r>
      <w:r>
        <w:rPr>
          <w:rFonts w:ascii="Arial" w:cs="Arial" w:eastAsia="Arial" w:hAnsi="Arial"/>
          <w:sz w:val="16"/>
          <w:szCs w:val="16"/>
          <w:b w:val="1"/>
          <w:bCs w:val="1"/>
          <w:color w:val="auto"/>
        </w:rPr>
        <w:t>(continued)</w:t>
      </w:r>
    </w:p>
    <w:p>
      <w:pPr>
        <w:ind w:left="200" w:right="500"/>
        <w:spacing w:after="0" w:line="277" w:lineRule="auto"/>
        <w:rPr>
          <w:sz w:val="20"/>
          <w:szCs w:val="20"/>
          <w:color w:val="auto"/>
        </w:rPr>
      </w:pPr>
      <w:r>
        <w:rPr>
          <w:rFonts w:ascii="Arial" w:cs="Arial" w:eastAsia="Arial" w:hAnsi="Arial"/>
          <w:sz w:val="18"/>
          <w:szCs w:val="18"/>
          <w:color w:val="auto"/>
        </w:rPr>
        <w:t>value at each reporting date. Changes in the fair value of the warrant to purchase preferred stock were recognized as a component of other income (expense), net in the consolidated statements of operations and comprehensive loss.</w:t>
      </w:r>
    </w:p>
    <w:p>
      <w:pPr>
        <w:spacing w:after="0" w:line="170"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The Company utilized the Black-Scholes option-pricing model, which incorporates assumptions and estimates, to value the warrant. The Company assessed these assumptions and estimates on a quarterly basis as additional information impacting the assumptions was obtained. Estimates and assumptions impacting the fair value measurement included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Upon the IPO, the warrant to purchase preferred stock was converted to a warrant to purchase common stock. The carrying amount of the warrant to purchase preferred stock as of the date of IPO was transferred to the account of additional paid in capital. No further revaluation was needed for the warrant to purchase common stock.</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2018 and 2017, the Company recorded foreign exchange losses of $51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540" w:hanging="436"/>
        <w:spacing w:after="0" w:line="385" w:lineRule="auto"/>
        <w:tabs>
          <w:tab w:leader="none" w:pos="379"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 xml:space="preserve">Income Taxes </w:t>
      </w:r>
      <w:r>
        <w:rPr>
          <w:rFonts w:ascii="Arial" w:cs="Arial" w:eastAsia="Arial" w:hAnsi="Arial"/>
          <w:sz w:val="18"/>
          <w:szCs w:val="18"/>
          <w:b w:val="1"/>
          <w:bCs w:val="1"/>
          <w:color w:val="auto"/>
        </w:rPr>
        <w:t>(continued)</w:t>
      </w:r>
    </w:p>
    <w:p>
      <w:pPr>
        <w:spacing w:after="0" w:line="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is an “emerging growth company,” as defined in the Jumpstart Our Business Startups Act, or JOBS Act, and may take advantage of certain exemptions from various reporting requirements that are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540" w:hanging="436"/>
        <w:spacing w:after="0" w:line="434" w:lineRule="auto"/>
        <w:tabs>
          <w:tab w:leader="none" w:pos="379"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b w:val="1"/>
          <w:bCs w:val="1"/>
          <w:color w:val="auto"/>
        </w:rPr>
        <w:t>(continued)</w:t>
      </w:r>
    </w:p>
    <w:p>
      <w:pPr>
        <w:ind w:left="200" w:right="100"/>
        <w:spacing w:after="0" w:line="293" w:lineRule="auto"/>
        <w:rPr>
          <w:sz w:val="20"/>
          <w:szCs w:val="20"/>
          <w:color w:val="auto"/>
        </w:rPr>
      </w:pPr>
      <w:r>
        <w:rPr>
          <w:rFonts w:ascii="Arial" w:cs="Arial" w:eastAsia="Arial" w:hAnsi="Arial"/>
          <w:sz w:val="16"/>
          <w:szCs w:val="16"/>
          <w:color w:val="auto"/>
        </w:rPr>
        <w:t>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2018-07”). ASU 2018-07 amends the FASB Accounting Standards Codification (“ASC”) to expand the scope of FASB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to include accounting for share-based payment transactions for acquiring goods and services from non-employees. The amendments in ASU 2018-07 are effective for all entities for annual periods, and interim periods within those annual periods, beginning after December 15, 2018. Early adoption is permitted. The Company early adopted this guidance at the beginning of the fourth quarter of 2018. There was no material impact on the consolidated financial statements as a result of this adoption.</w:t>
      </w:r>
    </w:p>
    <w:p>
      <w:pPr>
        <w:spacing w:after="0" w:line="17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The Company early adopted ASU 2014-09 at the beginning of the fourth quarter of 2018. The adoption of ASU</w:t>
      </w:r>
    </w:p>
    <w:p>
      <w:pPr>
        <w:spacing w:after="0" w:line="1"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2014-09 did not have an impact on the Company’s consolidated financial statements as the Company does not currently have any revenue-generating arrangements.</w:t>
      </w:r>
    </w:p>
    <w:p>
      <w:pPr>
        <w:spacing w:after="0" w:line="184"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adopted this guidance at the beginning of the fourth quarter of 2018. There was no material impact on the consolidated financial statements as a result of this adoption.</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140" w:hanging="436"/>
        <w:spacing w:after="0" w:line="463" w:lineRule="auto"/>
        <w:tabs>
          <w:tab w:leader="none" w:pos="379"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 xml:space="preserve">Recently Adopted Accounting Pronouncements </w:t>
      </w:r>
      <w:r>
        <w:rPr>
          <w:rFonts w:ascii="Arial" w:cs="Arial" w:eastAsia="Arial" w:hAnsi="Arial"/>
          <w:sz w:val="15"/>
          <w:szCs w:val="15"/>
          <w:b w:val="1"/>
          <w:bCs w:val="1"/>
          <w:color w:val="auto"/>
        </w:rPr>
        <w:t>(continued)</w:t>
      </w:r>
    </w:p>
    <w:p>
      <w:pPr>
        <w:ind w:left="200" w:right="60" w:firstLine="441"/>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a statement of cash flows explain the change during the period in the total of cash, cash equivalents and restricted cash. Therefore, amounts described as restricted cash should be included with cash and cash equivalents when reconciling the beginning of period and end of period amounts shown on the statement of cash flows. The Company early adopted this guidance at the beginning of the fourth quarter of 2018. ASU 2016-18 is effective on a retrospective basis. The cash, cash equivalents and restricted cash balances as of December 31, 2018 and 2017, which are presented in the Company’s consolidated statements of cash flows subsequent to the adoption of ASU 2016-18, consisted of the following:</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8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$126,302</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$5,963</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assets</w:t>
            </w:r>
          </w:p>
        </w:tc>
        <w:tc>
          <w:tcPr>
            <w:tcW w:w="18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126,794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5,987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 xml:space="preserve">In August 2018, the FASB issued Accounting Standards Update No. 2018-13, </w:t>
      </w:r>
      <w:r>
        <w:rPr>
          <w:rFonts w:ascii="Arial" w:cs="Arial" w:eastAsia="Arial" w:hAnsi="Arial"/>
          <w:sz w:val="18"/>
          <w:szCs w:val="18"/>
          <w:i w:val="1"/>
          <w:iCs w:val="1"/>
          <w:color w:val="auto"/>
        </w:rPr>
        <w:t>Fair Value Measurement (Topic 820): Disclosure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or ASU 2018-13. The amendments in ASU 2018-13 eliminate, add, and modify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 requirements 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is currently evaluating the effects the adoption of ASU 2018-13 will have on its disclosures.</w:t>
      </w:r>
    </w:p>
    <w:p>
      <w:pPr>
        <w:spacing w:after="0" w:line="19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Intangible-Goodwill and Other Internal-Use Software (Subtopic 350-40)</w:t>
      </w:r>
      <w:r>
        <w:rPr>
          <w:rFonts w:ascii="Arial" w:cs="Arial" w:eastAsia="Arial" w:hAnsi="Arial"/>
          <w:sz w:val="16"/>
          <w:szCs w:val="16"/>
          <w:color w:val="auto"/>
        </w:rPr>
        <w:t xml:space="preserve"> (“ASU 2018-15”). 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does not expect the adoption of ASU 2018-15 to have a material impact on its consolidated financial statements.</w:t>
      </w:r>
    </w:p>
    <w:p>
      <w:pPr>
        <w:spacing w:after="0" w:line="15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808)—Clarifying the Interaction between Topic 808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Topic 606 </w:t>
      </w:r>
      <w:r>
        <w:rPr>
          <w:rFonts w:ascii="Arial" w:cs="Arial" w:eastAsia="Arial" w:hAnsi="Arial"/>
          <w:sz w:val="17"/>
          <w:szCs w:val="17"/>
          <w:color w:val="auto"/>
        </w:rPr>
        <w:t>(“ASU 2018-18”). The amendments in ASU 2018-18 clarify that certain transactions between collaborative arrangement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does not expect the adoption of ASU 2018-18 to have a material impact on its consolidated financial statements.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280" w:hanging="436"/>
        <w:spacing w:after="0" w:line="463" w:lineRule="auto"/>
        <w:tabs>
          <w:tab w:leader="none" w:pos="379"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(continued) </w:t>
      </w:r>
      <w:r>
        <w:rPr>
          <w:rFonts w:ascii="Arial" w:cs="Arial" w:eastAsia="Arial" w:hAnsi="Arial"/>
          <w:sz w:val="15"/>
          <w:szCs w:val="15"/>
          <w:b w:val="1"/>
          <w:bCs w:val="1"/>
          <w:i w:val="1"/>
          <w:iCs w:val="1"/>
          <w:color w:val="auto"/>
        </w:rPr>
        <w:t xml:space="preserve">Recently Issued Accounting Pronouncements </w:t>
      </w:r>
      <w:r>
        <w:rPr>
          <w:rFonts w:ascii="Arial" w:cs="Arial" w:eastAsia="Arial" w:hAnsi="Arial"/>
          <w:sz w:val="15"/>
          <w:szCs w:val="15"/>
          <w:b w:val="1"/>
          <w:bCs w:val="1"/>
          <w:color w:val="auto"/>
        </w:rPr>
        <w:t>(continued)</w:t>
      </w:r>
    </w:p>
    <w:p>
      <w:pPr>
        <w:ind w:left="200" w:right="2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February 2016, the FASB issued ASU No. 2016-02, Leases (Topic 842)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 The Company is currently evaluating the impact that the adoption of ASU 2016-02 will have on its consolidated financial statements.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December 31, 2018 and 2017:</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5"/>
          </w:tcPr>
          <w:p>
            <w:pPr>
              <w:jc w:val="center"/>
              <w:ind w:left="42"/>
              <w:spacing w:after="0"/>
              <w:rPr>
                <w:sz w:val="20"/>
                <w:szCs w:val="20"/>
                <w:color w:val="auto"/>
              </w:rPr>
            </w:pPr>
            <w:r>
              <w:rPr>
                <w:rFonts w:ascii="Arial" w:cs="Arial" w:eastAsia="Arial" w:hAnsi="Arial"/>
                <w:sz w:val="14"/>
                <w:szCs w:val="14"/>
                <w:b w:val="1"/>
                <w:bCs w:val="1"/>
                <w:color w:val="auto"/>
                <w:w w:val="93"/>
              </w:rPr>
              <w:t>Fair Value Measurements 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auto"/>
                <w:w w:val="92"/>
              </w:rPr>
              <w:t>December 31, 2018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36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126,047</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126,047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126,539</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126,539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gridSpan w:val="5"/>
          </w:tcPr>
          <w:p>
            <w:pPr>
              <w:jc w:val="center"/>
              <w:ind w:left="42"/>
              <w:spacing w:after="0"/>
              <w:rPr>
                <w:sz w:val="20"/>
                <w:szCs w:val="20"/>
                <w:color w:val="auto"/>
              </w:rPr>
            </w:pPr>
            <w:r>
              <w:rPr>
                <w:rFonts w:ascii="Arial" w:cs="Arial" w:eastAsia="Arial" w:hAnsi="Arial"/>
                <w:sz w:val="14"/>
                <w:szCs w:val="14"/>
                <w:b w:val="1"/>
                <w:bCs w:val="1"/>
                <w:color w:val="auto"/>
                <w:w w:val="93"/>
              </w:rPr>
              <w:t>Fair Value Measurements as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auto"/>
                <w:w w:val="92"/>
              </w:rPr>
              <w:t>December 31, 2017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Level 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36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48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$ 371</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5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2018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the Warrant to Purchase Preferred Stock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liability for the warrant to purchase redeemable convertible preferred stock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utilized available facts and circumstances to estimate the number of shares of Series A Preferred Stock for which the warrant would ultimately be exercisable. The Company then used the Black-Scholes option-pricing model, which incorporates assumptions and estimates, to value the warrant to purchase preferred stock. Estimates and assumptions impacting the fair value measurement included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24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Valuation of the Warrant to Purchase Preferred Stock </w:t>
      </w:r>
      <w:r>
        <w:rPr>
          <w:rFonts w:ascii="Arial" w:cs="Arial" w:eastAsia="Arial" w:hAnsi="Arial"/>
          <w:sz w:val="18"/>
          <w:szCs w:val="18"/>
          <w:b w:val="1"/>
          <w:bCs w:val="1"/>
          <w:color w:val="auto"/>
        </w:rPr>
        <w:t>(continued)</w:t>
      </w:r>
    </w:p>
    <w:p>
      <w:pPr>
        <w:spacing w:after="0" w:line="135" w:lineRule="exact"/>
        <w:rPr>
          <w:sz w:val="20"/>
          <w:szCs w:val="20"/>
          <w:color w:val="auto"/>
        </w:rPr>
      </w:pPr>
    </w:p>
    <w:p>
      <w:pPr>
        <w:ind w:left="200" w:right="100"/>
        <w:spacing w:after="0" w:line="273" w:lineRule="auto"/>
        <w:rPr>
          <w:sz w:val="20"/>
          <w:szCs w:val="20"/>
          <w:color w:val="auto"/>
        </w:rPr>
      </w:pPr>
      <w:r>
        <w:rPr>
          <w:rFonts w:ascii="Arial" w:cs="Arial" w:eastAsia="Arial" w:hAnsi="Arial"/>
          <w:sz w:val="17"/>
          <w:szCs w:val="17"/>
          <w:color w:val="auto"/>
        </w:rPr>
        <w:t>historical and implied volatility information of its stock. Therefore, it estimated its expected stock volatility based on the historical volatility of publicly traded guideline companies for a term equal to the remaining contractual term of the warrant. The risk-free interest rate was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 Upon the IPO, the warrant to purchase preferred stock was converted to a warrant to purchase common stock. The carrying amount of warrant to purchase preferred stock as of the date of IPO was transferred to the account of additional paid in capital.</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was determined by Level 3 inputs:</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w w:val="97"/>
              </w:rPr>
              <w:t>Initial fair value of warrant to purchase redeemable convertible preferred stock</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Conversion of preferred stock warrant to common stock warrant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contained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consolidated statements of operations and comprehensive loss for the years ended December 31, 2016 and 2017, respectively.</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On June 21, 2018, in connection with the Company’s IPO, the Company remeasured the fair value of the derivative to $2,000 as the Company was required to pay the dilution payment as mentioned above, which the Company paid in July 2018. An increase in fair value of $1,629 was recorded in other expense in the accompanying consolidated statement of operations and comprehensive loss for the year ended December 31, 2018.</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6260" w:hanging="436"/>
        <w:spacing w:after="0" w:line="385" w:lineRule="auto"/>
        <w:tabs>
          <w:tab w:leader="none" w:pos="379"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Assets and Liabilities (continued) </w:t>
      </w:r>
      <w:r>
        <w:rPr>
          <w:rFonts w:ascii="Arial" w:cs="Arial" w:eastAsia="Arial" w:hAnsi="Arial"/>
          <w:sz w:val="18"/>
          <w:szCs w:val="18"/>
          <w:b w:val="1"/>
          <w:bCs w:val="1"/>
          <w:i w:val="1"/>
          <w:iCs w:val="1"/>
          <w:color w:val="auto"/>
        </w:rPr>
        <w:t xml:space="preserve">Valuation of Derivative </w:t>
      </w:r>
      <w:r>
        <w:rPr>
          <w:rFonts w:ascii="Arial" w:cs="Arial" w:eastAsia="Arial" w:hAnsi="Arial"/>
          <w:sz w:val="18"/>
          <w:szCs w:val="18"/>
          <w:b w:val="1"/>
          <w:bCs w:val="1"/>
          <w:color w:val="auto"/>
        </w:rPr>
        <w:t>(continued)</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a summary of changes in the fair value of the Company’s derivative liability for which fair value is determined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9"/>
          </w:tcPr>
          <w:p>
            <w:pPr>
              <w:ind w:left="26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8"/>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tcPr>
          <w:p>
            <w:pPr>
              <w:ind w:left="36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w:t>
            </w:r>
          </w:p>
        </w:tc>
        <w:tc>
          <w:tcPr>
            <w:tcW w:w="1120" w:type="dxa"/>
            <w:vAlign w:val="bottom"/>
            <w:tcBorders>
              <w:right w:val="single" w:sz="8" w:color="CCEEFF"/>
            </w:tcBorders>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800" w:type="dxa"/>
            <w:vAlign w:val="bottom"/>
            <w:gridSpan w:val="2"/>
          </w:tcPr>
          <w:p>
            <w:pPr>
              <w:ind w:left="440"/>
              <w:spacing w:after="0"/>
              <w:rPr>
                <w:sz w:val="20"/>
                <w:szCs w:val="20"/>
                <w:color w:val="auto"/>
              </w:rPr>
            </w:pPr>
            <w:r>
              <w:rPr>
                <w:rFonts w:ascii="Arial" w:cs="Arial" w:eastAsia="Arial" w:hAnsi="Arial"/>
                <w:sz w:val="18"/>
                <w:szCs w:val="18"/>
                <w:color w:val="auto"/>
              </w:rPr>
              <w:t>Balance as of December 31, 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3"/>
          </w:tcPr>
          <w:p>
            <w:pPr>
              <w:ind w:left="44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$1,325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Prepaid research and development costs</w:t>
            </w: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981</w:t>
            </w: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Interest income receivable</w:t>
            </w: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795</w:t>
            </w:r>
          </w:p>
        </w:tc>
        <w:tc>
          <w:tcPr>
            <w:tcW w:w="540" w:type="dxa"/>
            <w:vAlign w:val="bottom"/>
            <w:gridSpan w:val="3"/>
          </w:tcPr>
          <w:p>
            <w:pPr>
              <w:spacing w:after="0"/>
              <w:rPr>
                <w:sz w:val="19"/>
                <w:szCs w:val="19"/>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3,718</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9"/>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gridSpan w:val="3"/>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$1,624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$126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2,634</w:t>
            </w:r>
          </w:p>
        </w:tc>
        <w:tc>
          <w:tcPr>
            <w:tcW w:w="1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years ended December 31, 2018 and 2017 was $380 and $45,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20"/>
          </w:cols>
          <w:pgMar w:left="240" w:top="460" w:right="6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$2,616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3,969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7,822</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2,098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accrued interest at a floating per annum rate equal to the greater of 1% and the “prime rate,” as defined in the Loan Agreement, minus 3%.</w:t>
      </w:r>
    </w:p>
    <w:p>
      <w:pPr>
        <w:spacing w:after="0" w:line="14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Loan Agreement contained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October 31, 2018, the Company had not drawn down from the facility and the Loan Agreement expired on October 31, 2018.</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was initially exercisable for the purchase of up to 28,305 shares of Series A Preferred Stock and could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Upon closing of the IPO, the carrying amount of the warrant to purchase preferred stock as of the date of IPO was transferred to the account of additional paid in capital (Note 3).</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recognized a loss of $162 and $17 in the consolidated statements of operations and comprehensive loss for the years ended December 31, 2018 and 2017, respectively, related to the change in fair value of the warrant. On July 13, 2018, the lender of the Loan Agreement exercised its common stock warrants to purchase 6,850 shares of common stock on a net basis, resulting in the issuance of 6,091 shares of common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were designated as Series Seed Preferred Stock and 19,047,619 shares were designated as Series A Preferred Stock. As of December 31, 2017, the authorized capital stock of the Company included 34,972,535 shares of $0.0001 par value preferred stock, of which 3,333,333 shares were designated as Series Seed Preferred Stock and 31,639,202 shares were designated as Series A Preferred Stock.</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a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Prior to the IPO, the authorized capital stock of the Company included 63,491,857 shares of $0.0001 par value preferred stock, of</w:t>
      </w:r>
    </w:p>
    <w:p>
      <w:pPr>
        <w:spacing w:after="0" w:line="23"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which 3,333,333 shares have been designated as Series Seed Preferred Stock, 31,639,202 shares have been designated as Series A Preferred Stock and 28,519,322 shares have been designated as Series B Preferred Stock.</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19, 2018, the Company entered into a stock purchase agreement for the sale of 28,285,557 shares of Series B Preferred Stock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$2.1389 per share. The total gross proceeds received were $60,500 and issuance costs were $2,243. In addition, the Company issued 233,765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Series B Preferred Stock to BioMarin as required by the Company’s license agreement with BioMarin (Note 11).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3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5"/>
              </w:rPr>
              <w:t>Liquidation</w:t>
            </w: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w:t>
            </w:r>
          </w:p>
        </w:tc>
        <w:tc>
          <w:tcPr>
            <w:tcW w:w="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Preference</w:t>
            </w:r>
          </w:p>
        </w:tc>
        <w:tc>
          <w:tcPr>
            <w:tcW w:w="3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31,639,202</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31,450,499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25,000,000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25,000,000</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34,972,535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26,500,000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26,500,000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Upon closing of the IPO, the Preferred Stock as of December 31, 2017, together with Series B Preferred Stock issued in January 2018, were converted to 15,320,213 shares of common stock. The holders of the Company’s Preferred Stock had certain voting, dividend, and redemption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the authorized capital stock of the Company included 51,000,000 shares of common stock, $0.0001 par value.</w:t>
      </w:r>
    </w:p>
    <w:p>
      <w:pPr>
        <w:spacing w:after="0" w:line="23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June 1, 2018, the Board approved for filing immediately following the effectiveness of the Company’s registration statement in connection with its IPO, the Fourth Amended and Restated Certificate of Incorporation, which, among other matters: (i) authorized 150,000,000 shares of common stock, $0.0001 par value and (ii) created 10,000,000 shares of undesignated preferred stock. As of December 31, 2018, no undesignated preferred stock was outstanding.</w:t>
      </w:r>
    </w:p>
    <w:p>
      <w:pPr>
        <w:spacing w:after="0" w:line="18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Through December 31, 2018, no cash dividends have been declared or paid.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jc w:val="center"/>
        <w:ind w:right="852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jc w:val="center"/>
        <w:ind w:right="85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7, 2018. Stockholders entitled to fractional shares as a result of the reverse stock split received a cash payment in lieu of receiving fractional shares. All share and per share data shown in the accompanying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On June 20, 2018, the Company’s registration statement on Form S-1 relating to its IPO was declared effective by the SEC. The IPO closed on June 25, 2018 and the Company issued and sold 5,247,958 common shares at a public offering price of $19.00 per share for net proceeds of $90,103 after deducting underwriting discounts and commissions of $6,980 and other offering expenses of approximately $2,628. Simultaneously, on June 25, 2018, the Company issued and sold 787,193 additional common shares, pursuant to the full exercise of the underwriters’ option to purchase additional shares, for net proceeds of $13,910 after deducting underwriting discounts and commissions of $1,047. Thus, the aggregate net proceeds to the Company from the IPO, after deducting underwriting discounts and commissions and other offering costs, were $104,013. Upon the closing of the IPO, the Preferred Stock then outstanding converted into an aggregate of 15,320,213 shares of common stock.</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2018 and 2017, the Company has reserved the following shares of common stock for future issuance:</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7,611,438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153,276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2,164,101</w:t>
            </w:r>
          </w:p>
        </w:tc>
        <w:tc>
          <w:tcPr>
            <w:tcW w:w="880" w:type="dxa"/>
            <w:vAlign w:val="bottom"/>
          </w:tcPr>
          <w:p>
            <w:pPr>
              <w:jc w:val="right"/>
              <w:spacing w:after="0"/>
              <w:rPr>
                <w:sz w:val="20"/>
                <w:szCs w:val="20"/>
                <w:color w:val="auto"/>
              </w:rPr>
            </w:pPr>
            <w:r>
              <w:rPr>
                <w:rFonts w:ascii="Arial" w:cs="Arial" w:eastAsia="Arial" w:hAnsi="Arial"/>
                <w:sz w:val="18"/>
                <w:szCs w:val="18"/>
                <w:color w:val="auto"/>
              </w:rPr>
              <w:t>1,034,961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2015</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and Grant Plan</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840" w:type="dxa"/>
            <w:vAlign w:val="bottom"/>
          </w:tcPr>
          <w:p>
            <w:pPr>
              <w:ind w:left="20"/>
              <w:spacing w:after="0"/>
              <w:rPr>
                <w:sz w:val="20"/>
                <w:szCs w:val="20"/>
                <w:color w:val="auto"/>
              </w:rPr>
            </w:pPr>
            <w:r>
              <w:rPr>
                <w:rFonts w:ascii="Arial" w:cs="Arial" w:eastAsia="Arial" w:hAnsi="Arial"/>
                <w:sz w:val="18"/>
                <w:szCs w:val="18"/>
                <w:color w:val="auto"/>
              </w:rPr>
              <w:t>Stock Option and Grant Plan</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385,561</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2018</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223,200</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2,926,138</w:t>
            </w:r>
          </w:p>
        </w:tc>
        <w:tc>
          <w:tcPr>
            <w:tcW w:w="4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9,873,128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840" w:type="dxa"/>
            <w:vAlign w:val="bottom"/>
            <w:vMerge w:val="restart"/>
          </w:tcPr>
          <w:p>
            <w:pPr>
              <w:ind w:left="1260"/>
              <w:spacing w:after="0"/>
              <w:rPr>
                <w:sz w:val="20"/>
                <w:szCs w:val="20"/>
                <w:color w:val="auto"/>
              </w:rPr>
            </w:pPr>
            <w:r>
              <w:rPr>
                <w:rFonts w:ascii="Arial" w:cs="Arial" w:eastAsia="Arial" w:hAnsi="Arial"/>
                <w:sz w:val="18"/>
                <w:szCs w:val="18"/>
                <w:color w:val="auto"/>
              </w:rPr>
              <w:t>F-23</w:t>
            </w: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jc w:val="both"/>
        <w:ind w:left="200" w:right="2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Following the IPO, no further grants will be made under 2015 plan.</w:t>
      </w:r>
    </w:p>
    <w:p>
      <w:pPr>
        <w:spacing w:after="0" w:line="170"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compensation committee to make equity-based and cash-based incentive awards to its officers, employees, directors and other key persons (including consultants).</w:t>
      </w:r>
    </w:p>
    <w:p>
      <w:pPr>
        <w:spacing w:after="0" w:line="18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compensation committee. This number is subject to adjustment in the event of a stock split, stock dividend or other change in its capitalization.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options available for future grant under the 2018 Plan was 385,561 as of December 31, 2018.</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During the years ended December 31, 2018 and 2017, the Company granted options to purchase 1,277,528 and, 433,102 shares, respectively, of common stock to employees, nonemployees and members of the Board.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2018 Employee Stock Purchase Plan </w:t>
      </w:r>
      <w:r>
        <w:rPr>
          <w:rFonts w:ascii="Arial" w:cs="Arial" w:eastAsia="Arial" w:hAnsi="Arial"/>
          <w:sz w:val="18"/>
          <w:szCs w:val="18"/>
          <w:b w:val="1"/>
          <w:bCs w:val="1"/>
          <w:color w:val="auto"/>
        </w:rPr>
        <w:t>(continued)</w:t>
      </w:r>
    </w:p>
    <w:p>
      <w:pPr>
        <w:spacing w:after="0" w:line="13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193"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ESPP was 223,200 shares as of December 31, 2018, of which 223,200 shares remained available for future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the initial purchase period under the ESPP has not yet commenced.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Year Ended</w:t>
      </w:r>
    </w:p>
    <w:p>
      <w:pPr>
        <w:jc w:val="center"/>
        <w:ind w:left="6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81.60%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84.54%</w:t>
            </w: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restart"/>
          </w:tcPr>
          <w:p>
            <w:pPr>
              <w:jc w:val="center"/>
              <w:ind w:left="153"/>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4"/>
            <w:vMerge w:val="restart"/>
          </w:tcPr>
          <w:p>
            <w:pPr>
              <w:jc w:val="center"/>
              <w:ind w:left="47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left="49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6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Price</w:t>
            </w: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1,277,528</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12.78</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(131,414)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2,164,101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23,083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2018</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7.97</w:t>
            </w: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8,311</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538,214</w:t>
            </w: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1,625,886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7660" w:hanging="436"/>
        <w:spacing w:after="0" w:line="463" w:lineRule="auto"/>
        <w:tabs>
          <w:tab w:leader="none" w:pos="469"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(continued) </w:t>
      </w:r>
      <w:r>
        <w:rPr>
          <w:rFonts w:ascii="Arial" w:cs="Arial" w:eastAsia="Arial" w:hAnsi="Arial"/>
          <w:sz w:val="15"/>
          <w:szCs w:val="15"/>
          <w:b w:val="1"/>
          <w:bCs w:val="1"/>
          <w:i w:val="1"/>
          <w:iCs w:val="1"/>
          <w:color w:val="auto"/>
        </w:rPr>
        <w:t xml:space="preserve">Stock Option Valuation </w:t>
      </w:r>
      <w:r>
        <w:rPr>
          <w:rFonts w:ascii="Arial" w:cs="Arial" w:eastAsia="Arial" w:hAnsi="Arial"/>
          <w:sz w:val="15"/>
          <w:szCs w:val="15"/>
          <w:b w:val="1"/>
          <w:bCs w:val="1"/>
          <w:color w:val="auto"/>
        </w:rPr>
        <w:t>(continued)</w:t>
      </w:r>
    </w:p>
    <w:p>
      <w:pPr>
        <w:ind w:left="200" w:right="32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2018 and 2017 was $10.91 and $1.50,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Company has granted restricted common stock with time-based vesting conditions to certain employees of the Company. The purchase price of the restricted stock awards are determined by the Board.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2018:</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4"/>
          </w:tcPr>
          <w:p>
            <w:pPr>
              <w:jc w:val="center"/>
              <w:ind w:lef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of 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(123,026)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153,275</w:t>
            </w:r>
          </w:p>
        </w:tc>
        <w:tc>
          <w:tcPr>
            <w:tcW w:w="3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total fair value of restricted common stock vested during the years ended December 31, 2018 and 2017 was $52 and $55, respectively.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4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Year Ended</w:t>
      </w:r>
    </w:p>
    <w:p>
      <w:pPr>
        <w:jc w:val="center"/>
        <w:ind w:left="6860"/>
        <w:spacing w:after="0" w:line="226" w:lineRule="auto"/>
        <w:rPr>
          <w:sz w:val="20"/>
          <w:szCs w:val="20"/>
          <w:color w:val="auto"/>
        </w:rPr>
      </w:pPr>
      <w:r>
        <w:rPr>
          <w:rFonts w:ascii="Arial" w:cs="Arial" w:eastAsia="Arial" w:hAnsi="Arial"/>
          <w:sz w:val="14"/>
          <w:szCs w:val="14"/>
          <w:b w:val="1"/>
          <w:bCs w:val="1"/>
          <w:color w:val="auto"/>
        </w:rPr>
        <w:t>December 31,</w:t>
      </w:r>
    </w:p>
    <w:p>
      <w:pPr>
        <w:ind w:left="8540"/>
        <w:spacing w:after="0" w:line="232" w:lineRule="auto"/>
        <w:tabs>
          <w:tab w:leader="none" w:pos="95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177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December 31, 2018, total unrecognized compensation cost related to the unvested stock-based awards was $12,097, which is expected to be recognized over a weighted-average period of 3.48 years.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60"/>
          </w:cols>
          <w:pgMar w:left="24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640" w:right="8860" w:hanging="436"/>
        <w:spacing w:after="0" w:line="425" w:lineRule="auto"/>
        <w:tabs>
          <w:tab w:leader="none" w:pos="4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the years ended December 31, 2018 and 2017, the Company recorded research and development expense of $15 and $16, respectively, which consists of the license option fee, the upfront fee and maintenance fees.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7960" w:hanging="436"/>
        <w:spacing w:after="0" w:line="434" w:lineRule="auto"/>
        <w:tabs>
          <w:tab w:leader="none" w:pos="4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(continued) </w:t>
      </w:r>
      <w:r>
        <w:rPr>
          <w:rFonts w:ascii="Arial" w:cs="Arial" w:eastAsia="Arial" w:hAnsi="Arial"/>
          <w:sz w:val="16"/>
          <w:szCs w:val="16"/>
          <w:b w:val="1"/>
          <w:bCs w:val="1"/>
          <w:i w:val="1"/>
          <w:iCs w:val="1"/>
          <w:color w:val="auto"/>
        </w:rPr>
        <w:t xml:space="preserve">Agreements with UHN </w:t>
      </w:r>
      <w:r>
        <w:rPr>
          <w:rFonts w:ascii="Arial" w:cs="Arial" w:eastAsia="Arial" w:hAnsi="Arial"/>
          <w:sz w:val="16"/>
          <w:szCs w:val="16"/>
          <w:b w:val="1"/>
          <w:bCs w:val="1"/>
          <w:color w:val="auto"/>
        </w:rPr>
        <w:t>(continued)</w:t>
      </w:r>
    </w:p>
    <w:p>
      <w:pPr>
        <w:ind w:left="200"/>
        <w:spacing w:after="0" w:line="270" w:lineRule="auto"/>
        <w:rPr>
          <w:sz w:val="20"/>
          <w:szCs w:val="20"/>
          <w:color w:val="auto"/>
        </w:rPr>
      </w:pPr>
      <w:r>
        <w:rPr>
          <w:rFonts w:ascii="Arial" w:cs="Arial" w:eastAsia="Arial" w:hAnsi="Arial"/>
          <w:sz w:val="17"/>
          <w:szCs w:val="17"/>
          <w:color w:val="auto"/>
        </w:rPr>
        <w:t>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was considered a derivative instrument and was initially recorded at fair value of $49 (Note 3).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8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years ended December 31, 2018 and 2017, the Company recorded research and development expense related to this agreement with UHN of $41 and $151, respectively, which consists of upfront fees, the fair value of the shares and derivative instrument issued to UHN, and license maintenance fees and development milestone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The Company recorded research and development expense related to this agreement with BioMarin of $1,000 related to the license for the year ended December 31, 2017. No expenses related to the license were recorded for the year ended December 31, 2018.</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throughout the world. BioMarin and the Company can terminate the agreement in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Agreement with BioMarin Pharmaceutical Inc. (“BioMarin”) </w:t>
      </w:r>
      <w:r>
        <w:rPr>
          <w:rFonts w:ascii="Arial" w:cs="Arial" w:eastAsia="Arial" w:hAnsi="Arial"/>
          <w:sz w:val="18"/>
          <w:szCs w:val="18"/>
          <w:b w:val="1"/>
          <w:bCs w:val="1"/>
          <w:color w:val="auto"/>
        </w:rPr>
        <w:t>(continued)</w:t>
      </w:r>
    </w:p>
    <w:p>
      <w:pPr>
        <w:spacing w:after="0" w:line="13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 No expenses related to the license were recorded for the year ended December 31,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200" w:right="80" w:firstLine="4"/>
        <w:spacing w:after="0" w:line="253" w:lineRule="auto"/>
        <w:tabs>
          <w:tab w:leader="none" w:pos="5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2018 and 2017.</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00" w:firstLine="441"/>
        <w:spacing w:after="0" w:line="286" w:lineRule="auto"/>
        <w:rPr>
          <w:sz w:val="20"/>
          <w:szCs w:val="20"/>
          <w:color w:val="auto"/>
        </w:rPr>
      </w:pPr>
      <w:r>
        <w:rPr>
          <w:rFonts w:ascii="Arial" w:cs="Arial" w:eastAsia="Arial" w:hAnsi="Arial"/>
          <w:sz w:val="17"/>
          <w:szCs w:val="17"/>
          <w:color w:val="auto"/>
        </w:rPr>
        <w:t>For the years ended December 31, 2018 and 2017, the Company did not record a current or deferred income tax expense or (benefit) due to current and historical losses incurred by the Company. The Company’s operations are predominantly based in the United States and the Company’s foreign subsidiaries generated de minimis losses for the years ended December 31, 2018 and 2017.</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Year Ended</w:t>
      </w:r>
    </w:p>
    <w:p>
      <w:pPr>
        <w:jc w:val="center"/>
        <w:ind w:left="65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U.S.—TCJA</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Provision to Return</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15,815</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(18,457)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2018 and 2017, based on the Company’s history of operating losses,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Company has concluded that it is not more likely than not that the benefit of its deferred tax assets will be realized. Accordingly, the Company has provided a full valuation allowance for deferred tax assets as of December 31, 2018 and 2017. The valuation allowance increased $11,991 and $4,568 during the years ended December 31, 2018 and 2017, respectively, due primarily to net operating losses generated.</w:t>
      </w:r>
    </w:p>
    <w:p>
      <w:pPr>
        <w:spacing w:after="0" w:line="166"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As of December 31, 2018 and 2017, the Company had U.S. federal net operating loss carryforwards of $57,279 and $19,007, respectively, that may be available to offset future income tax liabilities. U.S. federal tax operating loss carryforwards of approximately $17,504 will expire at various dates through 2037. Approximately $39,774 of the U.S. federal tax operating losses can be carried forward indefinitely. As of December 31, 2018 and 2017, the Company also had U.S. state net operating loss carryforwards of $54,212 and $18,866, respectively, which may be available to offset future taxable income. These losses expire at various dates through 2038. As of December 31, 2018 and 2017, the Company had foreign net operating loss carryforwards of $1,201 and $296, respectively. The foreign net operating losses can be carried forward indefinitely.</w:t>
      </w:r>
    </w:p>
    <w:p>
      <w:pPr>
        <w:spacing w:after="0" w:line="16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of December 31, 2018 and 2017, the Company has federal research and development tax credit carryforwards of $339 and $34 respectively.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2018 and 2017, the Company had state research and development tax credit carryforwards of approximately $146 and $119, respectively, available to reduce future tax liabilities which expire at various dates through 2033. For all years through December 31, 2018, the Company generated research credits but has not conducted a study to document the qualified activities. This study may result in an adjustment to the Company’s research and development credit carryforwards.</w:t>
      </w:r>
    </w:p>
    <w:p>
      <w:pPr>
        <w:spacing w:after="0" w:line="16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As the Company carries out extensive research and development activities, it seeks to benefit from the Australian research and development tax credit cash rebate regime. Under this regime, the Company’s Australian subsidiary, AVROBIO Australia, may be eligible to surrender the trading losses that arise from its research and development activities for a payable tax credit of up to approximately 43.5% of eligible research and development expenditures. Qualifying expenditures largely comprise employment costs for research staff, consumables, certain internal overhead costs and subcontracted expenditures as part of research projects for which the Company does not receive income. For the year ended December 31, 2018, the Company recorded $1.3 million in research and development tax credits as an offset to research and development expenses.</w:t>
      </w:r>
    </w:p>
    <w:p>
      <w:pPr>
        <w:spacing w:after="0" w:line="165"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December 22, 2017, the President of the United States signed into law the Tax Cuts and Jobs Act (the “TCJA”). This legislation reduced the U.S. corporate tax rate from the existing rate of 34% to 21% for tax years beginning after December 31, 2017. As a result of the enacted law, the Company was required to revalue deferred tax assets and liabilities existing at December 31, 2017 from the 34% federal rate in effect through the end of 2017, to the new 21% rate. This revaluation resulted in a reduction to the Company’s net deferred tax asset of $2,779. This amount was offset by a corresponding reduction to the Company’s deferred tax asset valuation allowance. The other provisions of the TCJA did not have a material impact on the December 31, 2017 financial statements.</w:t>
      </w:r>
    </w:p>
    <w:p>
      <w:pPr>
        <w:spacing w:after="0" w:line="19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December 2017, the SEC staff issued SAB 118 to address the application of GAAP in situations when a registrant does not have the necessary information available, prepared, or analyzed (including computations) in reasonable detail to complete the accounting for certain income tax effects of H.R.1. The Company did not record any adjustments in the year ended December 31, 2018 to provisional amounts that were material to its financial statements. As of December 31, 2018, the Company’s accounting treatment is complete.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189" w:lineRule="exact"/>
        <w:rPr>
          <w:sz w:val="20"/>
          <w:szCs w:val="20"/>
          <w:color w:val="auto"/>
        </w:rPr>
      </w:pPr>
    </w:p>
    <w:p>
      <w:pPr>
        <w:jc w:val="center"/>
        <w:ind w:left="6120"/>
        <w:spacing w:after="0"/>
        <w:rPr>
          <w:sz w:val="20"/>
          <w:szCs w:val="20"/>
          <w:color w:val="auto"/>
        </w:rPr>
      </w:pPr>
      <w:r>
        <w:rPr>
          <w:rFonts w:ascii="Arial" w:cs="Arial" w:eastAsia="Arial" w:hAnsi="Arial"/>
          <w:sz w:val="14"/>
          <w:szCs w:val="14"/>
          <w:b w:val="1"/>
          <w:bCs w:val="1"/>
          <w:color w:val="auto"/>
        </w:rPr>
        <w:t>Year Ended</w:t>
      </w:r>
    </w:p>
    <w:p>
      <w:pPr>
        <w:jc w:val="center"/>
        <w:ind w:left="61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2,164,101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153,276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276,301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12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80" w:type="dxa"/>
            <w:vAlign w:val="bottom"/>
          </w:tcPr>
          <w:p>
            <w:pPr>
              <w:spacing w:after="0" w:line="201" w:lineRule="exact"/>
              <w:rPr>
                <w:sz w:val="20"/>
                <w:szCs w:val="20"/>
                <w:color w:val="auto"/>
              </w:rPr>
            </w:pPr>
            <w:r>
              <w:rPr>
                <w:rFonts w:ascii="Arial" w:cs="Arial" w:eastAsia="Arial" w:hAnsi="Arial"/>
                <w:sz w:val="18"/>
                <w:szCs w:val="18"/>
                <w:color w:val="auto"/>
                <w:w w:val="98"/>
              </w:rPr>
              <w:t>Warrants to purchase redeemable convertible preferred stock (as converted to</w:t>
            </w: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6,850</w:t>
            </w:r>
          </w:p>
        </w:tc>
        <w:tc>
          <w:tcPr>
            <w:tcW w:w="6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180" w:type="dxa"/>
            <w:vAlign w:val="bottom"/>
          </w:tcPr>
          <w:p>
            <w:pPr>
              <w:ind w:left="4000"/>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640" w:right="8140" w:hanging="436"/>
        <w:spacing w:after="0" w:line="425" w:lineRule="auto"/>
        <w:tabs>
          <w:tab w:leader="none" w:pos="469"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 On December 4, 2018, the Company terminated the sub-lease without any penalty. The leasehold improvement cost was written off to rental expenses during the year ended December 31, 2018.</w:t>
      </w:r>
    </w:p>
    <w:p>
      <w:pPr>
        <w:spacing w:after="0" w:line="154"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as of December 31, 2018. In contemplation of this agreement, the Company terminated its prior lease agreement.</w:t>
      </w:r>
    </w:p>
    <w:p>
      <w:pPr>
        <w:spacing w:after="0" w:line="178"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On August 31, 2018, the Company entered into a sub-lease agreement for lab space located in Cambridge Massachusetts, United States, which expires in October 2020. The annual lease payments are subject to a 3% increase each year. In accordance with the lease agreement, the Company is required to maintain a security deposit of $283, which was recorded in other assets as of December 31, 2018.</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recorded rent expense of $1,295 and $335 during the years ended December 31, 2018 and 2017, respectively.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future minimum lease payments due under operating leases as of December 31, 2018:</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$1,806</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1,563</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4,861</w:t>
            </w:r>
          </w:p>
        </w:tc>
        <w:tc>
          <w:tcPr>
            <w:tcW w:w="6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2018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2018 and 2017, or royalties on future sales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60"/>
          </w:cols>
          <w:pgMar w:left="24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7220" w:hanging="436"/>
        <w:spacing w:after="0" w:line="385" w:lineRule="auto"/>
        <w:tabs>
          <w:tab w:leader="none" w:pos="469"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(continued) </w:t>
      </w:r>
      <w:r>
        <w:rPr>
          <w:rFonts w:ascii="Arial" w:cs="Arial" w:eastAsia="Arial" w:hAnsi="Arial"/>
          <w:sz w:val="18"/>
          <w:szCs w:val="18"/>
          <w:b w:val="1"/>
          <w:bCs w:val="1"/>
          <w:i w:val="1"/>
          <w:iCs w:val="1"/>
          <w:color w:val="auto"/>
        </w:rPr>
        <w:t xml:space="preserve">Other </w:t>
      </w:r>
      <w:r>
        <w:rPr>
          <w:rFonts w:ascii="Arial" w:cs="Arial" w:eastAsia="Arial" w:hAnsi="Arial"/>
          <w:sz w:val="18"/>
          <w:szCs w:val="18"/>
          <w:b w:val="1"/>
          <w:bCs w:val="1"/>
          <w:color w:val="auto"/>
        </w:rPr>
        <w:t>(continued)</w:t>
      </w:r>
    </w:p>
    <w:p>
      <w:pPr>
        <w:spacing w:after="0" w:line="2"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specified products. No milestone or royalty payments under these agreements are expected to be payable in the immediate future. See Note 11 for discussion of these arrangements.</w:t>
      </w:r>
    </w:p>
    <w:p>
      <w:pPr>
        <w:spacing w:after="0" w:line="17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(Note 11) on January 27, 2016, the Company issued UHN 4,800,000 shares of its common stock. As a result of the issuance of common stock, UHN owned 4.45% and 9.65% of the Company’s fully diluted equity as of December 31, 2018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For the years ended December 31, 2018 and 2017, the Company recognized $56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$0 and $3 related to participation on the scientific advisory board and consulting services performed by a member of the board who is affiliated with UHN during the years ended December 31, 2018 and 2017, respectively. As of December 31, 2018 and 2017, there was $0 and $10, respectively, included in accrued expenses on the Company’s consolidated balance sheet related to these services.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For the years ended December 31, 2018 and 2017, the Company recorded expenses of $348 and $0, respectively, related to a sublease to rent lab space, provided by an entity affiliated with a member of the board.</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For the years ended December 31, 2018 and 2017, the Company recorded expenses of $40 and $86, respectively, related to consulting services provided by an entity affiliated with an officer of the Company and a member of the Board. The entity is also a shareholder of the Company and owned 0.46% and 1.00% of the Company’s fully diluted equity as of December 31, 2018 and 2017, respectively.</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For the year ended December 31, 2017, the Company recorded expenses of $15, related to services provided by an entity affiliated with a member of the Board and the use of office space. The lease was terminated in February 2017 and the services were no longer being provided as of December 31, 2017.</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60"/>
          </w:cols>
          <w:pgMar w:left="240" w:top="460"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640" w:right="7640" w:hanging="436"/>
        <w:spacing w:after="0" w:line="385" w:lineRule="auto"/>
        <w:tabs>
          <w:tab w:leader="none" w:pos="469"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(continued) </w:t>
      </w:r>
      <w:r>
        <w:rPr>
          <w:rFonts w:ascii="Arial" w:cs="Arial" w:eastAsia="Arial" w:hAnsi="Arial"/>
          <w:sz w:val="18"/>
          <w:szCs w:val="18"/>
          <w:b w:val="1"/>
          <w:bCs w:val="1"/>
          <w:i w:val="1"/>
          <w:iCs w:val="1"/>
          <w:color w:val="auto"/>
        </w:rPr>
        <w:t xml:space="preserve">Others </w:t>
      </w:r>
      <w:r>
        <w:rPr>
          <w:rFonts w:ascii="Arial" w:cs="Arial" w:eastAsia="Arial" w:hAnsi="Arial"/>
          <w:sz w:val="18"/>
          <w:szCs w:val="18"/>
          <w:b w:val="1"/>
          <w:bCs w:val="1"/>
          <w:color w:val="auto"/>
        </w:rPr>
        <w:t>(continued)</w:t>
      </w:r>
    </w:p>
    <w:p>
      <w:pPr>
        <w:spacing w:after="0" w:line="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In August 2018, the Company’s Board approved a company matching contribution of up to 3%, effective October 1, 2018. The Company made matching contributions of $35 to the plan during the year ended December 31, 2018 and made no contributions to the plan during the year ended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2018 through the filing date of this Annual Report on Form 10-K with the SEC, to ensure that these consolidated financial statements include appropriate disclosure of events both recognized in the consolidated financial statements as of December 31, 2018, and events which occurred subsequently but were not recognized in the consolidated financial statements. The Company has concluded that no subsequent events have occurred that require disclosure, except as disclosed within these consolidated financial statements.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240" w:top="460"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80" w:type="dxa"/>
            <w:vAlign w:val="bottom"/>
            <w:gridSpan w:val="23"/>
            <w:vMerge w:val="restart"/>
          </w:tcPr>
          <w:p>
            <w:pPr>
              <w:ind w:left="3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80" w:type="dxa"/>
            <w:vAlign w:val="bottom"/>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gridSpan w:val="2"/>
          </w:tcPr>
          <w:p>
            <w:pPr>
              <w:jc w:val="center"/>
              <w:ind w:right="840"/>
              <w:spacing w:after="0" w:line="163" w:lineRule="exact"/>
              <w:rPr>
                <w:sz w:val="20"/>
                <w:szCs w:val="20"/>
                <w:color w:val="auto"/>
              </w:rPr>
            </w:pPr>
            <w:r>
              <w:rPr>
                <w:rFonts w:ascii="Arial" w:cs="Arial" w:eastAsia="Arial" w:hAnsi="Arial"/>
                <w:sz w:val="18"/>
                <w:szCs w:val="18"/>
                <w:color w:val="auto"/>
                <w:w w:val="87"/>
              </w:rPr>
              <w:t>3.1</w:t>
            </w:r>
          </w:p>
        </w:tc>
        <w:tc>
          <w:tcPr>
            <w:tcW w:w="9640" w:type="dxa"/>
            <w:vAlign w:val="bottom"/>
            <w:tcBorders>
              <w:bottom w:val="single" w:sz="8" w:color="0000EE"/>
            </w:tcBorders>
            <w:gridSpan w:val="22"/>
          </w:tcPr>
          <w:p>
            <w:pPr>
              <w:spacing w:after="0" w:line="163"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Fourth Amended and Restated Certificate of Incorporation of the Registrant (filed as Exhibit 3.1 to the Registrant’s Current Report on</w:t>
              </w:r>
            </w:hyperlink>
          </w:p>
        </w:tc>
        <w:tc>
          <w:tcPr>
            <w:tcW w:w="16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Form 8-K filed on June 25, 2018 (File No. 001-38537) and incorporated herein by reference)</w:t>
              </w:r>
            </w:hyperlink>
          </w:p>
        </w:tc>
        <w:tc>
          <w:tcPr>
            <w:tcW w:w="3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3.2</w:t>
            </w:r>
          </w:p>
        </w:tc>
        <w:tc>
          <w:tcPr>
            <w:tcW w:w="9280" w:type="dxa"/>
            <w:vAlign w:val="bottom"/>
            <w:tcBorders>
              <w:bottom w:val="single" w:sz="8" w:color="0000EE"/>
            </w:tcBorders>
            <w:gridSpan w:val="10"/>
          </w:tcPr>
          <w:p>
            <w:pPr>
              <w:spacing w:after="0"/>
              <w:rPr>
                <w:rFonts w:ascii="Arial" w:cs="Arial" w:eastAsia="Arial" w:hAnsi="Arial"/>
                <w:sz w:val="18"/>
                <w:szCs w:val="18"/>
                <w:color w:val="0000EE"/>
                <w:w w:val="91"/>
              </w:rPr>
            </w:pPr>
            <w:hyperlink r:id="rId194">
              <w:r>
                <w:rPr>
                  <w:rFonts w:ascii="Arial" w:cs="Arial" w:eastAsia="Arial" w:hAnsi="Arial"/>
                  <w:sz w:val="18"/>
                  <w:szCs w:val="18"/>
                  <w:color w:val="0000EE"/>
                  <w:w w:val="91"/>
                </w:rPr>
                <w:t>Amended and Restated By-laws (filed as Exhibit 3.2 to the Registrant’s Current Report on Form 8-K filed on June 25, 2018 (File</w:t>
              </w:r>
            </w:hyperlink>
          </w:p>
        </w:tc>
        <w:tc>
          <w:tcPr>
            <w:tcW w:w="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No. 001-38537) and incorporated herein by reference)</w:t>
              </w:r>
            </w:hyperlink>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4.1</w:t>
            </w:r>
          </w:p>
        </w:tc>
        <w:tc>
          <w:tcPr>
            <w:tcW w:w="9800" w:type="dxa"/>
            <w:vAlign w:val="bottom"/>
            <w:tcBorders>
              <w:bottom w:val="single" w:sz="8" w:color="0000EE"/>
            </w:tcBorders>
            <w:gridSpan w:val="27"/>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Specimen Common Stock Certificate (filed as Exhibit 4.1 to the Registrant’s Second Amendment to the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on Form S-1 filed on June 11, 2018 (File No. 333-225213) and incorporated herein by reference)</w:t>
              </w:r>
            </w:hyperlink>
          </w:p>
        </w:tc>
        <w:tc>
          <w:tcPr>
            <w:tcW w:w="28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4.2</w:t>
            </w:r>
          </w:p>
        </w:tc>
        <w:tc>
          <w:tcPr>
            <w:tcW w:w="9460" w:type="dxa"/>
            <w:vAlign w:val="bottom"/>
            <w:tcBorders>
              <w:bottom w:val="single" w:sz="8" w:color="0000EE"/>
            </w:tcBorders>
            <w:gridSpan w:val="16"/>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Second Amended and Restated Investors’ Rights Agreement among the Registrant and certain of its stockholders, dated January 9,</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2018 (filed as Exhibit 4.2 to the Registrant’s Registration Statement on Form S-1 filed on May 25, 2018 (File No. 333-225213)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incorporated herein by reference)</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10.1#</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89"/>
              </w:rPr>
            </w:pPr>
            <w:hyperlink r:id="rId197">
              <w:r>
                <w:rPr>
                  <w:rFonts w:ascii="Arial" w:cs="Arial" w:eastAsia="Arial" w:hAnsi="Arial"/>
                  <w:sz w:val="18"/>
                  <w:szCs w:val="18"/>
                  <w:color w:val="0000EE"/>
                  <w:w w:val="89"/>
                </w:rPr>
                <w:t>2015 Amended and Restated Stock Option and Grant Plan, as amended, and forms of award agreements thereunder (filed as Exhibit</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to the Registrant’s Registration Statement on Form S-1 filed on May 25, 2018 (File No. 333-225213) and incorporated herein by</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10.2#</w:t>
            </w:r>
          </w:p>
        </w:tc>
        <w:tc>
          <w:tcPr>
            <w:tcW w:w="9400" w:type="dxa"/>
            <w:vAlign w:val="bottom"/>
            <w:tcBorders>
              <w:bottom w:val="single" w:sz="8" w:color="0000EE"/>
            </w:tcBorders>
            <w:gridSpan w:val="14"/>
          </w:tcPr>
          <w:p>
            <w:pPr>
              <w:spacing w:after="0"/>
              <w:rPr>
                <w:rFonts w:ascii="Arial" w:cs="Arial" w:eastAsia="Arial" w:hAnsi="Arial"/>
                <w:sz w:val="18"/>
                <w:szCs w:val="18"/>
                <w:color w:val="0000EE"/>
                <w:w w:val="90"/>
              </w:rPr>
            </w:pPr>
            <w:hyperlink r:id="rId198">
              <w:r>
                <w:rPr>
                  <w:rFonts w:ascii="Arial" w:cs="Arial" w:eastAsia="Arial" w:hAnsi="Arial"/>
                  <w:sz w:val="18"/>
                  <w:szCs w:val="18"/>
                  <w:color w:val="0000EE"/>
                  <w:w w:val="90"/>
                </w:rPr>
                <w:t>2018 Stock Option and Incentive Plan and forms of award agreements thereunder (filed as Exhibit 10.2 to the Registrant’s Second</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w w:val="95"/>
              </w:rPr>
            </w:pPr>
            <w:hyperlink r:id="rId198">
              <w:r>
                <w:rPr>
                  <w:rFonts w:ascii="Arial" w:cs="Arial" w:eastAsia="Arial" w:hAnsi="Arial"/>
                  <w:sz w:val="18"/>
                  <w:szCs w:val="18"/>
                  <w:color w:val="0000EE"/>
                  <w:w w:val="95"/>
                </w:rPr>
                <w:t>Amendment to the Registration Statement on Form S-1 filed on June 11, 2018 (File No. 333-225213) and incorporated herein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reference)</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10.3#</w:t>
            </w:r>
          </w:p>
        </w:tc>
        <w:tc>
          <w:tcPr>
            <w:tcW w:w="9780" w:type="dxa"/>
            <w:vAlign w:val="bottom"/>
            <w:tcBorders>
              <w:bottom w:val="single" w:sz="8" w:color="0000EE"/>
            </w:tcBorders>
            <w:gridSpan w:val="26"/>
          </w:tcPr>
          <w:p>
            <w:pPr>
              <w:spacing w:after="0"/>
              <w:rPr>
                <w:rFonts w:ascii="Arial" w:cs="Arial" w:eastAsia="Arial" w:hAnsi="Arial"/>
                <w:sz w:val="18"/>
                <w:szCs w:val="18"/>
                <w:color w:val="0000EE"/>
                <w:w w:val="90"/>
              </w:rPr>
            </w:pPr>
            <w:hyperlink r:id="rId199">
              <w:r>
                <w:rPr>
                  <w:rFonts w:ascii="Arial" w:cs="Arial" w:eastAsia="Arial" w:hAnsi="Arial"/>
                  <w:sz w:val="18"/>
                  <w:szCs w:val="18"/>
                  <w:color w:val="0000EE"/>
                  <w:w w:val="90"/>
                </w:rPr>
                <w:t>Senior Executive Cash Incentive Bonus Plan (filed as Exhibit 10.3 to the Registrant’s Second Amendment to the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9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on Form S-1 filed on June 11, 2018 (File No. 333-225213) and incorporated herein by reference)</w:t>
              </w:r>
            </w:hyperlink>
          </w:p>
        </w:tc>
        <w:tc>
          <w:tcPr>
            <w:tcW w:w="28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10.4#</w:t>
            </w:r>
          </w:p>
        </w:tc>
        <w:tc>
          <w:tcPr>
            <w:tcW w:w="9400" w:type="dxa"/>
            <w:vAlign w:val="bottom"/>
            <w:tcBorders>
              <w:bottom w:val="single" w:sz="8" w:color="0000EE"/>
            </w:tcBorders>
            <w:gridSpan w:val="14"/>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Form of Indemnification Agreement (filed as Exhibit 10.4 to the Registrant’s Second Amendment to the Registration Statement on</w:t>
              </w:r>
            </w:hyperlink>
          </w:p>
        </w:tc>
        <w:tc>
          <w:tcPr>
            <w:tcW w:w="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00">
              <w:r>
                <w:rPr>
                  <w:rFonts w:ascii="Arial" w:cs="Arial" w:eastAsia="Arial" w:hAnsi="Arial"/>
                  <w:sz w:val="18"/>
                  <w:szCs w:val="18"/>
                  <w:color w:val="0000EE"/>
                  <w:w w:val="90"/>
                </w:rPr>
                <w:t>Form S-1 filed on June 11, 2018 (File No. 333-225213) and incorporated herein by reference)</w:t>
              </w:r>
            </w:hyperlink>
          </w:p>
        </w:tc>
        <w:tc>
          <w:tcPr>
            <w:tcW w:w="30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10.5†</w:t>
            </w:r>
          </w:p>
        </w:tc>
        <w:tc>
          <w:tcPr>
            <w:tcW w:w="9800" w:type="dxa"/>
            <w:vAlign w:val="bottom"/>
            <w:gridSpan w:val="27"/>
          </w:tcPr>
          <w:p>
            <w:pPr>
              <w:spacing w:after="0"/>
              <w:rPr>
                <w:rFonts w:ascii="Arial" w:cs="Arial" w:eastAsia="Arial" w:hAnsi="Arial"/>
                <w:sz w:val="18"/>
                <w:szCs w:val="18"/>
                <w:color w:val="0000EE"/>
                <w:w w:val="92"/>
              </w:rPr>
            </w:pPr>
            <w:hyperlink r:id="rId201">
              <w:r>
                <w:rPr>
                  <w:rFonts w:ascii="Arial" w:cs="Arial" w:eastAsia="Arial" w:hAnsi="Arial"/>
                  <w:sz w:val="18"/>
                  <w:szCs w:val="18"/>
                  <w:color w:val="0000EE"/>
                  <w:w w:val="92"/>
                </w:rPr>
                <w:t>Exclusive License Agreement, by and between the Registrant and University Health Network, dated November 4, 2016, as amended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56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201">
              <w:r>
                <w:rPr>
                  <w:rFonts w:ascii="Arial" w:cs="Arial" w:eastAsia="Arial" w:hAnsi="Arial"/>
                  <w:sz w:val="18"/>
                  <w:szCs w:val="18"/>
                  <w:color w:val="0000EE"/>
                  <w:w w:val="94"/>
                </w:rPr>
                <w:t>(filed as Exhibit 10.5 to the Registrant’s First Amendment to the Registration Statement on Form S-1 filed on June 1, 2018 (File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No. 333-225213) and incorporated herein by reference)</w:t>
              </w:r>
            </w:hyperlink>
          </w:p>
        </w:tc>
        <w:tc>
          <w:tcPr>
            <w:tcW w:w="5180" w:type="dxa"/>
            <w:vAlign w:val="bottom"/>
            <w:tcBorders>
              <w:top w:val="single" w:sz="8" w:color="0000EE"/>
            </w:tcBorders>
            <w:gridSpan w:val="5"/>
          </w:tcPr>
          <w:p>
            <w:pPr>
              <w:spacing w:after="0"/>
              <w:rPr>
                <w:sz w:val="17"/>
                <w:szCs w:val="17"/>
                <w:color w:val="auto"/>
              </w:rPr>
            </w:pPr>
          </w:p>
        </w:tc>
        <w:tc>
          <w:tcPr>
            <w:tcW w:w="6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10.6†</w:t>
            </w:r>
          </w:p>
        </w:tc>
        <w:tc>
          <w:tcPr>
            <w:tcW w:w="9700" w:type="dxa"/>
            <w:vAlign w:val="bottom"/>
            <w:tcBorders>
              <w:bottom w:val="single" w:sz="8" w:color="0000EE"/>
            </w:tcBorders>
            <w:gridSpan w:val="23"/>
          </w:tcPr>
          <w:p>
            <w:pPr>
              <w:spacing w:after="0"/>
              <w:rPr>
                <w:rFonts w:ascii="Arial" w:cs="Arial" w:eastAsia="Arial" w:hAnsi="Arial"/>
                <w:sz w:val="18"/>
                <w:szCs w:val="18"/>
                <w:color w:val="0000EE"/>
                <w:w w:val="91"/>
              </w:rPr>
            </w:pPr>
            <w:hyperlink r:id="rId202">
              <w:r>
                <w:rPr>
                  <w:rFonts w:ascii="Arial" w:cs="Arial" w:eastAsia="Arial" w:hAnsi="Arial"/>
                  <w:sz w:val="18"/>
                  <w:szCs w:val="18"/>
                  <w:color w:val="0000EE"/>
                  <w:w w:val="91"/>
                </w:rPr>
                <w:t>License Agreement, by and between the Registrant and BioMarin Pharmaceutical Inc., dated August 31, 2017 (filed as Exhibit 10.6 to</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the Registrant’s Second Amendment to the Registration Statement on Form S-1 filed on June 11, 2018 (File No. 333-225213) and</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10.7†</w:t>
            </w:r>
          </w:p>
        </w:tc>
        <w:tc>
          <w:tcPr>
            <w:tcW w:w="9720" w:type="dxa"/>
            <w:vAlign w:val="bottom"/>
            <w:tcBorders>
              <w:bottom w:val="single" w:sz="8" w:color="0000EE"/>
            </w:tcBorders>
            <w:gridSpan w:val="24"/>
          </w:tcPr>
          <w:p>
            <w:pPr>
              <w:spacing w:after="0"/>
              <w:rPr>
                <w:rFonts w:ascii="Arial" w:cs="Arial" w:eastAsia="Arial" w:hAnsi="Arial"/>
                <w:sz w:val="18"/>
                <w:szCs w:val="18"/>
                <w:color w:val="0000EE"/>
                <w:w w:val="90"/>
              </w:rPr>
            </w:pPr>
            <w:hyperlink r:id="rId203">
              <w:r>
                <w:rPr>
                  <w:rFonts w:ascii="Arial" w:cs="Arial" w:eastAsia="Arial" w:hAnsi="Arial"/>
                  <w:sz w:val="18"/>
                  <w:szCs w:val="18"/>
                  <w:color w:val="0000EE"/>
                  <w:w w:val="90"/>
                </w:rPr>
                <w:t>Exclusive License Agreement, by and among the Registrant, Stefan Karlsson and Maria Dahl, dated January 30, 2017 (filed as Exhibit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7</w:t>
              </w:r>
              <w:r>
                <w:rPr>
                  <w:rFonts w:ascii="Arial" w:cs="Arial" w:eastAsia="Arial" w:hAnsi="Arial"/>
                  <w:sz w:val="18"/>
                  <w:szCs w:val="18"/>
                  <w:color w:val="0000EE"/>
                  <w:w w:val="91"/>
                </w:rPr>
                <w:t xml:space="preserve"> to the Registrant’s Registration Statement on Form S-1 filed on May 25, 2018 (File No. 333-225213) and incorporated herein by</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240" w:type="dxa"/>
            <w:vAlign w:val="bottom"/>
            <w:tcBorders>
              <w:right w:val="single" w:sz="8" w:color="0000EE"/>
            </w:tcBorders>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10.8†</w:t>
            </w:r>
          </w:p>
        </w:tc>
        <w:tc>
          <w:tcPr>
            <w:tcW w:w="9800" w:type="dxa"/>
            <w:vAlign w:val="bottom"/>
            <w:gridSpan w:val="27"/>
          </w:tcPr>
          <w:p>
            <w:pPr>
              <w:spacing w:after="0"/>
              <w:rPr>
                <w:rFonts w:ascii="Arial" w:cs="Arial" w:eastAsia="Arial" w:hAnsi="Arial"/>
                <w:sz w:val="18"/>
                <w:szCs w:val="18"/>
                <w:color w:val="0000EE"/>
                <w:w w:val="90"/>
              </w:rPr>
            </w:pPr>
            <w:hyperlink r:id="rId204">
              <w:r>
                <w:rPr>
                  <w:rFonts w:ascii="Arial" w:cs="Arial" w:eastAsia="Arial" w:hAnsi="Arial"/>
                  <w:sz w:val="18"/>
                  <w:szCs w:val="18"/>
                  <w:color w:val="0000EE"/>
                  <w:w w:val="90"/>
                </w:rPr>
                <w:t>License Agreement, by and between the Registrant and GenStem Therapeutics, Inc., dated October 2, 2017 (filed as Exhibit 10.8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Registrant’s Registration Statement on Form S-1 filed on May 25, 2018 (File No. 333-225213) and incorporated herein by reference)</w:t>
              </w:r>
            </w:hyperlink>
          </w:p>
        </w:tc>
        <w:tc>
          <w:tcPr>
            <w:tcW w:w="14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10.9#</w:t>
            </w:r>
          </w:p>
        </w:tc>
        <w:tc>
          <w:tcPr>
            <w:tcW w:w="9360" w:type="dxa"/>
            <w:vAlign w:val="bottom"/>
            <w:tcBorders>
              <w:bottom w:val="single" w:sz="8" w:color="0000EE"/>
            </w:tcBorders>
            <w:gridSpan w:val="12"/>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Amended and Restated Employment Agreement, by and between the Registrant and Geoff MacKay, effective as of June 25, 2018</w:t>
              </w:r>
            </w:hyperlink>
          </w:p>
        </w:tc>
        <w:tc>
          <w:tcPr>
            <w:tcW w:w="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w w:val="93"/>
              </w:rPr>
            </w:pPr>
            <w:hyperlink r:id="rId205">
              <w:r>
                <w:rPr>
                  <w:rFonts w:ascii="Arial" w:cs="Arial" w:eastAsia="Arial" w:hAnsi="Arial"/>
                  <w:sz w:val="18"/>
                  <w:szCs w:val="18"/>
                  <w:color w:val="0000EE"/>
                  <w:w w:val="93"/>
                </w:rPr>
                <w:t>(filed as Exhibit 10.9 to the Registrant’s Second Amendment to the Registration Statement on Form S-1 filed on June 11, 2018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No. 333-225213) and incorporated herein by reference)</w:t>
              </w:r>
            </w:hyperlink>
          </w:p>
        </w:tc>
        <w:tc>
          <w:tcPr>
            <w:tcW w:w="5460" w:type="dxa"/>
            <w:vAlign w:val="bottom"/>
            <w:tcBorders>
              <w:top w:val="single" w:sz="8" w:color="0000EE"/>
            </w:tcBorders>
            <w:gridSpan w:val="13"/>
          </w:tcPr>
          <w:p>
            <w:pPr>
              <w:spacing w:after="0"/>
              <w:rPr>
                <w:sz w:val="17"/>
                <w:szCs w:val="17"/>
                <w:color w:val="auto"/>
              </w:rPr>
            </w:pPr>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10.10#</w:t>
            </w:r>
          </w:p>
        </w:tc>
        <w:tc>
          <w:tcPr>
            <w:tcW w:w="9440" w:type="dxa"/>
            <w:vAlign w:val="bottom"/>
            <w:tcBorders>
              <w:bottom w:val="single" w:sz="8" w:color="0000EE"/>
            </w:tcBorders>
            <w:gridSpan w:val="15"/>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Amended and Restated Employment Agreement, by and between the Registrant and Nerissa Kreher, M.D., effective as of June 25,</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2018 (filed as Exhibit 10.10 to the Registrant’s Second Amendment to the Registration Statement on Form S-1 filed on June 11, 2018</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0" w:type="dxa"/>
            <w:vAlign w:val="bottom"/>
            <w:gridSpan w:val="27"/>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(File No. 333-225213) and incorporated herein by reference)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780" w:type="dxa"/>
            <w:vAlign w:val="bottom"/>
            <w:gridSpan w:val="20"/>
            <w:vMerge w:val="restart"/>
          </w:tcPr>
          <w:p>
            <w:pPr>
              <w:ind w:left="3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NO.</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20" w:type="dxa"/>
            <w:vAlign w:val="bottom"/>
            <w:gridSpan w:val="2"/>
          </w:tcPr>
          <w:p>
            <w:pPr>
              <w:spacing w:after="0"/>
              <w:rPr>
                <w:sz w:val="20"/>
                <w:szCs w:val="20"/>
                <w:color w:val="auto"/>
              </w:rPr>
            </w:pPr>
            <w:r>
              <w:rPr>
                <w:rFonts w:ascii="Arial" w:cs="Arial" w:eastAsia="Arial" w:hAnsi="Arial"/>
                <w:sz w:val="18"/>
                <w:szCs w:val="18"/>
                <w:color w:val="auto"/>
              </w:rPr>
              <w:t>10.11#</w:t>
            </w:r>
          </w:p>
        </w:tc>
        <w:tc>
          <w:tcPr>
            <w:tcW w:w="9800" w:type="dxa"/>
            <w:vAlign w:val="bottom"/>
            <w:tcBorders>
              <w:bottom w:val="single" w:sz="8" w:color="0000EE"/>
            </w:tcBorders>
            <w:gridSpan w:val="24"/>
          </w:tcPr>
          <w:p>
            <w:pPr>
              <w:spacing w:after="0"/>
              <w:rPr>
                <w:rFonts w:ascii="Arial" w:cs="Arial" w:eastAsia="Arial" w:hAnsi="Arial"/>
                <w:sz w:val="18"/>
                <w:szCs w:val="18"/>
                <w:color w:val="0000EE"/>
                <w:w w:val="90"/>
              </w:rPr>
            </w:pPr>
            <w:hyperlink r:id="rId208">
              <w:r>
                <w:rPr>
                  <w:rFonts w:ascii="Arial" w:cs="Arial" w:eastAsia="Arial" w:hAnsi="Arial"/>
                  <w:sz w:val="18"/>
                  <w:szCs w:val="18"/>
                  <w:color w:val="0000EE"/>
                  <w:w w:val="90"/>
                </w:rPr>
                <w:t>Amended and Restated Employment Agreement, by and between the Registrant and Katina Dorton, effective as of June 25, 2018 (filed</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as Exhibit 10.11 to the Registrant’s Second Amendment to the Registration Statement on Form S-1 filed on June 11, 2018 (File</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No. 333-225213) and incorporated herein by reference)</w:t>
              </w:r>
            </w:hyperlink>
          </w:p>
        </w:tc>
        <w:tc>
          <w:tcPr>
            <w:tcW w:w="57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10.12#</w:t>
            </w:r>
          </w:p>
        </w:tc>
        <w:tc>
          <w:tcPr>
            <w:tcW w:w="9820" w:type="dxa"/>
            <w:vAlign w:val="bottom"/>
            <w:gridSpan w:val="25"/>
          </w:tcPr>
          <w:p>
            <w:pPr>
              <w:spacing w:after="0"/>
              <w:rPr>
                <w:rFonts w:ascii="Arial" w:cs="Arial" w:eastAsia="Arial" w:hAnsi="Arial"/>
                <w:sz w:val="18"/>
                <w:szCs w:val="18"/>
                <w:color w:val="0000EE"/>
                <w:w w:val="94"/>
              </w:rPr>
            </w:pPr>
            <w:hyperlink r:id="rId209">
              <w:r>
                <w:rPr>
                  <w:rFonts w:ascii="Arial" w:cs="Arial" w:eastAsia="Arial" w:hAnsi="Arial"/>
                  <w:sz w:val="18"/>
                  <w:szCs w:val="18"/>
                  <w:color w:val="0000EE"/>
                  <w:w w:val="94"/>
                </w:rPr>
                <w:t>Employment Agreement, by and between the Registrant and Erik Ostrowski, dated December 17, 2018 (filed as Exhibit 10.1 to the</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Current Report on Form 8-K filed on December 21, 2018 (File No. 001-38537 ) and incorporated herein by reference)</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10.13#</w:t>
            </w:r>
          </w:p>
        </w:tc>
        <w:tc>
          <w:tcPr>
            <w:tcW w:w="74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64">
              <w:r>
                <w:rPr>
                  <w:rFonts w:ascii="Arial" w:cs="Arial" w:eastAsia="Arial" w:hAnsi="Arial"/>
                  <w:sz w:val="18"/>
                  <w:szCs w:val="18"/>
                  <w:color w:val="0000EE"/>
                  <w:w w:val="89"/>
                </w:rPr>
                <w:t>Employment Agreement, by and between the Registrant and Steven Avruch, dated December 17, 2018</w:t>
              </w:r>
            </w:hyperlink>
          </w:p>
        </w:tc>
        <w:tc>
          <w:tcPr>
            <w:tcW w:w="1100" w:type="dxa"/>
            <w:vAlign w:val="bottom"/>
            <w:tcBorders>
              <w:top w:val="single" w:sz="8" w:color="0000EE"/>
            </w:tcBorders>
            <w:gridSpan w:val="3"/>
          </w:tcPr>
          <w:p>
            <w:pPr>
              <w:spacing w:after="0"/>
              <w:rPr>
                <w:sz w:val="24"/>
                <w:szCs w:val="24"/>
                <w:color w:val="auto"/>
              </w:rPr>
            </w:pPr>
          </w:p>
        </w:tc>
        <w:tc>
          <w:tcPr>
            <w:tcW w:w="1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10.14#</w:t>
            </w:r>
          </w:p>
        </w:tc>
        <w:tc>
          <w:tcPr>
            <w:tcW w:w="81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79">
              <w:r>
                <w:rPr>
                  <w:rFonts w:ascii="Arial" w:cs="Arial" w:eastAsia="Arial" w:hAnsi="Arial"/>
                  <w:sz w:val="18"/>
                  <w:szCs w:val="18"/>
                  <w:color w:val="0000EE"/>
                  <w:w w:val="90"/>
                </w:rPr>
                <w:t>Consulting Agreement, by and between the Registrant and Birgitte Volck, M.D., Ph.D., dated December 17, 2018</w:t>
              </w:r>
            </w:hyperlink>
          </w:p>
        </w:tc>
        <w:tc>
          <w:tcPr>
            <w:tcW w:w="1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10.15#</w:t>
            </w:r>
          </w:p>
        </w:tc>
        <w:tc>
          <w:tcPr>
            <w:tcW w:w="83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88">
              <w:r>
                <w:rPr>
                  <w:rFonts w:ascii="Arial" w:cs="Arial" w:eastAsia="Arial" w:hAnsi="Arial"/>
                  <w:sz w:val="18"/>
                  <w:szCs w:val="18"/>
                  <w:color w:val="0000EE"/>
                  <w:w w:val="90"/>
                </w:rPr>
                <w:t>Employment Agreement, by and between the Registrant and Birgitte Volck, M.D., Ph.D., dated December 17, 2018</w:t>
              </w:r>
            </w:hyperlink>
          </w:p>
        </w:tc>
        <w:tc>
          <w:tcPr>
            <w:tcW w:w="1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10.16#</w:t>
            </w:r>
          </w:p>
        </w:tc>
        <w:tc>
          <w:tcPr>
            <w:tcW w:w="9820" w:type="dxa"/>
            <w:vAlign w:val="bottom"/>
            <w:gridSpan w:val="25"/>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Separation Agreement and Release, by and between the Registrant and Katina Dorton, dated January 8, 2019 (filed as Exhibit 10.1 to</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Amendment No. 1 the Current Report on Form 8-K filed on January 11, 2019 (File No. 001-38537) and incorporated herein by</w:t>
              </w:r>
            </w:hyperlink>
          </w:p>
        </w:tc>
        <w:tc>
          <w:tcPr>
            <w:tcW w:w="440" w:type="dxa"/>
            <w:vAlign w:val="bottom"/>
            <w:tcBorders>
              <w:top w:val="single" w:sz="8" w:color="0000EE"/>
            </w:tcBorders>
            <w:gridSpan w:val="5"/>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20" w:type="dxa"/>
            <w:vAlign w:val="bottom"/>
            <w:gridSpan w:val="25"/>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10.17#</w:t>
            </w:r>
          </w:p>
        </w:tc>
        <w:tc>
          <w:tcPr>
            <w:tcW w:w="9720" w:type="dxa"/>
            <w:vAlign w:val="bottom"/>
            <w:tcBorders>
              <w:bottom w:val="single" w:sz="8" w:color="0000EE"/>
            </w:tcBorders>
            <w:gridSpan w:val="21"/>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Separation Agreement and Release, by and between the Registrant and Nerissa Kreher, M.D., dated January 10, 2019 (filed as Exhibit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r>
                <w:rPr>
                  <w:rFonts w:ascii="Arial" w:cs="Arial" w:eastAsia="Arial" w:hAnsi="Arial"/>
                  <w:sz w:val="18"/>
                  <w:szCs w:val="18"/>
                  <w:color w:val="0000EE"/>
                  <w:w w:val="91"/>
                </w:rPr>
                <w:t xml:space="preserve"> to Amendment No. 1 to the Current Report on Form 8-K filed on January 11, 2019 (File No. 001-38537) and incorporated herein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11">
              <w:r>
                <w:rPr>
                  <w:rFonts w:ascii="Arial" w:cs="Arial" w:eastAsia="Arial" w:hAnsi="Arial"/>
                  <w:sz w:val="18"/>
                  <w:szCs w:val="18"/>
                  <w:color w:val="0000EE"/>
                  <w:w w:val="88"/>
                </w:rPr>
                <w:t>by reference)</w:t>
              </w:r>
            </w:hyperlink>
          </w:p>
        </w:tc>
        <w:tc>
          <w:tcPr>
            <w:tcW w:w="88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10.18#</w:t>
            </w:r>
          </w:p>
        </w:tc>
        <w:tc>
          <w:tcPr>
            <w:tcW w:w="9540" w:type="dxa"/>
            <w:vAlign w:val="bottom"/>
            <w:tcBorders>
              <w:bottom w:val="single" w:sz="8" w:color="0000EE"/>
            </w:tcBorders>
            <w:gridSpan w:val="16"/>
          </w:tcPr>
          <w:p>
            <w:pPr>
              <w:spacing w:after="0"/>
              <w:rPr>
                <w:rFonts w:ascii="Arial" w:cs="Arial" w:eastAsia="Arial" w:hAnsi="Arial"/>
                <w:sz w:val="18"/>
                <w:szCs w:val="18"/>
                <w:color w:val="0000EE"/>
                <w:w w:val="90"/>
              </w:rPr>
            </w:pPr>
            <w:hyperlink r:id="rId212">
              <w:r>
                <w:rPr>
                  <w:rFonts w:ascii="Arial" w:cs="Arial" w:eastAsia="Arial" w:hAnsi="Arial"/>
                  <w:sz w:val="18"/>
                  <w:szCs w:val="18"/>
                  <w:color w:val="0000EE"/>
                  <w:w w:val="90"/>
                </w:rPr>
                <w:t>2018 Employee Stock Purchase Plan (filed as Exhibit 10.14 to the Registrant’s Second Amendment to the Registration Statement on</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12">
              <w:r>
                <w:rPr>
                  <w:rFonts w:ascii="Arial" w:cs="Arial" w:eastAsia="Arial" w:hAnsi="Arial"/>
                  <w:sz w:val="18"/>
                  <w:szCs w:val="18"/>
                  <w:color w:val="0000EE"/>
                  <w:w w:val="90"/>
                </w:rPr>
                <w:t>Form S-1 filed on June 11, 2018 (File No. 333-225213) and incorporated herein by reference)</w:t>
              </w:r>
            </w:hyperlink>
          </w:p>
        </w:tc>
        <w:tc>
          <w:tcPr>
            <w:tcW w:w="3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10.19</w:t>
            </w:r>
          </w:p>
        </w:tc>
        <w:tc>
          <w:tcPr>
            <w:tcW w:w="9820" w:type="dxa"/>
            <w:vAlign w:val="bottom"/>
            <w:gridSpan w:val="25"/>
          </w:tcPr>
          <w:p>
            <w:pPr>
              <w:spacing w:after="0"/>
              <w:rPr>
                <w:rFonts w:ascii="Arial" w:cs="Arial" w:eastAsia="Arial" w:hAnsi="Arial"/>
                <w:sz w:val="18"/>
                <w:szCs w:val="18"/>
                <w:color w:val="0000EE"/>
                <w:w w:val="94"/>
              </w:rPr>
            </w:pPr>
            <w:hyperlink r:id="rId213">
              <w:r>
                <w:rPr>
                  <w:rFonts w:ascii="Arial" w:cs="Arial" w:eastAsia="Arial" w:hAnsi="Arial"/>
                  <w:sz w:val="18"/>
                  <w:szCs w:val="18"/>
                  <w:color w:val="0000EE"/>
                  <w:w w:val="94"/>
                </w:rPr>
                <w:t>Lease Agreement, dated as of January 12, 2018, by and between the Registrant and ARE-MA Region No. 59, LLC (filed as Exhibit</w:t>
              </w:r>
            </w:hyperlink>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72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20" w:type="dxa"/>
            <w:vAlign w:val="bottom"/>
            <w:gridSpan w:val="25"/>
          </w:tcPr>
          <w:p>
            <w:pPr>
              <w:spacing w:after="0" w:line="196" w:lineRule="exact"/>
              <w:rPr>
                <w:rFonts w:ascii="Arial" w:cs="Arial" w:eastAsia="Arial" w:hAnsi="Arial"/>
                <w:sz w:val="18"/>
                <w:szCs w:val="18"/>
                <w:color w:val="0000EE"/>
                <w:w w:val="92"/>
              </w:rPr>
            </w:pPr>
            <w:hyperlink r:id="rId213">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12</w:t>
              </w:r>
              <w:r>
                <w:rPr>
                  <w:rFonts w:ascii="Arial" w:cs="Arial" w:eastAsia="Arial" w:hAnsi="Arial"/>
                  <w:sz w:val="18"/>
                  <w:szCs w:val="18"/>
                  <w:color w:val="0000EE"/>
                  <w:w w:val="92"/>
                </w:rPr>
                <w:t xml:space="preserve"> to the Registrant’s Registration Statement on Form S-1 filed on May 25, 2018 (File No. 333-225213) and incorporated herein by</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reference)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21.1</w:t>
            </w:r>
          </w:p>
        </w:tc>
        <w:tc>
          <w:tcPr>
            <w:tcW w:w="9820" w:type="dxa"/>
            <w:vAlign w:val="bottom"/>
            <w:gridSpan w:val="25"/>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23.1</w:t>
            </w:r>
          </w:p>
        </w:tc>
        <w:tc>
          <w:tcPr>
            <w:tcW w:w="58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06">
              <w:r>
                <w:rPr>
                  <w:rFonts w:ascii="Arial" w:cs="Arial" w:eastAsia="Arial" w:hAnsi="Arial"/>
                  <w:sz w:val="18"/>
                  <w:szCs w:val="18"/>
                  <w:color w:val="0000EE"/>
                  <w:w w:val="91"/>
                </w:rPr>
                <w:t>Consent of Ernst &amp; Young LLP, Independent Registered Public Accounting Firm</w:t>
              </w:r>
            </w:hyperlink>
          </w:p>
        </w:tc>
        <w:tc>
          <w:tcPr>
            <w:tcW w:w="39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07">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Adopted Pursuant to Section 302 of the Sarbanes-Oxley Act of 2002</w:t>
              </w:r>
            </w:hyperlink>
          </w:p>
        </w:tc>
        <w:tc>
          <w:tcPr>
            <w:tcW w:w="48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31.2</w:t>
            </w:r>
          </w:p>
        </w:tc>
        <w:tc>
          <w:tcPr>
            <w:tcW w:w="9820" w:type="dxa"/>
            <w:vAlign w:val="bottom"/>
            <w:gridSpan w:val="25"/>
          </w:tcPr>
          <w:p>
            <w:pPr>
              <w:spacing w:after="0"/>
              <w:rPr>
                <w:rFonts w:ascii="Arial" w:cs="Arial" w:eastAsia="Arial" w:hAnsi="Arial"/>
                <w:sz w:val="18"/>
                <w:szCs w:val="18"/>
                <w:color w:val="0000EE"/>
                <w:w w:val="93"/>
              </w:rPr>
            </w:pPr>
            <w:hyperlink w:anchor="page208">
              <w:r>
                <w:rPr>
                  <w:rFonts w:ascii="Arial" w:cs="Arial" w:eastAsia="Arial" w:hAnsi="Arial"/>
                  <w:sz w:val="18"/>
                  <w:szCs w:val="18"/>
                  <w:color w:val="0000EE"/>
                  <w:w w:val="93"/>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11"/>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32.1*</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09">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09">
              <w:r>
                <w:rPr>
                  <w:rFonts w:ascii="Arial" w:cs="Arial" w:eastAsia="Arial" w:hAnsi="Arial"/>
                  <w:sz w:val="18"/>
                  <w:szCs w:val="18"/>
                  <w:color w:val="0000EE"/>
                  <w:w w:val="90"/>
                </w:rPr>
                <w:t>Section 906 of the Sarbanes-Oxley Act of 2002</w:t>
              </w:r>
            </w:hyperlink>
          </w:p>
        </w:tc>
        <w:tc>
          <w:tcPr>
            <w:tcW w:w="64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Confidential treatment has been granted for portions of this Exhibit pursuant to Rule 406 promulgated under the Securities Act of 1933, as</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amended</w:t>
      </w:r>
    </w:p>
    <w:p>
      <w:pPr>
        <w:spacing w:after="0" w:line="9" w:lineRule="exact"/>
        <w:rPr>
          <w:sz w:val="20"/>
          <w:szCs w:val="20"/>
          <w:color w:val="auto"/>
        </w:rPr>
      </w:pPr>
    </w:p>
    <w:p>
      <w:pPr>
        <w:ind w:left="200" w:right="4520" w:firstLine="4"/>
        <w:spacing w:after="0" w:line="261" w:lineRule="auto"/>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Indicates the exhibit is being furnished, not filed, with this report</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March 25, 2019</w:t>
      </w:r>
    </w:p>
    <w:p>
      <w:pPr>
        <w:spacing w:after="0" w:line="22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5160" w:type="dxa"/>
            <w:vAlign w:val="bottom"/>
          </w:tcPr>
          <w:p>
            <w:pPr>
              <w:ind w:left="2520"/>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47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516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516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c>
          <w:tcPr>
            <w:tcW w:w="51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516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Officerand Principal Accounting Officer)</w:t>
            </w: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w:t>
            </w:r>
          </w:p>
        </w:tc>
        <w:tc>
          <w:tcPr>
            <w:tcW w:w="5160" w:type="dxa"/>
            <w:vAlign w:val="bottom"/>
          </w:tcPr>
          <w:p>
            <w:pPr>
              <w:ind w:left="100"/>
              <w:spacing w:after="0"/>
              <w:rPr>
                <w:sz w:val="20"/>
                <w:szCs w:val="20"/>
                <w:color w:val="auto"/>
              </w:rPr>
            </w:pPr>
            <w:r>
              <w:rPr>
                <w:rFonts w:ascii="Arial" w:cs="Arial" w:eastAsia="Arial" w:hAnsi="Arial"/>
                <w:sz w:val="18"/>
                <w:szCs w:val="18"/>
                <w:color w:val="auto"/>
              </w:rPr>
              <w:t>Chairman of the Board of Directors</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Bruce Booth, D.Phil.</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Ian T. Clark</w:t>
            </w:r>
          </w:p>
        </w:tc>
        <w:tc>
          <w:tcPr>
            <w:tcW w:w="51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Phillip B. Donenberg</w:t>
            </w:r>
          </w:p>
        </w:tc>
        <w:tc>
          <w:tcPr>
            <w:tcW w:w="51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3"/>
              </w:rPr>
              <w:t>Phillip B. Donenberg</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51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1"/>
              </w:rPr>
              <w:t>Annalisa Jenkins, M.B.B.S., F.R.C.P</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Paige</w:t>
            </w:r>
          </w:p>
        </w:tc>
        <w:tc>
          <w:tcPr>
            <w:tcW w:w="51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89"/>
              </w:rPr>
              <w:t>Christopher Paige, Ph.D.</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Philip J. Vickers</w:t>
            </w:r>
          </w:p>
        </w:tc>
        <w:tc>
          <w:tcPr>
            <w:tcW w:w="51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2"/>
              <w:spacing w:after="0"/>
              <w:rPr>
                <w:sz w:val="20"/>
                <w:szCs w:val="20"/>
                <w:color w:val="auto"/>
              </w:rPr>
            </w:pPr>
            <w:r>
              <w:rPr>
                <w:rFonts w:ascii="Arial" w:cs="Arial" w:eastAsia="Arial" w:hAnsi="Arial"/>
                <w:sz w:val="18"/>
                <w:szCs w:val="18"/>
                <w:color w:val="auto"/>
                <w:w w:val="91"/>
              </w:rPr>
              <w:t>March 25, 2019</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w w:val="93"/>
              </w:rPr>
              <w:t>Philip J. Vickers, Ph.D.</w:t>
            </w:r>
          </w:p>
        </w:tc>
        <w:tc>
          <w:tcPr>
            <w:tcW w:w="516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ectPr>
          <w:pgSz w:w="11900" w:h="16838" w:orient="portrait"/>
          <w:cols w:equalWidth="0" w:num="1">
            <w:col w:w="11140"/>
          </w:cols>
          <w:pgMar w:left="240" w:top="460" w:right="5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This Employment Agreement (“Agreement”) is made as of the 17th day of December, 2018, between AVROBIO, Inc., a Delaware corporation (the “Company”), and Steven Avruch (the “Executive”).</w:t>
      </w:r>
    </w:p>
    <w:p>
      <w:pPr>
        <w:spacing w:after="0" w:line="170"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WHEREAS, the Company desires to employ the Executive and the Executive desires to be employed by the Company commencing on January 2, 2019, unless another date is agreed to by the parties. The Executive’s first day of employment shall be the “Effective Date” of this Agreement;</w:t>
      </w:r>
    </w:p>
    <w:p>
      <w:pPr>
        <w:spacing w:after="0" w:line="12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WHEREAS, this Agreement fully supersedes and replaces the offer letter from the Company to the Executive dated December 10, 2018 (the “Offer Letter”); and</w:t>
      </w:r>
    </w:p>
    <w:p>
      <w:pPr>
        <w:spacing w:after="0" w:line="170"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WHEREAS, to protect the Company’s proprietary information and goodwill, as a condition of Executive’s employment, the Executive and the Company will become parties to Employee Confidentiality, Assignment and Nonsolicitation Agreement (the “Restrictive Covenants Agreement”), which is being provided to the Executive along with this Agreement.</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76"/>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126"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hereof (the “Term”). The Executive’s employment with the Company will be “at will,” meaning that the Executive’s employment may be terminated by the Company or the Executive at any time and for any reason subject to the terms of this Agreement.</w:t>
      </w:r>
    </w:p>
    <w:p>
      <w:pPr>
        <w:spacing w:after="0" w:line="181" w:lineRule="exact"/>
        <w:rPr>
          <w:rFonts w:ascii="Arial" w:cs="Arial" w:eastAsia="Arial" w:hAnsi="Arial"/>
          <w:sz w:val="18"/>
          <w:szCs w:val="18"/>
          <w:color w:val="auto"/>
        </w:rPr>
      </w:pPr>
    </w:p>
    <w:p>
      <w:pPr>
        <w:ind w:right="40" w:firstLine="885"/>
        <w:spacing w:after="0" w:line="270" w:lineRule="auto"/>
        <w:tabs>
          <w:tab w:leader="none" w:pos="1136"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During the Term, the Executive shall serve as the Vice President and General Counsel of the Company, and shall have supervision and control over and responsibility for the day-to-day business and affairs of the legal department of the Company and shall have such other powers and duties as may from time to time be prescribed by the Board of Directors of the Company (the “Board”), the Chief Executive Officer of the Company (the “CEO”) or other authorized executive. The Executive shall devote his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his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ectPr>
          <w:pgSz w:w="11900" w:h="16838" w:orient="portrait"/>
          <w:cols w:equalWidth="0" w:num="1">
            <w:col w:w="11020"/>
          </w:cols>
          <w:pgMar w:left="440" w:top="121" w:right="439" w:bottom="1440" w:gutter="0" w:footer="0" w:header="0"/>
        </w:sectPr>
      </w:pPr>
    </w:p>
    <w:bookmarkStart w:id="164" w:name="page165"/>
    <w:bookmarkEnd w:id="164"/>
    <w:p>
      <w:pPr>
        <w:ind w:left="580" w:hanging="176"/>
        <w:spacing w:after="0"/>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80" w:firstLine="885"/>
        <w:spacing w:after="0" w:line="259" w:lineRule="auto"/>
        <w:tabs>
          <w:tab w:leader="none" w:pos="108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the Executive’s annual base salary shall be $335,000.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6" w:lineRule="exact"/>
        <w:rPr>
          <w:rFonts w:ascii="Arial" w:cs="Arial" w:eastAsia="Arial" w:hAnsi="Arial"/>
          <w:sz w:val="18"/>
          <w:szCs w:val="18"/>
          <w:color w:val="auto"/>
        </w:rPr>
      </w:pPr>
    </w:p>
    <w:p>
      <w:pPr>
        <w:ind w:left="-40" w:right="40" w:firstLine="885"/>
        <w:spacing w:after="0" w:line="279" w:lineRule="auto"/>
        <w:tabs>
          <w:tab w:leader="none" w:pos="1096"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During the Term, the Executive shall be eligible to receive cash incentive compensation as determined by the Board or the Compensation Committee from time to time. The Executive’s initial target annual incentive compensation shall be thirty-five percent (35%) of his Base Salary (as in effect at any time, the “Target Annual Incentive Compensation”). Except as otherwise provided herein, to earn incentive compensation, the Executive must be employed by the Company on the day such incentive compensation is paid.</w:t>
      </w:r>
    </w:p>
    <w:p>
      <w:pPr>
        <w:spacing w:after="0" w:line="171" w:lineRule="exact"/>
        <w:rPr>
          <w:rFonts w:ascii="Arial" w:cs="Arial" w:eastAsia="Arial" w:hAnsi="Arial"/>
          <w:sz w:val="17"/>
          <w:szCs w:val="17"/>
          <w:color w:val="auto"/>
        </w:rPr>
      </w:pPr>
    </w:p>
    <w:p>
      <w:pPr>
        <w:ind w:left="-40" w:firstLine="885"/>
        <w:spacing w:after="0" w:line="264" w:lineRule="auto"/>
        <w:tabs>
          <w:tab w:leader="none" w:pos="108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officers.</w:t>
      </w:r>
    </w:p>
    <w:p>
      <w:pPr>
        <w:spacing w:after="0" w:line="181" w:lineRule="exact"/>
        <w:rPr>
          <w:rFonts w:ascii="Arial" w:cs="Arial" w:eastAsia="Arial" w:hAnsi="Arial"/>
          <w:sz w:val="18"/>
          <w:szCs w:val="18"/>
          <w:color w:val="auto"/>
        </w:rPr>
      </w:pPr>
    </w:p>
    <w:p>
      <w:pPr>
        <w:ind w:left="-40" w:firstLine="885"/>
        <w:spacing w:after="0" w:line="264" w:lineRule="auto"/>
        <w:tabs>
          <w:tab w:leader="none" w:pos="109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181" w:lineRule="exact"/>
        <w:rPr>
          <w:rFonts w:ascii="Arial" w:cs="Arial" w:eastAsia="Arial" w:hAnsi="Arial"/>
          <w:sz w:val="18"/>
          <w:szCs w:val="18"/>
          <w:color w:val="auto"/>
        </w:rPr>
      </w:pPr>
    </w:p>
    <w:p>
      <w:pPr>
        <w:jc w:val="both"/>
        <w:ind w:left="-40" w:right="80" w:firstLine="885"/>
        <w:spacing w:after="0" w:line="264" w:lineRule="auto"/>
        <w:tabs>
          <w:tab w:leader="none" w:pos="108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81" w:lineRule="exact"/>
        <w:rPr>
          <w:rFonts w:ascii="Arial" w:cs="Arial" w:eastAsia="Arial" w:hAnsi="Arial"/>
          <w:sz w:val="18"/>
          <w:szCs w:val="18"/>
          <w:color w:val="auto"/>
        </w:rPr>
      </w:pPr>
    </w:p>
    <w:p>
      <w:pPr>
        <w:ind w:left="-40" w:right="180" w:firstLine="885"/>
        <w:spacing w:after="0" w:line="289" w:lineRule="auto"/>
        <w:tabs>
          <w:tab w:leader="none" w:pos="1066"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The Executive shall also be eligible to participate in the Company’s equity incentive plan, subject to approval by the Board or Compensation Committee. The Company will grant the Executive an option to purchase 88,636 shares of the Company’s common stock (“New Hire Award”). The New Hire Award shall vest over four years, with twenty-five percent of the New Hire Award vesting on the one-year anniversary of the Effective Date and the remaining shares vesting in thirty-six equal monthly installments following the one-year anniversary of the Effective Date, subject to the Executive’s continued service relationship with the Company. The New Hire Award, together with any other equity awards held by the Executive, shall be governed by the terms and conditions of the Company’s applicable equity incentive plan(s) and the applicable award agreement(s) governing the terms of such equity awards held by the Executive (collectively, the “Equity Documents”); provided, however, and notwithstanding anything to the contrary in the Equity Documents, Section 4(b)(ii) or Section 5(a)(ii) of this Agreement (as applicable) shall apply in the event of a termination by the Company without Cause or by the Executive for Good Reason (as such terms are defined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165" w:name="page166"/>
    <w:bookmarkEnd w:id="165"/>
    <w:p>
      <w:pPr>
        <w:ind w:left="-20" w:right="460" w:firstLine="444"/>
        <w:spacing w:after="0" w:line="277" w:lineRule="auto"/>
        <w:tabs>
          <w:tab w:leader="none" w:pos="60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100" w:hanging="235"/>
        <w:spacing w:after="0"/>
        <w:tabs>
          <w:tab w:leader="none" w:pos="110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ind w:left="-20" w:right="20" w:firstLine="885"/>
        <w:spacing w:after="0" w:line="269" w:lineRule="auto"/>
        <w:tabs>
          <w:tab w:leader="none" w:pos="1116"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2" w:lineRule="exact"/>
        <w:rPr>
          <w:rFonts w:ascii="Arial" w:cs="Arial" w:eastAsia="Arial" w:hAnsi="Arial"/>
          <w:sz w:val="17"/>
          <w:szCs w:val="17"/>
          <w:color w:val="auto"/>
        </w:rPr>
      </w:pPr>
    </w:p>
    <w:p>
      <w:pPr>
        <w:ind w:left="-20" w:firstLine="885"/>
        <w:spacing w:after="0" w:line="286" w:lineRule="auto"/>
        <w:tabs>
          <w:tab w:leader="none" w:pos="110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he were retained in his position; (iii) continued non-performance by the Executive of his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4" w:right="439" w:bottom="1440" w:gutter="0" w:footer="0" w:header="0"/>
        </w:sectPr>
      </w:pPr>
    </w:p>
    <w:bookmarkStart w:id="166" w:name="page167"/>
    <w:bookmarkEnd w:id="166"/>
    <w:p>
      <w:pPr>
        <w:ind w:left="-20" w:right="60" w:firstLine="885"/>
        <w:spacing w:after="0" w:line="312" w:lineRule="auto"/>
        <w:tabs>
          <w:tab w:leader="none" w:pos="111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46" w:lineRule="exact"/>
        <w:rPr>
          <w:rFonts w:ascii="Arial" w:cs="Arial" w:eastAsia="Arial" w:hAnsi="Arial"/>
          <w:sz w:val="16"/>
          <w:szCs w:val="16"/>
          <w:color w:val="auto"/>
        </w:rPr>
      </w:pPr>
    </w:p>
    <w:p>
      <w:pPr>
        <w:ind w:left="-20" w:firstLine="885"/>
        <w:spacing w:after="0" w:line="269" w:lineRule="auto"/>
        <w:tabs>
          <w:tab w:leader="none" w:pos="110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or reporting relationship;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79" w:lineRule="exact"/>
        <w:rPr>
          <w:rFonts w:ascii="Arial" w:cs="Arial" w:eastAsia="Arial" w:hAnsi="Arial"/>
          <w:sz w:val="17"/>
          <w:szCs w:val="17"/>
          <w:color w:val="auto"/>
        </w:rPr>
      </w:pPr>
    </w:p>
    <w:p>
      <w:pPr>
        <w:ind w:left="-20" w:right="200" w:firstLine="885"/>
        <w:spacing w:after="0" w:line="312" w:lineRule="auto"/>
        <w:tabs>
          <w:tab w:leader="none" w:pos="108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6" w:lineRule="exact"/>
        <w:rPr>
          <w:rFonts w:ascii="Arial" w:cs="Arial" w:eastAsia="Arial" w:hAnsi="Arial"/>
          <w:sz w:val="16"/>
          <w:szCs w:val="16"/>
          <w:color w:val="auto"/>
        </w:rPr>
      </w:pPr>
    </w:p>
    <w:p>
      <w:pPr>
        <w:ind w:left="-20" w:right="60" w:firstLine="885"/>
        <w:spacing w:after="0" w:line="271" w:lineRule="auto"/>
        <w:tabs>
          <w:tab w:leader="none" w:pos="111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167" w:name="page168"/>
    <w:bookmarkEnd w:id="167"/>
    <w:p>
      <w:pPr>
        <w:ind w:left="560" w:hanging="176"/>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Upon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80" w:firstLine="885"/>
        <w:spacing w:after="0" w:line="273" w:lineRule="auto"/>
        <w:tabs>
          <w:tab w:leader="none" w:pos="1066" w:val="left"/>
        </w:tabs>
        <w:numPr>
          <w:ilvl w:val="2"/>
          <w:numId w:val="88"/>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78" w:lineRule="exact"/>
        <w:rPr>
          <w:rFonts w:ascii="Arial" w:cs="Arial" w:eastAsia="Arial" w:hAnsi="Arial"/>
          <w:sz w:val="17"/>
          <w:szCs w:val="17"/>
          <w:color w:val="auto"/>
        </w:rPr>
      </w:pPr>
    </w:p>
    <w:p>
      <w:pPr>
        <w:ind w:left="-60" w:firstLine="885"/>
        <w:spacing w:after="0" w:line="270" w:lineRule="auto"/>
        <w:tabs>
          <w:tab w:leader="none" w:pos="1076" w:val="left"/>
        </w:tabs>
        <w:numPr>
          <w:ilvl w:val="2"/>
          <w:numId w:val="88"/>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the Executive with Good Reason</w:t>
      </w:r>
      <w:r>
        <w:rPr>
          <w:rFonts w:ascii="Arial" w:cs="Arial" w:eastAsia="Arial" w:hAnsi="Arial"/>
          <w:sz w:val="17"/>
          <w:szCs w:val="17"/>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a reaffirmation of all of the Executive’s Continuing Obligations, and that shall provide that if the Executive breaches any of the Executive’s Continuing Obligations, all payments of the Severance Amount shall immediately cease, in a form and manner satisfactory to the Company (the “Separation Agreement and Release”)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73" w:lineRule="exact"/>
        <w:rPr>
          <w:rFonts w:ascii="Arial" w:cs="Arial" w:eastAsia="Arial" w:hAnsi="Arial"/>
          <w:sz w:val="17"/>
          <w:szCs w:val="17"/>
          <w:color w:val="auto"/>
        </w:rPr>
      </w:pPr>
    </w:p>
    <w:p>
      <w:pPr>
        <w:ind w:left="1020" w:hanging="212"/>
        <w:spacing w:after="0"/>
        <w:tabs>
          <w:tab w:leader="none" w:pos="10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pay the Executive an amount equal to 0.75 times the sum of the Executive’s Base Salary (the “Severance Amount”);</w:t>
      </w:r>
    </w:p>
    <w:p>
      <w:pPr>
        <w:spacing w:after="0" w:line="140" w:lineRule="exact"/>
        <w:rPr>
          <w:rFonts w:ascii="Arial" w:cs="Arial" w:eastAsia="Arial" w:hAnsi="Arial"/>
          <w:sz w:val="16"/>
          <w:szCs w:val="16"/>
          <w:color w:val="auto"/>
        </w:rPr>
      </w:pPr>
    </w:p>
    <w:p>
      <w:pPr>
        <w:ind w:left="380" w:right="20" w:firstLine="428"/>
        <w:spacing w:after="0" w:line="259" w:lineRule="auto"/>
        <w:tabs>
          <w:tab w:leader="none" w:pos="1068"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ind w:left="380" w:right="20" w:firstLine="428"/>
        <w:spacing w:after="0" w:line="279" w:lineRule="auto"/>
        <w:tabs>
          <w:tab w:leader="none" w:pos="1118"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500" w:top="274" w:right="499" w:bottom="1440" w:gutter="0" w:footer="0" w:header="0"/>
        </w:sectPr>
      </w:pPr>
    </w:p>
    <w:bookmarkStart w:id="168" w:name="page169"/>
    <w:bookmarkEnd w:id="168"/>
    <w:p>
      <w:pPr>
        <w:ind w:left="440" w:right="20" w:firstLine="428"/>
        <w:spacing w:after="0" w:line="255" w:lineRule="auto"/>
        <w:tabs>
          <w:tab w:leader="none" w:pos="1168"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93" w:lineRule="exact"/>
        <w:rPr>
          <w:rFonts w:ascii="Arial" w:cs="Arial" w:eastAsia="Arial" w:hAnsi="Arial"/>
          <w:sz w:val="18"/>
          <w:szCs w:val="18"/>
          <w:color w:val="auto"/>
        </w:rPr>
      </w:pPr>
    </w:p>
    <w:p>
      <w:pPr>
        <w:ind w:right="60" w:firstLine="444"/>
        <w:spacing w:after="0" w:line="289" w:lineRule="auto"/>
        <w:tabs>
          <w:tab w:leader="none" w:pos="62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w:t>
      </w:r>
      <w:r>
        <w:rPr>
          <w:rFonts w:ascii="Arial" w:cs="Arial" w:eastAsia="Arial" w:hAnsi="Arial"/>
          <w:sz w:val="16"/>
          <w:szCs w:val="16"/>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67" w:lineRule="exact"/>
        <w:rPr>
          <w:sz w:val="20"/>
          <w:szCs w:val="20"/>
          <w:color w:val="auto"/>
        </w:rPr>
      </w:pPr>
    </w:p>
    <w:p>
      <w:pPr>
        <w:ind w:firstLine="885"/>
        <w:spacing w:after="0" w:line="276" w:lineRule="auto"/>
        <w:tabs>
          <w:tab w:leader="none" w:pos="1126"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40" w:right="280" w:firstLine="428"/>
        <w:spacing w:after="0" w:line="264" w:lineRule="auto"/>
        <w:tabs>
          <w:tab w:leader="none" w:pos="107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 (together the “Change in Control Payment”);</w:t>
      </w:r>
    </w:p>
    <w:p>
      <w:pPr>
        <w:spacing w:after="0" w:line="73" w:lineRule="exact"/>
        <w:rPr>
          <w:rFonts w:ascii="Arial" w:cs="Arial" w:eastAsia="Arial" w:hAnsi="Arial"/>
          <w:sz w:val="18"/>
          <w:szCs w:val="18"/>
          <w:color w:val="auto"/>
        </w:rPr>
      </w:pPr>
    </w:p>
    <w:p>
      <w:pPr>
        <w:ind w:left="440" w:right="480" w:firstLine="428"/>
        <w:spacing w:after="0" w:line="264" w:lineRule="auto"/>
        <w:tabs>
          <w:tab w:leader="none" w:pos="11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69" w:name="page170"/>
    <w:bookmarkEnd w:id="169"/>
    <w:p>
      <w:pPr>
        <w:ind w:right="20" w:firstLine="428"/>
        <w:spacing w:after="0" w:line="279" w:lineRule="auto"/>
        <w:tabs>
          <w:tab w:leader="none" w:pos="738" w:val="left"/>
        </w:tabs>
        <w:numPr>
          <w:ilvl w:val="0"/>
          <w:numId w:val="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right="60" w:firstLine="428"/>
        <w:spacing w:after="0" w:line="264" w:lineRule="auto"/>
        <w:tabs>
          <w:tab w:leader="none" w:pos="7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1" w:lineRule="exact"/>
        <w:rPr>
          <w:sz w:val="20"/>
          <w:szCs w:val="20"/>
          <w:color w:val="auto"/>
        </w:rPr>
      </w:pPr>
    </w:p>
    <w:p>
      <w:pPr>
        <w:ind w:left="700" w:hanging="255"/>
        <w:spacing w:after="0"/>
        <w:tabs>
          <w:tab w:leader="none" w:pos="70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p>
    <w:p>
      <w:pPr>
        <w:spacing w:after="0" w:line="225" w:lineRule="exact"/>
        <w:rPr>
          <w:rFonts w:ascii="Arial" w:cs="Arial" w:eastAsia="Arial" w:hAnsi="Arial"/>
          <w:sz w:val="18"/>
          <w:szCs w:val="18"/>
          <w:color w:val="auto"/>
        </w:rPr>
      </w:pPr>
    </w:p>
    <w:p>
      <w:pPr>
        <w:ind w:right="120" w:firstLine="428"/>
        <w:spacing w:after="0" w:line="286" w:lineRule="auto"/>
        <w:tabs>
          <w:tab w:leader="none" w:pos="63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66" w:lineRule="exact"/>
        <w:rPr>
          <w:rFonts w:ascii="Arial" w:cs="Arial" w:eastAsia="Arial" w:hAnsi="Arial"/>
          <w:sz w:val="16"/>
          <w:szCs w:val="16"/>
          <w:color w:val="auto"/>
        </w:rPr>
      </w:pPr>
    </w:p>
    <w:p>
      <w:pPr>
        <w:ind w:firstLine="428"/>
        <w:spacing w:after="0" w:line="273" w:lineRule="auto"/>
        <w:tabs>
          <w:tab w:leader="none" w:pos="688" w:val="left"/>
        </w:tabs>
        <w:numPr>
          <w:ilvl w:val="0"/>
          <w:numId w:val="95"/>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170" w:name="page171"/>
    <w:bookmarkEnd w:id="170"/>
    <w:p>
      <w:pPr>
        <w:jc w:val="both"/>
        <w:ind w:left="440" w:right="160" w:firstLine="428"/>
        <w:spacing w:after="0" w:line="302" w:lineRule="auto"/>
        <w:tabs>
          <w:tab w:leader="none" w:pos="1178" w:val="left"/>
        </w:tabs>
        <w:numPr>
          <w:ilvl w:val="0"/>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 in Control” shall mean any of the following:</w:t>
      </w:r>
    </w:p>
    <w:p>
      <w:pPr>
        <w:spacing w:after="0" w:line="117" w:lineRule="exact"/>
        <w:rPr>
          <w:sz w:val="20"/>
          <w:szCs w:val="20"/>
          <w:color w:val="auto"/>
        </w:rPr>
      </w:pPr>
    </w:p>
    <w:p>
      <w:pPr>
        <w:ind w:left="440" w:right="40" w:firstLine="428"/>
        <w:spacing w:after="0" w:line="255" w:lineRule="auto"/>
        <w:tabs>
          <w:tab w:leader="none" w:pos="10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81" w:lineRule="exact"/>
        <w:rPr>
          <w:rFonts w:ascii="Arial" w:cs="Arial" w:eastAsia="Arial" w:hAnsi="Arial"/>
          <w:sz w:val="18"/>
          <w:szCs w:val="18"/>
          <w:color w:val="auto"/>
        </w:rPr>
      </w:pPr>
    </w:p>
    <w:p>
      <w:pPr>
        <w:ind w:left="440" w:right="200" w:firstLine="428"/>
        <w:spacing w:after="0" w:line="277" w:lineRule="auto"/>
        <w:tabs>
          <w:tab w:leader="none" w:pos="11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62" w:lineRule="exact"/>
        <w:rPr>
          <w:rFonts w:ascii="Arial" w:cs="Arial" w:eastAsia="Arial" w:hAnsi="Arial"/>
          <w:sz w:val="18"/>
          <w:szCs w:val="18"/>
          <w:color w:val="auto"/>
        </w:rPr>
      </w:pPr>
    </w:p>
    <w:p>
      <w:pPr>
        <w:ind w:left="440" w:firstLine="428"/>
        <w:spacing w:after="0" w:line="297" w:lineRule="auto"/>
        <w:tabs>
          <w:tab w:leader="none" w:pos="117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50"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1" w:name="page172"/>
    <w:bookmarkEnd w:id="171"/>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71" w:lineRule="exact"/>
        <w:rPr>
          <w:sz w:val="20"/>
          <w:szCs w:val="20"/>
          <w:color w:val="auto"/>
        </w:rPr>
      </w:pPr>
    </w:p>
    <w:p>
      <w:pPr>
        <w:ind w:left="620" w:hanging="176"/>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5"/>
        <w:spacing w:after="0" w:line="286" w:lineRule="auto"/>
        <w:tabs>
          <w:tab w:leader="none" w:pos="1116" w:val="left"/>
        </w:tabs>
        <w:numPr>
          <w:ilvl w:val="1"/>
          <w:numId w:val="9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w:t>
      </w:r>
    </w:p>
    <w:p>
      <w:pPr>
        <w:spacing w:after="0" w:line="1"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1" w:lineRule="exact"/>
        <w:rPr>
          <w:rFonts w:ascii="Arial" w:cs="Arial" w:eastAsia="Arial" w:hAnsi="Arial"/>
          <w:sz w:val="16"/>
          <w:szCs w:val="16"/>
          <w:color w:val="auto"/>
        </w:rPr>
      </w:pPr>
    </w:p>
    <w:p>
      <w:pPr>
        <w:ind w:right="100" w:firstLine="885"/>
        <w:spacing w:after="0" w:line="273" w:lineRule="auto"/>
        <w:tabs>
          <w:tab w:leader="none" w:pos="1136"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rFonts w:ascii="Arial" w:cs="Arial" w:eastAsia="Arial" w:hAnsi="Arial"/>
          <w:sz w:val="17"/>
          <w:szCs w:val="17"/>
          <w:color w:val="auto"/>
        </w:rPr>
      </w:pPr>
    </w:p>
    <w:p>
      <w:pPr>
        <w:ind w:left="1140" w:hanging="255"/>
        <w:spacing w:after="0"/>
        <w:tabs>
          <w:tab w:leader="none" w:pos="11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3" w:lineRule="exact"/>
        <w:rPr>
          <w:sz w:val="20"/>
          <w:szCs w:val="20"/>
          <w:color w:val="auto"/>
        </w:rPr>
      </w:pPr>
    </w:p>
    <w:p>
      <w:pPr>
        <w:ind w:firstLine="885"/>
        <w:spacing w:after="0" w:line="255" w:lineRule="auto"/>
        <w:tabs>
          <w:tab w:leader="none" w:pos="11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2" w:name="page173"/>
    <w:bookmarkEnd w:id="172"/>
    <w:p>
      <w:pPr>
        <w:ind w:left="-80" w:right="120" w:firstLine="885"/>
        <w:spacing w:after="0" w:line="264" w:lineRule="auto"/>
        <w:tabs>
          <w:tab w:leader="none" w:pos="1046"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1" w:lineRule="exact"/>
        <w:rPr>
          <w:rFonts w:ascii="Arial" w:cs="Arial" w:eastAsia="Arial" w:hAnsi="Arial"/>
          <w:sz w:val="18"/>
          <w:szCs w:val="18"/>
          <w:color w:val="auto"/>
        </w:rPr>
      </w:pPr>
    </w:p>
    <w:p>
      <w:pPr>
        <w:ind w:left="540" w:hanging="176"/>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Nonsolicitation and Cooperation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140" w:firstLine="885"/>
        <w:spacing w:after="0" w:line="297" w:lineRule="auto"/>
        <w:tabs>
          <w:tab w:leader="none" w:pos="1046"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xml:space="preserve">. The Executive acknowledges and agrees that in consideration and as a condition of the Executive’s employment by the Company and in exchange for, among other things, the benefits contained in this Agreement, the Executive will enter into the Restrictive Covenants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terms of which are incorporated by reference as material terms of this Agreement. For purposes of this Agreement, the obligations in this Section 7 and those that arise in the Restrictive Covenants Agreement and any other agreement relating to confidentiality, assignment of inventions, or other restrictive covenants shall collectively be referred to as the “Continuing Obligations.”</w:t>
      </w:r>
    </w:p>
    <w:p>
      <w:pPr>
        <w:spacing w:after="0" w:line="158" w:lineRule="exact"/>
        <w:rPr>
          <w:rFonts w:ascii="Arial" w:cs="Arial" w:eastAsia="Arial" w:hAnsi="Arial"/>
          <w:sz w:val="16"/>
          <w:szCs w:val="16"/>
          <w:color w:val="auto"/>
        </w:rPr>
      </w:pPr>
    </w:p>
    <w:p>
      <w:pPr>
        <w:ind w:left="-80" w:right="20" w:firstLine="885"/>
        <w:spacing w:after="0" w:line="291" w:lineRule="auto"/>
        <w:tabs>
          <w:tab w:leader="none" w:pos="1056"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7" w:lineRule="exact"/>
        <w:rPr>
          <w:rFonts w:ascii="Arial" w:cs="Arial" w:eastAsia="Arial" w:hAnsi="Arial"/>
          <w:sz w:val="16"/>
          <w:szCs w:val="16"/>
          <w:color w:val="auto"/>
        </w:rPr>
      </w:pPr>
    </w:p>
    <w:p>
      <w:pPr>
        <w:ind w:left="-80" w:firstLine="885"/>
        <w:spacing w:after="0" w:line="270" w:lineRule="auto"/>
        <w:tabs>
          <w:tab w:leader="none" w:pos="1046"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520" w:top="274" w:right="499" w:bottom="1440" w:gutter="0" w:footer="0" w:header="0"/>
        </w:sectPr>
      </w:pPr>
    </w:p>
    <w:bookmarkStart w:id="173" w:name="page174"/>
    <w:bookmarkEnd w:id="173"/>
    <w:p>
      <w:pPr>
        <w:ind w:left="-40" w:right="140" w:firstLine="885"/>
        <w:spacing w:after="0" w:line="290" w:lineRule="auto"/>
        <w:tabs>
          <w:tab w:leader="none" w:pos="1096"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Relief</w:t>
      </w:r>
      <w:r>
        <w:rPr>
          <w:rFonts w:ascii="Arial" w:cs="Arial" w:eastAsia="Arial" w:hAnsi="Arial"/>
          <w:sz w:val="16"/>
          <w:szCs w:val="16"/>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seek an injunction or other appropriate equitable relief to restrain any such breach without showing or proving any actual damage to the Company. In addition, in the event the Executive breaches this Section 7 or the provisions incorporated herein during a period when 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his duties under this Agreement.</w:t>
      </w:r>
    </w:p>
    <w:p>
      <w:pPr>
        <w:spacing w:after="0" w:line="166" w:lineRule="exact"/>
        <w:rPr>
          <w:rFonts w:ascii="Arial" w:cs="Arial" w:eastAsia="Arial" w:hAnsi="Arial"/>
          <w:sz w:val="16"/>
          <w:szCs w:val="16"/>
          <w:color w:val="auto"/>
        </w:rPr>
      </w:pPr>
    </w:p>
    <w:p>
      <w:pPr>
        <w:ind w:left="-40" w:right="220" w:firstLine="885"/>
        <w:spacing w:after="0" w:line="264" w:lineRule="auto"/>
        <w:tabs>
          <w:tab w:leader="none" w:pos="108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Protected Disclosures and Other Protected Action</w:t>
      </w:r>
      <w:r>
        <w:rPr>
          <w:rFonts w:ascii="Arial" w:cs="Arial" w:eastAsia="Arial" w:hAnsi="Arial"/>
          <w:sz w:val="18"/>
          <w:szCs w:val="18"/>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81" w:lineRule="exact"/>
        <w:rPr>
          <w:rFonts w:ascii="Arial" w:cs="Arial" w:eastAsia="Arial" w:hAnsi="Arial"/>
          <w:sz w:val="18"/>
          <w:szCs w:val="18"/>
          <w:color w:val="auto"/>
        </w:rPr>
      </w:pPr>
    </w:p>
    <w:p>
      <w:pPr>
        <w:ind w:left="-40" w:right="140" w:firstLine="444"/>
        <w:spacing w:after="0" w:line="287" w:lineRule="auto"/>
        <w:tabs>
          <w:tab w:leader="none" w:pos="581"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enforcing the Restrictive Covenants Agreement or obtaining a temporary restraining order or a preliminary injunction in circumstances in which such relief is appropriate; provided that any other relief shall be pursued through an arbitration proceeding pursuant to this Section 8.</w:t>
      </w:r>
    </w:p>
    <w:p>
      <w:pPr>
        <w:spacing w:after="0" w:line="172" w:lineRule="exact"/>
        <w:rPr>
          <w:rFonts w:ascii="Arial" w:cs="Arial" w:eastAsia="Arial" w:hAnsi="Arial"/>
          <w:sz w:val="16"/>
          <w:szCs w:val="16"/>
          <w:color w:val="auto"/>
        </w:rPr>
      </w:pPr>
    </w:p>
    <w:p>
      <w:pPr>
        <w:ind w:left="-40" w:firstLine="444"/>
        <w:spacing w:after="0" w:line="257" w:lineRule="auto"/>
        <w:tabs>
          <w:tab w:leader="none" w:pos="581"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80" w:top="274" w:right="459" w:bottom="1440" w:gutter="0" w:footer="0" w:header="0"/>
        </w:sectPr>
      </w:pPr>
    </w:p>
    <w:bookmarkStart w:id="174" w:name="page175"/>
    <w:bookmarkEnd w:id="174"/>
    <w:p>
      <w:pPr>
        <w:jc w:val="both"/>
        <w:ind w:right="160" w:firstLine="444"/>
        <w:spacing w:after="0" w:line="264"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Integration</w:t>
      </w:r>
      <w:r>
        <w:rPr>
          <w:rFonts w:ascii="Arial" w:cs="Arial" w:eastAsia="Arial" w:hAnsi="Arial"/>
          <w:sz w:val="18"/>
          <w:szCs w:val="18"/>
          <w:color w:val="auto"/>
        </w:rPr>
        <w:t>. This Agreement and the Restrictive Covenants Agreement constitute the entire agreement between the parties with respect to the subject matter hereof and supersede all prior agreements between the parties concerning such subject matter, including without the limitation the Offer Letter.</w:t>
      </w:r>
    </w:p>
    <w:p>
      <w:pPr>
        <w:spacing w:after="0" w:line="181" w:lineRule="exact"/>
        <w:rPr>
          <w:rFonts w:ascii="Arial" w:cs="Arial" w:eastAsia="Arial" w:hAnsi="Arial"/>
          <w:sz w:val="18"/>
          <w:szCs w:val="18"/>
          <w:color w:val="auto"/>
        </w:rPr>
      </w:pPr>
    </w:p>
    <w:p>
      <w:pPr>
        <w:ind w:right="140" w:firstLine="444"/>
        <w:spacing w:after="0" w:line="277" w:lineRule="auto"/>
        <w:tabs>
          <w:tab w:leader="none" w:pos="70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firstLine="444"/>
        <w:spacing w:after="0" w:line="279" w:lineRule="auto"/>
        <w:tabs>
          <w:tab w:leader="none" w:pos="711"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to him under this Agreement, the Company shall continue such payments to the Executive’s beneficiary designated in writing to the Company prior to his death (or to his estate, if the Executive fails to make such designation).</w:t>
      </w:r>
    </w:p>
    <w:p>
      <w:pPr>
        <w:spacing w:after="0" w:line="171" w:lineRule="exact"/>
        <w:rPr>
          <w:rFonts w:ascii="Arial" w:cs="Arial" w:eastAsia="Arial" w:hAnsi="Arial"/>
          <w:sz w:val="17"/>
          <w:szCs w:val="17"/>
          <w:color w:val="auto"/>
        </w:rPr>
      </w:pPr>
    </w:p>
    <w:p>
      <w:pPr>
        <w:ind w:right="260" w:firstLine="444"/>
        <w:spacing w:after="0" w:line="279" w:lineRule="auto"/>
        <w:tabs>
          <w:tab w:leader="none" w:pos="711"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right="760" w:firstLine="444"/>
        <w:spacing w:after="0" w:line="277"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right="120" w:firstLine="444"/>
        <w:spacing w:after="0" w:line="264"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1" w:lineRule="exact"/>
        <w:rPr>
          <w:rFonts w:ascii="Arial" w:cs="Arial" w:eastAsia="Arial" w:hAnsi="Arial"/>
          <w:sz w:val="18"/>
          <w:szCs w:val="18"/>
          <w:color w:val="auto"/>
        </w:rPr>
      </w:pPr>
    </w:p>
    <w:p>
      <w:pPr>
        <w:ind w:right="280" w:firstLine="444"/>
        <w:spacing w:after="0" w:line="259"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6" w:lineRule="exact"/>
        <w:rPr>
          <w:rFonts w:ascii="Arial" w:cs="Arial" w:eastAsia="Arial" w:hAnsi="Arial"/>
          <w:sz w:val="18"/>
          <w:szCs w:val="18"/>
          <w:color w:val="auto"/>
        </w:rPr>
      </w:pPr>
    </w:p>
    <w:p>
      <w:pPr>
        <w:ind w:right="320" w:firstLine="444"/>
        <w:spacing w:after="0" w:line="277"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right="1060" w:firstLine="444"/>
        <w:spacing w:after="0" w:line="277" w:lineRule="auto"/>
        <w:tabs>
          <w:tab w:leader="none" w:pos="71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75" w:name="page176"/>
    <w:bookmarkEnd w:id="175"/>
    <w:p>
      <w:pPr>
        <w:ind w:left="-20" w:right="160" w:firstLine="444"/>
        <w:spacing w:after="0" w:line="277" w:lineRule="auto"/>
        <w:tabs>
          <w:tab w:leader="none" w:pos="69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left="-20" w:firstLine="444"/>
        <w:spacing w:after="0" w:line="279" w:lineRule="auto"/>
        <w:tabs>
          <w:tab w:leader="none" w:pos="691"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1" w:lineRule="exact"/>
        <w:rPr>
          <w:rFonts w:ascii="Arial" w:cs="Arial" w:eastAsia="Arial" w:hAnsi="Arial"/>
          <w:sz w:val="17"/>
          <w:szCs w:val="17"/>
          <w:color w:val="auto"/>
        </w:rPr>
      </w:pPr>
    </w:p>
    <w:p>
      <w:pPr>
        <w:ind w:left="-20" w:firstLine="444"/>
        <w:spacing w:after="0" w:line="259" w:lineRule="auto"/>
        <w:tabs>
          <w:tab w:leader="none" w:pos="69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Notwithstanding anything to the contrary herein, the effectiveness of this Agreement is conditioned on (i) successful reference and background verifications of the Executive, and (ii) the Executive’s submission of satisfactory proof of identity and legal authorization to work in the United States, as is required for all employees. This Agreement shall be void ab initio and of no further force or effect if the conditions set forth in this Section are not satisfied.</w:t>
      </w:r>
    </w:p>
    <w:p>
      <w:pPr>
        <w:spacing w:after="0" w:line="186" w:lineRule="exact"/>
        <w:rPr>
          <w:rFonts w:ascii="Arial" w:cs="Arial" w:eastAsia="Arial" w:hAnsi="Arial"/>
          <w:sz w:val="18"/>
          <w:szCs w:val="18"/>
          <w:color w:val="auto"/>
        </w:rPr>
      </w:pPr>
    </w:p>
    <w:p>
      <w:pPr>
        <w:ind w:left="-20" w:right="60" w:firstLine="444"/>
        <w:spacing w:after="0" w:line="277" w:lineRule="auto"/>
        <w:tabs>
          <w:tab w:leader="none" w:pos="69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WITNESS WHEREOF, the parties have executed this Agreement effective on the date and year first above written.</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-130810</wp:posOffset>
            </wp:positionV>
            <wp:extent cx="26155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Steven Avruch</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Steven Avruch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-130810</wp:posOffset>
            </wp:positionV>
            <wp:extent cx="2795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176" w:name="page177"/>
    <w:bookmarkEnd w:id="176"/>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Approved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 of Boston Center for the Arts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 for small family-owned landscape design company</w:t>
      </w:r>
    </w:p>
    <w:p>
      <w:pPr>
        <w:sectPr>
          <w:pgSz w:w="11900" w:h="16838" w:orient="portrait"/>
          <w:cols w:equalWidth="0" w:num="1">
            <w:col w:w="10019"/>
          </w:cols>
          <w:pgMar w:left="440" w:top="270"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THIS CONSULTING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December 17, 2018 (the “</w:t>
      </w:r>
      <w:r>
        <w:rPr>
          <w:rFonts w:ascii="Arial" w:cs="Arial" w:eastAsia="Arial" w:hAnsi="Arial"/>
          <w:sz w:val="18"/>
          <w:szCs w:val="18"/>
          <w:u w:val="single" w:color="auto"/>
          <w:color w:val="auto"/>
        </w:rPr>
        <w:t>Effective Dat</w:t>
      </w:r>
      <w:r>
        <w:rPr>
          <w:rFonts w:ascii="Arial" w:cs="Arial" w:eastAsia="Arial" w:hAnsi="Arial"/>
          <w:sz w:val="18"/>
          <w:szCs w:val="18"/>
          <w:color w:val="auto"/>
        </w:rPr>
        <w:t>e”) by and between</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with an office at One Kendall Square, Building 300, Suite 201, Cambridge, MA 02139 (“</w:t>
      </w:r>
      <w:r>
        <w:rPr>
          <w:rFonts w:ascii="Arial" w:cs="Arial" w:eastAsia="Arial" w:hAnsi="Arial"/>
          <w:sz w:val="18"/>
          <w:szCs w:val="18"/>
          <w:u w:val="single" w:color="auto"/>
          <w:color w:val="auto"/>
        </w:rPr>
        <w:t>AVROBIO</w:t>
      </w:r>
      <w:r>
        <w:rPr>
          <w:rFonts w:ascii="Arial" w:cs="Arial" w:eastAsia="Arial" w:hAnsi="Arial"/>
          <w:sz w:val="18"/>
          <w:szCs w:val="18"/>
          <w:color w:val="auto"/>
        </w:rPr>
        <w:t xml:space="preserve">”), and BIVO (CVR no. 39384027), with its office at Soebrinken 2, 2840 Holte, Denmark (together with </w:t>
      </w:r>
      <w:r>
        <w:rPr>
          <w:rFonts w:ascii="Arial" w:cs="Arial" w:eastAsia="Arial" w:hAnsi="Arial"/>
          <w:sz w:val="18"/>
          <w:szCs w:val="18"/>
          <w:b w:val="1"/>
          <w:bCs w:val="1"/>
          <w:color w:val="auto"/>
        </w:rPr>
        <w:t>Birgitte Volck, MD,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Consultant</w:t>
      </w:r>
      <w:r>
        <w:rPr>
          <w:rFonts w:ascii="Arial" w:cs="Arial" w:eastAsia="Arial" w:hAnsi="Arial"/>
          <w:sz w:val="18"/>
          <w:szCs w:val="18"/>
          <w:color w:val="auto"/>
        </w:rPr>
        <w:t>”). For the avoidance of doubt, Consultant’s obligations pursuant to this Agreement regarding nonsolicitation, work product, and confidentiality are also personal to Volck in her individual capacity. AVROBIO desires to have the benefit of Consultant’s knowledge, skill and experience, and Consultant desires to provide services to AVROBIO, all as provided in this Agreement.</w:t>
      </w:r>
    </w:p>
    <w:p>
      <w:pPr>
        <w:spacing w:after="0" w:line="93" w:lineRule="exact"/>
        <w:rPr>
          <w:sz w:val="20"/>
          <w:szCs w:val="20"/>
          <w:color w:val="auto"/>
        </w:rPr>
      </w:pPr>
    </w:p>
    <w:p>
      <w:pPr>
        <w:ind w:left="440" w:right="20" w:hanging="431"/>
        <w:spacing w:after="0" w:line="295" w:lineRule="auto"/>
        <w:tabs>
          <w:tab w:leader="none" w:pos="42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AVROBIO retains Consultant, and Consultant agrees to provide, consulting and advisory services to AVROBIO as AVROBIO may from</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 xml:space="preserve">time to time reasonably request and as further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Consulting Services</w:t>
      </w:r>
      <w:r>
        <w:rPr>
          <w:rFonts w:ascii="Arial" w:cs="Arial" w:eastAsia="Arial" w:hAnsi="Arial"/>
          <w:sz w:val="16"/>
          <w:szCs w:val="16"/>
          <w:color w:val="auto"/>
        </w:rPr>
        <w:t>”). Consultant acknowledges and agrees that AVROBIO is entering into this Agreement to retain Volck to perform the Consulting Services personally. AVROBIO has determined that Volck is exceptionally qualified to perform them by virtue of her knowledge, skill, and experience. Therefore, Volck shall not delegate the performance of the Consulting Services to other individuals without the written consent of AVROBIO. Any changes to the Consulting Services (and any related compensation adjustments) must be agreed to in writing between Consultant and AVROBIO prior to implementation of the changes.</w:t>
      </w:r>
    </w:p>
    <w:p>
      <w:pPr>
        <w:spacing w:after="0" w:line="61" w:lineRule="exact"/>
        <w:rPr>
          <w:sz w:val="20"/>
          <w:szCs w:val="20"/>
          <w:color w:val="auto"/>
        </w:rPr>
      </w:pPr>
    </w:p>
    <w:p>
      <w:pPr>
        <w:ind w:left="440" w:right="80" w:hanging="431"/>
        <w:spacing w:after="0" w:line="282" w:lineRule="auto"/>
        <w:tabs>
          <w:tab w:leader="none" w:pos="42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u w:val="single" w:color="auto"/>
          <w:color w:val="auto"/>
        </w:rPr>
        <w:t>Compensation</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As full consideration for Consulting Services provided under this Agreement, AVROBIO agrees to pay Consultant and reimburse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 xml:space="preserve">expenses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7" w:lineRule="exact"/>
        <w:rPr>
          <w:sz w:val="20"/>
          <w:szCs w:val="20"/>
          <w:color w:val="auto"/>
        </w:rPr>
      </w:pPr>
    </w:p>
    <w:p>
      <w:pPr>
        <w:ind w:left="440" w:right="40" w:hanging="431"/>
        <w:spacing w:after="0" w:line="255" w:lineRule="auto"/>
        <w:tabs>
          <w:tab w:leader="none" w:pos="420" w:val="left"/>
        </w:tabs>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u w:val="single" w:color="auto"/>
          <w:color w:val="auto"/>
        </w:rPr>
        <w:t>Performance</w:t>
      </w:r>
      <w:r>
        <w:rPr>
          <w:rFonts w:ascii="Arial" w:cs="Arial" w:eastAsia="Arial" w:hAnsi="Arial"/>
          <w:sz w:val="18"/>
          <w:szCs w:val="18"/>
          <w:color w:val="auto"/>
        </w:rPr>
        <w:t>. Consultant agrees to provide the Consulting Services to AVROBIO in accordance with all applicable laws and regulations and the</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highest professional standards. Consultant represents and covenants that Consultant has not been, and is not under consideration to be (a) debarred from providing services pursuant to Section 306 of the United States Federal Food Drug and Cosmetic Act, 21 U.S.C. § 335a or similar provisions in other jurisdictions; (b) excluded, debarred or suspended from, or otherwise ineligible to participate in, any federal or state health care program or federal procurement or non-procurement programs (as that term is defined in 42 U.S.C. §1320a-7b(f) or similar provisions in other jurisdictions);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91" w:lineRule="exact"/>
        <w:rPr>
          <w:sz w:val="20"/>
          <w:szCs w:val="20"/>
          <w:color w:val="auto"/>
        </w:rPr>
      </w:pPr>
    </w:p>
    <w:p>
      <w:pPr>
        <w:ind w:left="440" w:right="80" w:hanging="436"/>
        <w:spacing w:after="0" w:line="291" w:lineRule="auto"/>
        <w:tabs>
          <w:tab w:leader="none" w:pos="44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Obligations to Third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represents and covenants to AVROBIO that the terms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Consultant’s performance of Consulting Services do not and will not conflict with any of Consultant’s obligations to any third parties. Consultant agrees not to use any trade secrets or other confidential information of any other person, firm, corporation, institution or other third party in connection with any of the Consulting Services. Consultant agrees not to make any use of any funds, space, personnel, facilities, equipment or other resources of a third party in performing the Consulting Services, nor take any other action that would result in a third party, including without limitation, an employer of Consultant, asserting ownership of, or other rights in, any Work Product (defined in Section 6), unless agreed upon in writing in advance by AVROBIO. Consultant represents and warrants that all employees or representatives, if any, performing Consulting Services on behalf of Consultant hereunder are bound by written agreements requiring them to comply with Consultant’s obligations hereunder.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121" w:right="439" w:bottom="1440" w:gutter="0" w:footer="0" w:header="0"/>
        </w:sectPr>
      </w:pPr>
    </w:p>
    <w:bookmarkStart w:id="179" w:name="page180"/>
    <w:bookmarkEnd w:id="179"/>
    <w:p>
      <w:pPr>
        <w:ind w:left="436" w:hanging="436"/>
        <w:spacing w:after="0"/>
        <w:tabs>
          <w:tab w:leader="none" w:pos="43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Exclusivity; Nonsolicitation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856" w:right="60" w:hanging="424"/>
        <w:spacing w:after="0" w:line="259" w:lineRule="auto"/>
        <w:tabs>
          <w:tab w:leader="none" w:pos="856"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During the Term, and only with AVROBIO’s prior written approval, Consultant may accept and perform engagements for other persons, firms or companies which do not conflict with or materially impinge upon Consultant’s ability to provide the Consulting Services, provided that Consultant may not in any circumstances accept any employment or engagement with any person, firm or company for the provision of work or services that are competitive with AVROBIO.</w:t>
      </w:r>
    </w:p>
    <w:p>
      <w:pPr>
        <w:spacing w:after="0" w:line="92" w:lineRule="exact"/>
        <w:rPr>
          <w:rFonts w:ascii="Arial" w:cs="Arial" w:eastAsia="Arial" w:hAnsi="Arial"/>
          <w:sz w:val="18"/>
          <w:szCs w:val="18"/>
          <w:b w:val="1"/>
          <w:bCs w:val="1"/>
          <w:color w:val="auto"/>
        </w:rPr>
      </w:pPr>
    </w:p>
    <w:p>
      <w:pPr>
        <w:ind w:left="856" w:right="220" w:hanging="424"/>
        <w:spacing w:after="0" w:line="257" w:lineRule="auto"/>
        <w:tabs>
          <w:tab w:leader="none" w:pos="856"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During the Term, Consultant shall not (i) solicit, encourage, or take any other action which is intended to induce any director or employee of, or consultant or collaborator to, AVROBIO to terminate his/her employment or relationship with AVROBIO in order to become employed by or otherwise perform services for any other party, or (ii) solicit, endeavor to entice away from AVROBIO or otherwise interfere with the relationship of AVROBIO with any third party who is, or was within the then-most recent twelve (12) month period, an AVROBIO client, collaborator or customer.</w:t>
      </w:r>
    </w:p>
    <w:p>
      <w:pPr>
        <w:spacing w:after="0" w:line="89" w:lineRule="exact"/>
        <w:rPr>
          <w:rFonts w:ascii="Arial" w:cs="Arial" w:eastAsia="Arial" w:hAnsi="Arial"/>
          <w:sz w:val="18"/>
          <w:szCs w:val="18"/>
          <w:b w:val="1"/>
          <w:bCs w:val="1"/>
          <w:color w:val="auto"/>
        </w:rPr>
      </w:pPr>
    </w:p>
    <w:p>
      <w:pPr>
        <w:ind w:left="436" w:hanging="436"/>
        <w:spacing w:after="0" w:line="285" w:lineRule="auto"/>
        <w:tabs>
          <w:tab w:leader="none" w:pos="436"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Work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will promptly and fully disclose in confidence to AVROBIO all inventions, discoveries, improvements, ideas,</w:t>
      </w:r>
      <w:r>
        <w:rPr>
          <w:rFonts w:ascii="Arial" w:cs="Arial" w:eastAsia="Arial" w:hAnsi="Arial"/>
          <w:sz w:val="16"/>
          <w:szCs w:val="16"/>
          <w:b w:val="1"/>
          <w:bCs w:val="1"/>
          <w:color w:val="auto"/>
        </w:rPr>
        <w:t xml:space="preserve"> </w:t>
      </w:r>
      <w:r>
        <w:rPr>
          <w:rFonts w:ascii="Arial" w:cs="Arial" w:eastAsia="Arial" w:hAnsi="Arial"/>
          <w:sz w:val="16"/>
          <w:szCs w:val="16"/>
          <w:color w:val="auto"/>
        </w:rPr>
        <w:t>concepts, designs, processes, formulations, products, computer programs, works of authorship, databases, mask works, trade secrets, know-how, information, data, documentation, reports, research, creations and other products arising from or made in the performance of (solely or jointly with others) the Consulting Services (whether or not patentable or subject to copyright or trade secret protection) (collectively, and including any memorialization thereof by electronic or manual storage, transcription, or recording, and any display, performance or modification thereof or derivative work based thereon, the “</w:t>
      </w:r>
      <w:r>
        <w:rPr>
          <w:rFonts w:ascii="Arial" w:cs="Arial" w:eastAsia="Arial" w:hAnsi="Arial"/>
          <w:sz w:val="16"/>
          <w:szCs w:val="16"/>
          <w:u w:val="single" w:color="auto"/>
          <w:color w:val="auto"/>
        </w:rPr>
        <w:t>Work Product</w:t>
      </w:r>
      <w:r>
        <w:rPr>
          <w:rFonts w:ascii="Arial" w:cs="Arial" w:eastAsia="Arial" w:hAnsi="Arial"/>
          <w:sz w:val="16"/>
          <w:szCs w:val="16"/>
          <w:color w:val="auto"/>
        </w:rPr>
        <w:t>”). Consultant assigns and agrees to assign to AVROBIO all rights in the United States and throughout the world to Work Product. Consultant will keep and maintain adequate and current written records of all Work Product, and such records will be available to and remain the sole property of AVROBIO at all times. For purposes of the copyright laws of the United States, Work Product will constitute “works made for hire,” except to the extent such Work Product cannot by law be “works made for hire”. Consultant represents and covenants that Consultant has and will have the right to transfer and assign to AVROBIO ownership of all Work Product. Consultant will execute all documents, and take any and all actions needed, all without further consideration, in order to confirm AVROBIO’s rights as outlined above. In the event that Consultant should fail or refuse to execute such documents within a reasonable time, Consultant appoints AVROBIO as attorney to execute and deliver any such documents on Consultant’s behalf. If Consultant incorporates into any Work Product any information, software, materials or other technology owned by Consultant or in which Consultant has any interest, Consultant hereby grants, and to the extent any such grant cannot be made at the present, Consultant agrees to grant to AVROBIO a non-exclusive, royalty-free, irrevocable, perpetual, transferable, worldwide license, with the right to sublicense through multiple tiers, under all such intellectual property rights, to make, use, sell, offer for sale, import, modify, reproduce, create derivative works based upon, distribute, perform, display or otherwise exploit, such information, software, materials or other technology, in whole or in part, as reasonably required in connection with AVROBIO’s use or exploitation of Work Product or as otherwise reasonably necessary to obtain the benefit of the Consulting Services.</w:t>
      </w:r>
    </w:p>
    <w:p>
      <w:pPr>
        <w:spacing w:after="0" w:line="76" w:lineRule="exact"/>
        <w:rPr>
          <w:sz w:val="20"/>
          <w:szCs w:val="20"/>
          <w:color w:val="auto"/>
        </w:rPr>
      </w:pPr>
    </w:p>
    <w:p>
      <w:pPr>
        <w:ind w:left="436" w:hanging="431"/>
        <w:spacing w:after="0" w:line="270" w:lineRule="auto"/>
        <w:tabs>
          <w:tab w:leader="none" w:pos="416" w:val="left"/>
        </w:tabs>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 any scientific, technical, business or financial information or trade secrets in whatever</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form (written, oral or visual) that is furnished or made available to Consultant by or on behalf of AVROBIO, (b) all information contained in or comprised of AVROBIO Materials (defined in Section 8); and (c) all Work Product. Confidential Information is, and will remain, the sole property of AVROBIO. During the Term (as defined in Section 10) and for a period of ten (10) years thereafter (the “</w:t>
      </w:r>
      <w:r>
        <w:rPr>
          <w:rFonts w:ascii="Arial" w:cs="Arial" w:eastAsia="Arial" w:hAnsi="Arial"/>
          <w:sz w:val="17"/>
          <w:szCs w:val="17"/>
          <w:u w:val="single" w:color="auto"/>
          <w:color w:val="auto"/>
        </w:rPr>
        <w:t>Confidentiality Period</w:t>
      </w:r>
      <w:r>
        <w:rPr>
          <w:rFonts w:ascii="Arial" w:cs="Arial" w:eastAsia="Arial" w:hAnsi="Arial"/>
          <w:sz w:val="17"/>
          <w:szCs w:val="17"/>
          <w:color w:val="auto"/>
        </w:rPr>
        <w:t>”), Consultant agrees to (i) hold in confidence all Confidential Information, and not disclose Confidential Information without the prior written consent of AVROBIO; (ii) use Confidential Information solely in connection with the Consulting Services; (iii) treat Confidential Information with no less than a reasonable degree of care; (iv) reproduce Confidential Information solely to the extent necessary to provide the Consulting Services, with all such reproductions being considered Confidential Information; and (v) notify AVROBIO of any unauthorized disclosure of Confidential Information promptly upon becoming aware of such disclosure. Consultant understands that AVROBIO may from time to time have in its possession certain proprietary or confidential materials and information</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2 of 9</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96"/>
          </w:cols>
          <w:pgMar w:left="444" w:top="270" w:right="459" w:bottom="1440" w:gutter="0" w:footer="0" w:header="0"/>
        </w:sectPr>
      </w:pPr>
    </w:p>
    <w:bookmarkStart w:id="180" w:name="page181"/>
    <w:bookmarkEnd w:id="180"/>
    <w:p>
      <w:pPr>
        <w:ind w:left="436"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product development plans and specifications) of third parties and which AVROBIO has agreed to keep confidential. Consultant agrees that all such material and information shall be deemed Materials and Confidential Information, respectively, for purposes of this Agreement. Notwithstanding the foregoing, the non-disclosure and non-use obligations imposed by this Agreement with respect to any Confidential Information in the form of plasmid maps, plasmid sequences, vector maps, vector sequences and/or any AVROBIO Materials provided hereunder and/or any sequencing information obtained from such AVROBIO Materials (e.g., regarding plasmids, vectors, or transduced cells) or trade secrets, the Confidentiality Period shall extend in perpetuity unless and until such Confidential Information becomes subject to an exception set forth below. Consultant’s obligations of non-disclosure and non-use under this Agreement will not apply to any portion of Confidential Information that Consultant can demonstrate, by competent proof:</w:t>
      </w:r>
    </w:p>
    <w:p>
      <w:pPr>
        <w:spacing w:after="0" w:line="84" w:lineRule="exact"/>
        <w:rPr>
          <w:sz w:val="20"/>
          <w:szCs w:val="20"/>
          <w:color w:val="auto"/>
        </w:rPr>
      </w:pPr>
    </w:p>
    <w:p>
      <w:pPr>
        <w:ind w:left="856" w:hanging="424"/>
        <w:spacing w:after="0"/>
        <w:tabs>
          <w:tab w:leader="none" w:pos="856" w:val="left"/>
        </w:tabs>
        <w:numPr>
          <w:ilvl w:val="0"/>
          <w:numId w:val="108"/>
        </w:numPr>
        <w:rPr>
          <w:rFonts w:ascii="Arial" w:cs="Arial" w:eastAsia="Arial" w:hAnsi="Arial"/>
          <w:sz w:val="16"/>
          <w:szCs w:val="16"/>
          <w:b w:val="1"/>
          <w:bCs w:val="1"/>
          <w:color w:val="auto"/>
        </w:rPr>
      </w:pPr>
      <w:r>
        <w:rPr>
          <w:rFonts w:ascii="Arial" w:cs="Arial" w:eastAsia="Arial" w:hAnsi="Arial"/>
          <w:sz w:val="16"/>
          <w:szCs w:val="16"/>
          <w:color w:val="auto"/>
        </w:rPr>
        <w:t>is generally known to the public at the time of disclosure or becomes generally known through no wrongful act on the part of Consultant;</w:t>
      </w:r>
    </w:p>
    <w:p>
      <w:pPr>
        <w:spacing w:after="0" w:line="153" w:lineRule="exact"/>
        <w:rPr>
          <w:rFonts w:ascii="Arial" w:cs="Arial" w:eastAsia="Arial" w:hAnsi="Arial"/>
          <w:sz w:val="16"/>
          <w:szCs w:val="16"/>
          <w:b w:val="1"/>
          <w:bCs w:val="1"/>
          <w:color w:val="auto"/>
        </w:rPr>
      </w:pPr>
    </w:p>
    <w:p>
      <w:pPr>
        <w:ind w:left="856" w:hanging="424"/>
        <w:spacing w:after="0"/>
        <w:tabs>
          <w:tab w:leader="none" w:pos="856"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is in Consultant’s possession at the time of disclosure other than as a result of Consultant’s breach of any legal obligation;</w:t>
      </w:r>
    </w:p>
    <w:p>
      <w:pPr>
        <w:spacing w:after="0" w:line="130" w:lineRule="exact"/>
        <w:rPr>
          <w:rFonts w:ascii="Arial" w:cs="Arial" w:eastAsia="Arial" w:hAnsi="Arial"/>
          <w:sz w:val="18"/>
          <w:szCs w:val="18"/>
          <w:b w:val="1"/>
          <w:bCs w:val="1"/>
          <w:color w:val="auto"/>
        </w:rPr>
      </w:pPr>
    </w:p>
    <w:p>
      <w:pPr>
        <w:ind w:left="856" w:right="400" w:hanging="424"/>
        <w:spacing w:after="0" w:line="277" w:lineRule="auto"/>
        <w:tabs>
          <w:tab w:leader="none" w:pos="856"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becomes known to Consultant on a non-confidential basis through disclosure by sources other than AVROBIO having the legal right to disclose such Confidential Information; or</w:t>
      </w:r>
    </w:p>
    <w:p>
      <w:pPr>
        <w:spacing w:after="0" w:line="75" w:lineRule="exact"/>
        <w:rPr>
          <w:rFonts w:ascii="Arial" w:cs="Arial" w:eastAsia="Arial" w:hAnsi="Arial"/>
          <w:sz w:val="18"/>
          <w:szCs w:val="18"/>
          <w:b w:val="1"/>
          <w:bCs w:val="1"/>
          <w:color w:val="auto"/>
        </w:rPr>
      </w:pPr>
    </w:p>
    <w:p>
      <w:pPr>
        <w:ind w:left="856" w:hanging="424"/>
        <w:spacing w:after="0"/>
        <w:tabs>
          <w:tab w:leader="none" w:pos="856"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is independently developed by Consultant without reference to or reliance upon Confidential Information.</w:t>
      </w:r>
    </w:p>
    <w:p>
      <w:pPr>
        <w:spacing w:after="0" w:line="117" w:lineRule="exact"/>
        <w:rPr>
          <w:sz w:val="20"/>
          <w:szCs w:val="20"/>
          <w:color w:val="auto"/>
        </w:rPr>
      </w:pPr>
    </w:p>
    <w:p>
      <w:pPr>
        <w:ind w:left="436"/>
        <w:spacing w:after="0" w:line="279" w:lineRule="auto"/>
        <w:rPr>
          <w:sz w:val="20"/>
          <w:szCs w:val="20"/>
          <w:color w:val="auto"/>
        </w:rPr>
      </w:pPr>
      <w:r>
        <w:rPr>
          <w:rFonts w:ascii="Arial" w:cs="Arial" w:eastAsia="Arial" w:hAnsi="Arial"/>
          <w:sz w:val="17"/>
          <w:szCs w:val="17"/>
          <w:color w:val="auto"/>
        </w:rPr>
        <w:t>Notwithstanding any other provision hereof, it shall not be a violation of this Agreement for Consultant to disclose Confidential Information to the extent such disclosure is required by a governmental authority or by order of a court of competent jurisdiction; provided that in such event, Consultant will give AVROBIO prompt written notice thereof and Consultant will take all reasonable and lawful actions to avoid or minimize the degree of such disclosure. Consultant will cooperate reasonably with AVROBIO in any efforts to seek a protective order.</w:t>
      </w:r>
    </w:p>
    <w:p>
      <w:pPr>
        <w:spacing w:after="0" w:line="63" w:lineRule="exact"/>
        <w:rPr>
          <w:sz w:val="20"/>
          <w:szCs w:val="20"/>
          <w:color w:val="auto"/>
        </w:rPr>
      </w:pPr>
    </w:p>
    <w:p>
      <w:pPr>
        <w:ind w:left="436"/>
        <w:spacing w:after="0" w:line="279" w:lineRule="auto"/>
        <w:rPr>
          <w:sz w:val="20"/>
          <w:szCs w:val="20"/>
          <w:color w:val="auto"/>
        </w:rPr>
      </w:pPr>
      <w:r>
        <w:rPr>
          <w:rFonts w:ascii="Arial" w:cs="Arial" w:eastAsia="Arial" w:hAnsi="Arial"/>
          <w:sz w:val="17"/>
          <w:szCs w:val="17"/>
          <w:color w:val="auto"/>
        </w:rPr>
        <w:t>Consultant acknowledges receipt of the following notice under 18 U.S.C §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73" w:lineRule="exact"/>
        <w:rPr>
          <w:sz w:val="20"/>
          <w:szCs w:val="20"/>
          <w:color w:val="auto"/>
        </w:rPr>
      </w:pPr>
    </w:p>
    <w:p>
      <w:pPr>
        <w:ind w:left="436" w:hanging="436"/>
        <w:spacing w:after="0" w:line="255" w:lineRule="auto"/>
        <w:tabs>
          <w:tab w:leader="none" w:pos="436"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AVROBIO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All documents, data, records, materials, compounds, apparatus, equipment and other physical property furnished or made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by or on behalf of AVROBIO to Consultant in connection with this Agreement and all materials derived therefrom, and all Work Product to the extent such Work Product constitutes tangible materials (“</w:t>
      </w:r>
      <w:r>
        <w:rPr>
          <w:rFonts w:ascii="Arial" w:cs="Arial" w:eastAsia="Arial" w:hAnsi="Arial"/>
          <w:sz w:val="18"/>
          <w:szCs w:val="18"/>
          <w:u w:val="single" w:color="auto"/>
          <w:color w:val="auto"/>
        </w:rPr>
        <w:t>AVROBIO Materials</w:t>
      </w:r>
      <w:r>
        <w:rPr>
          <w:rFonts w:ascii="Arial" w:cs="Arial" w:eastAsia="Arial" w:hAnsi="Arial"/>
          <w:sz w:val="18"/>
          <w:szCs w:val="18"/>
          <w:color w:val="auto"/>
        </w:rPr>
        <w:t>”) are and will remain the sole property of AVROBIO. Consultant will use AVROBIO Materials only as necessary to perform the Consulting Services and will not transfer or make available to any third party the AVROBIO Materials without the express prior written consent of AVROBIO. Consultant shall not, nor allow or encourage any third party to, manufacture or analyze or otherwise “reverse engineer” any AVROBIO Materials, and Consultant shall comply with all laws and regulations regarding the transportation, use and disposal of AVROBIO Materials. Consultant will return to AVROBIO any and all AVROBIO Materials upon request.</w:t>
      </w:r>
    </w:p>
    <w:p>
      <w:pPr>
        <w:spacing w:after="0" w:line="90" w:lineRule="exact"/>
        <w:rPr>
          <w:rFonts w:ascii="Arial" w:cs="Arial" w:eastAsia="Arial" w:hAnsi="Arial"/>
          <w:sz w:val="18"/>
          <w:szCs w:val="18"/>
          <w:b w:val="1"/>
          <w:bCs w:val="1"/>
          <w:color w:val="auto"/>
        </w:rPr>
      </w:pPr>
    </w:p>
    <w:p>
      <w:pPr>
        <w:jc w:val="both"/>
        <w:ind w:left="436" w:right="360" w:hanging="436"/>
        <w:spacing w:after="0" w:line="314" w:lineRule="auto"/>
        <w:tabs>
          <w:tab w:leader="none" w:pos="436"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Publication; Publicity</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may not publish or refer to Work Product, in whole or in part, without the prior express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AVROBIO. Consultant will not use the name, logo, trade name, service mark, or trademark, or any simulation, abbreviation, or adaptation of same, or the name of AVROBIO or any of its affiliates for publicity, promotion, or other uses without AVROBIO’s prior written consent.</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3 of 9</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96"/>
          </w:cols>
          <w:pgMar w:left="444" w:top="274" w:right="459" w:bottom="1440" w:gutter="0" w:footer="0" w:header="0"/>
        </w:sectPr>
      </w:pPr>
    </w:p>
    <w:bookmarkStart w:id="181" w:name="page182"/>
    <w:bookmarkEnd w:id="181"/>
    <w:p>
      <w:pPr>
        <w:ind w:left="436" w:right="80" w:hanging="436"/>
        <w:spacing w:after="0" w:line="282" w:lineRule="auto"/>
        <w:tabs>
          <w:tab w:leader="none" w:pos="436"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Expiration/Termination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will commence on the Effective Date and expire on the date of the earliest to</w:t>
      </w:r>
      <w:r>
        <w:rPr>
          <w:rFonts w:ascii="Arial" w:cs="Arial" w:eastAsia="Arial" w:hAnsi="Arial"/>
          <w:sz w:val="18"/>
          <w:szCs w:val="18"/>
          <w:b w:val="1"/>
          <w:bCs w:val="1"/>
          <w:color w:val="auto"/>
        </w:rPr>
        <w:t xml:space="preserve"> </w:t>
      </w:r>
      <w:r>
        <w:rPr>
          <w:rFonts w:ascii="Arial" w:cs="Arial" w:eastAsia="Arial" w:hAnsi="Arial"/>
          <w:sz w:val="18"/>
          <w:szCs w:val="18"/>
          <w:color w:val="auto"/>
        </w:rPr>
        <w:t>occur of the following:</w:t>
      </w:r>
    </w:p>
    <w:p>
      <w:pPr>
        <w:spacing w:after="0" w:line="71" w:lineRule="exact"/>
        <w:rPr>
          <w:rFonts w:ascii="Arial" w:cs="Arial" w:eastAsia="Arial" w:hAnsi="Arial"/>
          <w:sz w:val="18"/>
          <w:szCs w:val="18"/>
          <w:b w:val="1"/>
          <w:bCs w:val="1"/>
          <w:color w:val="auto"/>
        </w:rPr>
      </w:pPr>
    </w:p>
    <w:p>
      <w:pPr>
        <w:ind w:left="1416" w:right="60" w:hanging="538"/>
        <w:spacing w:after="0" w:line="264" w:lineRule="auto"/>
        <w:tabs>
          <w:tab w:leader="none" w:pos="14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when the condition set forth in Section 21 of the Employment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satisfied, as determined by AVROBIO in its reasonable discretion, in which case the Employment Agreement shall become effective in accordance with its terms and govern Volck’s continuing relationship with AVROBIO;</w:t>
      </w:r>
    </w:p>
    <w:p>
      <w:pPr>
        <w:spacing w:after="0" w:line="86" w:lineRule="exact"/>
        <w:rPr>
          <w:rFonts w:ascii="Arial" w:cs="Arial" w:eastAsia="Arial" w:hAnsi="Arial"/>
          <w:sz w:val="18"/>
          <w:szCs w:val="18"/>
          <w:color w:val="auto"/>
        </w:rPr>
      </w:pPr>
    </w:p>
    <w:p>
      <w:pPr>
        <w:ind w:left="1416" w:hanging="538"/>
        <w:spacing w:after="0"/>
        <w:tabs>
          <w:tab w:leader="none" w:pos="14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AVROBIO’s immediate termination of this Agreement upon notice to Consultant of an unsatisfactory background check;</w:t>
      </w:r>
    </w:p>
    <w:p>
      <w:pPr>
        <w:spacing w:after="0" w:line="130" w:lineRule="exact"/>
        <w:rPr>
          <w:rFonts w:ascii="Arial" w:cs="Arial" w:eastAsia="Arial" w:hAnsi="Arial"/>
          <w:sz w:val="18"/>
          <w:szCs w:val="18"/>
          <w:color w:val="auto"/>
        </w:rPr>
      </w:pPr>
    </w:p>
    <w:p>
      <w:pPr>
        <w:ind w:left="1416" w:hanging="538"/>
        <w:spacing w:after="0" w:line="277" w:lineRule="auto"/>
        <w:tabs>
          <w:tab w:leader="none" w:pos="14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AVROBIO’s termination of this Agreement at any time with or without cause upon not less than five (5) days’ prior written notice to Consultant;</w:t>
      </w:r>
    </w:p>
    <w:p>
      <w:pPr>
        <w:spacing w:after="0" w:line="75" w:lineRule="exact"/>
        <w:rPr>
          <w:rFonts w:ascii="Arial" w:cs="Arial" w:eastAsia="Arial" w:hAnsi="Arial"/>
          <w:sz w:val="18"/>
          <w:szCs w:val="18"/>
          <w:color w:val="auto"/>
        </w:rPr>
      </w:pPr>
    </w:p>
    <w:p>
      <w:pPr>
        <w:ind w:left="1416" w:right="20" w:hanging="538"/>
        <w:spacing w:after="0" w:line="277" w:lineRule="auto"/>
        <w:tabs>
          <w:tab w:leader="none" w:pos="14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Consultant’s termination of this Agreement at any time with or without cause upon not less than five (5) days’ prior written notice to AVROBIO; or</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one year anniversary of the Effective Date.</w:t>
      </w:r>
    </w:p>
    <w:p>
      <w:pPr>
        <w:spacing w:after="0" w:line="117" w:lineRule="exact"/>
        <w:rPr>
          <w:sz w:val="20"/>
          <w:szCs w:val="20"/>
          <w:color w:val="auto"/>
        </w:rPr>
      </w:pPr>
    </w:p>
    <w:p>
      <w:pPr>
        <w:ind w:left="436" w:right="80"/>
        <w:spacing w:after="0" w:line="285" w:lineRule="auto"/>
        <w:rPr>
          <w:sz w:val="20"/>
          <w:szCs w:val="20"/>
          <w:color w:val="auto"/>
        </w:rPr>
      </w:pPr>
      <w:r>
        <w:rPr>
          <w:rFonts w:ascii="Arial" w:cs="Arial" w:eastAsia="Arial" w:hAnsi="Arial"/>
          <w:sz w:val="16"/>
          <w:szCs w:val="16"/>
          <w:color w:val="auto"/>
        </w:rPr>
        <w:t>Any expiration or termination of this Agreement shall be without prejudice to any obligation of either party that has accrued prior to the effective date of expiration or termination. Upon expiration or termination of this Agreement, neither Consultant nor AVROBIO will have any further obligations under this Agreement, except that (a) Consultant will terminate all Consulting Services in progress in an orderly manner as soon as practicable and in accordance with a schedule agreed to by AVROBIO, unless AVROBIO specifies in the notice of termination that Consulting Services in progress should be completed; (b) Consultant will deliver to AVROBIO all Work Product made through expiration or termination;</w:t>
      </w:r>
    </w:p>
    <w:p>
      <w:pPr>
        <w:spacing w:after="0" w:line="2" w:lineRule="exact"/>
        <w:rPr>
          <w:sz w:val="20"/>
          <w:szCs w:val="20"/>
          <w:color w:val="auto"/>
        </w:rPr>
      </w:pPr>
    </w:p>
    <w:p>
      <w:pPr>
        <w:ind w:left="436" w:right="40" w:firstLine="4"/>
        <w:spacing w:after="0" w:line="252" w:lineRule="auto"/>
        <w:tabs>
          <w:tab w:leader="none" w:pos="67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AVROBIO will pay Consultant any monies due and owing Consultant, up to the time of termination or expiration, for Consulting Services properly performed and all authorized expenses actually incurred; (d) Consultant will immediately return to AVROBIO all AVROBIO Materials and other Confidential Information and copies thereof provided to or made by Consultant under this Agreement; and (e) the terms, conditions and obligations under Sections 4 through 11 will survive expiration or termination of this Agreement. For the avoidance of doubt, if this Agreement is terminated for any reason other than subsection (i) above, the Employment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be void ab initio and shall not become effective.</w:t>
      </w:r>
    </w:p>
    <w:p>
      <w:pPr>
        <w:spacing w:after="0" w:line="95" w:lineRule="exact"/>
        <w:rPr>
          <w:rFonts w:ascii="Arial" w:cs="Arial" w:eastAsia="Arial" w:hAnsi="Arial"/>
          <w:sz w:val="18"/>
          <w:szCs w:val="18"/>
          <w:color w:val="auto"/>
        </w:rPr>
      </w:pPr>
    </w:p>
    <w:p>
      <w:pPr>
        <w:ind w:left="436" w:hanging="436"/>
        <w:spacing w:after="0"/>
        <w:tabs>
          <w:tab w:leader="none" w:pos="436"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856" w:right="80" w:hanging="424"/>
        <w:spacing w:after="0" w:line="273" w:lineRule="auto"/>
        <w:tabs>
          <w:tab w:leader="none" w:pos="856" w:val="left"/>
        </w:tabs>
        <w:numPr>
          <w:ilvl w:val="1"/>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Independent Contractor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understand and agree that Consultant is an independent contractor and not an agent or employee of</w:t>
      </w:r>
      <w:r>
        <w:rPr>
          <w:rFonts w:ascii="Arial" w:cs="Arial" w:eastAsia="Arial" w:hAnsi="Arial"/>
          <w:sz w:val="17"/>
          <w:szCs w:val="17"/>
          <w:b w:val="1"/>
          <w:bCs w:val="1"/>
          <w:color w:val="auto"/>
        </w:rPr>
        <w:t xml:space="preserve"> </w:t>
      </w:r>
      <w:r>
        <w:rPr>
          <w:rFonts w:ascii="Arial" w:cs="Arial" w:eastAsia="Arial" w:hAnsi="Arial"/>
          <w:sz w:val="17"/>
          <w:szCs w:val="17"/>
          <w:color w:val="auto"/>
        </w:rPr>
        <w:t>AVROBIO. Consultant has no authority to obligate AVROBIO by contract or otherwise. Consultant will not be eligible for any employee benefits of AVROBIO and expressly waives any rights to any employee benefits. Consultant will bear sole responsibility for paying and reporting Consultant’s applicable federal and state income taxes, social security taxes, unemployment insurance, workers’ compensation, and health or disability insurance, retirement benefits, and other welfare or pension benefits, if any, including those of any employee or representative of Consultant performing Consulting Services hereunder as applicable, and indemnifies and holds AVROBIO harmless from and against any liability with respect to such taxes, benefits and other matters.</w:t>
      </w:r>
    </w:p>
    <w:p>
      <w:pPr>
        <w:spacing w:after="0" w:line="77" w:lineRule="exact"/>
        <w:rPr>
          <w:rFonts w:ascii="Arial" w:cs="Arial" w:eastAsia="Arial" w:hAnsi="Arial"/>
          <w:sz w:val="17"/>
          <w:szCs w:val="17"/>
          <w:b w:val="1"/>
          <w:bCs w:val="1"/>
          <w:color w:val="auto"/>
        </w:rPr>
      </w:pPr>
    </w:p>
    <w:p>
      <w:pPr>
        <w:ind w:left="856" w:right="40" w:hanging="424"/>
        <w:spacing w:after="0" w:line="261" w:lineRule="auto"/>
        <w:tabs>
          <w:tab w:leader="none" w:pos="856" w:val="left"/>
        </w:tabs>
        <w:numPr>
          <w:ilvl w:val="1"/>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consents to the use by AVROBIO of Consultant’s name on its website, in press releases, company brochures,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documents, presentations, reports or other documents in printed or electronic form, and any documents filed with or submitted to any governmental or regulatory agency or any securities exchange or listing entity; provided, that such materials or presentations accurately describe the nature of Consultant’s relationship with or contribution to AVROBIO.</w:t>
      </w:r>
    </w:p>
    <w:p>
      <w:pPr>
        <w:spacing w:after="0" w:line="117"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4 of 9</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76"/>
          </w:cols>
          <w:pgMar w:left="444" w:top="270" w:right="479" w:bottom="1440" w:gutter="0" w:footer="0" w:header="0"/>
        </w:sectPr>
      </w:pPr>
    </w:p>
    <w:bookmarkStart w:id="182" w:name="page183"/>
    <w:bookmarkEnd w:id="182"/>
    <w:p>
      <w:pPr>
        <w:ind w:left="424" w:right="60" w:hanging="424"/>
        <w:spacing w:after="0" w:line="289" w:lineRule="auto"/>
        <w:tabs>
          <w:tab w:leader="none" w:pos="424"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contains the entire agreement of the parties with regard to its subject matter, and supersedes all prior or</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 written or oral representations, agreements and understandings between the parties relating to that subject matter. This Agreement may be changed only by a writing signed by Consultant and an authorized representative of AVROBIO.</w:t>
      </w:r>
    </w:p>
    <w:p>
      <w:pPr>
        <w:spacing w:after="0" w:line="63" w:lineRule="exact"/>
        <w:rPr>
          <w:rFonts w:ascii="Arial" w:cs="Arial" w:eastAsia="Arial" w:hAnsi="Arial"/>
          <w:sz w:val="17"/>
          <w:szCs w:val="17"/>
          <w:b w:val="1"/>
          <w:bCs w:val="1"/>
          <w:color w:val="auto"/>
        </w:rPr>
      </w:pPr>
    </w:p>
    <w:p>
      <w:pPr>
        <w:ind w:left="424" w:right="40" w:hanging="424"/>
        <w:spacing w:after="0" w:line="274" w:lineRule="auto"/>
        <w:tabs>
          <w:tab w:leader="none" w:pos="424"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Disclosures and Transparency</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acknowledges that AVROBIO and its affiliates are required to abide by federal and</w:t>
      </w:r>
      <w:r>
        <w:rPr>
          <w:rFonts w:ascii="Arial" w:cs="Arial" w:eastAsia="Arial" w:hAnsi="Arial"/>
          <w:sz w:val="17"/>
          <w:szCs w:val="17"/>
          <w:b w:val="1"/>
          <w:bCs w:val="1"/>
          <w:color w:val="auto"/>
        </w:rPr>
        <w:t xml:space="preserve"> </w:t>
      </w:r>
      <w:r>
        <w:rPr>
          <w:rFonts w:ascii="Arial" w:cs="Arial" w:eastAsia="Arial" w:hAnsi="Arial"/>
          <w:sz w:val="17"/>
          <w:szCs w:val="17"/>
          <w:color w:val="auto"/>
        </w:rPr>
        <w:t>state disclosure laws and certain transparency policies governing their activities including providing reports to the government and to the public concerning financial or other relationships with healthcare providers. Consultant agrees that AVROBIO and its affiliates may, in their sole discretion, disclose information about this Agreement and about Consultant’s Consulting Services including those relating to healthcare providers and any compensation paid to healthcare providers pursuant to this Agreement. Consultant agrees to promptly supply information reasonably requested by AVROBIO for disclosure purposes.</w:t>
      </w:r>
    </w:p>
    <w:p>
      <w:pPr>
        <w:spacing w:after="0" w:line="79" w:lineRule="exact"/>
        <w:rPr>
          <w:rFonts w:ascii="Arial" w:cs="Arial" w:eastAsia="Arial" w:hAnsi="Arial"/>
          <w:sz w:val="17"/>
          <w:szCs w:val="17"/>
          <w:b w:val="1"/>
          <w:bCs w:val="1"/>
          <w:color w:val="auto"/>
        </w:rPr>
      </w:pPr>
    </w:p>
    <w:p>
      <w:pPr>
        <w:ind w:left="424" w:right="160" w:hanging="424"/>
        <w:spacing w:after="0" w:line="256" w:lineRule="auto"/>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Consulting Services to be provided by Consultant are personal in nature. Consultant may not assign</w:t>
      </w:r>
      <w:r>
        <w:rPr>
          <w:rFonts w:ascii="Arial" w:cs="Arial" w:eastAsia="Arial" w:hAnsi="Arial"/>
          <w:sz w:val="18"/>
          <w:szCs w:val="18"/>
          <w:b w:val="1"/>
          <w:bCs w:val="1"/>
          <w:color w:val="auto"/>
        </w:rPr>
        <w:t xml:space="preserve"> </w:t>
      </w:r>
      <w:r>
        <w:rPr>
          <w:rFonts w:ascii="Arial" w:cs="Arial" w:eastAsia="Arial" w:hAnsi="Arial"/>
          <w:sz w:val="18"/>
          <w:szCs w:val="18"/>
          <w:color w:val="auto"/>
        </w:rPr>
        <w:t>or transfer this Agreement or any of Consultant’s rights or obligations hereunder. In no event will Consultant assign or delegate responsibility for actual performance of the Consulting Services to any third party. AVROBIO may transfer or assign this Agreement, in whole or in part, without the prior written consent of Consultant. Any purported assignment or transfer in violation of this Section is void. This Agreement will be binding upon and inure to the benefit of the parties and their respective legal representatives, heirs, successors and permitted assigns.</w:t>
      </w:r>
    </w:p>
    <w:p>
      <w:pPr>
        <w:spacing w:after="0" w:line="93" w:lineRule="exact"/>
        <w:rPr>
          <w:rFonts w:ascii="Arial" w:cs="Arial" w:eastAsia="Arial" w:hAnsi="Arial"/>
          <w:sz w:val="18"/>
          <w:szCs w:val="18"/>
          <w:b w:val="1"/>
          <w:bCs w:val="1"/>
          <w:color w:val="auto"/>
        </w:rPr>
      </w:pPr>
    </w:p>
    <w:p>
      <w:pPr>
        <w:ind w:left="424" w:hanging="424"/>
        <w:spacing w:after="0" w:line="277" w:lineRule="auto"/>
        <w:tabs>
          <w:tab w:leader="none" w:pos="424"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required or permitted under this Agreement must be in writing and must be given by directing the notice to the address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receiving party set forth in this Agreement or at such other address as the receiving party may specify in writing under this procedure. Notices to AVROBIO will be marked “Attention: President &amp; CEO”. All notices must be given (i) by personal delivery, with receipt acknowledged, (ii) by prepaid certified or registered mail, return receipt requested, or (iii) by prepaid recognized next business day delivery service. Notices will be effective upon receipt or at a later date stated in the notice.</w:t>
      </w:r>
    </w:p>
    <w:p>
      <w:pPr>
        <w:spacing w:after="0" w:line="73" w:lineRule="exact"/>
        <w:rPr>
          <w:rFonts w:ascii="Arial" w:cs="Arial" w:eastAsia="Arial" w:hAnsi="Arial"/>
          <w:sz w:val="17"/>
          <w:szCs w:val="17"/>
          <w:b w:val="1"/>
          <w:bCs w:val="1"/>
          <w:color w:val="auto"/>
        </w:rPr>
      </w:pPr>
    </w:p>
    <w:p>
      <w:pPr>
        <w:ind w:left="424" w:right="60" w:hanging="424"/>
        <w:spacing w:after="0" w:line="258" w:lineRule="auto"/>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any disputes relating to or arising out of this Agreement will be governed by, construed,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in accordance with the internal laws of the Commonwealth of Massachusetts, USA without regard to any choice of law principle that would require the application of the law of another jurisdiction. The parties agree to submit to the exclusive jurisdiction of the state and federal courts located in the Commonwealth of Massachusetts, USA and waive any defense of inconvenient forum to the maintenance of any action or proceeding in such courts.</w:t>
      </w:r>
    </w:p>
    <w:p>
      <w:pPr>
        <w:spacing w:after="0" w:line="89" w:lineRule="exact"/>
        <w:rPr>
          <w:rFonts w:ascii="Arial" w:cs="Arial" w:eastAsia="Arial" w:hAnsi="Arial"/>
          <w:sz w:val="18"/>
          <w:szCs w:val="18"/>
          <w:b w:val="1"/>
          <w:bCs w:val="1"/>
          <w:color w:val="auto"/>
        </w:rPr>
      </w:pPr>
    </w:p>
    <w:p>
      <w:pPr>
        <w:ind w:left="424" w:right="20" w:hanging="424"/>
        <w:spacing w:after="0" w:line="258" w:lineRule="auto"/>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Reformation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provision in this Agreement is independent and severable from the others, and no provision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unenforceable because any other provision is found by a proper authority to be invalid or unenforceable in whole or in part. If any provision of this Agreement is found by such an authority to be invalid or unenforceable in whole or in part, such provision shall be changed and interpreted so as to best accomplish the objectives of such unenforceable or invalid provision and the intent of the parties, within the limits of applicable law.</w:t>
      </w:r>
    </w:p>
    <w:p>
      <w:pPr>
        <w:spacing w:after="0" w:line="89" w:lineRule="exact"/>
        <w:rPr>
          <w:rFonts w:ascii="Arial" w:cs="Arial" w:eastAsia="Arial" w:hAnsi="Arial"/>
          <w:sz w:val="18"/>
          <w:szCs w:val="18"/>
          <w:b w:val="1"/>
          <w:bCs w:val="1"/>
          <w:color w:val="auto"/>
        </w:rPr>
      </w:pPr>
    </w:p>
    <w:p>
      <w:pPr>
        <w:jc w:val="both"/>
        <w:ind w:left="424" w:right="240" w:hanging="424"/>
        <w:spacing w:after="0" w:line="266" w:lineRule="auto"/>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Strict Construction; 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has been prepared jointly and will not be strictly construed against either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are included solely for convenience of reference and will not control or affect the meaning or interpretation of any of the provisions of this Agreement.</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Page 5 of 9</w:t>
      </w:r>
    </w:p>
    <w:p>
      <w:pPr>
        <w:spacing w:after="0" w:line="2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584"/>
          </w:cols>
          <w:pgMar w:left="876" w:top="270" w:right="439" w:bottom="1440" w:gutter="0" w:footer="0" w:header="0"/>
        </w:sectPr>
      </w:pPr>
    </w:p>
    <w:bookmarkStart w:id="183" w:name="page184"/>
    <w:bookmarkEnd w:id="183"/>
    <w:p>
      <w:pPr>
        <w:jc w:val="both"/>
        <w:ind w:left="424" w:right="280" w:hanging="424"/>
        <w:spacing w:after="0" w:line="261" w:lineRule="auto"/>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Waivers</w:t>
      </w:r>
      <w:r>
        <w:rPr>
          <w:rFonts w:ascii="Arial" w:cs="Arial" w:eastAsia="Arial" w:hAnsi="Arial"/>
          <w:sz w:val="18"/>
          <w:szCs w:val="18"/>
          <w:b w:val="1"/>
          <w:bCs w:val="1"/>
          <w:color w:val="auto"/>
        </w:rPr>
        <w:t xml:space="preserve">. </w:t>
      </w:r>
      <w:r>
        <w:rPr>
          <w:rFonts w:ascii="Arial" w:cs="Arial" w:eastAsia="Arial" w:hAnsi="Arial"/>
          <w:sz w:val="18"/>
          <w:szCs w:val="18"/>
          <w:color w:val="auto"/>
        </w:rPr>
        <w:t>Any delay in enforcing a party’s rights under this Agreement, or any waiver as to a particular default or other matter,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waiver of such party’s rights to the future enforcement of its rights under this Agreement, except with respect to an express written waiver relating to a particular matter for a particular period of time signed by Consultant and an authorized representative of the waiving party, as applicable.</w:t>
      </w:r>
    </w:p>
    <w:p>
      <w:pPr>
        <w:spacing w:after="0" w:line="85" w:lineRule="exact"/>
        <w:rPr>
          <w:rFonts w:ascii="Arial" w:cs="Arial" w:eastAsia="Arial" w:hAnsi="Arial"/>
          <w:sz w:val="18"/>
          <w:szCs w:val="18"/>
          <w:b w:val="1"/>
          <w:bCs w:val="1"/>
          <w:color w:val="auto"/>
        </w:rPr>
      </w:pPr>
    </w:p>
    <w:p>
      <w:pPr>
        <w:ind w:left="424" w:right="240" w:hanging="424"/>
        <w:spacing w:after="0" w:line="281" w:lineRule="auto"/>
        <w:tabs>
          <w:tab w:leader="none" w:pos="424"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agrees that (i) AVROBIO may be irreparably injured by a breach of this Agreement by Consultant; (ii) money</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would not be an adequate remedy for any such breach; (iii) as a remedy for any such breach AVROBIO will be entitled to seek equitable relief, including injunctive relief and specific performance, without being required by Consultant to post a bond; and (iv) such remedy will not be the exclusive remedy for any breach of this Agreement.</w:t>
      </w:r>
    </w:p>
    <w:p>
      <w:pPr>
        <w:spacing w:after="0" w:line="70" w:lineRule="exact"/>
        <w:rPr>
          <w:rFonts w:ascii="Arial" w:cs="Arial" w:eastAsia="Arial" w:hAnsi="Arial"/>
          <w:sz w:val="17"/>
          <w:szCs w:val="17"/>
          <w:b w:val="1"/>
          <w:bCs w:val="1"/>
          <w:color w:val="auto"/>
        </w:rPr>
      </w:pPr>
    </w:p>
    <w:p>
      <w:pPr>
        <w:ind w:left="424" w:hanging="424"/>
        <w:spacing w:after="0" w:line="266" w:lineRule="auto"/>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will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instrument. A facsimile or portable document format (“.pdf”) copy of this Agreement, including the signature pages, will be deemed an original.</w:t>
      </w:r>
    </w:p>
    <w:p>
      <w:pPr>
        <w:spacing w:after="0" w:line="284"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ind w:left="4664"/>
        <w:spacing w:after="0"/>
        <w:rPr>
          <w:sz w:val="20"/>
          <w:szCs w:val="20"/>
          <w:color w:val="auto"/>
        </w:rPr>
      </w:pPr>
      <w:r>
        <w:rPr>
          <w:rFonts w:ascii="Arial" w:cs="Arial" w:eastAsia="Arial" w:hAnsi="Arial"/>
          <w:sz w:val="18"/>
          <w:szCs w:val="18"/>
          <w:color w:val="auto"/>
        </w:rPr>
        <w:t>Page 6 of 9</w:t>
      </w:r>
    </w:p>
    <w:p>
      <w:pPr>
        <w:spacing w:after="0" w:line="23"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484"/>
          </w:cols>
          <w:pgMar w:left="876" w:top="270" w:right="5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Effective Date.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-130810</wp:posOffset>
            </wp:positionV>
            <wp:extent cx="25901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&amp; CEO</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CONSULTANT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On behalf of BIVO and in her individual capacity:</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Birgitte Volck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Birgitte Volck,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Page 7 of 9</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260"/>
          </w:cols>
          <w:pgMar w:left="440" w:top="270" w:right="1199" w:bottom="1440" w:gutter="0" w:footer="0" w:header="0"/>
        </w:sectPr>
      </w:pPr>
    </w:p>
    <w:bookmarkStart w:id="185" w:name="page186"/>
    <w:bookmarkEnd w:id="185"/>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52" w:lineRule="exact"/>
        <w:rPr>
          <w:sz w:val="20"/>
          <w:szCs w:val="20"/>
          <w:color w:val="auto"/>
        </w:rPr>
      </w:pPr>
    </w:p>
    <w:p>
      <w:pPr>
        <w:ind w:left="436" w:hanging="436"/>
        <w:spacing w:after="0"/>
        <w:tabs>
          <w:tab w:leader="none" w:pos="43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Consultant will provide the following Consulting Services to AVROBIO:</w:t>
      </w:r>
    </w:p>
    <w:p>
      <w:pPr>
        <w:spacing w:after="0" w:line="117"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6"/>
          <w:szCs w:val="16"/>
          <w:color w:val="auto"/>
        </w:rPr>
        <w:t>Birgitte Volck, MD shall serve as AVROBIO’s President of Research and Development. The Consulting Services shall be performed in Denmark.</w:t>
      </w:r>
    </w:p>
    <w:p>
      <w:pPr>
        <w:spacing w:after="0" w:line="392" w:lineRule="exact"/>
        <w:rPr>
          <w:rFonts w:ascii="Arial" w:cs="Arial" w:eastAsia="Arial" w:hAnsi="Arial"/>
          <w:sz w:val="18"/>
          <w:szCs w:val="18"/>
          <w:b w:val="1"/>
          <w:bCs w:val="1"/>
          <w:color w:val="auto"/>
        </w:rPr>
      </w:pPr>
    </w:p>
    <w:p>
      <w:pPr>
        <w:ind w:left="436" w:hanging="436"/>
        <w:spacing w:after="0"/>
        <w:tabs>
          <w:tab w:leader="none" w:pos="43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17" w:lineRule="exact"/>
        <w:rPr>
          <w:rFonts w:ascii="Arial" w:cs="Arial" w:eastAsia="Arial" w:hAnsi="Arial"/>
          <w:sz w:val="18"/>
          <w:szCs w:val="18"/>
          <w:b w:val="1"/>
          <w:bCs w:val="1"/>
          <w:color w:val="auto"/>
        </w:rPr>
      </w:pPr>
    </w:p>
    <w:p>
      <w:pPr>
        <w:ind w:left="436" w:right="78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w:t>
      </w:r>
      <w:r>
        <w:rPr>
          <w:rFonts w:ascii="Arial" w:cs="Arial" w:eastAsia="Arial" w:hAnsi="Arial"/>
          <w:sz w:val="18"/>
          <w:szCs w:val="18"/>
          <w:color w:val="auto"/>
        </w:rPr>
        <w:t>As full compensation for the Consulting Services performed in accordance with the terms of this Agreement, AVROBIO will pay</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$37,916.67 per month during the Term.</w:t>
      </w:r>
    </w:p>
    <w:p>
      <w:pPr>
        <w:spacing w:after="0" w:line="53" w:lineRule="exact"/>
        <w:rPr>
          <w:rFonts w:ascii="Arial" w:cs="Arial" w:eastAsia="Arial" w:hAnsi="Arial"/>
          <w:sz w:val="18"/>
          <w:szCs w:val="18"/>
          <w:b w:val="1"/>
          <w:bCs w:val="1"/>
          <w:color w:val="auto"/>
        </w:rPr>
      </w:pPr>
    </w:p>
    <w:p>
      <w:pPr>
        <w:ind w:left="43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AVROBIO will reimburse Consultant for any pre-approved expenses actually incurred by Consultant in connection with the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Consulting Services. Requests for reimbursement will be in a form reasonably acceptable to AVROBIO, will include supporting documentation and will accompany Consultant’s invoices.</w:t>
      </w:r>
    </w:p>
    <w:p>
      <w:pPr>
        <w:spacing w:after="0" w:line="68" w:lineRule="exact"/>
        <w:rPr>
          <w:rFonts w:ascii="Arial" w:cs="Arial" w:eastAsia="Arial" w:hAnsi="Arial"/>
          <w:sz w:val="18"/>
          <w:szCs w:val="18"/>
          <w:b w:val="1"/>
          <w:bCs w:val="1"/>
          <w:color w:val="auto"/>
        </w:rPr>
      </w:pPr>
    </w:p>
    <w:p>
      <w:pPr>
        <w:ind w:left="436" w:right="16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Invoicing: </w:t>
      </w:r>
      <w:r>
        <w:rPr>
          <w:rFonts w:ascii="Arial" w:cs="Arial" w:eastAsia="Arial" w:hAnsi="Arial"/>
          <w:sz w:val="16"/>
          <w:szCs w:val="16"/>
          <w:color w:val="auto"/>
        </w:rPr>
        <w:t>No later than the last day of each calendar month, Consultant will invoice AVROBIO for Consulting Services rendered and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during the preceding month. Invoices should reference this Agreement and be e-mailed to [***]. Invoices will contain such detail as AVROBIO may reasonably require and will be payable in U.S. Dollars. Undisputed payments will be made by AVROBIO within thirty (30) days after AVROBIO’s receipt of Consultant’s invoice, request for reimbursement and all supporting documentation.</w:t>
      </w:r>
    </w:p>
    <w:p>
      <w:pPr>
        <w:spacing w:after="0" w:line="8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Page 8 of 9</w:t>
      </w:r>
    </w:p>
    <w:p>
      <w:pPr>
        <w:spacing w:after="0" w:line="2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76"/>
          </w:cols>
          <w:pgMar w:left="444" w:top="270" w:right="479"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Employment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9 of 9</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9019"/>
          </w:cols>
          <w:pgMar w:left="1440" w:top="270"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This Employment Agreement (“Agreement”) is made as of the 17th day of December, 2018, between AVROBIO, Inc., a Delaware corporation (together with its subsidiaries, the “Company”), and Birgitte Volck, MD (the “Executive”).</w:t>
      </w:r>
    </w:p>
    <w:p>
      <w:pPr>
        <w:spacing w:after="0" w:line="170" w:lineRule="exact"/>
        <w:rPr>
          <w:sz w:val="20"/>
          <w:szCs w:val="20"/>
          <w:color w:val="auto"/>
        </w:rPr>
      </w:pPr>
    </w:p>
    <w:p>
      <w:pPr>
        <w:jc w:val="both"/>
        <w:ind w:right="180" w:firstLine="441"/>
        <w:spacing w:after="0" w:line="259" w:lineRule="auto"/>
        <w:rPr>
          <w:sz w:val="20"/>
          <w:szCs w:val="20"/>
          <w:color w:val="auto"/>
        </w:rPr>
      </w:pPr>
      <w:r>
        <w:rPr>
          <w:rFonts w:ascii="Arial" w:cs="Arial" w:eastAsia="Arial" w:hAnsi="Arial"/>
          <w:sz w:val="18"/>
          <w:szCs w:val="18"/>
          <w:color w:val="auto"/>
        </w:rPr>
        <w:t>WHEREAS, the Company desires to employ the Executive and the Executive desires to be employed by the Company commencing on the date immediately following the date of termination of the Consulting Agreement entered into by the Company and the Executive dated December 17, 2018 (the “Consulting Agreement”), subject to Section 21 of this Agreement. The Executive’s first day of employment shall be the “Effective Date” of this Agreement.</w:t>
      </w:r>
    </w:p>
    <w:p>
      <w:pPr>
        <w:spacing w:after="0" w:line="187"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WHEREAS, to protect the Company’s proprietary information and goodwill, as a condition of Executive’s employment, the Executive and the Company will become parties to Employee Confidentiality, Assignment and Noncompetition Agreement (the “Restrictive Covenants Agreement”) which is being provided to Executive along with this Agreement and at least ten (10) business days before the Effective Date. Executive has a right to consult with counsel prior to signing the Restrictive Covenants Agreement.</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76"/>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5"/>
        <w:spacing w:after="0" w:line="264" w:lineRule="auto"/>
        <w:tabs>
          <w:tab w:leader="none" w:pos="1126"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hereof (the “Term”). The Executive’s employment with the Company will be “at will,” meaning that the Executive’s employment may be terminated by the Company or the Executive at any time and for any reason subject to the terms of this Agreement.</w:t>
      </w:r>
    </w:p>
    <w:p>
      <w:pPr>
        <w:spacing w:after="0" w:line="181" w:lineRule="exact"/>
        <w:rPr>
          <w:rFonts w:ascii="Arial" w:cs="Arial" w:eastAsia="Arial" w:hAnsi="Arial"/>
          <w:sz w:val="18"/>
          <w:szCs w:val="18"/>
          <w:color w:val="auto"/>
        </w:rPr>
      </w:pPr>
    </w:p>
    <w:p>
      <w:pPr>
        <w:ind w:right="80" w:firstLine="885"/>
        <w:spacing w:after="0" w:line="270" w:lineRule="auto"/>
        <w:tabs>
          <w:tab w:leader="none" w:pos="1136" w:val="left"/>
        </w:tabs>
        <w:numPr>
          <w:ilvl w:val="1"/>
          <w:numId w:val="116"/>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During the Term, the Executive shall serve as the President of Research and Development of the Company, and shall have supervision and control over and responsibility for the day-to-day business and affairs of the research and development department of the Company and shall have such other powers and duties as may from time to time be prescribed by the Board of Directors of the Company (the “Board”), the Chief Executive Officer of the Company (the “CEO”) or other authorized executive. The Executive shall devote her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her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ectPr>
          <w:pgSz w:w="11900" w:h="16838" w:orient="portrait"/>
          <w:cols w:equalWidth="0" w:num="1">
            <w:col w:w="11020"/>
          </w:cols>
          <w:pgMar w:left="440" w:top="121" w:right="439" w:bottom="1440" w:gutter="0" w:footer="0" w:header="0"/>
        </w:sectPr>
      </w:pPr>
    </w:p>
    <w:bookmarkStart w:id="188" w:name="page189"/>
    <w:bookmarkEnd w:id="188"/>
    <w:p>
      <w:pPr>
        <w:ind w:left="580" w:hanging="176"/>
        <w:spacing w:after="0"/>
        <w:tabs>
          <w:tab w:leader="none" w:pos="5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20" w:firstLine="885"/>
        <w:spacing w:after="0" w:line="259" w:lineRule="auto"/>
        <w:tabs>
          <w:tab w:leader="none" w:pos="108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Term, the Executive’s annual base salary rate shall be $455,000.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6" w:lineRule="exact"/>
        <w:rPr>
          <w:rFonts w:ascii="Arial" w:cs="Arial" w:eastAsia="Arial" w:hAnsi="Arial"/>
          <w:sz w:val="18"/>
          <w:szCs w:val="18"/>
          <w:color w:val="auto"/>
        </w:rPr>
      </w:pPr>
    </w:p>
    <w:p>
      <w:pPr>
        <w:jc w:val="both"/>
        <w:ind w:left="-40" w:right="140" w:firstLine="885"/>
        <w:spacing w:after="0" w:line="259" w:lineRule="auto"/>
        <w:tabs>
          <w:tab w:leader="none" w:pos="109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initial target annual incentive compensation shall be fifty percent (50%) of her Base Salary (as in effect at any time, the “Target Annual Incentive Compensation”). To earn incentive compensation, the Executive must be employed by the Company on the day such incentive compensation is paid.</w:t>
      </w:r>
    </w:p>
    <w:p>
      <w:pPr>
        <w:spacing w:after="0" w:line="186" w:lineRule="exact"/>
        <w:rPr>
          <w:rFonts w:ascii="Arial" w:cs="Arial" w:eastAsia="Arial" w:hAnsi="Arial"/>
          <w:sz w:val="18"/>
          <w:szCs w:val="18"/>
          <w:color w:val="auto"/>
        </w:rPr>
      </w:pPr>
    </w:p>
    <w:p>
      <w:pPr>
        <w:ind w:left="-40" w:firstLine="885"/>
        <w:spacing w:after="0" w:line="264" w:lineRule="auto"/>
        <w:tabs>
          <w:tab w:leader="none" w:pos="108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officers.</w:t>
      </w:r>
    </w:p>
    <w:p>
      <w:pPr>
        <w:spacing w:after="0" w:line="181" w:lineRule="exact"/>
        <w:rPr>
          <w:rFonts w:ascii="Arial" w:cs="Arial" w:eastAsia="Arial" w:hAnsi="Arial"/>
          <w:sz w:val="18"/>
          <w:szCs w:val="18"/>
          <w:color w:val="auto"/>
        </w:rPr>
      </w:pPr>
    </w:p>
    <w:p>
      <w:pPr>
        <w:ind w:left="-40" w:right="40" w:firstLine="885"/>
        <w:spacing w:after="0" w:line="272" w:lineRule="auto"/>
        <w:tabs>
          <w:tab w:leader="none" w:pos="1096"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Commuting and Living Expenses</w:t>
      </w:r>
      <w:r>
        <w:rPr>
          <w:rFonts w:ascii="Arial" w:cs="Arial" w:eastAsia="Arial" w:hAnsi="Arial"/>
          <w:sz w:val="17"/>
          <w:szCs w:val="17"/>
          <w:color w:val="auto"/>
        </w:rPr>
        <w:t>. The Company shall also reimburse the Executive for the following reasonable costs incurred by her, subject to the Executive’s timely submission of applicable documentation pursuant to the sentence below: (i) reimbursement for up to $5,000 per month for housing in the Greater Boston area; (ii) up to $5,000 per round-trip travel from Denmark to the United States; (iii) up to $20,000 per year for tax advice, plus any additional amounts pre-approved by the Company in its discretion; (iv) up to $200 per month for heat and electricity; (v) the Executive’s monthly cellphone bill; (v) transportation via taxi or car-sharing service to and from the airport and worksite; (vi) the Executive’s annual Global Entry Fee; and (vii) reasonable legal fees related to obtaining the Executive’s O-1 visa. All expenses must be submitted to the Company on a monthly basis, no later than the middle of the month following the month in which such expenses were incurred.</w:t>
      </w:r>
    </w:p>
    <w:p>
      <w:pPr>
        <w:spacing w:after="0" w:line="177" w:lineRule="exact"/>
        <w:rPr>
          <w:rFonts w:ascii="Arial" w:cs="Arial" w:eastAsia="Arial" w:hAnsi="Arial"/>
          <w:sz w:val="17"/>
          <w:szCs w:val="17"/>
          <w:color w:val="auto"/>
        </w:rPr>
      </w:pPr>
    </w:p>
    <w:p>
      <w:pPr>
        <w:ind w:left="-40" w:firstLine="885"/>
        <w:spacing w:after="0" w:line="264" w:lineRule="auto"/>
        <w:tabs>
          <w:tab w:leader="none" w:pos="108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181" w:lineRule="exact"/>
        <w:rPr>
          <w:rFonts w:ascii="Arial" w:cs="Arial" w:eastAsia="Arial" w:hAnsi="Arial"/>
          <w:sz w:val="18"/>
          <w:szCs w:val="18"/>
          <w:color w:val="auto"/>
        </w:rPr>
      </w:pPr>
    </w:p>
    <w:p>
      <w:pPr>
        <w:ind w:left="-40" w:right="180" w:firstLine="885"/>
        <w:spacing w:after="0" w:line="255" w:lineRule="auto"/>
        <w:tabs>
          <w:tab w:leader="none" w:pos="106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Place of Performance</w:t>
      </w:r>
      <w:r>
        <w:rPr>
          <w:rFonts w:ascii="Arial" w:cs="Arial" w:eastAsia="Arial" w:hAnsi="Arial"/>
          <w:sz w:val="18"/>
          <w:szCs w:val="18"/>
          <w:color w:val="auto"/>
        </w:rPr>
        <w:t>. Unless otherwise agreed to by the Executive and the Company, the Executive shall perform her duties for the Company on an alternating schedule between the Company’s Massachusetts office, currently located in Cambridge, Massachusetts, and in Denmark; provided, however, that the Executive shall also be required to travel to the extent reasonably required to perform her job duties; provided further that the Executive shall spend no less than 50% of her working time at the Company’s Massachusetts office, unless previously agreed to in writing (which may include email) by the CEO, who shall not unreasonably withhold his agreement. When the Executive is performing services in Denmark she will not enter into any agreements on behalf of the Company or otherwise bind with Company without the prior written consent of the CEO or another authorized executive.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4" w:right="479" w:bottom="1440" w:gutter="0" w:footer="0" w:header="0"/>
        </w:sectPr>
      </w:pPr>
    </w:p>
    <w:bookmarkStart w:id="189" w:name="page190"/>
    <w:bookmarkEnd w:id="189"/>
    <w:p>
      <w:pPr>
        <w:jc w:val="both"/>
        <w:ind w:right="120" w:firstLine="885"/>
        <w:spacing w:after="0" w:line="264" w:lineRule="auto"/>
        <w:tabs>
          <w:tab w:leader="none" w:pos="113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181" w:lineRule="exact"/>
        <w:rPr>
          <w:rFonts w:ascii="Arial" w:cs="Arial" w:eastAsia="Arial" w:hAnsi="Arial"/>
          <w:sz w:val="18"/>
          <w:szCs w:val="18"/>
          <w:color w:val="auto"/>
        </w:rPr>
      </w:pPr>
    </w:p>
    <w:p>
      <w:pPr>
        <w:ind w:firstLine="885"/>
        <w:spacing w:after="0" w:line="268" w:lineRule="auto"/>
        <w:tabs>
          <w:tab w:leader="none" w:pos="1136"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The Executive shall also be eligible to participate in the Company’s equity incentive plan, subject to approval by the Board or Compensation Committee. As a material inducement to the Executive entering into this Agreement and becoming an employee of the Company, and subject to approval by the Board or Compensation Committee, the Company will grant the Executive an option to purchase 293,000 shares of the Company’s common stock (“New Hire Award”). The New Hire Award shall vest over four years, with twenty-five percent of the New Hire Award vesting on the one-year anniversary of the date of this Agreement and the remaining shares vesting in thirty-six equal monthly installments following the one-year anniversary of the date of this Agreement, subject to the Executive’s continued service relationship with the Company. The New Hire Award shall be granted in the form of a non-qualified stock option as an inducement grant consistent with the requirements of NASDAQ Stock Market Rule 5635(c)(4) instead of pursuant to the Company’s existing equity plan. The New Hire Award will be governed by the terms and conditions of an award agreement (such documents, together with any other equity awards held by the Executive and the applicable award agreements and the Company’s applicable equity incentive plan(s), the “Equity Documents”); provided, however, and notwithstanding anything to the contrary in the Equity Documents, Section 4(b)(ii) or Section 5(a)(ii) of this Agreement (as applicable) shall apply in the event of a termination by the Company without Cause or by the Executive for Good Reason (as such terms are defined below). To the extent permitted under the NASDAQ Rules, the Company shall issue the New Hire Award at the commencement of the Executive’s consultancy pursuant to the Consulting Agreement, and such issuance shall be in full satisfaction of the Company’s obligations pursuant to this Section 2(h).</w:t>
      </w:r>
    </w:p>
    <w:p>
      <w:pPr>
        <w:spacing w:after="0" w:line="185" w:lineRule="exact"/>
        <w:rPr>
          <w:rFonts w:ascii="Arial" w:cs="Arial" w:eastAsia="Arial" w:hAnsi="Arial"/>
          <w:sz w:val="17"/>
          <w:szCs w:val="17"/>
          <w:color w:val="auto"/>
        </w:rPr>
      </w:pPr>
    </w:p>
    <w:p>
      <w:pPr>
        <w:ind w:right="460" w:firstLine="444"/>
        <w:spacing w:after="0" w:line="277" w:lineRule="auto"/>
        <w:tabs>
          <w:tab w:leader="none" w:pos="62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120" w:hanging="235"/>
        <w:spacing w:after="0"/>
        <w:tabs>
          <w:tab w:leader="none" w:pos="112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her death.</w:t>
      </w:r>
    </w:p>
    <w:p>
      <w:pPr>
        <w:spacing w:after="0" w:line="225" w:lineRule="exact"/>
        <w:rPr>
          <w:rFonts w:ascii="Arial" w:cs="Arial" w:eastAsia="Arial" w:hAnsi="Arial"/>
          <w:sz w:val="18"/>
          <w:szCs w:val="18"/>
          <w:color w:val="auto"/>
        </w:rPr>
      </w:pPr>
    </w:p>
    <w:p>
      <w:pPr>
        <w:ind w:right="60" w:firstLine="885"/>
        <w:spacing w:after="0" w:line="297" w:lineRule="auto"/>
        <w:tabs>
          <w:tab w:leader="none" w:pos="1136"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90" w:name="page191"/>
    <w:bookmarkEnd w:id="190"/>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w:t>
      </w:r>
      <w:r>
        <w:rPr>
          <w:rFonts w:ascii="Arial" w:cs="Arial" w:eastAsia="Arial" w:hAnsi="Arial"/>
          <w:sz w:val="17"/>
          <w:szCs w:val="17"/>
          <w:color w:val="auto"/>
        </w:rPr>
        <w:t xml:space="preserve"> </w:t>
      </w:r>
      <w:r>
        <w:rPr>
          <w:rFonts w:ascii="Arial" w:cs="Arial" w:eastAsia="Arial" w:hAnsi="Arial"/>
          <w:sz w:val="17"/>
          <w:szCs w:val="17"/>
          <w:i w:val="1"/>
          <w:iCs w:val="1"/>
          <w:color w:val="auto"/>
        </w:rPr>
        <w:t>seq</w:t>
      </w:r>
      <w:r>
        <w:rPr>
          <w:rFonts w:ascii="Arial" w:cs="Arial" w:eastAsia="Arial" w:hAnsi="Arial"/>
          <w:sz w:val="17"/>
          <w:szCs w:val="17"/>
          <w:color w:val="auto"/>
        </w:rPr>
        <w:t>. and the Americans with Disabilities Act, 42 U.S.C. §12101</w:t>
      </w:r>
      <w:r>
        <w:rPr>
          <w:rFonts w:ascii="Arial" w:cs="Arial" w:eastAsia="Arial" w:hAnsi="Arial"/>
          <w:sz w:val="17"/>
          <w:szCs w:val="17"/>
          <w:i w:val="1"/>
          <w:iCs w:val="1"/>
          <w:color w:val="auto"/>
        </w:rPr>
        <w:t xml:space="preserve"> et seq.</w:t>
      </w:r>
    </w:p>
    <w:p>
      <w:pPr>
        <w:spacing w:after="0" w:line="178" w:lineRule="exact"/>
        <w:rPr>
          <w:sz w:val="20"/>
          <w:szCs w:val="20"/>
          <w:color w:val="auto"/>
        </w:rPr>
      </w:pPr>
    </w:p>
    <w:p>
      <w:pPr>
        <w:ind w:firstLine="885"/>
        <w:spacing w:after="0" w:line="286" w:lineRule="auto"/>
        <w:tabs>
          <w:tab w:leader="none" w:pos="112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she were retained in her position; (iii) continued non-performance by the Executive of her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4" w:lineRule="exact"/>
        <w:rPr>
          <w:rFonts w:ascii="Arial" w:cs="Arial" w:eastAsia="Arial" w:hAnsi="Arial"/>
          <w:sz w:val="16"/>
          <w:szCs w:val="16"/>
          <w:color w:val="auto"/>
        </w:rPr>
      </w:pPr>
    </w:p>
    <w:p>
      <w:pPr>
        <w:ind w:right="60" w:firstLine="885"/>
        <w:spacing w:after="0" w:line="312" w:lineRule="auto"/>
        <w:tabs>
          <w:tab w:leader="none" w:pos="113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46" w:lineRule="exact"/>
        <w:rPr>
          <w:rFonts w:ascii="Arial" w:cs="Arial" w:eastAsia="Arial" w:hAnsi="Arial"/>
          <w:sz w:val="16"/>
          <w:szCs w:val="16"/>
          <w:color w:val="auto"/>
        </w:rPr>
      </w:pPr>
    </w:p>
    <w:p>
      <w:pPr>
        <w:ind w:firstLine="885"/>
        <w:spacing w:after="0" w:line="273" w:lineRule="auto"/>
        <w:tabs>
          <w:tab w:leader="none" w:pos="1126"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or reporting relationship;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91" w:name="page192"/>
    <w:bookmarkEnd w:id="191"/>
    <w:p>
      <w:pPr>
        <w:ind w:left="-4" w:firstLine="4"/>
        <w:spacing w:after="0" w:line="273" w:lineRule="auto"/>
        <w:tabs>
          <w:tab w:leader="none" w:pos="301"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78" w:lineRule="exact"/>
        <w:rPr>
          <w:rFonts w:ascii="Arial" w:cs="Arial" w:eastAsia="Arial" w:hAnsi="Arial"/>
          <w:sz w:val="17"/>
          <w:szCs w:val="17"/>
          <w:color w:val="auto"/>
        </w:rPr>
      </w:pPr>
    </w:p>
    <w:p>
      <w:pPr>
        <w:ind w:left="-4" w:right="200" w:firstLine="885"/>
        <w:spacing w:after="0" w:line="312" w:lineRule="auto"/>
        <w:tabs>
          <w:tab w:leader="none" w:pos="1102" w:val="left"/>
        </w:tabs>
        <w:numPr>
          <w:ilvl w:val="2"/>
          <w:numId w:val="121"/>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6" w:lineRule="exact"/>
        <w:rPr>
          <w:rFonts w:ascii="Arial" w:cs="Arial" w:eastAsia="Arial" w:hAnsi="Arial"/>
          <w:sz w:val="16"/>
          <w:szCs w:val="16"/>
          <w:color w:val="auto"/>
        </w:rPr>
      </w:pPr>
    </w:p>
    <w:p>
      <w:pPr>
        <w:ind w:left="-4" w:right="60" w:firstLine="885"/>
        <w:spacing w:after="0" w:line="271" w:lineRule="auto"/>
        <w:tabs>
          <w:tab w:leader="none" w:pos="1132" w:val="left"/>
        </w:tabs>
        <w:numPr>
          <w:ilvl w:val="2"/>
          <w:numId w:val="121"/>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78" w:lineRule="exact"/>
        <w:rPr>
          <w:rFonts w:ascii="Arial" w:cs="Arial" w:eastAsia="Arial" w:hAnsi="Arial"/>
          <w:sz w:val="17"/>
          <w:szCs w:val="17"/>
          <w:color w:val="auto"/>
        </w:rPr>
      </w:pPr>
    </w:p>
    <w:p>
      <w:pPr>
        <w:ind w:left="616" w:hanging="176"/>
        <w:spacing w:after="0"/>
        <w:tabs>
          <w:tab w:leader="none" w:pos="61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40" w:firstLine="885"/>
        <w:spacing w:after="0" w:line="273" w:lineRule="auto"/>
        <w:tabs>
          <w:tab w:leader="none" w:pos="1122" w:val="left"/>
        </w:tabs>
        <w:numPr>
          <w:ilvl w:val="2"/>
          <w:numId w:val="122"/>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6"/>
          </w:cols>
          <w:pgMar w:left="444" w:top="274" w:right="439" w:bottom="1440" w:gutter="0" w:footer="0" w:header="0"/>
        </w:sectPr>
      </w:pPr>
    </w:p>
    <w:bookmarkStart w:id="192" w:name="page193"/>
    <w:bookmarkEnd w:id="192"/>
    <w:p>
      <w:pPr>
        <w:ind w:left="-20" w:firstLine="885"/>
        <w:spacing w:after="0" w:line="270" w:lineRule="auto"/>
        <w:tabs>
          <w:tab w:leader="none" w:pos="1116"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by the Company Without Cause or by the Executive with Good Reason</w:t>
      </w:r>
      <w:r>
        <w:rPr>
          <w:rFonts w:ascii="Arial" w:cs="Arial" w:eastAsia="Arial" w:hAnsi="Arial"/>
          <w:sz w:val="17"/>
          <w:szCs w:val="17"/>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a reaffirmation of all of the Executive’s Continuing Obligations and, in the Company’s sole discretion, a one-year post-employment noncompetition agreement, and that shall provide that if the Executive breaches any of the Executive’s Continuing Obligations, all payments of the Severance Amount shall immediately cease, in a form and manner satisfactory to the Company (the “Separation Agreement and Release”) and the Separation Agreement and Release becoming irrevocable (after a seven (7) business day revocation period) and fully effective and, if applicable, the Executive resigning as a member of the Board of Directors, all within 60 days after the Date of Termination (or such shorter time period provided in the Separation Agreement and Release):</w:t>
      </w:r>
    </w:p>
    <w:p>
      <w:pPr>
        <w:spacing w:after="0" w:line="69" w:lineRule="exact"/>
        <w:rPr>
          <w:rFonts w:ascii="Arial" w:cs="Arial" w:eastAsia="Arial" w:hAnsi="Arial"/>
          <w:sz w:val="17"/>
          <w:szCs w:val="17"/>
          <w:color w:val="auto"/>
        </w:rPr>
      </w:pPr>
    </w:p>
    <w:p>
      <w:pPr>
        <w:ind w:left="420" w:right="80" w:firstLine="428"/>
        <w:spacing w:after="0" w:line="259" w:lineRule="auto"/>
        <w:tabs>
          <w:tab w:leader="none" w:pos="105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pay the Executive an amount equal to 0.75 times the sum of the Executive’s Base Salary (the “Severance Amount”) provided in the event the Executive is entitled to any payments pursuant to the Restrictive Covenants Agreement, the Severance Amount received in any calendar year will be reduced by the amount the Executive is paid in the same such calendar year pursuant to the Restrictive Covenants Agreement (the “Restrictive Covenants Agreement Setoff”);</w:t>
      </w:r>
    </w:p>
    <w:p>
      <w:pPr>
        <w:spacing w:after="0" w:line="78" w:lineRule="exact"/>
        <w:rPr>
          <w:rFonts w:ascii="Arial" w:cs="Arial" w:eastAsia="Arial" w:hAnsi="Arial"/>
          <w:sz w:val="18"/>
          <w:szCs w:val="18"/>
          <w:color w:val="auto"/>
        </w:rPr>
      </w:pPr>
    </w:p>
    <w:p>
      <w:pPr>
        <w:ind w:left="420" w:right="80" w:firstLine="428"/>
        <w:spacing w:after="0" w:line="259"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ind w:left="420" w:right="80" w:firstLine="428"/>
        <w:spacing w:after="0" w:line="279" w:lineRule="auto"/>
        <w:tabs>
          <w:tab w:leader="none" w:pos="115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left="420" w:right="20" w:firstLine="428"/>
        <w:spacing w:after="0" w:line="255" w:lineRule="auto"/>
        <w:tabs>
          <w:tab w:leader="none" w:pos="114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60" w:top="274" w:right="439" w:bottom="1440" w:gutter="0" w:footer="0" w:header="0"/>
        </w:sectPr>
      </w:pPr>
    </w:p>
    <w:bookmarkStart w:id="193" w:name="page194"/>
    <w:bookmarkEnd w:id="193"/>
    <w:p>
      <w:pPr>
        <w:ind w:right="20" w:firstLine="444"/>
        <w:spacing w:after="0" w:line="289" w:lineRule="auto"/>
        <w:tabs>
          <w:tab w:leader="none" w:pos="62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Payment</w:t>
      </w:r>
      <w:r>
        <w:rPr>
          <w:rFonts w:ascii="Arial" w:cs="Arial" w:eastAsia="Arial" w:hAnsi="Arial"/>
          <w:sz w:val="16"/>
          <w:szCs w:val="16"/>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her assigned duties and her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66" w:lineRule="exact"/>
        <w:rPr>
          <w:rFonts w:ascii="Arial" w:cs="Arial" w:eastAsia="Arial" w:hAnsi="Arial"/>
          <w:sz w:val="16"/>
          <w:szCs w:val="16"/>
          <w:color w:val="auto"/>
        </w:rPr>
      </w:pPr>
    </w:p>
    <w:p>
      <w:pPr>
        <w:ind w:firstLine="885"/>
        <w:spacing w:after="0" w:line="276" w:lineRule="auto"/>
        <w:tabs>
          <w:tab w:leader="none" w:pos="1126" w:val="left"/>
        </w:tabs>
        <w:numPr>
          <w:ilvl w:val="2"/>
          <w:numId w:val="125"/>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40" w:right="120" w:firstLine="428"/>
        <w:spacing w:after="0" w:line="279" w:lineRule="auto"/>
        <w:tabs>
          <w:tab w:leader="none" w:pos="107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 (together the “Change in Control Payment”), provided the Change in Control Payment shall be reduced by the amount of the Restrictive Covenants Agreement Setoff, if applicable, paid or to be paid in the same calendar year;</w:t>
      </w:r>
    </w:p>
    <w:p>
      <w:pPr>
        <w:spacing w:after="0" w:line="63" w:lineRule="exact"/>
        <w:rPr>
          <w:rFonts w:ascii="Arial" w:cs="Arial" w:eastAsia="Arial" w:hAnsi="Arial"/>
          <w:sz w:val="17"/>
          <w:szCs w:val="17"/>
          <w:color w:val="auto"/>
        </w:rPr>
      </w:pPr>
    </w:p>
    <w:p>
      <w:pPr>
        <w:ind w:left="440" w:right="480" w:firstLine="428"/>
        <w:spacing w:after="0" w:line="264" w:lineRule="auto"/>
        <w:tabs>
          <w:tab w:leader="none" w:pos="112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73" w:lineRule="exact"/>
        <w:rPr>
          <w:rFonts w:ascii="Arial" w:cs="Arial" w:eastAsia="Arial" w:hAnsi="Arial"/>
          <w:sz w:val="18"/>
          <w:szCs w:val="18"/>
          <w:color w:val="auto"/>
        </w:rPr>
      </w:pPr>
    </w:p>
    <w:p>
      <w:pPr>
        <w:ind w:left="440" w:right="80" w:firstLine="428"/>
        <w:spacing w:after="0" w:line="279" w:lineRule="auto"/>
        <w:tabs>
          <w:tab w:leader="none" w:pos="117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63" w:lineRule="exact"/>
        <w:rPr>
          <w:rFonts w:ascii="Arial" w:cs="Arial" w:eastAsia="Arial" w:hAnsi="Arial"/>
          <w:sz w:val="17"/>
          <w:szCs w:val="17"/>
          <w:color w:val="auto"/>
        </w:rPr>
      </w:pPr>
    </w:p>
    <w:p>
      <w:pPr>
        <w:ind w:left="440" w:right="120" w:firstLine="428"/>
        <w:spacing w:after="0" w:line="264" w:lineRule="auto"/>
        <w:tabs>
          <w:tab w:leader="none" w:pos="116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94" w:name="page195"/>
    <w:bookmarkEnd w:id="194"/>
    <w:p>
      <w:pPr>
        <w:ind w:left="700" w:hanging="255"/>
        <w:spacing w:after="0"/>
        <w:tabs>
          <w:tab w:leader="none" w:pos="700"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Limitation.</w:t>
      </w:r>
    </w:p>
    <w:p>
      <w:pPr>
        <w:spacing w:after="0" w:line="117" w:lineRule="exact"/>
        <w:rPr>
          <w:rFonts w:ascii="Arial" w:cs="Arial" w:eastAsia="Arial" w:hAnsi="Arial"/>
          <w:sz w:val="18"/>
          <w:szCs w:val="18"/>
          <w:color w:val="auto"/>
        </w:rPr>
      </w:pPr>
    </w:p>
    <w:p>
      <w:pPr>
        <w:ind w:right="120" w:firstLine="428"/>
        <w:spacing w:after="0" w:line="286" w:lineRule="auto"/>
        <w:tabs>
          <w:tab w:leader="none" w:pos="6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66" w:lineRule="exact"/>
        <w:rPr>
          <w:rFonts w:ascii="Arial" w:cs="Arial" w:eastAsia="Arial" w:hAnsi="Arial"/>
          <w:sz w:val="16"/>
          <w:szCs w:val="16"/>
          <w:color w:val="auto"/>
        </w:rPr>
      </w:pPr>
    </w:p>
    <w:p>
      <w:pPr>
        <w:ind w:firstLine="428"/>
        <w:spacing w:after="0" w:line="273" w:lineRule="auto"/>
        <w:tabs>
          <w:tab w:leader="none" w:pos="68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0" w:lineRule="exact"/>
        <w:rPr>
          <w:rFonts w:ascii="Arial" w:cs="Arial" w:eastAsia="Arial" w:hAnsi="Arial"/>
          <w:sz w:val="17"/>
          <w:szCs w:val="17"/>
          <w:color w:val="auto"/>
        </w:rPr>
      </w:pPr>
    </w:p>
    <w:p>
      <w:pPr>
        <w:jc w:val="both"/>
        <w:ind w:right="120" w:firstLine="428"/>
        <w:spacing w:after="0" w:line="302" w:lineRule="auto"/>
        <w:tabs>
          <w:tab w:leader="none" w:pos="7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8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195" w:name="page196"/>
    <w:bookmarkEnd w:id="195"/>
    <w:p>
      <w:pPr>
        <w:ind w:left="440" w:right="2760" w:firstLine="445"/>
        <w:spacing w:after="0" w:line="375" w:lineRule="auto"/>
        <w:tabs>
          <w:tab w:leader="none" w:pos="1125"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For purposes of this Section 5, the following terms shall have the following meanings: “Change in Control” shall mean any of the following:</w:t>
      </w:r>
    </w:p>
    <w:p>
      <w:pPr>
        <w:spacing w:after="0" w:line="1" w:lineRule="exact"/>
        <w:rPr>
          <w:rFonts w:ascii="Arial" w:cs="Arial" w:eastAsia="Arial" w:hAnsi="Arial"/>
          <w:sz w:val="18"/>
          <w:szCs w:val="18"/>
          <w:color w:val="auto"/>
        </w:rPr>
      </w:pPr>
    </w:p>
    <w:p>
      <w:pPr>
        <w:ind w:left="440" w:right="40" w:firstLine="428"/>
        <w:spacing w:after="0" w:line="255" w:lineRule="auto"/>
        <w:tabs>
          <w:tab w:leader="none" w:pos="10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81" w:lineRule="exact"/>
        <w:rPr>
          <w:rFonts w:ascii="Arial" w:cs="Arial" w:eastAsia="Arial" w:hAnsi="Arial"/>
          <w:sz w:val="18"/>
          <w:szCs w:val="18"/>
          <w:color w:val="auto"/>
        </w:rPr>
      </w:pPr>
    </w:p>
    <w:p>
      <w:pPr>
        <w:ind w:left="440" w:right="200" w:firstLine="428"/>
        <w:spacing w:after="0" w:line="277" w:lineRule="auto"/>
        <w:tabs>
          <w:tab w:leader="none" w:pos="11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62" w:lineRule="exact"/>
        <w:rPr>
          <w:rFonts w:ascii="Arial" w:cs="Arial" w:eastAsia="Arial" w:hAnsi="Arial"/>
          <w:sz w:val="18"/>
          <w:szCs w:val="18"/>
          <w:color w:val="auto"/>
        </w:rPr>
      </w:pPr>
    </w:p>
    <w:p>
      <w:pPr>
        <w:ind w:left="440" w:firstLine="428"/>
        <w:spacing w:after="0" w:line="297" w:lineRule="auto"/>
        <w:tabs>
          <w:tab w:leader="none" w:pos="11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58"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6" w:name="page197"/>
    <w:bookmarkEnd w:id="196"/>
    <w:p>
      <w:pPr>
        <w:ind w:left="620" w:hanging="176"/>
        <w:spacing w:after="0"/>
        <w:tabs>
          <w:tab w:leader="none" w:pos="62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5"/>
        <w:spacing w:after="0" w:line="286" w:lineRule="auto"/>
        <w:tabs>
          <w:tab w:leader="none" w:pos="1126"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w:t>
      </w:r>
    </w:p>
    <w:p>
      <w:pPr>
        <w:spacing w:after="0" w:line="1"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1" w:lineRule="exact"/>
        <w:rPr>
          <w:rFonts w:ascii="Arial" w:cs="Arial" w:eastAsia="Arial" w:hAnsi="Arial"/>
          <w:sz w:val="16"/>
          <w:szCs w:val="16"/>
          <w:color w:val="auto"/>
        </w:rPr>
      </w:pPr>
    </w:p>
    <w:p>
      <w:pPr>
        <w:ind w:right="100" w:firstLine="885"/>
        <w:spacing w:after="0" w:line="273" w:lineRule="auto"/>
        <w:tabs>
          <w:tab w:leader="none" w:pos="113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8" w:lineRule="exact"/>
        <w:rPr>
          <w:rFonts w:ascii="Arial" w:cs="Arial" w:eastAsia="Arial" w:hAnsi="Arial"/>
          <w:sz w:val="17"/>
          <w:szCs w:val="17"/>
          <w:color w:val="auto"/>
        </w:rPr>
      </w:pPr>
    </w:p>
    <w:p>
      <w:pPr>
        <w:ind w:left="1140" w:hanging="255"/>
        <w:spacing w:after="0"/>
        <w:tabs>
          <w:tab w:leader="none" w:pos="11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3" w:lineRule="exact"/>
        <w:rPr>
          <w:sz w:val="20"/>
          <w:szCs w:val="20"/>
          <w:color w:val="auto"/>
        </w:rPr>
      </w:pPr>
    </w:p>
    <w:p>
      <w:pPr>
        <w:ind w:firstLine="885"/>
        <w:spacing w:after="0" w:line="255" w:lineRule="auto"/>
        <w:tabs>
          <w:tab w:leader="none" w:pos="113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3" w:lineRule="exact"/>
        <w:rPr>
          <w:rFonts w:ascii="Arial" w:cs="Arial" w:eastAsia="Arial" w:hAnsi="Arial"/>
          <w:sz w:val="18"/>
          <w:szCs w:val="18"/>
          <w:color w:val="auto"/>
        </w:rPr>
      </w:pPr>
    </w:p>
    <w:p>
      <w:pPr>
        <w:ind w:right="180" w:firstLine="885"/>
        <w:spacing w:after="0" w:line="264" w:lineRule="auto"/>
        <w:tabs>
          <w:tab w:leader="none" w:pos="112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97" w:name="page198"/>
    <w:bookmarkEnd w:id="197"/>
    <w:p>
      <w:pPr>
        <w:ind w:left="540" w:hanging="176"/>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Noncompetition and Cooperation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 w:right="140" w:firstLine="885"/>
        <w:spacing w:after="0" w:line="297" w:lineRule="auto"/>
        <w:tabs>
          <w:tab w:leader="none" w:pos="104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xml:space="preserve">. The Executive acknowledges and agrees that in consideration and as a condition of the Executive’s employment by the Company and in exchange for, among other things, the benefits contained in this Agreement, the Executive will enter into the Restrictive Covenants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the terms of which are incorporated by reference as material terms of this Agreement. For purposes of this Agreement, the obligations in this Section 7 and those that arise in the Restrictive Covenants Agreement and any other agreement relating to confidentiality, assignment of inventions, or other restrictive covenants shall collectively be referred to as the “Continuing Obligations.”</w:t>
      </w:r>
    </w:p>
    <w:p>
      <w:pPr>
        <w:spacing w:after="0" w:line="158" w:lineRule="exact"/>
        <w:rPr>
          <w:rFonts w:ascii="Arial" w:cs="Arial" w:eastAsia="Arial" w:hAnsi="Arial"/>
          <w:sz w:val="16"/>
          <w:szCs w:val="16"/>
          <w:color w:val="auto"/>
        </w:rPr>
      </w:pPr>
    </w:p>
    <w:p>
      <w:pPr>
        <w:ind w:left="-80" w:right="20" w:firstLine="885"/>
        <w:spacing w:after="0" w:line="291" w:lineRule="auto"/>
        <w:tabs>
          <w:tab w:leader="none" w:pos="105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7" w:lineRule="exact"/>
        <w:rPr>
          <w:rFonts w:ascii="Arial" w:cs="Arial" w:eastAsia="Arial" w:hAnsi="Arial"/>
          <w:sz w:val="16"/>
          <w:szCs w:val="16"/>
          <w:color w:val="auto"/>
        </w:rPr>
      </w:pPr>
    </w:p>
    <w:p>
      <w:pPr>
        <w:ind w:left="-80" w:firstLine="885"/>
        <w:spacing w:after="0" w:line="270" w:lineRule="auto"/>
        <w:tabs>
          <w:tab w:leader="none" w:pos="1046"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181" w:lineRule="exact"/>
        <w:rPr>
          <w:rFonts w:ascii="Arial" w:cs="Arial" w:eastAsia="Arial" w:hAnsi="Arial"/>
          <w:sz w:val="17"/>
          <w:szCs w:val="17"/>
          <w:color w:val="auto"/>
        </w:rPr>
      </w:pPr>
    </w:p>
    <w:p>
      <w:pPr>
        <w:ind w:left="-80" w:right="200" w:firstLine="885"/>
        <w:spacing w:after="0" w:line="297" w:lineRule="auto"/>
        <w:tabs>
          <w:tab w:leader="none" w:pos="1056"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Relief</w:t>
      </w:r>
      <w:r>
        <w:rPr>
          <w:rFonts w:ascii="Arial" w:cs="Arial" w:eastAsia="Arial" w:hAnsi="Arial"/>
          <w:sz w:val="16"/>
          <w:szCs w:val="16"/>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20" w:top="274" w:right="499" w:bottom="1440" w:gutter="0" w:footer="0" w:header="0"/>
        </w:sectPr>
      </w:pPr>
    </w:p>
    <w:bookmarkStart w:id="198" w:name="page199"/>
    <w:bookmarkEnd w:id="198"/>
    <w:p>
      <w:pPr>
        <w:jc w:val="both"/>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breaches this Section 7 or the provisions incorporated herein during a period when she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her duties under this Agreement.</w:t>
      </w:r>
    </w:p>
    <w:p>
      <w:pPr>
        <w:spacing w:after="0" w:line="147" w:lineRule="exact"/>
        <w:rPr>
          <w:sz w:val="20"/>
          <w:szCs w:val="20"/>
          <w:color w:val="auto"/>
        </w:rPr>
      </w:pPr>
    </w:p>
    <w:p>
      <w:pPr>
        <w:ind w:right="220" w:firstLine="885"/>
        <w:spacing w:after="0" w:line="264" w:lineRule="auto"/>
        <w:tabs>
          <w:tab w:leader="none" w:pos="1126"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Protected Disclosures and Other Protected Action</w:t>
      </w:r>
      <w:r>
        <w:rPr>
          <w:rFonts w:ascii="Arial" w:cs="Arial" w:eastAsia="Arial" w:hAnsi="Arial"/>
          <w:sz w:val="18"/>
          <w:szCs w:val="18"/>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81" w:lineRule="exact"/>
        <w:rPr>
          <w:rFonts w:ascii="Arial" w:cs="Arial" w:eastAsia="Arial" w:hAnsi="Arial"/>
          <w:sz w:val="18"/>
          <w:szCs w:val="18"/>
          <w:color w:val="auto"/>
        </w:rPr>
      </w:pPr>
    </w:p>
    <w:p>
      <w:pPr>
        <w:ind w:right="140" w:firstLine="444"/>
        <w:spacing w:after="0" w:line="287" w:lineRule="auto"/>
        <w:tabs>
          <w:tab w:leader="none" w:pos="621"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enforcing the Restrictive Covenants Agreement or obtaining a temporary restraining order or a preliminary injunction in circumstances in which such relief is appropriate; provided that any other relief shall be pursued through an arbitration proceeding pursuant to this Section 8.</w:t>
      </w:r>
    </w:p>
    <w:p>
      <w:pPr>
        <w:spacing w:after="0" w:line="172" w:lineRule="exact"/>
        <w:rPr>
          <w:rFonts w:ascii="Arial" w:cs="Arial" w:eastAsia="Arial" w:hAnsi="Arial"/>
          <w:sz w:val="16"/>
          <w:szCs w:val="16"/>
          <w:color w:val="auto"/>
        </w:rPr>
      </w:pPr>
    </w:p>
    <w:p>
      <w:pPr>
        <w:ind w:firstLine="444"/>
        <w:spacing w:after="0" w:line="257" w:lineRule="auto"/>
        <w:tabs>
          <w:tab w:leader="none" w:pos="62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8" w:lineRule="exact"/>
        <w:rPr>
          <w:rFonts w:ascii="Arial" w:cs="Arial" w:eastAsia="Arial" w:hAnsi="Arial"/>
          <w:sz w:val="18"/>
          <w:szCs w:val="18"/>
          <w:color w:val="auto"/>
        </w:rPr>
      </w:pPr>
    </w:p>
    <w:p>
      <w:pPr>
        <w:ind w:right="20" w:firstLine="444"/>
        <w:spacing w:after="0" w:line="302" w:lineRule="auto"/>
        <w:tabs>
          <w:tab w:leader="none" w:pos="711"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Restrictive Covenants Agreement constitute the entire agreement between the parties with respect to the subject matter hereof and supersede all prior agreements between the parties concerning such subject matter, including without limitation the Consulting Agreement, provided that Sections 6 through 9 of the Consulting Agreement, the Equity Documents (if the New Hire Award was granted prior to the Effective Date), as well as any agreements regarding confidentiality and assignment of inventions shall remain in full force and effect.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9" w:name="page200"/>
    <w:bookmarkEnd w:id="199"/>
    <w:p>
      <w:pPr>
        <w:ind w:left="-140" w:right="120" w:firstLine="444"/>
        <w:spacing w:after="0" w:line="276" w:lineRule="auto"/>
        <w:tabs>
          <w:tab w:leader="none" w:pos="564"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 and Other Tax Matters</w:t>
      </w:r>
      <w:r>
        <w:rPr>
          <w:rFonts w:ascii="Arial" w:cs="Arial" w:eastAsia="Arial" w:hAnsi="Arial"/>
          <w:sz w:val="17"/>
          <w:szCs w:val="17"/>
          <w:color w:val="auto"/>
        </w:rPr>
        <w:t>. All payments made by the Company to the Executive under this Agreement shall be net of any tax or other amounts required to be withheld by the Company under applicable law. The Company will report payments to Executive to taxing authorities to the extent it makes a good faith determination that such reporting is required. Nothing in the Agreement shall be construed to require the Company to structure any compensation or benefit program to be tax advantageous for the Executive. The Executive agrees to make all required tax payments in Denmark with respect to compensation received from the Company.</w:t>
      </w:r>
    </w:p>
    <w:p>
      <w:pPr>
        <w:spacing w:after="0" w:line="172" w:lineRule="exact"/>
        <w:rPr>
          <w:rFonts w:ascii="Arial" w:cs="Arial" w:eastAsia="Arial" w:hAnsi="Arial"/>
          <w:sz w:val="17"/>
          <w:szCs w:val="17"/>
          <w:color w:val="auto"/>
        </w:rPr>
      </w:pPr>
    </w:p>
    <w:p>
      <w:pPr>
        <w:ind w:left="-140" w:right="40" w:firstLine="444"/>
        <w:spacing w:after="0" w:line="302" w:lineRule="auto"/>
        <w:tabs>
          <w:tab w:leader="none" w:pos="571"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her under this Agreement, the Company shall continue such payments to the Executive’s beneficiary designated in writing to the Company prior to her death (or to her estate, if the Executive fails to make such designation).</w:t>
      </w:r>
    </w:p>
    <w:p>
      <w:pPr>
        <w:spacing w:after="0" w:line="154" w:lineRule="exact"/>
        <w:rPr>
          <w:rFonts w:ascii="Arial" w:cs="Arial" w:eastAsia="Arial" w:hAnsi="Arial"/>
          <w:sz w:val="16"/>
          <w:szCs w:val="16"/>
          <w:color w:val="auto"/>
        </w:rPr>
      </w:pPr>
    </w:p>
    <w:p>
      <w:pPr>
        <w:ind w:left="-140" w:right="140" w:firstLine="444"/>
        <w:spacing w:after="0" w:line="279" w:lineRule="auto"/>
        <w:tabs>
          <w:tab w:leader="none" w:pos="571"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140" w:right="640" w:firstLine="444"/>
        <w:spacing w:after="0" w:line="277"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left="-140" w:firstLine="444"/>
        <w:spacing w:after="0" w:line="264"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1" w:lineRule="exact"/>
        <w:rPr>
          <w:rFonts w:ascii="Arial" w:cs="Arial" w:eastAsia="Arial" w:hAnsi="Arial"/>
          <w:sz w:val="18"/>
          <w:szCs w:val="18"/>
          <w:color w:val="auto"/>
        </w:rPr>
      </w:pPr>
    </w:p>
    <w:p>
      <w:pPr>
        <w:ind w:left="-140" w:right="160" w:firstLine="444"/>
        <w:spacing w:after="0" w:line="259"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6" w:lineRule="exact"/>
        <w:rPr>
          <w:rFonts w:ascii="Arial" w:cs="Arial" w:eastAsia="Arial" w:hAnsi="Arial"/>
          <w:sz w:val="18"/>
          <w:szCs w:val="18"/>
          <w:color w:val="auto"/>
        </w:rPr>
      </w:pPr>
    </w:p>
    <w:p>
      <w:pPr>
        <w:ind w:left="-140" w:right="200" w:firstLine="444"/>
        <w:spacing w:after="0" w:line="277"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140" w:right="940" w:firstLine="444"/>
        <w:spacing w:after="0" w:line="277" w:lineRule="auto"/>
        <w:tabs>
          <w:tab w:leader="none" w:pos="57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580" w:top="274" w:right="559" w:bottom="1440" w:gutter="0" w:footer="0" w:header="0"/>
        </w:sectPr>
      </w:pPr>
    </w:p>
    <w:bookmarkStart w:id="200" w:name="page201"/>
    <w:bookmarkEnd w:id="200"/>
    <w:p>
      <w:pPr>
        <w:ind w:left="-40" w:right="160" w:firstLine="444"/>
        <w:spacing w:after="0" w:line="277" w:lineRule="auto"/>
        <w:tabs>
          <w:tab w:leader="none" w:pos="6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ind w:left="-40" w:firstLine="444"/>
        <w:spacing w:after="0" w:line="279" w:lineRule="auto"/>
        <w:tabs>
          <w:tab w:leader="none" w:pos="67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Successor to Company</w:t>
      </w:r>
      <w:r>
        <w:rPr>
          <w:rFonts w:ascii="Arial" w:cs="Arial" w:eastAsia="Arial" w:hAnsi="Arial"/>
          <w:sz w:val="17"/>
          <w:szCs w:val="17"/>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1" w:lineRule="exact"/>
        <w:rPr>
          <w:rFonts w:ascii="Arial" w:cs="Arial" w:eastAsia="Arial" w:hAnsi="Arial"/>
          <w:sz w:val="17"/>
          <w:szCs w:val="17"/>
          <w:color w:val="auto"/>
        </w:rPr>
      </w:pPr>
    </w:p>
    <w:p>
      <w:pPr>
        <w:ind w:left="-40" w:right="140" w:firstLine="444"/>
        <w:spacing w:after="0" w:line="264" w:lineRule="auto"/>
        <w:tabs>
          <w:tab w:leader="none" w:pos="6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Notwithstanding anything to the contrary herein, the effectiveness of this Agreement is conditioned on the Executive’s receipt of an O-1 visa allowing for work in the United States. This Agreement shall be void ab initio and of no further force or effect if the condition set forth in this Section is not satisfied.</w:t>
      </w:r>
    </w:p>
    <w:p>
      <w:pPr>
        <w:spacing w:after="0" w:line="181" w:lineRule="exact"/>
        <w:rPr>
          <w:rFonts w:ascii="Arial" w:cs="Arial" w:eastAsia="Arial" w:hAnsi="Arial"/>
          <w:sz w:val="18"/>
          <w:szCs w:val="18"/>
          <w:color w:val="auto"/>
        </w:rPr>
      </w:pPr>
    </w:p>
    <w:p>
      <w:pPr>
        <w:ind w:left="-40" w:right="60" w:firstLine="444"/>
        <w:spacing w:after="0" w:line="277" w:lineRule="auto"/>
        <w:tabs>
          <w:tab w:leader="none" w:pos="6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80" w:top="274" w:right="45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effective on the date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Geoff MacKay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Birgitte Volck</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Birgitte Volck,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-130810</wp:posOffset>
            </wp:positionV>
            <wp:extent cx="2787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202" w:name="page203"/>
    <w:bookmarkEnd w:id="20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Approved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w:t>
      </w:r>
    </w:p>
    <w:p>
      <w:pPr>
        <w:spacing w:after="0" w:line="131" w:lineRule="exact"/>
        <w:rPr>
          <w:sz w:val="20"/>
          <w:szCs w:val="20"/>
          <w:color w:val="auto"/>
        </w:rPr>
      </w:pPr>
    </w:p>
    <w:p>
      <w:pPr>
        <w:ind w:left="860" w:hanging="31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Ascendis Pharma A/S (Nasdaq ASND)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Trial Form Support TFS</w:t>
      </w:r>
    </w:p>
    <w:p>
      <w:pPr>
        <w:sectPr>
          <w:pgSz w:w="11900" w:h="16838" w:orient="portrait"/>
          <w:cols w:equalWidth="0" w:num="1">
            <w:col w:w="10019"/>
          </w:cols>
          <w:pgMar w:left="440" w:top="270"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Restrictive Covenants Agreement</w:t>
      </w:r>
    </w:p>
    <w:p>
      <w:pPr>
        <w:sectPr>
          <w:pgSz w:w="11900" w:h="16838" w:orient="portrait"/>
          <w:cols w:equalWidth="0" w:num="1">
            <w:col w:w="9019"/>
          </w:cols>
          <w:pgMar w:left="1440" w:top="270"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List of Subsidiaries</w:t>
            </w:r>
          </w:p>
        </w:tc>
        <w:tc>
          <w:tcPr>
            <w:tcW w:w="380" w:type="dxa"/>
            <w:vAlign w:val="bottom"/>
          </w:tcPr>
          <w:p>
            <w:pPr>
              <w:spacing w:after="0"/>
              <w:rPr>
                <w:sz w:val="17"/>
                <w:szCs w:val="17"/>
                <w:color w:val="auto"/>
              </w:rPr>
            </w:pPr>
          </w:p>
        </w:tc>
      </w:tr>
      <w:tr>
        <w:trPr>
          <w:trHeight w:val="412"/>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480" w:type="dxa"/>
            <w:vAlign w:val="bottom"/>
            <w:gridSpan w:val="4"/>
          </w:tcPr>
          <w:p>
            <w:pPr>
              <w:ind w:left="70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0"/>
              </w:rPr>
              <w:t>AVROBIO</w:t>
            </w:r>
          </w:p>
        </w:tc>
        <w:tc>
          <w:tcPr>
            <w:tcW w:w="2480" w:type="dxa"/>
            <w:vAlign w:val="bottom"/>
          </w:tcPr>
          <w:p>
            <w:pPr>
              <w:ind w:left="160"/>
              <w:spacing w:after="0" w:line="195" w:lineRule="exact"/>
              <w:rPr>
                <w:sz w:val="20"/>
                <w:szCs w:val="20"/>
                <w:color w:val="auto"/>
              </w:rPr>
            </w:pPr>
            <w:r>
              <w:rPr>
                <w:rFonts w:ascii="Arial" w:cs="Arial" w:eastAsia="Arial" w:hAnsi="Arial"/>
                <w:sz w:val="18"/>
                <w:szCs w:val="18"/>
                <w:color w:val="auto"/>
              </w:rPr>
              <w:t>Inc.</w:t>
            </w:r>
          </w:p>
        </w:tc>
        <w:tc>
          <w:tcPr>
            <w:tcW w:w="720" w:type="dxa"/>
            <w:vAlign w:val="bottom"/>
          </w:tcPr>
          <w:p>
            <w:pPr>
              <w:spacing w:after="0"/>
              <w:rPr>
                <w:sz w:val="16"/>
                <w:szCs w:val="16"/>
                <w:color w:val="auto"/>
              </w:rPr>
            </w:pPr>
          </w:p>
        </w:tc>
        <w:tc>
          <w:tcPr>
            <w:tcW w:w="27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Ontario, Canada</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AVROBIO Australia Pty Ltd</w:t>
            </w:r>
          </w:p>
        </w:tc>
        <w:tc>
          <w:tcPr>
            <w:tcW w:w="3480" w:type="dxa"/>
            <w:vAlign w:val="bottom"/>
            <w:gridSpan w:val="4"/>
          </w:tcPr>
          <w:p>
            <w:pPr>
              <w:ind w:left="700"/>
              <w:spacing w:after="0"/>
              <w:rPr>
                <w:sz w:val="20"/>
                <w:szCs w:val="20"/>
                <w:color w:val="auto"/>
              </w:rPr>
            </w:pPr>
            <w:r>
              <w:rPr>
                <w:rFonts w:ascii="Arial" w:cs="Arial" w:eastAsia="Arial" w:hAnsi="Arial"/>
                <w:sz w:val="18"/>
                <w:szCs w:val="18"/>
                <w:color w:val="auto"/>
              </w:rPr>
              <w:t>Australia</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AVROBIO Securities Corporation</w:t>
            </w:r>
          </w:p>
        </w:tc>
        <w:tc>
          <w:tcPr>
            <w:tcW w:w="3480" w:type="dxa"/>
            <w:vAlign w:val="bottom"/>
            <w:gridSpan w:val="4"/>
          </w:tcPr>
          <w:p>
            <w:pPr>
              <w:ind w:left="700"/>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020"/>
          </w:cols>
          <w:pgMar w:left="440" w:top="121" w:right="4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333-225788) pertaining to the AVROBIO, Inc. Amended and Restated 2015 Stock Option and Grant Plan, the AVROBIO, Inc. 2018 Stock Option and Incentive Plan, and the AVROBIO, Inc. 2018 Employee Stock Purchase Plan of our report dated March 25, 2019, with respect to the consolidated financial statements of AVROBIO, Inc. included in this Annual Report (Form 10-K)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2019</w:t>
      </w:r>
    </w:p>
    <w:p>
      <w:pPr>
        <w:sectPr>
          <w:pgSz w:w="11900" w:h="16838" w:orient="portrait"/>
          <w:cols w:equalWidth="0" w:num="1">
            <w:col w:w="11020"/>
          </w:cols>
          <w:pgMar w:left="440" w:top="121" w:right="4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180" w:hanging="176"/>
        <w:spacing w:after="0"/>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AVROBIO, Inc.;</w:t>
      </w:r>
    </w:p>
    <w:p>
      <w:pPr>
        <w:spacing w:after="0" w:line="225" w:lineRule="exact"/>
        <w:rPr>
          <w:rFonts w:ascii="Arial" w:cs="Arial" w:eastAsia="Arial" w:hAnsi="Arial"/>
          <w:sz w:val="18"/>
          <w:szCs w:val="18"/>
          <w:color w:val="auto"/>
        </w:rPr>
      </w:pPr>
    </w:p>
    <w:p>
      <w:pPr>
        <w:ind w:right="40" w:firstLine="4"/>
        <w:spacing w:after="0" w:line="342" w:lineRule="auto"/>
        <w:tabs>
          <w:tab w:leader="none" w:pos="1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4"/>
        <w:spacing w:after="0" w:line="277" w:lineRule="auto"/>
        <w:tabs>
          <w:tab w:leader="none" w:pos="1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40" w:right="120" w:firstLine="4"/>
        <w:spacing w:after="0" w:line="264" w:lineRule="auto"/>
        <w:tabs>
          <w:tab w:leader="none" w:pos="68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440" w:right="620" w:firstLine="4"/>
        <w:spacing w:after="0" w:line="342" w:lineRule="auto"/>
        <w:tabs>
          <w:tab w:leader="none" w:pos="68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40" w:right="20" w:firstLine="4"/>
        <w:spacing w:after="0" w:line="277" w:lineRule="auto"/>
        <w:tabs>
          <w:tab w:leader="none" w:pos="68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 w:leader="none" w:pos="7880" w:val="left"/>
        </w:tabs>
        <w:rPr>
          <w:sz w:val="20"/>
          <w:szCs w:val="20"/>
          <w:color w:val="auto"/>
        </w:rPr>
      </w:pPr>
      <w:r>
        <w:rPr>
          <w:rFonts w:ascii="Arial" w:cs="Arial" w:eastAsia="Arial" w:hAnsi="Arial"/>
          <w:sz w:val="18"/>
          <w:szCs w:val="18"/>
          <w:color w:val="auto"/>
        </w:rPr>
        <w:t>Date: March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020"/>
          </w:cols>
          <w:pgMar w:left="440" w:top="121" w:right="4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I have reviewed this Annual Report on Form 10-K of AVROBIO, Inc.;</w:t>
      </w:r>
    </w:p>
    <w:p>
      <w:pPr>
        <w:spacing w:after="0" w:line="225" w:lineRule="exact"/>
        <w:rPr>
          <w:sz w:val="20"/>
          <w:szCs w:val="20"/>
          <w:color w:val="auto"/>
        </w:rPr>
      </w:pPr>
    </w:p>
    <w:p>
      <w:pPr>
        <w:ind w:right="40" w:firstLine="4"/>
        <w:spacing w:after="0" w:line="342" w:lineRule="auto"/>
        <w:tabs>
          <w:tab w:leader="none" w:pos="1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
        <w:spacing w:after="0" w:line="308" w:lineRule="auto"/>
        <w:tabs>
          <w:tab w:leader="none" w:pos="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4"/>
        <w:spacing w:after="0" w:line="277" w:lineRule="auto"/>
        <w:tabs>
          <w:tab w:leader="none" w:pos="1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40" w:right="120" w:firstLine="4"/>
        <w:spacing w:after="0" w:line="264" w:lineRule="auto"/>
        <w:tabs>
          <w:tab w:leader="none" w:pos="68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hanging="256"/>
        <w:spacing w:after="0"/>
        <w:tabs>
          <w:tab w:leader="none" w:pos="7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440" w:right="620" w:firstLine="4"/>
        <w:spacing w:after="0" w:line="342" w:lineRule="auto"/>
        <w:tabs>
          <w:tab w:leader="none" w:pos="68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40" w:right="80" w:firstLine="4"/>
        <w:spacing w:after="0" w:line="264" w:lineRule="auto"/>
        <w:tabs>
          <w:tab w:leader="none" w:pos="69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0" w:firstLine="4"/>
        <w:spacing w:after="0" w:line="308" w:lineRule="auto"/>
        <w:tabs>
          <w:tab w:leader="none" w:pos="1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40" w:right="20" w:firstLine="4"/>
        <w:spacing w:after="0" w:line="277" w:lineRule="auto"/>
        <w:tabs>
          <w:tab w:leader="none" w:pos="68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40" w:right="520" w:firstLine="4"/>
        <w:spacing w:after="0" w:line="277" w:lineRule="auto"/>
        <w:tabs>
          <w:tab w:leader="none" w:pos="69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March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020"/>
          </w:cols>
          <w:pgMar w:left="440" w:top="122" w:right="4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AVROBIO, Inc. (the “Company”) on Form 10-K for the year ended December 31, 2018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57" w:lineRule="exact"/>
        <w:rPr>
          <w:sz w:val="20"/>
          <w:szCs w:val="20"/>
          <w:color w:val="auto"/>
        </w:rPr>
      </w:pPr>
    </w:p>
    <w:p>
      <w:pPr>
        <w:ind w:left="260" w:hanging="256"/>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6"/>
        <w:spacing w:after="0"/>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64"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March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pacing w:after="0" w:line="251" w:lineRule="exact"/>
        <w:rPr>
          <w:sz w:val="20"/>
          <w:szCs w:val="20"/>
          <w:color w:val="auto"/>
        </w:rPr>
      </w:pPr>
    </w:p>
    <w:p>
      <w:pPr>
        <w:spacing w:after="0"/>
        <w:tabs>
          <w:tab w:leader="none" w:pos="5660" w:val="left"/>
          <w:tab w:leader="none" w:pos="7880" w:val="left"/>
        </w:tabs>
        <w:rPr>
          <w:sz w:val="20"/>
          <w:szCs w:val="20"/>
          <w:color w:val="auto"/>
        </w:rPr>
      </w:pPr>
      <w:r>
        <w:rPr>
          <w:rFonts w:ascii="Arial" w:cs="Arial" w:eastAsia="Arial" w:hAnsi="Arial"/>
          <w:sz w:val="18"/>
          <w:szCs w:val="18"/>
          <w:color w:val="auto"/>
        </w:rPr>
        <w:t>Date: March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
      <w:numFmt w:val="bullet"/>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
      <w:numFmt w:val="bullet"/>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4"/>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
      <w:numFmt w:val="bullet"/>
      <w:start w:val="1"/>
    </w:lvl>
  </w:abstractNum>
  <w:abstractNum w:abstractNumId="20">
    <w:nsid w:val="4962813B"/>
    <w:multiLevelType w:val="hybridMultilevel"/>
    <w:lvl w:ilvl="0">
      <w:lvlJc w:val="left"/>
      <w:lvlText w:val="•"/>
      <w:numFmt w:val="bullet"/>
      <w:start w:val="1"/>
    </w:lvl>
  </w:abstractNum>
  <w:abstractNum w:abstractNumId="21">
    <w:nsid w:val="60B6DF70"/>
    <w:multiLevelType w:val="hybridMultilevel"/>
    <w:lvl w:ilvl="0">
      <w:lvlJc w:val="left"/>
      <w:lvlText w:val="•"/>
      <w:numFmt w:val="bullet"/>
      <w:start w:val="1"/>
    </w:lvl>
  </w:abstractNum>
  <w:abstractNum w:abstractNumId="22">
    <w:nsid w:val="6A5EE64"/>
    <w:multiLevelType w:val="hybridMultilevel"/>
    <w:lvl w:ilvl="0">
      <w:lvlJc w:val="left"/>
      <w:lvlText w:val="•"/>
      <w:numFmt w:val="bullet"/>
      <w:start w:val="1"/>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
      <w:numFmt w:val="bullet"/>
      <w:start w:val="1"/>
    </w:lvl>
  </w:abstractNum>
  <w:abstractNum w:abstractNumId="28">
    <w:nsid w:val="7FB7E0AA"/>
    <w:multiLevelType w:val="hybridMultilevel"/>
    <w:lvl w:ilvl="0">
      <w:lvlJc w:val="left"/>
      <w:lvlText w:val="•"/>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1)"/>
      <w:numFmt w:val="decimal"/>
      <w:start w:val="2"/>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
      <w:numFmt w:val="bullet"/>
      <w:start w:val="1"/>
    </w:lvl>
  </w:abstractNum>
  <w:abstractNum w:abstractNumId="49">
    <w:nsid w:val="7F01579B"/>
    <w:multiLevelType w:val="hybridMultilevel"/>
    <w:lvl w:ilvl="0">
      <w:lvlJc w:val="left"/>
      <w:lvlText w:val="•"/>
      <w:numFmt w:val="bullet"/>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1)"/>
      <w:numFmt w:val="decimal"/>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lowerLetter"/>
      <w:start w:val="1"/>
    </w:lvl>
    <w:lvl w:ilvl="1">
      <w:lvlJc w:val="left"/>
      <w:lvlText w:val="%2."/>
      <w:numFmt w:val="decimal"/>
      <w:start w:val="1"/>
    </w:lvl>
  </w:abstractNum>
  <w:abstractNum w:abstractNumId="65">
    <w:nsid w:val="3FA62ACA"/>
    <w:multiLevelType w:val="hybridMultilevel"/>
    <w:lvl w:ilvl="0">
      <w:lvlJc w:val="left"/>
      <w:lvlText w:val="%1."/>
      <w:numFmt w:val="decimal"/>
      <w:start w:val="2"/>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1."/>
      <w:numFmt w:val="decimal"/>
      <w:start w:val="2"/>
    </w:lvl>
  </w:abstractNum>
  <w:abstractNum w:abstractNumId="68">
    <w:nsid w:val="71C91298"/>
    <w:multiLevelType w:val="hybridMultilevel"/>
    <w:lvl w:ilvl="0">
      <w:lvlJc w:val="left"/>
      <w:lvlText w:val="%1."/>
      <w:numFmt w:val="decimal"/>
      <w:start w:val="2"/>
    </w:lvl>
  </w:abstractNum>
  <w:abstractNum w:abstractNumId="69">
    <w:nsid w:val="9DAF632"/>
    <w:multiLevelType w:val="hybridMultilevel"/>
    <w:lvl w:ilvl="0">
      <w:lvlJc w:val="left"/>
      <w:lvlText w:val="%1."/>
      <w:numFmt w:val="decimal"/>
      <w:start w:val="2"/>
    </w:lvl>
  </w:abstractNum>
  <w:abstractNum w:abstractNumId="70">
    <w:nsid w:val="53299938"/>
    <w:multiLevelType w:val="hybridMultilevel"/>
    <w:lvl w:ilvl="0">
      <w:lvlJc w:val="left"/>
      <w:lvlText w:val="%1."/>
      <w:numFmt w:val="decimal"/>
      <w:start w:val="2"/>
    </w:lvl>
  </w:abstractNum>
  <w:abstractNum w:abstractNumId="71">
    <w:nsid w:val="1FBFE8E0"/>
    <w:multiLevelType w:val="hybridMultilevel"/>
    <w:lvl w:ilvl="0">
      <w:lvlJc w:val="left"/>
      <w:lvlText w:val="%1."/>
      <w:numFmt w:val="decimal"/>
      <w:start w:val="2"/>
    </w:lvl>
  </w:abstractNum>
  <w:abstractNum w:abstractNumId="72">
    <w:nsid w:val="5092CA79"/>
    <w:multiLevelType w:val="hybridMultilevel"/>
    <w:lvl w:ilvl="0">
      <w:lvlJc w:val="left"/>
      <w:lvlText w:val="%1."/>
      <w:numFmt w:val="decimal"/>
      <w:start w:val="2"/>
    </w:lvl>
  </w:abstractNum>
  <w:abstractNum w:abstractNumId="73">
    <w:nsid w:val="1D545C4D"/>
    <w:multiLevelType w:val="hybridMultilevel"/>
    <w:lvl w:ilvl="0">
      <w:lvlJc w:val="left"/>
      <w:lvlText w:val="%1."/>
      <w:numFmt w:val="decimal"/>
      <w:start w:val="3"/>
    </w:lvl>
  </w:abstractNum>
  <w:abstractNum w:abstractNumId="74">
    <w:nsid w:val="59ADEA3D"/>
    <w:multiLevelType w:val="hybridMultilevel"/>
    <w:lvl w:ilvl="0">
      <w:lvlJc w:val="left"/>
      <w:lvlText w:val="%1."/>
      <w:numFmt w:val="decimal"/>
      <w:start w:val="10"/>
    </w:lvl>
  </w:abstractNum>
  <w:abstractNum w:abstractNumId="75">
    <w:nsid w:val="288F1A34"/>
    <w:multiLevelType w:val="hybridMultilevel"/>
    <w:lvl w:ilvl="0">
      <w:lvlJc w:val="left"/>
      <w:lvlText w:val="%1."/>
      <w:numFmt w:val="decimal"/>
      <w:start w:val="11"/>
    </w:lvl>
  </w:abstractNum>
  <w:abstractNum w:abstractNumId="76">
    <w:nsid w:val="2A155DBC"/>
    <w:multiLevelType w:val="hybridMultilevel"/>
    <w:lvl w:ilvl="0">
      <w:lvlJc w:val="left"/>
      <w:lvlText w:val="%1."/>
      <w:numFmt w:val="decimal"/>
      <w:start w:val="11"/>
    </w:lvl>
  </w:abstractNum>
  <w:abstractNum w:abstractNumId="77">
    <w:nsid w:val="1D9F6E5F"/>
    <w:multiLevelType w:val="hybridMultilevel"/>
    <w:lvl w:ilvl="0">
      <w:lvlJc w:val="left"/>
      <w:lvlText w:val="(%1)"/>
      <w:numFmt w:val="lowerRoman"/>
      <w:start w:val="3"/>
    </w:lvl>
  </w:abstractNum>
  <w:abstractNum w:abstractNumId="78">
    <w:nsid w:val="97E1B4E"/>
    <w:multiLevelType w:val="hybridMultilevel"/>
    <w:lvl w:ilvl="0">
      <w:lvlJc w:val="left"/>
      <w:lvlText w:val="%1."/>
      <w:numFmt w:val="decimal"/>
      <w:start w:val="14"/>
    </w:lvl>
  </w:abstractNum>
  <w:abstractNum w:abstractNumId="79">
    <w:nsid w:val="51088277"/>
    <w:multiLevelType w:val="hybridMultilevel"/>
    <w:lvl w:ilvl="0">
      <w:lvlJc w:val="left"/>
      <w:lvlText w:val="%1."/>
      <w:numFmt w:val="decimal"/>
      <w:start w:val="14"/>
    </w:lvl>
  </w:abstractNum>
  <w:abstractNum w:abstractNumId="80">
    <w:nsid w:val="1CA0C5FA"/>
    <w:multiLevelType w:val="hybridMultilevel"/>
    <w:lvl w:ilvl="0">
      <w:lvlJc w:val="left"/>
      <w:lvlText w:val="%1."/>
      <w:numFmt w:val="decimal"/>
      <w:start w:val="15"/>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1."/>
      <w:numFmt w:val="decimal"/>
      <w:start w:val="1"/>
    </w:lvl>
    <w:lvl w:ilvl="1">
      <w:lvlJc w:val="left"/>
      <w:lvlText w:val="(%2)"/>
      <w:numFmt w:val="lowerLetter"/>
      <w:start w:val="1"/>
    </w:lvl>
  </w:abstractNum>
  <w:abstractNum w:abstractNumId="84">
    <w:nsid w:val="23D86AAC"/>
    <w:multiLevelType w:val="hybridMultilevel"/>
    <w:lvl w:ilvl="0">
      <w:lvlJc w:val="left"/>
      <w:lvlText w:val="%1."/>
      <w:numFmt w:val="decimal"/>
      <w:start w:val="2"/>
    </w:lvl>
    <w:lvl w:ilvl="1">
      <w:lvlJc w:val="left"/>
      <w:lvlText w:val="(%2)"/>
      <w:numFmt w:val="lowerLetter"/>
      <w:start w:val="1"/>
    </w:lvl>
  </w:abstractNum>
  <w:abstractNum w:abstractNumId="85">
    <w:nsid w:val="45E6D486"/>
    <w:multiLevelType w:val="hybridMultilevel"/>
    <w:lvl w:ilvl="0">
      <w:lvlJc w:val="left"/>
      <w:lvlText w:val="%1."/>
      <w:numFmt w:val="decimal"/>
      <w:start w:val="3"/>
    </w:lvl>
    <w:lvl w:ilvl="1">
      <w:lvlJc w:val="left"/>
      <w:lvlText w:val="(%2)"/>
      <w:numFmt w:val="lowerLetter"/>
      <w:start w:val="1"/>
    </w:lvl>
  </w:abstractNum>
  <w:abstractNum w:abstractNumId="86">
    <w:nsid w:val="5C10FE21"/>
    <w:multiLevelType w:val="hybridMultilevel"/>
    <w:lvl w:ilvl="0">
      <w:lvlJc w:val="left"/>
      <w:lvlText w:val="(%1)"/>
      <w:numFmt w:val="lowerLetter"/>
      <w:start w:val="4"/>
    </w:lvl>
  </w:abstractNum>
  <w:abstractNum w:abstractNumId="87">
    <w:nsid w:val="E7FFA2B"/>
    <w:multiLevelType w:val="hybridMultilevel"/>
    <w:lvl w:ilvl="0">
      <w:lvlJc w:val="left"/>
      <w:lvlText w:val="%1."/>
      <w:numFmt w:val="decimal"/>
      <w:start w:val="4"/>
    </w:lvl>
    <w:lvl w:ilvl="1">
      <w:lvlJc w:val="left"/>
      <w:lvlText w:val="(%2)"/>
      <w:numFmt w:val="lowerRoman"/>
    </w:lvl>
    <w:lvl w:ilvl="2">
      <w:lvlJc w:val="left"/>
      <w:lvlText w:val="(%3)"/>
      <w:numFmt w:val="lowerLetter"/>
      <w:start w:val="1"/>
    </w:lvl>
  </w:abstractNum>
  <w:abstractNum w:abstractNumId="88">
    <w:nsid w:val="3C5991AA"/>
    <w:multiLevelType w:val="hybridMultilevel"/>
    <w:lvl w:ilvl="0">
      <w:lvlJc w:val="left"/>
      <w:lvlText w:val="%1"/>
      <w:numFmt w:val="decimal"/>
      <w:start w:val="1"/>
    </w:lvl>
    <w:lvl w:ilvl="1">
      <w:lvlJc w:val="left"/>
      <w:lvlText w:val="(%2)"/>
      <w:numFmt w:val="lowerRoman"/>
      <w:start w:val="4"/>
    </w:lvl>
  </w:abstractNum>
  <w:abstractNum w:abstractNumId="89">
    <w:nsid w:val="4BD8591A"/>
    <w:multiLevelType w:val="hybridMultilevel"/>
    <w:lvl w:ilvl="0">
      <w:lvlJc w:val="left"/>
      <w:lvlText w:val="%1."/>
      <w:numFmt w:val="decimal"/>
      <w:start w:val="5"/>
    </w:lvl>
    <w:lvl w:ilvl="1">
      <w:lvlJc w:val="left"/>
      <w:lvlText w:val="%2"/>
      <w:numFmt w:val="lowerRoman"/>
      <w:start w:val="1"/>
    </w:lvl>
  </w:abstractNum>
  <w:abstractNum w:abstractNumId="90">
    <w:nsid w:val="78DF6A55"/>
    <w:multiLevelType w:val="hybridMultilevel"/>
    <w:lvl w:ilvl="0">
      <w:lvlJc w:val="left"/>
      <w:lvlText w:val="%1"/>
      <w:numFmt w:val="lowerRoman"/>
      <w:start w:val="1"/>
    </w:lvl>
    <w:lvl w:ilvl="1">
      <w:lvlJc w:val="left"/>
      <w:lvlText w:val="(%2)"/>
      <w:numFmt w:val="lowerLetter"/>
      <w:start w:val="1"/>
    </w:lvl>
  </w:abstractNum>
  <w:abstractNum w:abstractNumId="91">
    <w:nsid w:val="39B7AAA2"/>
    <w:multiLevelType w:val="hybridMultilevel"/>
    <w:lvl w:ilvl="0">
      <w:lvlJc w:val="left"/>
      <w:lvlText w:val="(%1)"/>
      <w:numFmt w:val="lowerRoman"/>
      <w:start w:val="1"/>
    </w:lvl>
    <w:lvl w:ilvl="1">
      <w:lvlJc w:val="left"/>
      <w:lvlText w:val="%2"/>
      <w:numFmt w:val="lowerLetter"/>
      <w:start w:val="1"/>
    </w:lvl>
  </w:abstractNum>
  <w:abstractNum w:abstractNumId="92">
    <w:nsid w:val="2B0D8DBE"/>
    <w:multiLevelType w:val="hybridMultilevel"/>
    <w:lvl w:ilvl="0">
      <w:lvlJc w:val="left"/>
      <w:lvlText w:val="(%1)"/>
      <w:numFmt w:val="lowerRoman"/>
      <w:start w:val="3"/>
    </w:lvl>
  </w:abstractNum>
  <w:abstractNum w:abstractNumId="93">
    <w:nsid w:val="6C80EC70"/>
    <w:multiLevelType w:val="hybridMultilevel"/>
    <w:lvl w:ilvl="0">
      <w:lvlJc w:val="left"/>
      <w:lvlText w:val="%1"/>
      <w:numFmt w:val="lowerRoman"/>
      <w:start w:val="1"/>
    </w:lvl>
    <w:lvl w:ilvl="1">
      <w:lvlJc w:val="left"/>
      <w:lvlText w:val="(%2)"/>
      <w:numFmt w:val="lowerLetter"/>
      <w:start w:val="2"/>
    </w:lvl>
  </w:abstractNum>
  <w:abstractNum w:abstractNumId="94">
    <w:nsid w:val="379E21B5"/>
    <w:multiLevelType w:val="hybridMultilevel"/>
    <w:lvl w:ilvl="0">
      <w:lvlJc w:val="left"/>
      <w:lvlText w:val="(%1)"/>
      <w:numFmt w:val="lowerRoman"/>
      <w:start w:val="1"/>
    </w:lvl>
    <w:lvl w:ilvl="1">
      <w:lvlJc w:val="left"/>
      <w:lvlText w:val="%2"/>
      <w:numFmt w:val="lowerLetter"/>
      <w:start w:val="1"/>
    </w:lvl>
  </w:abstractNum>
  <w:abstractNum w:abstractNumId="95">
    <w:nsid w:val="69E373"/>
    <w:multiLevelType w:val="hybridMultilevel"/>
    <w:lvl w:ilvl="0">
      <w:lvlJc w:val="left"/>
      <w:lvlText w:val="(%1)"/>
      <w:numFmt w:val="lowerRoman"/>
      <w:start w:val="3"/>
    </w:lvl>
  </w:abstractNum>
  <w:abstractNum w:abstractNumId="96">
    <w:nsid w:val="2C27173B"/>
    <w:multiLevelType w:val="hybridMultilevel"/>
    <w:lvl w:ilvl="0">
      <w:lvlJc w:val="left"/>
      <w:lvlText w:val="(%1)"/>
      <w:numFmt w:val="lowerRoman"/>
      <w:start w:val="1"/>
    </w:lvl>
  </w:abstractNum>
  <w:abstractNum w:abstractNumId="97">
    <w:nsid w:val="4C9B0904"/>
    <w:multiLevelType w:val="hybridMultilevel"/>
    <w:lvl w:ilvl="0">
      <w:lvlJc w:val="left"/>
      <w:lvlText w:val="%1."/>
      <w:numFmt w:val="decimal"/>
      <w:start w:val="6"/>
    </w:lvl>
    <w:lvl w:ilvl="1">
      <w:lvlJc w:val="left"/>
      <w:lvlText w:val="(%2)"/>
      <w:numFmt w:val="lowerLetter"/>
      <w:start w:val="1"/>
    </w:lvl>
  </w:abstractNum>
  <w:abstractNum w:abstractNumId="98">
    <w:nsid w:val="6AA7B75C"/>
    <w:multiLevelType w:val="hybridMultilevel"/>
    <w:lvl w:ilvl="0">
      <w:lvlJc w:val="left"/>
      <w:lvlText w:val="(%1)"/>
      <w:numFmt w:val="lowerLetter"/>
      <w:start w:val="4"/>
    </w:lvl>
  </w:abstractNum>
  <w:abstractNum w:abstractNumId="99">
    <w:nsid w:val="1DF029D3"/>
    <w:multiLevelType w:val="hybridMultilevel"/>
    <w:lvl w:ilvl="0">
      <w:lvlJc w:val="left"/>
      <w:lvlText w:val="%1"/>
      <w:numFmt w:val="decimal"/>
      <w:start w:val="1"/>
    </w:lvl>
    <w:lvl w:ilvl="1">
      <w:lvlJc w:val="left"/>
      <w:lvlText w:val="(%2)"/>
      <w:numFmt w:val="lowerLetter"/>
      <w:start w:val="5"/>
    </w:lvl>
  </w:abstractNum>
  <w:abstractNum w:abstractNumId="100">
    <w:nsid w:val="5675FF36"/>
    <w:multiLevelType w:val="hybridMultilevel"/>
    <w:lvl w:ilvl="0">
      <w:lvlJc w:val="left"/>
      <w:lvlText w:val="%1."/>
      <w:numFmt w:val="decimal"/>
      <w:start w:val="7"/>
    </w:lvl>
    <w:lvl w:ilvl="1">
      <w:lvlJc w:val="left"/>
      <w:lvlText w:val="(%2)"/>
      <w:numFmt w:val="lowerLetter"/>
      <w:start w:val="1"/>
    </w:lvl>
  </w:abstractNum>
  <w:abstractNum w:abstractNumId="101">
    <w:nsid w:val="3DD15094"/>
    <w:multiLevelType w:val="hybridMultilevel"/>
    <w:lvl w:ilvl="0">
      <w:lvlJc w:val="left"/>
      <w:lvlText w:val="%1"/>
      <w:numFmt w:val="decimal"/>
      <w:start w:val="1"/>
    </w:lvl>
    <w:lvl w:ilvl="1">
      <w:lvlJc w:val="left"/>
      <w:lvlText w:val="(%2)"/>
      <w:numFmt w:val="lowerLetter"/>
      <w:start w:val="4"/>
    </w:lvl>
  </w:abstractNum>
  <w:abstractNum w:abstractNumId="102">
    <w:nsid w:val="3DB012B3"/>
    <w:multiLevelType w:val="hybridMultilevel"/>
    <w:lvl w:ilvl="0">
      <w:lvlJc w:val="left"/>
      <w:lvlText w:val="%1."/>
      <w:numFmt w:val="decimal"/>
      <w:start w:val="8"/>
    </w:lvl>
    <w:lvl w:ilvl="1">
      <w:lvlJc w:val="left"/>
      <w:lvlText w:val="%2"/>
      <w:numFmt w:val="lowerLetter"/>
      <w:start w:val="1"/>
    </w:lvl>
  </w:abstractNum>
  <w:abstractNum w:abstractNumId="103">
    <w:nsid w:val="2708C9AF"/>
    <w:multiLevelType w:val="hybridMultilevel"/>
    <w:lvl w:ilvl="0">
      <w:lvlJc w:val="left"/>
      <w:lvlText w:val="%1."/>
      <w:numFmt w:val="decimal"/>
      <w:start w:val="10"/>
    </w:lvl>
  </w:abstractNum>
  <w:abstractNum w:abstractNumId="104">
    <w:nsid w:val="5B25ACE2"/>
    <w:multiLevelType w:val="hybridMultilevel"/>
    <w:lvl w:ilvl="0">
      <w:lvlJc w:val="left"/>
      <w:lvlText w:val="%1."/>
      <w:numFmt w:val="decimal"/>
      <w:start w:val="19"/>
    </w:lvl>
  </w:abstractNum>
  <w:abstractNum w:abstractNumId="105">
    <w:nsid w:val="175DFCF0"/>
    <w:multiLevelType w:val="hybridMultilevel"/>
    <w:lvl w:ilvl="0">
      <w:lvlJc w:val="left"/>
      <w:lvlText w:val="%1."/>
      <w:numFmt w:val="decimal"/>
      <w:start w:val="4"/>
    </w:lvl>
  </w:abstractNum>
  <w:abstractNum w:abstractNumId="106">
    <w:nsid w:val="4F97E3E4"/>
    <w:multiLevelType w:val="hybridMultilevel"/>
    <w:lvl w:ilvl="0">
      <w:lvlJc w:val="left"/>
      <w:lvlText w:val="%1."/>
      <w:numFmt w:val="decimal"/>
      <w:start w:val="5"/>
    </w:lvl>
    <w:lvl w:ilvl="1">
      <w:lvlJc w:val="left"/>
      <w:lvlText w:val="(%2)"/>
      <w:numFmt w:val="lowerLetter"/>
      <w:start w:val="1"/>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decimal"/>
      <w:start w:val="8"/>
    </w:lvl>
  </w:abstractNum>
  <w:abstractNum w:abstractNumId="109">
    <w:nsid w:val="5915FF32"/>
    <w:multiLevelType w:val="hybridMultilevel"/>
    <w:lvl w:ilvl="0">
      <w:lvlJc w:val="left"/>
      <w:lvlText w:val="%1."/>
      <w:numFmt w:val="decimal"/>
      <w:start w:val="10"/>
    </w:lvl>
    <w:lvl w:ilvl="1">
      <w:lvlJc w:val="left"/>
      <w:lvlText w:val="(%2)"/>
      <w:numFmt w:val="lowerRoman"/>
      <w:start w:val="1"/>
    </w:lvl>
  </w:abstractNum>
  <w:abstractNum w:abstractNumId="110">
    <w:nsid w:val="56438D15"/>
    <w:multiLevelType w:val="hybridMultilevel"/>
    <w:lvl w:ilvl="0">
      <w:lvlJc w:val="left"/>
      <w:lvlText w:val="%1"/>
      <w:numFmt w:val="decimal"/>
      <w:start w:val="1"/>
    </w:lvl>
    <w:lvl w:ilvl="1">
      <w:lvlJc w:val="left"/>
      <w:lvlText w:val="(%2)"/>
      <w:numFmt w:val="lowerLetter"/>
      <w:start w:val="3"/>
    </w:lvl>
  </w:abstractNum>
  <w:abstractNum w:abstractNumId="111">
    <w:nsid w:val="519E3149"/>
    <w:multiLevelType w:val="hybridMultilevel"/>
    <w:lvl w:ilvl="0">
      <w:lvlJc w:val="left"/>
      <w:lvlText w:val="%1."/>
      <w:numFmt w:val="decimal"/>
      <w:start w:val="11"/>
    </w:lvl>
    <w:lvl w:ilvl="1">
      <w:lvlJc w:val="left"/>
      <w:lvlText w:val="(%2)"/>
      <w:numFmt w:val="lowerLetter"/>
      <w:start w:val="1"/>
    </w:lvl>
  </w:abstractNum>
  <w:abstractNum w:abstractNumId="112">
    <w:nsid w:val="2C6E4AFD"/>
    <w:multiLevelType w:val="hybridMultilevel"/>
    <w:lvl w:ilvl="0">
      <w:lvlJc w:val="left"/>
      <w:lvlText w:val="(%1)"/>
      <w:numFmt w:val="lowerLetter"/>
      <w:start w:val="3"/>
    </w:lvl>
  </w:abstractNum>
  <w:abstractNum w:abstractNumId="113">
    <w:nsid w:val="17A1B582"/>
    <w:multiLevelType w:val="hybridMultilevel"/>
    <w:lvl w:ilvl="0">
      <w:lvlJc w:val="left"/>
      <w:lvlText w:val="(%1)"/>
      <w:numFmt w:val="lowerLetter"/>
      <w:start w:val="10"/>
    </w:lvl>
  </w:abstractNum>
  <w:abstractNum w:abstractNumId="114">
    <w:nsid w:val="4DF72E4E"/>
    <w:multiLevelType w:val="hybridMultilevel"/>
    <w:lvl w:ilvl="0">
      <w:lvlJc w:val="left"/>
      <w:lvlText w:val="%1."/>
      <w:numFmt w:val="decimal"/>
      <w:start w:val="1"/>
    </w:lvl>
  </w:abstractNum>
  <w:abstractNum w:abstractNumId="115">
    <w:nsid w:val="5046B5A9"/>
    <w:multiLevelType w:val="hybridMultilevel"/>
    <w:lvl w:ilvl="0">
      <w:lvlJc w:val="left"/>
      <w:lvlText w:val="%1."/>
      <w:numFmt w:val="decimal"/>
      <w:start w:val="1"/>
    </w:lvl>
    <w:lvl w:ilvl="1">
      <w:lvlJc w:val="left"/>
      <w:lvlText w:val="(%2)"/>
      <w:numFmt w:val="lowerLetter"/>
      <w:start w:val="1"/>
    </w:lvl>
  </w:abstractNum>
  <w:abstractNum w:abstractNumId="116">
    <w:nsid w:val="5D888A08"/>
    <w:multiLevelType w:val="hybridMultilevel"/>
    <w:lvl w:ilvl="0">
      <w:lvlJc w:val="left"/>
      <w:lvlText w:val="%1."/>
      <w:numFmt w:val="decimal"/>
      <w:start w:val="2"/>
    </w:lvl>
    <w:lvl w:ilvl="1">
      <w:lvlJc w:val="left"/>
      <w:lvlText w:val="(%2)"/>
      <w:numFmt w:val="lowerLetter"/>
      <w:start w:val="1"/>
    </w:lvl>
  </w:abstractNum>
  <w:abstractNum w:abstractNumId="117">
    <w:nsid w:val="2A082C70"/>
    <w:multiLevelType w:val="hybridMultilevel"/>
    <w:lvl w:ilvl="0">
      <w:lvlJc w:val="left"/>
      <w:lvlText w:val="%1"/>
      <w:numFmt w:val="decimal"/>
      <w:start w:val="1"/>
    </w:lvl>
    <w:lvl w:ilvl="1">
      <w:lvlJc w:val="left"/>
      <w:lvlText w:val="(%2)"/>
      <w:numFmt w:val="lowerLetter"/>
      <w:start w:val="7"/>
    </w:lvl>
  </w:abstractNum>
  <w:abstractNum w:abstractNumId="118">
    <w:nsid w:val="5EC6AFD4"/>
    <w:multiLevelType w:val="hybridMultilevel"/>
    <w:lvl w:ilvl="0">
      <w:lvlJc w:val="left"/>
      <w:lvlText w:val="%1."/>
      <w:numFmt w:val="decimal"/>
      <w:start w:val="3"/>
    </w:lvl>
    <w:lvl w:ilvl="1">
      <w:lvlJc w:val="left"/>
      <w:lvlText w:val="(%2)"/>
      <w:numFmt w:val="lowerLetter"/>
      <w:start w:val="1"/>
    </w:lvl>
  </w:abstractNum>
  <w:abstractNum w:abstractNumId="119">
    <w:nsid w:val="19E21BB2"/>
    <w:multiLevelType w:val="hybridMultilevel"/>
    <w:lvl w:ilvl="0">
      <w:lvlJc w:val="left"/>
      <w:lvlText w:val="(%1)"/>
      <w:numFmt w:val="lowerLetter"/>
      <w:start w:val="3"/>
    </w:lvl>
  </w:abstractNum>
  <w:abstractNum w:abstractNumId="120">
    <w:nsid w:val="75E0858A"/>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6"/>
    </w:lvl>
  </w:abstractNum>
  <w:abstractNum w:abstractNumId="121">
    <w:nsid w:val="57A61A2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22">
    <w:nsid w:val="5399C654"/>
    <w:multiLevelType w:val="hybridMultilevel"/>
    <w:lvl w:ilvl="0">
      <w:lvlJc w:val="left"/>
      <w:lvlText w:val="%1"/>
      <w:numFmt w:val="lowerRoman"/>
      <w:start w:val="1"/>
    </w:lvl>
    <w:lvl w:ilvl="1">
      <w:lvlJc w:val="left"/>
      <w:lvlText w:val="(%2)"/>
      <w:numFmt w:val="lowerLetter"/>
      <w:start w:val="2"/>
    </w:lvl>
  </w:abstractNum>
  <w:abstractNum w:abstractNumId="123">
    <w:nsid w:val="20EE1348"/>
    <w:multiLevelType w:val="hybridMultilevel"/>
    <w:lvl w:ilvl="0">
      <w:lvlJc w:val="left"/>
      <w:lvlText w:val="(%1)"/>
      <w:numFmt w:val="lowerRoman"/>
      <w:start w:val="1"/>
    </w:lvl>
    <w:lvl w:ilvl="1">
      <w:lvlJc w:val="left"/>
      <w:lvlText w:val="%2"/>
      <w:numFmt w:val="lowerLetter"/>
      <w:start w:val="1"/>
    </w:lvl>
  </w:abstractNum>
  <w:abstractNum w:abstractNumId="124">
    <w:nsid w:val="4427069A"/>
    <w:multiLevelType w:val="hybridMultilevel"/>
    <w:lvl w:ilvl="0">
      <w:lvlJc w:val="left"/>
      <w:lvlText w:val="%1."/>
      <w:numFmt w:val="decimal"/>
      <w:start w:val="5"/>
    </w:lvl>
    <w:lvl w:ilvl="1">
      <w:lvlJc w:val="left"/>
      <w:lvlText w:val="(%2)"/>
      <w:numFmt w:val="lowerRoman"/>
    </w:lvl>
    <w:lvl w:ilvl="2">
      <w:lvlJc w:val="left"/>
      <w:lvlText w:val="(%3)"/>
      <w:numFmt w:val="lowerLetter"/>
      <w:start w:val="1"/>
    </w:lvl>
  </w:abstractNum>
  <w:abstractNum w:abstractNumId="125">
    <w:nsid w:val="B37E80A"/>
    <w:multiLevelType w:val="hybridMultilevel"/>
    <w:lvl w:ilvl="0">
      <w:lvlJc w:val="left"/>
      <w:lvlText w:val="%1"/>
      <w:numFmt w:val="lowerRoman"/>
      <w:start w:val="1"/>
    </w:lvl>
    <w:lvl w:ilvl="1">
      <w:lvlJc w:val="left"/>
      <w:lvlText w:val="(%2)"/>
      <w:numFmt w:val="lowerLetter"/>
      <w:start w:val="2"/>
    </w:lvl>
  </w:abstractNum>
  <w:abstractNum w:abstractNumId="126">
    <w:nsid w:val="2157F6BC"/>
    <w:multiLevelType w:val="hybridMultilevel"/>
    <w:lvl w:ilvl="0">
      <w:lvlJc w:val="left"/>
      <w:lvlText w:val="(%1)"/>
      <w:numFmt w:val="lowerRoman"/>
      <w:start w:val="1"/>
    </w:lvl>
    <w:lvl w:ilvl="1">
      <w:lvlJc w:val="left"/>
      <w:lvlText w:val="%2"/>
      <w:numFmt w:val="lowerLetter"/>
      <w:start w:val="1"/>
    </w:lvl>
  </w:abstractNum>
  <w:abstractNum w:abstractNumId="127">
    <w:nsid w:val="704E1DD5"/>
    <w:multiLevelType w:val="hybridMultilevel"/>
    <w:lvl w:ilvl="0">
      <w:lvlJc w:val="left"/>
      <w:lvlText w:val="%1"/>
      <w:numFmt w:val="lowerRoman"/>
      <w:start w:val="1"/>
    </w:lvl>
    <w:lvl w:ilvl="1">
      <w:lvlJc w:val="left"/>
      <w:lvlText w:val="(%2)"/>
      <w:numFmt w:val="lowerLetter"/>
      <w:start w:val="3"/>
    </w:lvl>
  </w:abstractNum>
  <w:abstractNum w:abstractNumId="128">
    <w:nsid w:val="57D2F10E"/>
    <w:multiLevelType w:val="hybridMultilevel"/>
    <w:lvl w:ilvl="0">
      <w:lvlJc w:val="left"/>
      <w:lvlText w:val="(%1)"/>
      <w:numFmt w:val="lowerRoman"/>
      <w:start w:val="1"/>
    </w:lvl>
    <w:lvl w:ilvl="1">
      <w:lvlJc w:val="left"/>
      <w:lvlText w:val="%2"/>
      <w:numFmt w:val="lowerLetter"/>
      <w:start w:val="1"/>
    </w:lvl>
  </w:abstractNum>
  <w:abstractNum w:abstractNumId="129">
    <w:nsid w:val="BFFAE18"/>
    <w:multiLevelType w:val="hybridMultilevel"/>
    <w:lvl w:ilvl="0">
      <w:lvlJc w:val="left"/>
      <w:lvlText w:val="%1."/>
      <w:numFmt w:val="decimal"/>
      <w:start w:val="6"/>
    </w:lvl>
    <w:lvl w:ilvl="1">
      <w:lvlJc w:val="left"/>
      <w:lvlText w:val="(%2)"/>
      <w:numFmt w:val="lowerLetter"/>
      <w:start w:val="1"/>
    </w:lvl>
  </w:abstractNum>
  <w:abstractNum w:abstractNumId="130">
    <w:nsid w:val="E3E47A8"/>
    <w:multiLevelType w:val="hybridMultilevel"/>
    <w:lvl w:ilvl="0">
      <w:lvlJc w:val="left"/>
      <w:lvlText w:val="(%1)"/>
      <w:numFmt w:val="lowerLetter"/>
      <w:start w:val="4"/>
    </w:lvl>
  </w:abstractNum>
  <w:abstractNum w:abstractNumId="131">
    <w:nsid w:val="2E48F044"/>
    <w:multiLevelType w:val="hybridMultilevel"/>
    <w:lvl w:ilvl="0">
      <w:lvlJc w:val="left"/>
      <w:lvlText w:val="%1."/>
      <w:numFmt w:val="decimal"/>
      <w:start w:val="7"/>
    </w:lvl>
    <w:lvl w:ilvl="1">
      <w:lvlJc w:val="left"/>
      <w:lvlText w:val="(%2)"/>
      <w:numFmt w:val="lowerLetter"/>
      <w:start w:val="1"/>
    </w:lvl>
  </w:abstractNum>
  <w:abstractNum w:abstractNumId="132">
    <w:nsid w:val="49D0FEAC"/>
    <w:multiLevelType w:val="hybridMultilevel"/>
    <w:lvl w:ilvl="0">
      <w:lvlJc w:val="left"/>
      <w:lvlText w:val="%1"/>
      <w:numFmt w:val="decimal"/>
      <w:start w:val="1"/>
    </w:lvl>
    <w:lvl w:ilvl="1">
      <w:lvlJc w:val="left"/>
      <w:lvlText w:val="(%2)"/>
      <w:numFmt w:val="lowerLetter"/>
      <w:start w:val="5"/>
    </w:lvl>
  </w:abstractNum>
  <w:abstractNum w:abstractNumId="133">
    <w:nsid w:val="4BEE5A5B"/>
    <w:multiLevelType w:val="hybridMultilevel"/>
    <w:lvl w:ilvl="0">
      <w:lvlJc w:val="left"/>
      <w:lvlText w:val="%1."/>
      <w:numFmt w:val="decimal"/>
      <w:start w:val="8"/>
    </w:lvl>
    <w:lvl w:ilvl="1">
      <w:lvlJc w:val="left"/>
      <w:lvlText w:val="%2"/>
      <w:numFmt w:val="lowerLetter"/>
      <w:start w:val="1"/>
    </w:lvl>
  </w:abstractNum>
  <w:abstractNum w:abstractNumId="134">
    <w:nsid w:val="5551B9F3"/>
    <w:multiLevelType w:val="hybridMultilevel"/>
    <w:lvl w:ilvl="0">
      <w:lvlJc w:val="left"/>
      <w:lvlText w:val="%1."/>
      <w:numFmt w:val="decimal"/>
      <w:start w:val="11"/>
    </w:lvl>
  </w:abstractNum>
  <w:abstractNum w:abstractNumId="135">
    <w:nsid w:val="24F6AB8E"/>
    <w:multiLevelType w:val="hybridMultilevel"/>
    <w:lvl w:ilvl="0">
      <w:lvlJc w:val="left"/>
      <w:lvlText w:val="%1."/>
      <w:numFmt w:val="decimal"/>
      <w:start w:val="19"/>
    </w:lvl>
  </w:abstractNum>
  <w:abstractNum w:abstractNumId="136">
    <w:nsid w:val="634C574C"/>
    <w:multiLevelType w:val="hybridMultilevel"/>
    <w:lvl w:ilvl="0">
      <w:lvlJc w:val="left"/>
      <w:lvlText w:val="•"/>
      <w:numFmt w:val="bullet"/>
      <w:start w:val="1"/>
    </w:lvl>
  </w:abstractNum>
  <w:abstractNum w:abstractNumId="137">
    <w:nsid w:val="24E99DD7"/>
    <w:multiLevelType w:val="hybridMultilevel"/>
    <w:lvl w:ilvl="0">
      <w:lvlJc w:val="left"/>
      <w:lvlText w:val="%1."/>
      <w:numFmt w:val="decimal"/>
      <w:start w:val="1"/>
    </w:lvl>
    <w:lvl w:ilvl="1">
      <w:lvlJc w:val="left"/>
      <w:lvlText w:val="(%2)"/>
      <w:numFmt w:val="lowerLetter"/>
      <w:start w:val="1"/>
    </w:lvl>
  </w:abstractNum>
  <w:abstractNum w:abstractNumId="138">
    <w:nsid w:val="2A31B62D"/>
    <w:multiLevelType w:val="hybridMultilevel"/>
    <w:lvl w:ilvl="0">
      <w:lvlJc w:val="left"/>
      <w:lvlText w:val="%1."/>
      <w:numFmt w:val="decimal"/>
      <w:start w:val="2"/>
    </w:lvl>
    <w:lvl w:ilvl="1">
      <w:lvlJc w:val="left"/>
      <w:lvlText w:val="(%2)"/>
      <w:numFmt w:val="lowerLetter"/>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07"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193" Type="http://schemas.openxmlformats.org/officeDocument/2006/relationships/hyperlink" Target="http://www.sec.gov/Archives/edgar/data/1681087/000119312518202460/d153924dex31.htm" TargetMode="External"/><Relationship Id="rId194" Type="http://schemas.openxmlformats.org/officeDocument/2006/relationships/hyperlink" Target="http://www.sec.gov/Archives/edgar/data/1681087/000119312518202460/d153924dex32.htm" TargetMode="External"/><Relationship Id="rId195" Type="http://schemas.openxmlformats.org/officeDocument/2006/relationships/hyperlink" Target="http://www.sec.gov/Archives/edgar/data/1681087/000119312518188630/d562006dex41.htm" TargetMode="External"/><Relationship Id="rId196" Type="http://schemas.openxmlformats.org/officeDocument/2006/relationships/hyperlink" Target="http://www.sec.gov/Archives/edgar/data/1681087/000119312518175024/d562006dex42.htm" TargetMode="External"/><Relationship Id="rId197" Type="http://schemas.openxmlformats.org/officeDocument/2006/relationships/hyperlink" Target="http://www.sec.gov/Archives/edgar/data/1681087/000119312518175024/d562006dex101.htm" TargetMode="External"/><Relationship Id="rId198" Type="http://schemas.openxmlformats.org/officeDocument/2006/relationships/hyperlink" Target="http://www.sec.gov/Archives/edgar/data/1681087/000119312518188630/d562006dex102.htm" TargetMode="External"/><Relationship Id="rId199" Type="http://schemas.openxmlformats.org/officeDocument/2006/relationships/hyperlink" Target="http://www.sec.gov/Archives/edgar/data/1681087/000119312518188630/d562006dex103.htm" TargetMode="External"/><Relationship Id="rId200" Type="http://schemas.openxmlformats.org/officeDocument/2006/relationships/hyperlink" Target="http://www.sec.gov/Archives/edgar/data/1681087/000119312518188630/d562006dex104.htm" TargetMode="External"/><Relationship Id="rId201" Type="http://schemas.openxmlformats.org/officeDocument/2006/relationships/hyperlink" Target="http://www.sec.gov/Archives/edgar/data/1681087/000119312518181102/d562006dex105.htm" TargetMode="External"/><Relationship Id="rId202" Type="http://schemas.openxmlformats.org/officeDocument/2006/relationships/hyperlink" Target="http://www.sec.gov/Archives/edgar/data/1681087/000119312518188630/d562006dex106.htm" TargetMode="External"/><Relationship Id="rId203" Type="http://schemas.openxmlformats.org/officeDocument/2006/relationships/hyperlink" Target="http://www.sec.gov/Archives/edgar/data/1681087/000119312518175024/d562006dex107.htm" TargetMode="External"/><Relationship Id="rId204" Type="http://schemas.openxmlformats.org/officeDocument/2006/relationships/hyperlink" Target="http://www.sec.gov/Archives/edgar/data/1681087/000119312518175024/d562006dex108.htm" TargetMode="External"/><Relationship Id="rId205" Type="http://schemas.openxmlformats.org/officeDocument/2006/relationships/hyperlink" Target="http://www.sec.gov/Archives/edgar/data/1681087/000119312518188630/d562006dex109.htm" TargetMode="External"/><Relationship Id="rId206" Type="http://schemas.openxmlformats.org/officeDocument/2006/relationships/hyperlink" Target="http://www.sec.gov/Archives/edgar/data/1681087/000119312518188630/d562006dex1010.htm" TargetMode="External"/><Relationship Id="rId208" Type="http://schemas.openxmlformats.org/officeDocument/2006/relationships/hyperlink" Target="http://www.sec.gov/Archives/edgar/data/1681087/000119312518188630/d562006dex1011.htm" TargetMode="External"/><Relationship Id="rId209" Type="http://schemas.openxmlformats.org/officeDocument/2006/relationships/hyperlink" Target="http://www.sec.gov/Archives/edgar/data/1681087/000119312518356370/d676576dex101.htm" TargetMode="External"/><Relationship Id="rId210" Type="http://schemas.openxmlformats.org/officeDocument/2006/relationships/hyperlink" Target="http://www.sec.gov/Archives/edgar/data/1681087/000119312519007398/d666627dex101.htm" TargetMode="External"/><Relationship Id="rId211" Type="http://schemas.openxmlformats.org/officeDocument/2006/relationships/hyperlink" Target="http://www.sec.gov/Archives/edgar/data/1681087/000119312519007398/d666627dex102.htm" TargetMode="External"/><Relationship Id="rId212" Type="http://schemas.openxmlformats.org/officeDocument/2006/relationships/hyperlink" Target="http://www.sec.gov/Archives/edgar/data/1681087/000119312518188630/d562006dex1014.htm" TargetMode="External"/><Relationship Id="rId213" Type="http://schemas.openxmlformats.org/officeDocument/2006/relationships/hyperlink" Target="http://www.sec.gov/Archives/edgar/data/1681087/000119312518175024/d562006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2019-12-28T14:12:10Z</dcterms:created>
  <dcterms:modified xsi:type="dcterms:W3CDTF">2019-12-28T14:12:10Z</dcterms:modified>
</cp:coreProperties>
</file>