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On May 13, 2021, AVROBIO, Inc. (the “Company”) issued a press release containing information about the Company’s results of operations for the three months ended March 31, 2021. A copy of this press release is furnished as Exhibit 99.1 to this Current Report on Form 8-K.</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May 13,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First Quarter 2021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Held meeting with the U.S. Food and Drug Administration (FDA) to discuss the regulatory path for AVR-RD-01 for Fabry disease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Dosing completion in ongoing FAB-GT Phase 2 trial reaches 50%, with three additional patients dosed in three months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CAMBRIDGE, Mass., May 13, 2021 — </w:t>
      </w:r>
      <w:r>
        <w:rPr>
          <w:rFonts w:ascii="Arial" w:cs="Arial" w:eastAsia="Arial" w:hAnsi="Arial"/>
          <w:sz w:val="17"/>
          <w:szCs w:val="17"/>
          <w:u w:val="single" w:color="auto"/>
          <w:color w:val="auto"/>
        </w:rPr>
        <w:t>AVROBIO, Inc</w:t>
      </w:r>
      <w:r>
        <w:rPr>
          <w:rFonts w:ascii="Arial" w:cs="Arial" w:eastAsia="Arial" w:hAnsi="Arial"/>
          <w:sz w:val="17"/>
          <w:szCs w:val="17"/>
          <w:color w:val="auto"/>
        </w:rPr>
        <w:t>. (Nasdaq: AVRO), a leading clinical-stage gene therapy company with a mission to free people from a lifetime of genetic disease, today reported financial results for the quarter ended March 31, 2021 and provided a business update.</w:t>
      </w:r>
    </w:p>
    <w:p>
      <w:pPr>
        <w:spacing w:after="0" w:line="1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we met with the U.S. Food and Drug Administration (FDA) to discuss the regulatory path for AVR-RD-01, our investigational gene therapy for Fabry disease. We plan to engage with FDA in the second half of 2021 to seek feedback on our proposal for a registration trial,” said Geoff MacKay, president and CEO of AVROBIO. “In addition, we started the year with strong data updates from all three of our clinical programs – Fabry disease, Gaucher disease and cystinosis – at the WORLD</w:t>
      </w:r>
      <w:r>
        <w:rPr>
          <w:rFonts w:ascii="Arial" w:cs="Arial" w:eastAsia="Arial" w:hAnsi="Arial"/>
          <w:sz w:val="18"/>
          <w:szCs w:val="18"/>
          <w:i w:val="1"/>
          <w:iCs w:val="1"/>
          <w:color w:val="auto"/>
        </w:rPr>
        <w:t>Symposium</w:t>
      </w:r>
      <w:r>
        <w:rPr>
          <w:rFonts w:ascii="Arial" w:cs="Arial" w:eastAsia="Arial" w:hAnsi="Arial"/>
          <w:sz w:val="15"/>
          <w:szCs w:val="15"/>
          <w:color w:val="auto"/>
        </w:rPr>
        <w:t>™</w:t>
      </w:r>
      <w:r>
        <w:rPr>
          <w:rFonts w:ascii="Arial" w:cs="Arial" w:eastAsia="Arial" w:hAnsi="Arial"/>
          <w:sz w:val="18"/>
          <w:szCs w:val="18"/>
          <w:color w:val="auto"/>
        </w:rPr>
        <w:t>. These data show sustained improvements across important biomarkers and functional metrics, which we believe support the potential of our lentiviral gene therapy platform to treat life-limiting lysosomal disorders. We have been gratified by the strong interest in our clinical trials, and we’re pleased with our progress in enrolling and dosing new patients, including three patients dosed in just the last three months in our FAB-GT trial. As we advance AVR-RD-01, we plan to continue to execute across our pipeline, and we look forward to providing future updates.”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 meeting with FDA to discuss the regulatory path for AVR-RD-01 for Fabry disease in the first quarter of 2021</w:t>
      </w:r>
    </w:p>
    <w:p>
      <w:pPr>
        <w:spacing w:after="0" w:line="131" w:lineRule="exact"/>
        <w:rPr>
          <w:sz w:val="20"/>
          <w:szCs w:val="20"/>
          <w:color w:val="auto"/>
        </w:rPr>
      </w:pPr>
    </w:p>
    <w:p>
      <w:pPr>
        <w:ind w:left="960" w:right="4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Based on a recent U.S. regulatory development for Fabry disease therapies, AVROBIO intends to discuss with FDA a potential registration trial with a proposed primary efficacy surrogate endpoint of clearance of Gb3 inclusions in biopsied renal peritubular capillaries as the basis for potential full approval. See full </w:t>
      </w:r>
      <w:r>
        <w:rPr>
          <w:rFonts w:ascii="Arial" w:cs="Arial" w:eastAsia="Arial" w:hAnsi="Arial"/>
          <w:sz w:val="18"/>
          <w:szCs w:val="18"/>
          <w:u w:val="single" w:color="auto"/>
          <w:color w:val="auto"/>
        </w:rPr>
        <w:t>update</w:t>
      </w:r>
      <w:r>
        <w:rPr>
          <w:rFonts w:ascii="Arial" w:cs="Arial" w:eastAsia="Arial" w:hAnsi="Arial"/>
          <w:sz w:val="18"/>
          <w:szCs w:val="18"/>
          <w:color w:val="auto"/>
        </w:rPr>
        <w:t xml:space="preserve"> here.</w:t>
      </w:r>
    </w:p>
    <w:p>
      <w:pPr>
        <w:spacing w:after="0" w:line="89"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FDA feedback, AVROBIO intends to pursue full approval for investigational AVR-RD-01 as a first-line therapy for Fabry disease by conducting a single, head-to-</w:t>
      </w:r>
    </w:p>
    <w:p>
      <w:pPr>
        <w:sectPr>
          <w:pgSz w:w="11900" w:h="16838" w:orient="portrait"/>
          <w:cols w:equalWidth="0" w:num="1">
            <w:col w:w="11020"/>
          </w:cols>
          <w:pgMar w:left="440" w:top="121" w:right="439" w:bottom="1440" w:gutter="0" w:footer="0" w:header="0"/>
        </w:sectPr>
      </w:pPr>
    </w:p>
    <w:bookmarkStart w:id="4" w:name="page5"/>
    <w:bookmarkEnd w:id="4"/>
    <w:p>
      <w:pPr>
        <w:ind w:left="98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 registration trial versus Fabrazyme</w:t>
      </w:r>
      <w:r>
        <w:rPr>
          <w:rFonts w:ascii="Arial" w:cs="Arial" w:eastAsia="Arial" w:hAnsi="Arial"/>
          <w:sz w:val="15"/>
          <w:szCs w:val="15"/>
          <w:color w:val="auto"/>
        </w:rPr>
        <w:t>®</w:t>
      </w:r>
      <w:r>
        <w:rPr>
          <w:rFonts w:ascii="Arial" w:cs="Arial" w:eastAsia="Arial" w:hAnsi="Arial"/>
          <w:sz w:val="18"/>
          <w:szCs w:val="18"/>
          <w:color w:val="auto"/>
        </w:rPr>
        <w:t xml:space="preserve"> (agalsidase beta)</w:t>
      </w:r>
      <w:r>
        <w:rPr>
          <w:rFonts w:ascii="Arial" w:cs="Arial" w:eastAsia="Arial" w:hAnsi="Arial"/>
          <w:sz w:val="15"/>
          <w:szCs w:val="15"/>
          <w:color w:val="auto"/>
        </w:rPr>
        <w:t>1</w:t>
      </w:r>
      <w:r>
        <w:rPr>
          <w:rFonts w:ascii="Arial" w:cs="Arial" w:eastAsia="Arial" w:hAnsi="Arial"/>
          <w:sz w:val="18"/>
          <w:szCs w:val="18"/>
          <w:color w:val="auto"/>
        </w:rPr>
        <w:t xml:space="preserve"> using a kidney biopsy surrogate endpoint similar to the FAB-GT Phase 2 trial, where the company has seen 100% and 87% substrate reductions at one year post-gene therapy in the two patients with evaluable kidney biopsies. The company anticipates proposing to FDA a registration trial design with a scope, size and duration comparable to other gene therapy trials.</w:t>
      </w:r>
    </w:p>
    <w:p>
      <w:pPr>
        <w:spacing w:after="0" w:line="92" w:lineRule="exact"/>
        <w:rPr>
          <w:sz w:val="20"/>
          <w:szCs w:val="20"/>
          <w:color w:val="auto"/>
        </w:rPr>
      </w:pPr>
    </w:p>
    <w:p>
      <w:pPr>
        <w:ind w:left="964" w:right="180" w:hanging="424"/>
        <w:spacing w:after="0" w:line="311" w:lineRule="auto"/>
        <w:tabs>
          <w:tab w:leader="none" w:pos="964"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FDA guidance provides that a surrogate endpoint that was the basis for approval in a particular clinical development program should not be assumed to be appropriate for use in a different program, AVROBIO believes Fabrazyme’s full approval based on a similar kidney biopsy surrogate endpoint could potentially support the use of such an endpoint in a registration trial of AVR-RD-01.</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Three additional patients dosed in three months and plans to amend FAB-GT trial protocol</w:t>
      </w:r>
    </w:p>
    <w:p>
      <w:pPr>
        <w:spacing w:after="0" w:line="131" w:lineRule="exact"/>
        <w:rPr>
          <w:sz w:val="20"/>
          <w:szCs w:val="20"/>
          <w:color w:val="auto"/>
        </w:rPr>
      </w:pPr>
    </w:p>
    <w:p>
      <w:pPr>
        <w:ind w:left="964" w:right="240" w:hanging="424"/>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Three patients have now been dosed over the past three months in the FAB-GT Phase 2 trial. Seven patients of the up to 14 planned trial participants have been dosed to date.</w:t>
      </w:r>
    </w:p>
    <w:p>
      <w:pPr>
        <w:spacing w:after="0" w:line="75" w:lineRule="exact"/>
        <w:rPr>
          <w:rFonts w:ascii="Arial" w:cs="Arial" w:eastAsia="Arial" w:hAnsi="Arial"/>
          <w:sz w:val="18"/>
          <w:szCs w:val="18"/>
          <w:color w:val="auto"/>
        </w:rPr>
      </w:pPr>
    </w:p>
    <w:p>
      <w:pPr>
        <w:ind w:left="964" w:right="60" w:hanging="424"/>
        <w:spacing w:after="0" w:line="279" w:lineRule="auto"/>
        <w:tabs>
          <w:tab w:leader="none" w:pos="964" w:val="left"/>
        </w:tabs>
        <w:numPr>
          <w:ilvl w:val="0"/>
          <w:numId w:val="4"/>
        </w:numPr>
        <w:rPr>
          <w:rFonts w:ascii="Arial" w:cs="Arial" w:eastAsia="Arial" w:hAnsi="Arial"/>
          <w:sz w:val="17"/>
          <w:szCs w:val="17"/>
          <w:color w:val="auto"/>
        </w:rPr>
      </w:pPr>
      <w:r>
        <w:rPr>
          <w:rFonts w:ascii="Arial" w:cs="Arial" w:eastAsia="Arial" w:hAnsi="Arial"/>
          <w:sz w:val="17"/>
          <w:szCs w:val="17"/>
          <w:color w:val="auto"/>
        </w:rPr>
        <w:t>AVROBIO expects to amend the FAB-GT trial protocol in the second quarter of 2021 to help support the potential use of AVR-RD-01 in a broad Fabry disease population. The company plans to enroll female participants, eliminate antibody-status exclusions and add the collection of data on additional parameters that are recognized to be limitations of enzyme replacement therapy (ERT), such as endpoints to assess the gene therapy’s potential ability to address cardiovascular and central nervous system manifestations.</w:t>
      </w:r>
    </w:p>
    <w:p>
      <w:pPr>
        <w:spacing w:after="0" w:line="279" w:lineRule="exact"/>
        <w:rPr>
          <w:sz w:val="20"/>
          <w:szCs w:val="20"/>
          <w:color w:val="auto"/>
        </w:rPr>
      </w:pPr>
    </w:p>
    <w:p>
      <w:pPr>
        <w:ind w:left="4"/>
        <w:spacing w:after="0" w:line="277" w:lineRule="auto"/>
        <w:rPr>
          <w:sz w:val="20"/>
          <w:szCs w:val="20"/>
          <w:color w:val="auto"/>
        </w:rPr>
      </w:pPr>
      <w:r>
        <w:rPr>
          <w:rFonts w:ascii="Arial" w:cs="Arial" w:eastAsia="Arial" w:hAnsi="Arial"/>
          <w:sz w:val="18"/>
          <w:szCs w:val="18"/>
          <w:u w:val="single" w:color="auto"/>
          <w:color w:val="auto"/>
        </w:rPr>
        <w:t>Four data abstracts accepted for presentation at the 24</w:t>
      </w:r>
      <w:r>
        <w:rPr>
          <w:rFonts w:ascii="Arial" w:cs="Arial" w:eastAsia="Arial" w:hAnsi="Arial"/>
          <w:sz w:val="15"/>
          <w:szCs w:val="15"/>
          <w:u w:val="single" w:color="auto"/>
          <w:color w:val="auto"/>
        </w:rPr>
        <w:t>th</w:t>
      </w:r>
      <w:r>
        <w:rPr>
          <w:rFonts w:ascii="Arial" w:cs="Arial" w:eastAsia="Arial" w:hAnsi="Arial"/>
          <w:sz w:val="18"/>
          <w:szCs w:val="18"/>
          <w:u w:val="single" w:color="auto"/>
          <w:color w:val="auto"/>
        </w:rPr>
        <w:t xml:space="preserve"> virtual Annual Meeting of the American Society of Gene &amp; Cell Therapy (ASGCT), May 11-14, 2021</w:t>
      </w:r>
    </w:p>
    <w:p>
      <w:pPr>
        <w:spacing w:after="0" w:line="76" w:lineRule="exact"/>
        <w:rPr>
          <w:sz w:val="20"/>
          <w:szCs w:val="20"/>
          <w:color w:val="auto"/>
        </w:rPr>
      </w:pPr>
    </w:p>
    <w:p>
      <w:pPr>
        <w:ind w:left="964" w:right="520" w:hanging="424"/>
        <w:spacing w:after="0" w:line="308" w:lineRule="auto"/>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data updates from an investigator-sponsored Phase 1/2 trial</w:t>
      </w:r>
      <w:r>
        <w:rPr>
          <w:rFonts w:ascii="Arial" w:cs="Arial" w:eastAsia="Arial" w:hAnsi="Arial"/>
          <w:sz w:val="14"/>
          <w:szCs w:val="14"/>
          <w:color w:val="auto"/>
        </w:rPr>
        <w:t>2</w:t>
      </w:r>
      <w:r>
        <w:rPr>
          <w:rFonts w:ascii="Arial" w:cs="Arial" w:eastAsia="Arial" w:hAnsi="Arial"/>
          <w:sz w:val="17"/>
          <w:szCs w:val="17"/>
          <w:color w:val="auto"/>
        </w:rPr>
        <w:t xml:space="preserve"> in cystinosis and from AVROBIO’s preclinical program in Pompe disease, as well as encore data from AVROBIO’s clinical program in Gaucher disease type 1, have been presented.</w:t>
      </w:r>
    </w:p>
    <w:p>
      <w:pPr>
        <w:spacing w:after="0" w:line="51" w:lineRule="exact"/>
        <w:rPr>
          <w:rFonts w:ascii="Arial" w:cs="Arial" w:eastAsia="Arial" w:hAnsi="Arial"/>
          <w:sz w:val="17"/>
          <w:szCs w:val="17"/>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Encore data from AVROBIO’s clinical program in Fabry disease will be presented on Friday, May 14, 2021.</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See more information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Fabrazyme</w:t>
      </w:r>
      <w:r>
        <w:rPr>
          <w:rFonts w:ascii="Arial" w:cs="Arial" w:eastAsia="Arial" w:hAnsi="Arial"/>
          <w:sz w:val="15"/>
          <w:szCs w:val="15"/>
          <w:color w:val="auto"/>
        </w:rPr>
        <w:t>®</w:t>
      </w:r>
      <w:r>
        <w:rPr>
          <w:rFonts w:ascii="Arial" w:cs="Arial" w:eastAsia="Arial" w:hAnsi="Arial"/>
          <w:sz w:val="18"/>
          <w:szCs w:val="18"/>
          <w:color w:val="auto"/>
        </w:rPr>
        <w:t xml:space="preserve"> (agalsidase beta) is a registered trademark owned by Sanofi Genzyme.</w:t>
      </w:r>
    </w:p>
    <w:p>
      <w:pPr>
        <w:spacing w:after="0" w:line="22" w:lineRule="exact"/>
        <w:rPr>
          <w:sz w:val="20"/>
          <w:szCs w:val="20"/>
          <w:color w:val="auto"/>
        </w:rPr>
      </w:pPr>
    </w:p>
    <w:p>
      <w:pPr>
        <w:ind w:left="424" w:right="120" w:hanging="424"/>
        <w:spacing w:after="0" w:line="262"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 xml:space="preserve">Collaborator-sponsored Phase 1/2 clinical trial of AVR-RD-04 is funded in part by grants to UCSD from the </w:t>
      </w:r>
      <w:r>
        <w:rPr>
          <w:rFonts w:ascii="Arial" w:cs="Arial" w:eastAsia="Arial" w:hAnsi="Arial"/>
          <w:sz w:val="18"/>
          <w:szCs w:val="18"/>
          <w:u w:val="single" w:color="auto"/>
          <w:color w:val="auto"/>
        </w:rPr>
        <w:t>California Institute for Regenerative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Medicine</w:t>
      </w:r>
      <w:r>
        <w:rPr>
          <w:rFonts w:ascii="Arial" w:cs="Arial" w:eastAsia="Arial" w:hAnsi="Arial"/>
          <w:sz w:val="18"/>
          <w:szCs w:val="18"/>
          <w:color w:val="auto"/>
        </w:rPr>
        <w:t xml:space="preserve"> (CIRM), </w:t>
      </w:r>
      <w:r>
        <w:rPr>
          <w:rFonts w:ascii="Arial" w:cs="Arial" w:eastAsia="Arial" w:hAnsi="Arial"/>
          <w:sz w:val="18"/>
          <w:szCs w:val="18"/>
          <w:u w:val="single" w:color="auto"/>
          <w:color w:val="auto"/>
        </w:rPr>
        <w:t>Cystinosis Research Foundation (CRF)</w:t>
      </w:r>
      <w:r>
        <w:rPr>
          <w:rFonts w:ascii="Arial" w:cs="Arial" w:eastAsia="Arial" w:hAnsi="Arial"/>
          <w:sz w:val="18"/>
          <w:szCs w:val="18"/>
          <w:color w:val="auto"/>
        </w:rPr>
        <w:t xml:space="preserve"> and National Institutes of Health (NIH).</w:t>
      </w:r>
    </w:p>
    <w:p>
      <w:pPr>
        <w:sectPr>
          <w:pgSz w:w="11900" w:h="16838" w:orient="portrait"/>
          <w:cols w:equalWidth="0" w:num="1">
            <w:col w:w="11004"/>
          </w:cols>
          <w:pgMar w:left="436"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robust data updates for Fabry disease, cystinosis and Gaucher disease type 1 during WORLD</w:t>
      </w:r>
      <w:r>
        <w:rPr>
          <w:rFonts w:ascii="Arial" w:cs="Arial" w:eastAsia="Arial" w:hAnsi="Arial"/>
          <w:sz w:val="18"/>
          <w:szCs w:val="18"/>
          <w:i w:val="1"/>
          <w:iCs w:val="1"/>
          <w:u w:val="single" w:color="auto"/>
          <w:color w:val="auto"/>
        </w:rPr>
        <w:t>Symposium</w:t>
      </w:r>
      <w:r>
        <w:rPr>
          <w:rFonts w:ascii="Arial" w:cs="Arial" w:eastAsia="Arial" w:hAnsi="Arial"/>
          <w:sz w:val="15"/>
          <w:szCs w:val="15"/>
          <w:u w:val="single" w:color="auto"/>
          <w:color w:val="auto"/>
        </w:rPr>
        <w:t>™</w:t>
      </w:r>
      <w:r>
        <w:rPr>
          <w:rFonts w:ascii="Arial" w:cs="Arial" w:eastAsia="Arial" w:hAnsi="Arial"/>
          <w:sz w:val="18"/>
          <w:szCs w:val="18"/>
          <w:color w:val="auto"/>
        </w:rPr>
        <w:t xml:space="preserve">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-10160</wp:posOffset>
            </wp:positionV>
            <wp:extent cx="815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111" w:lineRule="exact"/>
        <w:rPr>
          <w:sz w:val="20"/>
          <w:szCs w:val="20"/>
          <w:color w:val="auto"/>
        </w:rPr>
      </w:pPr>
    </w:p>
    <w:p>
      <w:pPr>
        <w:ind w:left="960" w:right="2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100% kidney substrate reduction at 12 months post-gene therapy in the first patient dosed with the plato</w:t>
      </w:r>
      <w:r>
        <w:rPr>
          <w:rFonts w:ascii="Arial" w:cs="Arial" w:eastAsia="Arial" w:hAnsi="Arial"/>
          <w:sz w:val="15"/>
          <w:szCs w:val="15"/>
          <w:color w:val="auto"/>
        </w:rPr>
        <w:t>®</w:t>
      </w:r>
      <w:r>
        <w:rPr>
          <w:rFonts w:ascii="Arial" w:cs="Arial" w:eastAsia="Arial" w:hAnsi="Arial"/>
          <w:sz w:val="18"/>
          <w:szCs w:val="18"/>
          <w:color w:val="auto"/>
        </w:rPr>
        <w:t xml:space="preserve"> platform in the FAB-GT trial, together with additional data from multiple biomarkers and functional cardiac measurements across both the Phase 1 and Phase 2 Fabry trials.</w:t>
      </w:r>
    </w:p>
    <w:p>
      <w:pPr>
        <w:spacing w:after="0" w:line="89"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Showed improvement across multiple measures for first two patients dosed in the investigator-sponsored Phase 1/2 trial in cystinosis, and substantial improvement in photophobia in the first patient at 12 months post-gene therapy.</w:t>
      </w:r>
    </w:p>
    <w:p>
      <w:pPr>
        <w:spacing w:after="0" w:line="75"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Presented early data from the Phase 1/2 clinical trial in Gaucher disease type 1 showing plasma chitotriosidase levels decreased 49% and toxic metabolite lyso-Gb1 levels decreased 44% in the first patient at six months post-gene therapy, compared to the patient’s pre-treatment levels while on ERT.</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details on the data presented during the 17th annual WORLD</w:t>
      </w:r>
      <w:r>
        <w:rPr>
          <w:rFonts w:ascii="Arial" w:cs="Arial" w:eastAsia="Arial" w:hAnsi="Arial"/>
          <w:sz w:val="18"/>
          <w:szCs w:val="18"/>
          <w:i w:val="1"/>
          <w:iCs w:val="1"/>
          <w:color w:val="auto"/>
        </w:rPr>
        <w:t>Symposium</w:t>
      </w:r>
      <w:r>
        <w:rPr>
          <w:rFonts w:ascii="Arial" w:cs="Arial" w:eastAsia="Arial" w:hAnsi="Arial"/>
          <w:sz w:val="15"/>
          <w:szCs w:val="15"/>
          <w:color w:val="auto"/>
        </w:rPr>
        <w:t>™</w:t>
      </w:r>
      <w:r>
        <w:rPr>
          <w:rFonts w:ascii="Arial" w:cs="Arial" w:eastAsia="Arial" w:hAnsi="Arial"/>
          <w:sz w:val="18"/>
          <w:szCs w:val="18"/>
          <w:color w:val="auto"/>
        </w:rPr>
        <w:t xml:space="preserve"> can be found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AVROBIO reported a net loss of $26.9 million for the first quarter of 2021 as compared to a net loss of $26.0 million for the comparable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driven by increased research and development expenses and a decrease in other (expense) income, net.</w:t>
      </w:r>
    </w:p>
    <w:p>
      <w:pPr>
        <w:spacing w:after="0" w:line="21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Research and development expenses were $18.5 million for the first quarter of 2021 as compared to $18.3 million for the comparable period in 2020. This increase was driven by increased program development activities related to the advancement of the company’s pipeline, as well as increased personnel-related costs resulting from an increase in employee headcount, which includes the impact of non-cash stock-based compensation.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$8.4 million for the first quarter of 2021 as compared to $8.3 million for the comparable period in 2020. This increase was primarily due to an increase in employee headcount, which includes the impact of non-cash stock-based compensation, which was offset by a decrease in consulting costs and professional fees.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(expense) income, net was $0.02 million in expense for the first quarter of 2021 as compared to other (expense) income, net of $0.6 million in income for the comparable period in 2020. This decrease was driven by a reduction in interest income.</w:t>
      </w:r>
    </w:p>
    <w:p>
      <w:pPr>
        <w:sectPr>
          <w:pgSz w:w="11900" w:h="16838" w:orient="portrait"/>
          <w:cols w:equalWidth="0" w:num="1">
            <w:col w:w="11000"/>
          </w:cols>
          <w:pgMar w:left="440" w:top="274" w:right="459" w:bottom="1440" w:gutter="0" w:footer="0" w:header="0"/>
        </w:sectPr>
      </w:pPr>
    </w:p>
    <w:bookmarkStart w:id="6" w:name="page7"/>
    <w:bookmarkEnd w:id="6"/>
    <w:p>
      <w:pPr>
        <w:jc w:val="both"/>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March 31, 2021, AVROBIO had $233.0 million in cash and cash equivalents, as compared to $259.7 million in cash and cash equivalents as of Dec. 31, 2020. Based on the company’s current operating plan, AVROBIO expects its cash and cash equivalents as of March 31, 2021, will enable the company to fund its operating expenses and capital expenditure requirements into the first quarter of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vision is to bring personalized gene therapy to the world. We aim to prevent, halt or reverse disease throughout the body with a single dose of gene therapy designed to drive durable expression of therapeutic protein, even in hard-to-reach tissues and organs including brain, muscle and bone. Our ex vivo lentiviral gene therapy pipeline includes clinical programs in Fabry disease, Gaucher disease type 1 and cystinosis, as well as preclinical programs in Hunter syndrome, Gaucher disease type 3 and Pompe disease. AVROBIO is powered by our industry leading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deliver gene therapy worldwide. We are headquartered in Cambridge, Mass., with an office in Toronto, Ontario.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product candidates, the design, commencement, enrollment and timing of ongoing or planned clinical trials, clinical trial results, product approvals and regulatory pathways, our plans and expectations with respect to the development of AVR-RD-01, including timing and design of our potential registration trial, the intended use of such trial as our registration trial for this product candidate, anticipated interactions with regulatory agencies and the planned use of surrogate endpoints in future development of AVR-RD-01, anticipated benefits of our gene therapy platform including potential impact on our commercialization activities, timing and likelihood of success, the expected benefits and results of our implementation of the plato platform in our clinical trials and gene therapy programs, the expected safety profile of our investigational gene therapies,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w:t>
      </w:r>
    </w:p>
    <w:p>
      <w:pPr>
        <w:sectPr>
          <w:pgSz w:w="11900" w:h="16838" w:orient="portrait"/>
          <w:cols w:equalWidth="0" w:num="1">
            <w:col w:w="11020"/>
          </w:cols>
          <w:pgMar w:left="440" w:top="274" w:right="4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regulatory agencies may disagree with our anticipated development approach for our product candidates such as AVR-RD-01, including that we may not be able to utilize our planned registration trial of AVR-RD-01 for full approval but instead be required to conduct additional testing, that we may be required to conduct our planned testing in a more time-consuming, expensive, challenging or otherwise different manner than we envision or have conducted for our existing trials, particularly in light of the FDA’s preference for clinical trials to be double-blinded and potentially include sham controls, the risk that we may not be able to utilize our envisioned surrogate endpoint to support full approval of AVR-RD-01 but instead be required to measure a different endpoint such as a clinical outcome,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3"/>
          <w:szCs w:val="13"/>
          <w:color w:val="auto"/>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Stephanie Simon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617-581-9333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stephanie@tenbridgecommunications.com</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62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233,027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9,037</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245,912</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30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232,930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254,344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245,912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271,234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jc w:val="center"/>
        <w:ind w:left="9240"/>
        <w:spacing w:after="0"/>
        <w:rPr>
          <w:sz w:val="20"/>
          <w:szCs w:val="20"/>
          <w:color w:val="auto"/>
        </w:rPr>
      </w:pPr>
      <w:r>
        <w:rPr>
          <w:rFonts w:ascii="Arial" w:cs="Arial" w:eastAsia="Arial" w:hAnsi="Arial"/>
          <w:sz w:val="14"/>
          <w:szCs w:val="14"/>
          <w:color w:val="auto"/>
        </w:rPr>
        <w:t>Three Months Ended</w:t>
      </w:r>
    </w:p>
    <w:p>
      <w:pPr>
        <w:jc w:val="center"/>
        <w:ind w:left="924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18,527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18,274</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26,884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(26,884)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(26,589)</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(26,899)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(25,973)</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41,618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33,667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2021-05-13T06:17:11Z</dcterms:created>
  <dcterms:modified xsi:type="dcterms:W3CDTF">2021-05-13T06:17:11Z</dcterms:modified>
</cp:coreProperties>
</file>