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660" w:right="9360" w:hanging="4"/>
        <w:spacing w:after="0" w:line="232" w:lineRule="exact"/>
        <w:tabs>
          <w:tab w:leader="none" w:pos="867"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70" w:lineRule="exact"/>
        <w:rPr>
          <w:rFonts w:ascii="MS PGothic" w:cs="MS PGothic" w:eastAsia="MS PGothic" w:hAnsi="MS PGothic"/>
          <w:sz w:val="17"/>
          <w:szCs w:val="17"/>
          <w:color w:val="auto"/>
        </w:rPr>
      </w:pPr>
    </w:p>
    <w:p>
      <w:pPr>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1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Newtyn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(2) Check the Appropriate Box if a Member of a Group (See Instructions)</w:t>
      </w:r>
      <w:r>
        <w:rPr>
          <w:sz w:val="20"/>
          <w:szCs w:val="20"/>
          <w:color w:val="auto"/>
        </w:rPr>
        <w:tab/>
      </w: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p>
      <w:pPr>
        <w:spacing w:after="0" w:line="96" w:lineRule="exact"/>
        <w:rPr>
          <w:sz w:val="20"/>
          <w:szCs w:val="20"/>
          <w:color w:val="auto"/>
        </w:rPr>
      </w:pPr>
    </w:p>
    <w:p>
      <w:pPr>
        <w:ind w:left="90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38"/>
        </w:trPr>
        <w:tc>
          <w:tcPr>
            <w:tcW w:w="4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2,734,175*</w:t>
            </w:r>
          </w:p>
        </w:tc>
        <w:tc>
          <w:tcPr>
            <w:tcW w:w="220" w:type="dxa"/>
            <w:vAlign w:val="bottom"/>
          </w:tcPr>
          <w:p>
            <w:pPr>
              <w:spacing w:after="0"/>
              <w:rPr>
                <w:sz w:val="24"/>
                <w:szCs w:val="24"/>
                <w:color w:val="auto"/>
              </w:rPr>
            </w:pPr>
          </w:p>
        </w:tc>
      </w:tr>
      <w:tr>
        <w:trPr>
          <w:trHeight w:val="128"/>
        </w:trPr>
        <w:tc>
          <w:tcPr>
            <w:tcW w:w="4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338"/>
        </w:trPr>
        <w:tc>
          <w:tcPr>
            <w:tcW w:w="4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4"/>
                <w:szCs w:val="24"/>
                <w:color w:val="auto"/>
              </w:rPr>
            </w:pPr>
          </w:p>
        </w:tc>
      </w:tr>
      <w:tr>
        <w:trPr>
          <w:trHeight w:val="128"/>
        </w:trPr>
        <w:tc>
          <w:tcPr>
            <w:tcW w:w="4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338"/>
        </w:trPr>
        <w:tc>
          <w:tcPr>
            <w:tcW w:w="4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2,734,175*</w:t>
            </w:r>
          </w:p>
        </w:tc>
        <w:tc>
          <w:tcPr>
            <w:tcW w:w="220" w:type="dxa"/>
            <w:vAlign w:val="bottom"/>
          </w:tcPr>
          <w:p>
            <w:pPr>
              <w:spacing w:after="0"/>
              <w:rPr>
                <w:sz w:val="24"/>
                <w:szCs w:val="24"/>
                <w:color w:val="auto"/>
              </w:rPr>
            </w:pPr>
          </w:p>
        </w:tc>
      </w:tr>
      <w:tr>
        <w:trPr>
          <w:trHeight w:val="128"/>
        </w:trPr>
        <w:tc>
          <w:tcPr>
            <w:tcW w:w="4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338"/>
        </w:trPr>
        <w:tc>
          <w:tcPr>
            <w:tcW w:w="4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4"/>
                <w:szCs w:val="24"/>
                <w:color w:val="auto"/>
              </w:rPr>
            </w:pPr>
          </w:p>
        </w:tc>
      </w:tr>
      <w:tr>
        <w:trPr>
          <w:trHeight w:val="128"/>
        </w:trPr>
        <w:tc>
          <w:tcPr>
            <w:tcW w:w="4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bl>
    <w:p>
      <w:pPr>
        <w:spacing w:after="0" w:line="103" w:lineRule="exact"/>
        <w:rPr>
          <w:sz w:val="20"/>
          <w:szCs w:val="20"/>
          <w:color w:val="auto"/>
        </w:rPr>
      </w:pPr>
    </w:p>
    <w:p>
      <w:pPr>
        <w:ind w:left="3960" w:right="6180" w:hanging="3952"/>
        <w:spacing w:after="0" w:line="462" w:lineRule="auto"/>
        <w:tabs>
          <w:tab w:leader="none" w:pos="27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2,734,175*</w:t>
      </w:r>
    </w:p>
    <w:p>
      <w:pPr>
        <w:spacing w:after="0" w:line="70" w:lineRule="exact"/>
        <w:rPr>
          <w:rFonts w:ascii="Times New Roman" w:cs="Times New Roman" w:eastAsia="Times New Roman" w:hAnsi="Times New Roman"/>
          <w:sz w:val="17"/>
          <w:szCs w:val="17"/>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89" w:lineRule="exact"/>
        <w:rPr>
          <w:rFonts w:ascii="Times New Roman" w:cs="Times New Roman" w:eastAsia="Times New Roman" w:hAnsi="Times New Roman"/>
          <w:sz w:val="18"/>
          <w:szCs w:val="18"/>
          <w:color w:val="auto"/>
        </w:rPr>
      </w:pPr>
    </w:p>
    <w:p>
      <w:pPr>
        <w:ind w:left="39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4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Type of Reporting Person (See Instructions)</w:t>
      </w:r>
    </w:p>
    <w:p>
      <w:pPr>
        <w:spacing w:after="0" w:line="1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AVROBIO, Inc.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100 Technology Square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Sixth Floor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This report on Schedule 13G (this “Schedule 13G”) is being filed by Newtyn Management, LLC, a New York limited liability company (the “Reporting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for the Reporting Person is 60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Newtyn Management, LLC is organized under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$0.0001 par value per share (the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05455M100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73c).</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§13d-1(b)(1)(ii)(E).</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336"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660" w:right="20" w:hanging="652"/>
        <w:spacing w:after="0" w:line="245" w:lineRule="exact"/>
        <w:tabs>
          <w:tab w:leader="none" w:pos="336"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-24130</wp:posOffset>
            </wp:positionV>
            <wp:extent cx="4572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2,734,175*</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Percent of Class: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c>
          <w:tcPr>
            <w:tcW w:w="37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2,734,175*</w:t>
            </w:r>
          </w:p>
        </w:tc>
      </w:tr>
      <w:tr>
        <w:trPr>
          <w:trHeight w:val="216"/>
        </w:trPr>
        <w:tc>
          <w:tcPr>
            <w:tcW w:w="28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8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2,734,175*</w:t>
            </w:r>
          </w:p>
        </w:tc>
      </w:tr>
      <w:tr>
        <w:trPr>
          <w:trHeight w:val="234"/>
        </w:trPr>
        <w:tc>
          <w:tcPr>
            <w:tcW w:w="280" w:type="dxa"/>
            <w:vAlign w:val="bottom"/>
          </w:tcPr>
          <w:p>
            <w:pPr>
              <w:spacing w:after="0"/>
              <w:rPr>
                <w:sz w:val="20"/>
                <w:szCs w:val="20"/>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Person is the investment manager to Newtyn Partners, LP (“NP”) and Newtyn TE Partners, LP (“NTE”). As of December 31, 2023, NP held 1,332,500 shares of Common Stock and NTE held 1,401,675 shares of Common Stock. The Reporting Person, as the investment manager to NP and NTE, may be deemed to beneficially own these securities. Accordingly, as of December 31, 2023, the Reporting Person may be deemed to beneficially own the 2,734,175 shares of Common Stock held in the aggregate by NP and 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72"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The foregoing beneficial ownership percentage is based upon 44,573,911 shares of Common Stock issued and outstanding as of November 2, 2023, based on information reported by the Company in its Quarterly Report on Form 10-Q filed with the Securities and Exchange Commission on November 9,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left="660"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NEWTYN MANAGEMENT,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Eugene Dozortsev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Eugene Dozortsev</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68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2024-02-14T15:25:20Z</dcterms:created>
  <dcterms:modified xsi:type="dcterms:W3CDTF">2024-02-14T15:25:20Z</dcterms:modified>
</cp:coreProperties>
</file>