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490 Arsenal Way</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Suite 210</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Watertown, 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 w:right="260"/>
        <w:spacing w:after="0" w:line="312" w:lineRule="auto"/>
        <w:rPr>
          <w:sz w:val="20"/>
          <w:szCs w:val="20"/>
          <w:color w:val="auto"/>
        </w:rPr>
      </w:pPr>
      <w:r>
        <w:rPr>
          <w:rFonts w:ascii="Times New Roman" w:cs="Times New Roman" w:eastAsia="Times New Roman" w:hAnsi="Times New Roman"/>
          <w:sz w:val="17"/>
          <w:szCs w:val="17"/>
          <w:color w:val="auto"/>
        </w:rPr>
        <w:t>On August 14, 2024, Tectonic Therapeutic, Inc. announced its financial results for the quarter ended June 30, 2024 and provided a general business update. The full text of the press release is furnished as Exhibit 99.1 to this Current Report on Form 8-K and is incorporated herein by reference.</w:t>
      </w:r>
    </w:p>
    <w:p>
      <w:pPr>
        <w:spacing w:after="0" w:line="14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furnished to comply with Item 2.02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Tectonic Therapeutic, Inc. dated August 14, 2024</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64"/>
          </w:cols>
          <w:pgMar w:left="436" w:top="293" w:right="5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Daniel Lochner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Tectonic Therapeutic Announces Second Quarter 2024 Financial Results and Recent Business Highlights</w:t>
      </w:r>
    </w:p>
    <w:p>
      <w:pPr>
        <w:spacing w:after="0" w:line="256"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TX45 advances into Phase 2 clinical trial for patients with Group 2 PH-HFpEF with first site activated and screening open in August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U.S. Investigational New Drug (IND) clearance for lead program, TX45 in July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reverse merger with AVROBIO in June 2024, including concurrent private placement of $130.7 million</w:t>
      </w:r>
    </w:p>
    <w:p>
      <w:pPr>
        <w:spacing w:after="0" w:line="130"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$185.1 million as of June 30, 2024, prior to the payment of accrued transaction and related expenses of approximately $14.4 million, are expected to provide cash runway into mid-2027</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WATERTOWN, MA, August 14, 2024 (GLOBENEWSWIRE) — Tectonic Therapeutic, Inc. (NASDAQ: TECX) (“Tectonic”, or “the Company”), a clinical-stage biotechnology company focused on the discovery and development of therapeutic proteins and antibodies that modulate the activity of G-protein coupled receptors (GPCRs), today announced its financial results for the second quarter ending June 30, 2024, and provided an overview of recent business highlights.</w:t>
      </w:r>
    </w:p>
    <w:p>
      <w:pPr>
        <w:spacing w:after="0" w:line="18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second quarter of 2024 was transformational for Tectonic as we transitioned from a private to a public company, completed a significant concurrent capital raise, and continued to advance TX45, our novel Fc-relaxin fusion protein,” commented Alise Reicin, M.D., President and Chief Executive Officer of Tectonic. “Today, we announced the start of our global Phase 2 “APEX” clinical trial of TX45 for patients with Group 2 PH-HFpEF. Looking forward, this September, we expect to report topline results from our Phase 1a clinical trial evaluating single dose TX45 in healthy volunteers and dose the first subject in our Phase 2 clinical trial of TX45.”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131" w:lineRule="exact"/>
        <w:rPr>
          <w:sz w:val="20"/>
          <w:szCs w:val="20"/>
          <w:color w:val="auto"/>
        </w:rPr>
      </w:pPr>
    </w:p>
    <w:p>
      <w:pPr>
        <w:ind w:left="960" w:right="120" w:hanging="424"/>
        <w:spacing w:after="0" w:line="26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TX45 Phase 2 Clinical Trial Open for Screening</w:t>
      </w:r>
      <w:r>
        <w:rPr>
          <w:rFonts w:ascii="Times New Roman" w:cs="Times New Roman" w:eastAsia="Times New Roman" w:hAnsi="Times New Roman"/>
          <w:sz w:val="18"/>
          <w:szCs w:val="18"/>
          <w:color w:val="auto"/>
        </w:rPr>
        <w:t>: This August, the Company activated the first clinical trial site for the global, 24-week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 2 clinical trial (named the APEX trial) evaluating TX45 administered subcutaneously in subjects with Group 2 Pulmonary Hypertension (PH) due to Heart Failure with Preserved Ejection Fraction (PH-HFpEF). PH-HFpEF is a serious condition estimated to affect over 600,000 people in the United States alone, currently with no approved therapies.</w:t>
      </w:r>
    </w:p>
    <w:p>
      <w:pPr>
        <w:spacing w:after="0" w:line="81" w:lineRule="exact"/>
        <w:rPr>
          <w:rFonts w:ascii="Times New Roman" w:cs="Times New Roman" w:eastAsia="Times New Roman" w:hAnsi="Times New Roman"/>
          <w:sz w:val="18"/>
          <w:szCs w:val="18"/>
          <w:color w:val="auto"/>
        </w:rPr>
      </w:pPr>
    </w:p>
    <w:p>
      <w:pPr>
        <w:ind w:left="960" w:right="540" w:hanging="424"/>
        <w:spacing w:after="0" w:line="28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IND Clearance for TX45</w:t>
      </w:r>
      <w:r>
        <w:rPr>
          <w:rFonts w:ascii="Times New Roman" w:cs="Times New Roman" w:eastAsia="Times New Roman" w:hAnsi="Times New Roman"/>
          <w:sz w:val="18"/>
          <w:szCs w:val="18"/>
          <w:color w:val="auto"/>
        </w:rPr>
        <w:t>: On July 30, 2024, the Company announced the U.S. Food and Drug Administration cleared its 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for TX45.</w:t>
      </w:r>
    </w:p>
    <w:p>
      <w:pPr>
        <w:spacing w:after="0" w:line="60" w:lineRule="exact"/>
        <w:rPr>
          <w:rFonts w:ascii="Times New Roman" w:cs="Times New Roman" w:eastAsia="Times New Roman" w:hAnsi="Times New Roman"/>
          <w:sz w:val="18"/>
          <w:szCs w:val="18"/>
          <w:color w:val="auto"/>
        </w:rPr>
      </w:pPr>
    </w:p>
    <w:p>
      <w:pPr>
        <w:ind w:left="960" w:right="420" w:hanging="424"/>
        <w:spacing w:after="0" w:line="28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Closed Reverse Merger with AVROBIO and Concurrent Financing</w:t>
      </w:r>
      <w:r>
        <w:rPr>
          <w:rFonts w:ascii="Times New Roman" w:cs="Times New Roman" w:eastAsia="Times New Roman" w:hAnsi="Times New Roman"/>
          <w:sz w:val="18"/>
          <w:szCs w:val="18"/>
          <w:color w:val="auto"/>
        </w:rPr>
        <w:t>: On June 20, 2024, the Company announced the closing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reverse merger with AVROBIO along with a concurrent private placement financing of $130.7 million.</w:t>
      </w:r>
    </w:p>
    <w:p>
      <w:pPr>
        <w:sectPr>
          <w:pgSz w:w="11900" w:h="16838" w:orient="portrait"/>
          <w:cols w:equalWidth="0" w:num="1">
            <w:col w:w="11020"/>
          </w:cols>
          <w:pgMar w:left="440" w:top="117" w:right="439" w:bottom="1440" w:gutter="0" w:footer="0" w:header="0"/>
        </w:sectPr>
      </w:pPr>
    </w:p>
    <w:bookmarkStart w:id="4" w:name="page5"/>
    <w:bookmarkEnd w:id="4"/>
    <w:p>
      <w:pPr>
        <w:ind w:left="960" w:right="260" w:hanging="424"/>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Appointed New CFO</w:t>
      </w:r>
      <w:r>
        <w:rPr>
          <w:rFonts w:ascii="Times New Roman" w:cs="Times New Roman" w:eastAsia="Times New Roman" w:hAnsi="Times New Roman"/>
          <w:sz w:val="18"/>
          <w:szCs w:val="18"/>
          <w:color w:val="auto"/>
        </w:rPr>
        <w:t>: On June 3, 2024, Tectonic appointed Dan Lochner, who has nearly 20 years of biotechnology experience,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Chief Financial Officer.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Milestones</w:t>
      </w:r>
    </w:p>
    <w:p>
      <w:pPr>
        <w:spacing w:after="0" w:line="131" w:lineRule="exact"/>
        <w:rPr>
          <w:sz w:val="20"/>
          <w:szCs w:val="20"/>
          <w:color w:val="auto"/>
        </w:rPr>
      </w:pPr>
    </w:p>
    <w:p>
      <w:pPr>
        <w:ind w:left="960" w:right="280" w:hanging="424"/>
        <w:spacing w:after="0" w:line="26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APEX Phase 2 Clinical Trial to Dose First Subject with TX45</w:t>
      </w:r>
      <w:r>
        <w:rPr>
          <w:rFonts w:ascii="Times New Roman" w:cs="Times New Roman" w:eastAsia="Times New Roman" w:hAnsi="Times New Roman"/>
          <w:sz w:val="18"/>
          <w:szCs w:val="18"/>
          <w:color w:val="auto"/>
        </w:rPr>
        <w:t>: The Company expects to dose its first subject in its global, 24-week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APEX Phase 2 clinical trial this September. The trial is a placebo-controlled study designed to evaluate the safety and efficacy of TX45 administered subcutaneously in subjects with PH-HFpEF. Topline trial results from this trial are expected in 2026.</w:t>
      </w:r>
    </w:p>
    <w:p>
      <w:pPr>
        <w:spacing w:after="0" w:line="76" w:lineRule="exact"/>
        <w:rPr>
          <w:rFonts w:ascii="Times New Roman" w:cs="Times New Roman" w:eastAsia="Times New Roman" w:hAnsi="Times New Roman"/>
          <w:sz w:val="18"/>
          <w:szCs w:val="18"/>
          <w:color w:val="auto"/>
        </w:rPr>
      </w:pPr>
    </w:p>
    <w:p>
      <w:pPr>
        <w:ind w:left="960" w:right="12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1a Clinical Trial Results</w:t>
      </w:r>
      <w:r>
        <w:rPr>
          <w:rFonts w:ascii="Times New Roman" w:cs="Times New Roman" w:eastAsia="Times New Roman" w:hAnsi="Times New Roman"/>
          <w:sz w:val="18"/>
          <w:szCs w:val="18"/>
          <w:color w:val="auto"/>
        </w:rPr>
        <w:t>: Topline results for the TX45 Phase 1a clinical trial in healthy volunteers are expected to be released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with detailed data to be subsequently presented at a scientific meeting.</w:t>
      </w:r>
    </w:p>
    <w:p>
      <w:pPr>
        <w:spacing w:after="0" w:line="60" w:lineRule="exact"/>
        <w:rPr>
          <w:rFonts w:ascii="Times New Roman" w:cs="Times New Roman" w:eastAsia="Times New Roman" w:hAnsi="Times New Roman"/>
          <w:sz w:val="18"/>
          <w:szCs w:val="18"/>
          <w:color w:val="auto"/>
        </w:rPr>
      </w:pPr>
    </w:p>
    <w:p>
      <w:pPr>
        <w:ind w:left="960" w:right="3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Ongoing Phase 1b Hemodynamic Clinical Trial</w:t>
      </w:r>
      <w:r>
        <w:rPr>
          <w:rFonts w:ascii="Times New Roman" w:cs="Times New Roman" w:eastAsia="Times New Roman" w:hAnsi="Times New Roman"/>
          <w:sz w:val="18"/>
          <w:szCs w:val="18"/>
          <w:color w:val="auto"/>
        </w:rPr>
        <w:t>: The TX45 Phase 1b hemodynamic clinical trial evaluating single doses of TX45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subjects with PH-HFpEF continues to enroll as planned, with topline trial results from this trial are expected in mid-2025.</w:t>
      </w:r>
    </w:p>
    <w:p>
      <w:pPr>
        <w:spacing w:after="0" w:line="60" w:lineRule="exact"/>
        <w:rPr>
          <w:rFonts w:ascii="Times New Roman" w:cs="Times New Roman" w:eastAsia="Times New Roman" w:hAnsi="Times New Roman"/>
          <w:sz w:val="18"/>
          <w:szCs w:val="18"/>
          <w:color w:val="auto"/>
        </w:rPr>
      </w:pPr>
    </w:p>
    <w:p>
      <w:pPr>
        <w:ind w:left="960" w:hanging="424"/>
        <w:spacing w:after="0" w:line="259"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Selection of Development Candidate for Second Program</w:t>
      </w:r>
      <w:r>
        <w:rPr>
          <w:rFonts w:ascii="Times New Roman" w:cs="Times New Roman" w:eastAsia="Times New Roman" w:hAnsi="Times New Roman"/>
          <w:sz w:val="18"/>
          <w:szCs w:val="18"/>
          <w:color w:val="auto"/>
        </w:rPr>
        <w:t>: The Company’s second program is evaluating Hereditary Hemorrhagic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Telangiectasia (HHT), the second-most common genetic bleeding disorder, representing a potential first-in-indication opportunity. The Company plans to select a development candidate in the second half of 2024 and anticipates initiating a Phase 1 clinical trial beginning in the fourth quarter of 2025 or the first quarter of 2026. HHT is the second most common genetic bleeding disorder, and it is estimated to affect approximately 70,000-75,000 people in the United States alone, with up to 10-20% of those patients expected to have severe disease.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Financial and Operating Results</w:t>
      </w:r>
    </w:p>
    <w:p>
      <w:pPr>
        <w:spacing w:after="0" w:line="131" w:lineRule="exact"/>
        <w:rPr>
          <w:sz w:val="20"/>
          <w:szCs w:val="20"/>
          <w:color w:val="auto"/>
        </w:rPr>
      </w:pPr>
    </w:p>
    <w:p>
      <w:pPr>
        <w:ind w:left="960" w:right="240" w:hanging="424"/>
        <w:spacing w:after="0" w:line="26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As of June 30, 2024, cash and cash equivalents were $185.1 million, compared to $18.7 million as of March 31,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 anticipates that its current cash and cash equivalents as of the date hereof, will provide a cash runway into mid-2027, including through key Phase 1b and Phase 2 readouts for TX45, and the progression of the HHT program into clinical development.</w:t>
      </w:r>
    </w:p>
    <w:p>
      <w:pPr>
        <w:spacing w:after="0" w:line="76" w:lineRule="exact"/>
        <w:rPr>
          <w:rFonts w:ascii="Times New Roman" w:cs="Times New Roman" w:eastAsia="Times New Roman" w:hAnsi="Times New Roman"/>
          <w:sz w:val="18"/>
          <w:szCs w:val="18"/>
          <w:color w:val="auto"/>
        </w:rPr>
      </w:pPr>
    </w:p>
    <w:p>
      <w:pPr>
        <w:ind w:left="960" w:right="60" w:hanging="424"/>
        <w:spacing w:after="0" w:line="257"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 Research and development expenses were $7.1 million for the three months ended June 30,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compared to $8.8 million for the three months ended June 30, 2023. The decrease was primarily due to a reduction in Contract Manufacturing Organization (CMO) costs as a result of fewer batches of clinical trial supply produced during the three months ended June 30, 2024 compared to the three months ended June 30, 2023, due to the completed production of drug substance for the TX45 program in 2023 for planned Phase 1 and Phase 2 studies, and a reduction in preclinical Contract Research Organization (“CRO”) costs. This was partially offset by an increase in consulting and professional services fees, as well as an increase in clinical CRO costs.</w:t>
      </w:r>
    </w:p>
    <w:p>
      <w:pPr>
        <w:sectPr>
          <w:pgSz w:w="11900" w:h="16838" w:orient="portrait"/>
          <w:cols w:equalWidth="0" w:num="1">
            <w:col w:w="11000"/>
          </w:cols>
          <w:pgMar w:left="440" w:top="266" w:right="459" w:bottom="1440" w:gutter="0" w:footer="0" w:header="0"/>
        </w:sectPr>
      </w:pPr>
    </w:p>
    <w:bookmarkStart w:id="5" w:name="page6"/>
    <w:bookmarkEnd w:id="5"/>
    <w:p>
      <w:pPr>
        <w:ind w:left="960" w:hanging="424"/>
        <w:spacing w:after="0" w:line="26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and Administrative Expenses</w:t>
      </w:r>
      <w:r>
        <w:rPr>
          <w:rFonts w:ascii="Times New Roman" w:cs="Times New Roman" w:eastAsia="Times New Roman" w:hAnsi="Times New Roman"/>
          <w:sz w:val="18"/>
          <w:szCs w:val="18"/>
          <w:color w:val="auto"/>
        </w:rPr>
        <w:t>: General and administrative expenses were $4.3 million for the three months ended June 30,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compared to $1.9 million for the three months ended June 30, 2023. The increase was primarily the result of increases in professional and consulting fees to support merger-related activities as well as increases in personnel related costs.</w:t>
      </w:r>
    </w:p>
    <w:p>
      <w:pPr>
        <w:spacing w:after="0" w:line="76" w:lineRule="exact"/>
        <w:rPr>
          <w:rFonts w:ascii="Times New Roman" w:cs="Times New Roman" w:eastAsia="Times New Roman" w:hAnsi="Times New Roman"/>
          <w:sz w:val="18"/>
          <w:szCs w:val="18"/>
          <w:color w:val="auto"/>
        </w:rPr>
      </w:pPr>
    </w:p>
    <w:p>
      <w:pPr>
        <w:ind w:left="960" w:right="100" w:hanging="424"/>
        <w:spacing w:after="0" w:line="26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Expense, Net</w:t>
      </w:r>
      <w:r>
        <w:rPr>
          <w:rFonts w:ascii="Times New Roman" w:cs="Times New Roman" w:eastAsia="Times New Roman" w:hAnsi="Times New Roman"/>
          <w:sz w:val="18"/>
          <w:szCs w:val="18"/>
          <w:color w:val="auto"/>
        </w:rPr>
        <w:t>: Other expense, net was $1.3 million for the three months ended June 30, 2024, as compared to $0.2 million of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net for the three months ended June 30, 2023. The $1.4 million change was primarily the result of a SAFE liabilities loss of $1.5 million due to a remeasurement of the SAFE liabilities to fair value during the three months ended June 30, 2024 as compared to the three months ended June 30, 2023.</w:t>
      </w:r>
    </w:p>
    <w:p>
      <w:pPr>
        <w:spacing w:after="0" w:line="81" w:lineRule="exact"/>
        <w:rPr>
          <w:rFonts w:ascii="Times New Roman" w:cs="Times New Roman" w:eastAsia="Times New Roman" w:hAnsi="Times New Roman"/>
          <w:sz w:val="18"/>
          <w:szCs w:val="18"/>
          <w:color w:val="auto"/>
        </w:rPr>
      </w:pPr>
    </w:p>
    <w:p>
      <w:pPr>
        <w:ind w:left="960" w:right="60" w:hanging="424"/>
        <w:spacing w:after="0" w:line="28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For the three months ended June 30, 2024, the Company had a net loss of $12.7 million, compared to a net loss of $10.5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 months ended June 30, 2023.</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TX45, a long-acting Fc-relaxin fusion protein</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Tectonic’s lead program, TX000045 (TX45), is an Fc-relaxin fusion protein with optimized pharmacokinetics and biophysical properties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TX45’s pharmacological profile, with an extended half-life compared with native relaxin, is a direct result of applying Tectonic’s protein engineering capabilities. It has the potential to address patients with Group 2 PH-HFpEF as the initial disease setting. Treatment with TX45 could potentially improve hemodynamics through effects on pulmonary and systemic vasodilation, cardiac diastolic dysfunction and potential remodeling in both the pulmonary vessels and the heart, which could translate into a clinically meaningful improvement in exercise capacity in these patients.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Phase 1a clinical trial of TX45 in healthy volunteers was designed as a single ascending dose trial evaluating the safety, tolerability, pharmacokinetics and pharmacodynamics (including renal blood flow) of TX45 administered intravenously (IV) (four doses ranging from 0.3 mg/kg to 10 mg/kg) and SC (three doses, 150 mg, 300 mg and 600 mg). Topline results are expected to be reported from this trial this September, followed by more detailed data at a later scientific meeting.</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Phase 1b clinical trial of TX45 in patients with Group 2 PH-HFpEF is a single dose, open-label trial to evaluate safety, tolerability and acute hemodynamic effects of IV administration of TX45, with study results expected in mid-2025. The trial will evaluate the change from baseline in pulmonary vascular resistance (PVR) as determined by right heart catheterization, as well as improvement in mean pulmonary artery pressure (mPAP), pulmonary capillary wedge pressure (PCWP), cardiac output, and systemic vascular resistance (SVR).</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Group 2 Pulmonary Hypertension in HFpEF</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World Health Organization has defined 5 groups of PH. Tectonic is focused on the Group 2 subtype, a condition that develops as a consequence of left-sided heart disease, specifically pulmonary hypertension secondary to left heart failure with preserved ejection fraction (PH-HFpEF). There are an estimated 6 million patients with heart failure in the United States, with HFpEF representing up to ~50% of heart failure cases. Tectonic estimates the combined Group 2 PH population with HFpEF at over 600,000.</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Although several Group 1 PH (Pulmonary Arterial Hypertension, PAH) medications have been explored in Group 2 PH, to date, no medications have been approved for its treatment.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Tectonic</w:t>
      </w:r>
    </w:p>
    <w:p>
      <w:pPr>
        <w:spacing w:after="0" w:line="12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Tectonic Therapeutic is a clinical-stage biotechnology company focused on the discovery and development of therapeutic proteins and antibodies that modulate the activity of G-protein coupled receptors (GPCRs). Leveraging its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where therapeutic options are poor or nonexistent, and new medicines have the potential to improve patient quality of life. Tectonic is headquartered in Watertown, Massachusetts. For more information, please visit www.tectonictx.com and follow @TectonicTx on X (formerly Twitter) and LinkedIn.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clinical trials of Tectonic’s product candidate, TX45, including the ongoing Phase 1a and Phase 1b clinical trial in Group 2 PH-HFpEF; the proposed initiation of the Phase 2 clinical trial of TX45 in Group 2 PH-HFpEF including anticipated clinical trial design and study endpoints; the anticipated market opportunity of TX45 to address the unmet needs of patients living with PH-HFpEF; the Company’s plans to select a development candidate for its second program in HHT and anticipated market opportunity; and the Company’s expected cash runway. These forward-</w:t>
      </w:r>
    </w:p>
    <w:p>
      <w:pPr>
        <w:sectPr>
          <w:pgSz w:w="11900" w:h="16838" w:orient="portrait"/>
          <w:cols w:equalWidth="0" w:num="1">
            <w:col w:w="11000"/>
          </w:cols>
          <w:pgMar w:left="440" w:top="266" w:right="45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between Israel and Hamas,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in the section titled “Risk Factors” in the final prospectus on Form 424(b)(3) filed by AVROBIO with the SEC on May 3, 2024, and in subsequent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www.tectonictx.com and follow @TectonicTx on X (formerly Twitter) and LinkedIn.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Ferry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daniel@lifesciadvisors.com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 430-7576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Sharma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ksharma@cglife.com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 571-2733</w:t>
      </w:r>
    </w:p>
    <w:p>
      <w:pPr>
        <w:sectPr>
          <w:pgSz w:w="11900" w:h="16838" w:orient="portrait"/>
          <w:cols w:equalWidth="0" w:num="1">
            <w:col w:w="10960"/>
          </w:cols>
          <w:pgMar w:left="440" w:top="270" w:right="4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Tectonic Therapeutic,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7,074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21,751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30"/>
        </w:trPr>
        <w:tc>
          <w:tcPr>
            <w:tcW w:w="5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(25,162)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2,919,872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1,228,778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2,150,160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1,208,447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Tectonic Therapeutic,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06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906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$ 185,124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28,769</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161,387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(10,004)</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193,910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39,399</w:t>
            </w:r>
          </w:p>
        </w:tc>
      </w:t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166,367</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(84,636)</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2024-08-14T15:42:24Z</dcterms:created>
  <dcterms:modified xsi:type="dcterms:W3CDTF">2024-08-14T15:42:24Z</dcterms:modified>
</cp:coreProperties>
</file>