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209550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November 7, 2019, AVROBIO, Inc. (the “Company”) issued a press release containing information about the Company’s results of operations for the three and nine months ended September 30, 2019.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November 7, 2019.</w:t>
        </w:r>
      </w:hyperlink>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 Reports Third Quarter 2019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Dosing of first Fabry patient incorporating plato</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anticipated for fourth quarter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All Fabry patients who discontinued enzyme replacement therapy (ERT) following treatment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AVR-RD-01 investigational gene therapy remain off ERT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FDA orphan drug designation granted for AVR-RD-02 investigational gene therapy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treatment of Gaucher disease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patient dosed in AVR-RD-04 investigational gene therapy program for cystinosis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CAMBRIDGE, Mass., November 7, 2019 – AVROBIO, Inc. (NASDAQ: AVRO) (the “Company”), a Phase 2 clinical-stage gene therapy company, today reported financial results for the third quarter ended September 30, 2019 and provided a business update.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thrilled with the progress across our pipeline, including the dosing of the first patient in our cystinosis program and receipt of orphan drug designation for our investigational gene therapy for Gaucher disease,” commented Geoff MacKay, President and Chief Executive Officer of AVROBIO. “In our Fabry program, we have now dosed eight patients across two clinical trials and we are on track to use our optimized lentiviral vector and a conditioning regimen utilizing therapeutic drug monitoring for the first time to dose a patient in our Phase 2 clinical trial for Fabry disease by the end of 2019. While our rapid expansion and early data have been exciting, we are humbled by the needs of the rare disease communities with whom we engage. They impress a sense of urgency on our work to deliver a new paradigm that we believe can supersede current treatment options and potentially provide patients freedom from a lifetime of disease.”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31" w:lineRule="exact"/>
        <w:rPr>
          <w:sz w:val="20"/>
          <w:szCs w:val="20"/>
          <w:color w:val="auto"/>
        </w:rPr>
      </w:pPr>
    </w:p>
    <w:p>
      <w:pPr>
        <w:ind w:left="980" w:right="100" w:hanging="436"/>
        <w:spacing w:after="0" w:line="290"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Phase 1 and Phase 2 clinical trials of AVR-RD-01 in Fabry disease remain on track. </w:t>
      </w:r>
      <w:r>
        <w:rPr>
          <w:rFonts w:ascii="Arial" w:cs="Arial" w:eastAsia="Arial" w:hAnsi="Arial"/>
          <w:sz w:val="16"/>
          <w:szCs w:val="16"/>
          <w:color w:val="auto"/>
        </w:rPr>
        <w:t>In July, the Company presented positive</w:t>
      </w:r>
      <w:r>
        <w:rPr>
          <w:rFonts w:ascii="Arial" w:cs="Arial" w:eastAsia="Arial" w:hAnsi="Arial"/>
          <w:sz w:val="16"/>
          <w:szCs w:val="16"/>
          <w:b w:val="1"/>
          <w:bCs w:val="1"/>
          <w:color w:val="auto"/>
        </w:rPr>
        <w:t xml:space="preserve"> </w:t>
      </w:r>
      <w:r>
        <w:rPr>
          <w:rFonts w:ascii="Arial" w:cs="Arial" w:eastAsia="Arial" w:hAnsi="Arial"/>
          <w:sz w:val="16"/>
          <w:szCs w:val="16"/>
          <w:color w:val="auto"/>
        </w:rPr>
        <w:t>preliminary data from both the Phase 2 (FAB-201) and Phase 1 clinical trials. Results observed across multiple metrics included a substantial reduction in the average number of Gb3 inclusions per peritubular capillary in the kidney biopsy for the first Phase 2 (FAB-201) patient, sustained plasma lyso-Gb3 reductions, stable cardiac and kidney functions at one-year post treatment in the first Phase 2 (FAB-201) patient and durability data showing sustained results across multiple parameters over two years post-treatment for the first Phase 1 patient. All patients who discontinued enzyme replacement therapy (ERT) following treatment with AVR-RD-01 remain off ERT with sustained plasma lyso-Gb3 reduction. Serious adverse events (SAEs) and adverse events (AEs) reported were generally consistent with the conditioning regimen, underlying disease or pre-existing conditions. The Phase 1 trial is fully enrolled and all five patients have been dosed. The Phase 2 trial is on track to incorporate our plato platform for the next patient with dosing anticipated by the end of 2019.</w:t>
      </w:r>
    </w:p>
    <w:p>
      <w:pPr>
        <w:sectPr>
          <w:pgSz w:w="11900" w:h="16838" w:orient="portrait"/>
          <w:cols w:equalWidth="0" w:num="1">
            <w:col w:w="11020"/>
          </w:cols>
          <w:pgMar w:left="440" w:top="121" w:right="439" w:bottom="1440" w:gutter="0" w:footer="0" w:header="0"/>
        </w:sectPr>
      </w:pPr>
    </w:p>
    <w:bookmarkStart w:id="4" w:name="page5"/>
    <w:bookmarkEnd w:id="4"/>
    <w:p>
      <w:pPr>
        <w:ind w:left="436" w:right="120" w:hanging="436"/>
        <w:spacing w:after="0" w:line="255"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Received FDA orphan drug designation for AVR-RD-02 for the treatment of Gaucher disease. </w:t>
      </w:r>
      <w:r>
        <w:rPr>
          <w:rFonts w:ascii="Arial" w:cs="Arial" w:eastAsia="Arial" w:hAnsi="Arial"/>
          <w:sz w:val="18"/>
          <w:szCs w:val="18"/>
          <w:color w:val="auto"/>
        </w:rPr>
        <w:t>In October 2019, the Company was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orphan drug designation from the U.S. Food and Drug Administration (FDA) for the Company’s investigational gene therapy, AVR-RD-02, for the treatment of Gaucher disease. The Company is actively recruiting in Canada for a Phase 1/2 clinical trial designed to enroll 8 to 16 patients between the ages of 16 and 35 with Type 1 Gaucher disease, including patients who are treatment-naïve as well as patients who are stable on ERT. The first patient is expected to be enrolled in the first quarter of 2020 and dosed in the second quarter of 2020. The Company plans to add additional clinical sites for this trial in several countries, including Australia and the U.S., pending regulatory clearances.</w:t>
      </w:r>
    </w:p>
    <w:p>
      <w:pPr>
        <w:spacing w:after="0" w:line="94" w:lineRule="exact"/>
        <w:rPr>
          <w:rFonts w:ascii="Arial" w:cs="Arial" w:eastAsia="Arial" w:hAnsi="Arial"/>
          <w:sz w:val="18"/>
          <w:szCs w:val="18"/>
          <w:color w:val="auto"/>
        </w:rPr>
      </w:pPr>
    </w:p>
    <w:p>
      <w:pPr>
        <w:ind w:left="436" w:hanging="436"/>
        <w:spacing w:after="0"/>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First patient dosed in AVR-RD-04 Phase 1/2 clinical trial in cystinosis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536" w:right="160" w:hanging="537"/>
        <w:spacing w:after="0" w:line="255" w:lineRule="auto"/>
        <w:tabs>
          <w:tab w:leader="none" w:pos="153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October 2019, the first patient was dosed in the Company’s AVR-RD-04 investigational gene therapy program for cystinosis, in an ongoing investigator-sponsored Phase 1/2 clinical trial led by Dr. Stephanie Cherqui at the University of California, San Diego (UCSD). The investigational gene therapy is designed with the intent to halt the further progression of disease by utilizing a patients’ own hematopoietic stem cells, which are modified to add the gene that encodes for cystinosin with the aim of substantially reducing levels of cystine in cells throughout the patient’s body, including in the brain.</w:t>
      </w:r>
    </w:p>
    <w:p>
      <w:pPr>
        <w:spacing w:after="0" w:line="98" w:lineRule="exact"/>
        <w:rPr>
          <w:rFonts w:ascii="Arial" w:cs="Arial" w:eastAsia="Arial" w:hAnsi="Arial"/>
          <w:sz w:val="18"/>
          <w:szCs w:val="18"/>
          <w:color w:val="auto"/>
        </w:rPr>
      </w:pPr>
    </w:p>
    <w:p>
      <w:pPr>
        <w:ind w:left="1536" w:hanging="537"/>
        <w:spacing w:after="0" w:line="255" w:lineRule="auto"/>
        <w:tabs>
          <w:tab w:leader="none" w:pos="153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Phase 1/2 trial, funded by the California Institute for Regenerative Medicine (CIRM) and the Cystinosis Research Foundation, is designed to enroll up to six patients with cystinosis. The trial’s primary endpoints are safety and tolerability, assessed for up to two years after treatment, as well as efficacy, assessed by measuring cystine levels in white blood cells. The study also aims to evaluate cystine levels in the blood, intestinal mucosa and skin and cystine crystal counts in the eye and skin along with additional tests of kidney function, vision, muscle strength, pulmonary function and neurological and psychometric function, through clinical examinations and assessments of patient quality of life after treatment, as secondary endpoints to further assess efficacy.</w:t>
      </w:r>
    </w:p>
    <w:p>
      <w:pPr>
        <w:spacing w:after="0" w:line="94" w:lineRule="exact"/>
        <w:rPr>
          <w:rFonts w:ascii="Arial" w:cs="Arial" w:eastAsia="Arial" w:hAnsi="Arial"/>
          <w:sz w:val="18"/>
          <w:szCs w:val="18"/>
          <w:color w:val="auto"/>
        </w:rPr>
      </w:pPr>
    </w:p>
    <w:p>
      <w:pPr>
        <w:ind w:left="1536" w:right="120" w:hanging="537"/>
        <w:spacing w:after="0" w:line="276" w:lineRule="auto"/>
        <w:tabs>
          <w:tab w:leader="none" w:pos="1536" w:val="left"/>
        </w:tabs>
        <w:numPr>
          <w:ilvl w:val="1"/>
          <w:numId w:val="3"/>
        </w:numPr>
        <w:rPr>
          <w:rFonts w:ascii="Arial" w:cs="Arial" w:eastAsia="Arial" w:hAnsi="Arial"/>
          <w:sz w:val="17"/>
          <w:szCs w:val="17"/>
          <w:color w:val="auto"/>
        </w:rPr>
      </w:pPr>
      <w:r>
        <w:rPr>
          <w:rFonts w:ascii="Arial" w:cs="Arial" w:eastAsia="Arial" w:hAnsi="Arial"/>
          <w:sz w:val="17"/>
          <w:szCs w:val="17"/>
          <w:color w:val="auto"/>
        </w:rPr>
        <w:t>Cystinosis is a rare, inherited disease caused by a defect in the gene that encodes for cystinosin. The cystinosin protein enables transport of the amino acid cystine out of lysosomes. When it is absent, cystine accumulates and crystalizes, causing progressive damage to the kidneys, liver, muscles, eyes, CNS and other organs and tissues. Cystinosis affects both children and adults; patients with cystinosis face shortened life spans and often painful symptoms, including muscle wasting, difficulty swallowing, blindness and kidney failure.</w:t>
      </w:r>
    </w:p>
    <w:p>
      <w:pPr>
        <w:spacing w:after="0" w:line="73" w:lineRule="exact"/>
        <w:rPr>
          <w:rFonts w:ascii="Arial" w:cs="Arial" w:eastAsia="Arial" w:hAnsi="Arial"/>
          <w:sz w:val="17"/>
          <w:szCs w:val="17"/>
          <w:color w:val="auto"/>
        </w:rPr>
      </w:pPr>
    </w:p>
    <w:p>
      <w:pPr>
        <w:ind w:left="436" w:right="20" w:hanging="436"/>
        <w:spacing w:after="0" w:line="255"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Continued organizational growth as AVROBIO’s pipeline advances. </w:t>
      </w:r>
      <w:r>
        <w:rPr>
          <w:rFonts w:ascii="Arial" w:cs="Arial" w:eastAsia="Arial" w:hAnsi="Arial"/>
          <w:sz w:val="18"/>
          <w:szCs w:val="18"/>
          <w:color w:val="auto"/>
        </w:rPr>
        <w:t>The Company continues to grow and recruit top talent across key</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In August, the Company hired Georgette Verdin as Chief Human Resources Officer to oversee all aspects of human resources, including talent management and organizational development. In October, the Company hired Holly May to fill the newly created role of Chief Commercial Officer. As the Company’s pipeline continues to advance, Ms. May will lead the development of the Company’s commercial strategy and the implementation of anticipated global commercial activities, including oversight of pre-market activities, development and execution of pricing, reimbursement and market access strategies to support AVROBIO’s competitive position in markets globally.</w:t>
      </w:r>
    </w:p>
    <w:p>
      <w:pPr>
        <w:sectPr>
          <w:pgSz w:w="11900" w:h="16838" w:orient="portrait"/>
          <w:cols w:equalWidth="0" w:num="1">
            <w:col w:w="10476"/>
          </w:cols>
          <w:pgMar w:left="984" w:top="270" w:right="439" w:bottom="1440" w:gutter="0" w:footer="0" w:header="0"/>
        </w:sectPr>
      </w:pPr>
    </w:p>
    <w:bookmarkStart w:id="5" w:name="page6"/>
    <w:bookmarkEnd w:id="5"/>
    <w:p>
      <w:pPr>
        <w:jc w:val="both"/>
        <w:ind w:left="980" w:right="680" w:hanging="436"/>
        <w:spacing w:after="0" w:line="28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Clinical update planned for upcoming WORLD</w:t>
      </w:r>
      <w:r>
        <w:rPr>
          <w:rFonts w:ascii="Arial" w:cs="Arial" w:eastAsia="Arial" w:hAnsi="Arial"/>
          <w:sz w:val="17"/>
          <w:szCs w:val="17"/>
          <w:b w:val="1"/>
          <w:bCs w:val="1"/>
          <w:i w:val="1"/>
          <w:iCs w:val="1"/>
          <w:color w:val="auto"/>
        </w:rPr>
        <w:t>Symposium</w:t>
      </w:r>
      <w:r>
        <w:rPr>
          <w:rFonts w:ascii="Arial" w:cs="Arial" w:eastAsia="Arial" w:hAnsi="Arial"/>
          <w:sz w:val="17"/>
          <w:szCs w:val="17"/>
          <w:color w:val="auto"/>
        </w:rPr>
        <w:t>. The Company plans to provide clinical trial updates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investigational gene therapy program for AVR-RD-01 in Fabry disease at WORLDSymposium, an annual conference dedicated to lysosomal diseases, being held February 10-13, 2020 in Orlando, Florida.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AVROBIO reported a net loss of $17.1 million for the third quarter of 2019 as compared to a net loss of $11.6 million for the comparable period in 2018. This increase was due to increased research and development expenses, as well as increased general and administrative expenses.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Research and development expenses were $13.0 million for the third quarter of 2019 as compared to $9.2 million for the comparable period in 2018. This increase was driven by increased program development activities related to the advancement of the Company’s pipeline, as well as increased personnel-related costs resulting from an increase in employee headcount.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 and administrative expenses were $5.0 million for the third quarter of 2019 as compared to $3.0 million for the comparable period in 2018. This increase was primarily due to an increase in employee headcount, expenses associated with being a publicly traded company, including consulting expenses, and the impact of non-cash stock-based compensation.</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September 30, 2019, AVROBIO had $206.4 million in cash and cash equivalents, as compared to $126.3 million in cash and cash equivalents as of December 31, 2018. The cash balance as of September 30, 2019 reflects the receipt of net proceeds of $129.5 million from the Company’s July 2019 follow-on equity offering. Based on the Company’s current operating plan, AVROBIO expects its cash and cash equivalents as of September 30, 2019 will enable the Company to fund its operating expenses and capital expenditure requirements into the second half of 2021.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AVROBIO, Inc. is a leading, Phase 2 gene therapy company focused on the development of its investigational gene therapy, AVR-RD-01, in Fabry disease, as well as additional gene therapy programs in other lysosomal storage disorders including Gaucher disease, cystinosis and Pompe disease. The Company’s plato</w:t>
      </w:r>
      <w:r>
        <w:rPr>
          <w:rFonts w:ascii="Arial" w:cs="Arial" w:eastAsia="Arial" w:hAnsi="Arial"/>
          <w:sz w:val="15"/>
          <w:szCs w:val="15"/>
          <w:color w:val="auto"/>
        </w:rPr>
        <w:t>™</w:t>
      </w:r>
      <w:r>
        <w:rPr>
          <w:rFonts w:ascii="Arial" w:cs="Arial" w:eastAsia="Arial" w:hAnsi="Arial"/>
          <w:sz w:val="18"/>
          <w:szCs w:val="18"/>
          <w:color w:val="auto"/>
        </w:rPr>
        <w:t xml:space="preserve"> platform includes a proprietary vector system, automated cell manufacturing solution and refined conditioning regimen deploying therapeutic drug monitoring. AVROBIO is headquartered in Cambridge, MA and has offices in Toronto, ON. For additional information, visit www.avrobio.com.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the design, commencement, enrollment and timing of ongoing or planned clinical trials, clinical trial results, product approvals and regulatory pathways, the intended incentives conferred by orphan-drug designation, potential regulatory approvals and the timing thereof, expected benefits from the appointment of Ms. Verdin to the position of Chief Human Resources Officer and Ms. May to the position of Chief Commercial Officer, anticipated benefits of our gene therapy platform including potential impact on our commercialization activities, timing and likelihood of success, plans and objectives of management for future operations, future results of anticipated products, and the market opportunity for and anticipated commercial activities relating to our product candidates, and statements regarding the Company’s financial and cash position and expected cash runway.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Quarterly Report on Form 10-Q for the quarter ended June 30, 2019,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and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tom@tenbridgecommunications.com</w:t>
      </w:r>
    </w:p>
    <w:p>
      <w:pPr>
        <w:sectPr>
          <w:pgSz w:w="11900" w:h="16838" w:orient="portrait"/>
          <w:cols w:equalWidth="0" w:num="1">
            <w:col w:w="11020"/>
          </w:cols>
          <w:pgMar w:left="440" w:top="274"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217,205</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1,408</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206,760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217,205</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4"/>
                <w:szCs w:val="14"/>
                <w:color w:val="auto"/>
                <w:w w:val="92"/>
              </w:rPr>
              <w:t>Three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200"/>
              <w:spacing w:after="0"/>
              <w:rPr>
                <w:sz w:val="20"/>
                <w:szCs w:val="20"/>
                <w:color w:val="auto"/>
              </w:rPr>
            </w:pPr>
            <w:r>
              <w:rPr>
                <w:rFonts w:ascii="Arial" w:cs="Arial" w:eastAsia="Arial" w:hAnsi="Arial"/>
                <w:sz w:val="14"/>
                <w:szCs w:val="14"/>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13,042</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9,232</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37,755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(30,340)</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5"/>
              </w:rPr>
              <w:t>Reconciliation of net loss to net loss attributed to common stockholders: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(17,145)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(50,303)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Accretion of issuance costs on convertible preferred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loss per share attributable to common stockholders — 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3"/>
              </w:rPr>
              <w:t>Weighted-average number of common shares used in computing net loss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per share attributable to common stockholders—basic and 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30,296,595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23,747,141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26,018,717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9,945,538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2019-12-28T02:07:31Z</dcterms:created>
  <dcterms:modified xsi:type="dcterms:W3CDTF">2019-12-28T02:07:31Z</dcterms:modified>
</cp:coreProperties>
</file>