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3</w:t>
      </w:r>
      <w:r>
        <w:rPr>
          <w:rFonts w:ascii="Arial" w:cs="Arial" w:eastAsia="Arial" w:hAnsi="Arial"/>
          <w:sz w:val="18"/>
          <w:szCs w:val="18"/>
          <w:b w:val="1"/>
          <w:bCs w:val="1"/>
          <w:color w:val="auto"/>
        </w:rPr>
        <w: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5"/>
          <w:szCs w:val="15"/>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228028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Citadel Advisors LLC</w:t>
            </w:r>
          </w:p>
        </w:tc>
        <w:tc>
          <w:tcPr>
            <w:tcW w:w="4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300" w:type="dxa"/>
            <w:vAlign w:val="bottom"/>
          </w:tcPr>
          <w:p>
            <w:pPr>
              <w:ind w:left="394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tcPr>
          <w:p>
            <w:pPr>
              <w:ind w:left="394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5"/>
          </w:tcPr>
          <w:p>
            <w:pPr>
              <w:spacing w:after="0"/>
              <w:rPr>
                <w:sz w:val="20"/>
                <w:szCs w:val="20"/>
                <w:color w:val="auto"/>
              </w:rPr>
            </w:pPr>
            <w:r>
              <w:rPr>
                <w:rFonts w:ascii="Arial" w:cs="Arial" w:eastAsia="Arial" w:hAnsi="Arial"/>
                <w:sz w:val="18"/>
                <w:szCs w:val="18"/>
                <w:color w:val="auto"/>
              </w:rPr>
              <w:t>SEC USE ONLY</w:t>
            </w:r>
          </w:p>
        </w:tc>
        <w:tc>
          <w:tcPr>
            <w:tcW w:w="4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Delaware</w:t>
            </w: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5.</w:t>
            </w:r>
          </w:p>
        </w:tc>
        <w:tc>
          <w:tcPr>
            <w:tcW w:w="43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left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040" w:type="dxa"/>
            <w:vAlign w:val="bottom"/>
            <w:gridSpan w:val="3"/>
          </w:tcPr>
          <w:p>
            <w:pPr>
              <w:jc w:val="center"/>
              <w:ind w:right="170"/>
              <w:spacing w:after="0" w:line="182" w:lineRule="exact"/>
              <w:rPr>
                <w:sz w:val="20"/>
                <w:szCs w:val="20"/>
                <w:color w:val="auto"/>
              </w:rPr>
            </w:pPr>
            <w:r>
              <w:rPr>
                <w:rFonts w:ascii="Arial" w:cs="Arial" w:eastAsia="Arial" w:hAnsi="Arial"/>
                <w:sz w:val="18"/>
                <w:szCs w:val="18"/>
                <w:color w:val="auto"/>
                <w:w w:val="94"/>
              </w:rPr>
              <w:t>SHARES</w:t>
            </w:r>
          </w:p>
        </w:tc>
        <w:tc>
          <w:tcPr>
            <w:tcW w:w="3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gridSpan w:val="4"/>
          </w:tcPr>
          <w:p>
            <w:pPr>
              <w:jc w:val="center"/>
              <w:ind w:left="29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6.</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300" w:type="dxa"/>
            <w:vAlign w:val="bottom"/>
          </w:tcPr>
          <w:p>
            <w:pPr>
              <w:ind w:left="760"/>
              <w:spacing w:after="0"/>
              <w:rPr>
                <w:sz w:val="20"/>
                <w:szCs w:val="20"/>
                <w:color w:val="auto"/>
              </w:rPr>
            </w:pPr>
            <w:r>
              <w:rPr>
                <w:rFonts w:ascii="Arial" w:cs="Arial" w:eastAsia="Arial" w:hAnsi="Arial"/>
                <w:sz w:val="18"/>
                <w:szCs w:val="18"/>
                <w:b w:val="1"/>
                <w:bCs w:val="1"/>
                <w:color w:val="auto"/>
              </w:rPr>
              <w:t>1,653,857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EACH</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80" w:type="dxa"/>
            <w:vAlign w:val="bottom"/>
            <w:tcBorders>
              <w:left w:val="single" w:sz="8" w:color="auto"/>
            </w:tcBorders>
            <w:gridSpan w:val="4"/>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tcBorders>
            <w:gridSpan w:val="4"/>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7.</w:t>
            </w:r>
          </w:p>
        </w:tc>
        <w:tc>
          <w:tcPr>
            <w:tcW w:w="4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WITH</w:t>
            </w:r>
          </w:p>
        </w:tc>
        <w:tc>
          <w:tcPr>
            <w:tcW w:w="380" w:type="dxa"/>
            <w:vAlign w:val="bottom"/>
            <w:tcBorders>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8.</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5"/>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4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4.0%</w:t>
            </w:r>
          </w:p>
        </w:tc>
        <w:tc>
          <w:tcPr>
            <w:tcW w:w="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w w:val="71"/>
              </w:rPr>
              <w:t>1</w:t>
            </w:r>
          </w:p>
        </w:tc>
        <w:tc>
          <w:tcPr>
            <w:tcW w:w="660" w:type="dxa"/>
            <w:vAlign w:val="bottom"/>
            <w:vMerge w:val="restart"/>
          </w:tcPr>
          <w:p>
            <w:pPr>
              <w:spacing w:after="0"/>
              <w:rPr>
                <w:sz w:val="13"/>
                <w:szCs w:val="13"/>
                <w:color w:val="auto"/>
              </w:rPr>
            </w:pPr>
          </w:p>
        </w:tc>
        <w:tc>
          <w:tcPr>
            <w:tcW w:w="4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40" w:type="dxa"/>
            <w:vAlign w:val="bottom"/>
            <w:tcBorders>
              <w:lef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3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IA; OO; HC</w:t>
            </w: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jc w:val="both"/>
        <w:ind w:left="660" w:hanging="652"/>
        <w:spacing w:after="0" w:line="209" w:lineRule="auto"/>
        <w:tabs>
          <w:tab w:leader="none" w:pos="660" w:val="left"/>
        </w:tabs>
        <w:numPr>
          <w:ilvl w:val="0"/>
          <w:numId w:val="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13G/A are based upon 41,449,153 shares of common stock outstanding as of November 24, 2020 after completion of the issuer’s public offering (according to the issuer’s prospectus supplement as filed with the Securities and Exchange Commission on November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5"/>
          <w:szCs w:val="15"/>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22802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Citadel Advisors Holdings LP</w:t>
            </w: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00" w:type="dxa"/>
            <w:vAlign w:val="bottom"/>
          </w:tcPr>
          <w:p>
            <w:pPr>
              <w:ind w:left="394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tcPr>
          <w:p>
            <w:pPr>
              <w:ind w:left="394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3"/>
              </w:rPr>
              <w:t>Delaware</w:t>
            </w:r>
          </w:p>
        </w:tc>
        <w:tc>
          <w:tcPr>
            <w:tcW w:w="5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5.</w:t>
            </w:r>
          </w:p>
        </w:tc>
        <w:tc>
          <w:tcPr>
            <w:tcW w:w="43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3"/>
          </w:tcPr>
          <w:p>
            <w:pPr>
              <w:jc w:val="center"/>
              <w:ind w:right="550"/>
              <w:spacing w:after="0" w:line="182" w:lineRule="exact"/>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6.</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300" w:type="dxa"/>
            <w:vAlign w:val="bottom"/>
          </w:tcPr>
          <w:p>
            <w:pPr>
              <w:ind w:left="760"/>
              <w:spacing w:after="0"/>
              <w:rPr>
                <w:sz w:val="20"/>
                <w:szCs w:val="20"/>
                <w:color w:val="auto"/>
              </w:rPr>
            </w:pPr>
            <w:r>
              <w:rPr>
                <w:rFonts w:ascii="Arial" w:cs="Arial" w:eastAsia="Arial" w:hAnsi="Arial"/>
                <w:sz w:val="18"/>
                <w:szCs w:val="18"/>
                <w:b w:val="1"/>
                <w:bCs w:val="1"/>
                <w:color w:val="auto"/>
              </w:rPr>
              <w:t>1,653,857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60" w:type="dxa"/>
            <w:vAlign w:val="bottom"/>
            <w:tcBorders>
              <w:left w:val="single" w:sz="8" w:color="auto"/>
              <w:right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7.</w:t>
            </w:r>
          </w:p>
        </w:tc>
        <w:tc>
          <w:tcPr>
            <w:tcW w:w="4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right w:val="single" w:sz="8" w:color="auto"/>
            </w:tcBorders>
          </w:tcPr>
          <w:p>
            <w:pPr>
              <w:spacing w:after="0"/>
              <w:rPr>
                <w:sz w:val="22"/>
                <w:szCs w:val="22"/>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8.</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20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gridSpan w:val="2"/>
          </w:tcPr>
          <w:p>
            <w:pPr>
              <w:spacing w:after="0"/>
              <w:rPr>
                <w:sz w:val="20"/>
                <w:szCs w:val="20"/>
                <w:color w:val="auto"/>
              </w:rPr>
            </w:pPr>
          </w:p>
        </w:tc>
        <w:tc>
          <w:tcPr>
            <w:tcW w:w="1400" w:type="dxa"/>
            <w:vAlign w:val="bottom"/>
            <w:gridSpan w:val="2"/>
          </w:tcPr>
          <w:p>
            <w:pPr>
              <w:ind w:left="760"/>
              <w:spacing w:after="0"/>
              <w:rPr>
                <w:sz w:val="20"/>
                <w:szCs w:val="20"/>
                <w:color w:val="auto"/>
              </w:rPr>
            </w:pPr>
            <w:r>
              <w:rPr>
                <w:rFonts w:ascii="Arial" w:cs="Arial" w:eastAsia="Arial" w:hAnsi="Arial"/>
                <w:sz w:val="18"/>
                <w:szCs w:val="18"/>
                <w:b w:val="1"/>
                <w:bCs w:val="1"/>
                <w:color w:val="auto"/>
              </w:rPr>
              <w:t>4.0%</w:t>
            </w:r>
          </w:p>
        </w:tc>
        <w:tc>
          <w:tcPr>
            <w:tcW w:w="5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gridSpan w:val="4"/>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9"/>
              </w:rPr>
              <w:t>PN; HC</w:t>
            </w:r>
          </w:p>
        </w:tc>
        <w:tc>
          <w:tcPr>
            <w:tcW w:w="5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5"/>
          <w:szCs w:val="15"/>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228028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Citadel GP LLC</w:t>
            </w:r>
          </w:p>
        </w:tc>
        <w:tc>
          <w:tcPr>
            <w:tcW w:w="4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00" w:type="dxa"/>
            <w:vAlign w:val="bottom"/>
          </w:tcPr>
          <w:p>
            <w:pPr>
              <w:ind w:left="394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tcPr>
          <w:p>
            <w:pPr>
              <w:ind w:left="394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6"/>
              </w:rPr>
              <w:t>Delaware</w:t>
            </w:r>
          </w:p>
        </w:tc>
        <w:tc>
          <w:tcPr>
            <w:tcW w:w="4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79"/>
              </w:rPr>
              <w:t>5.</w:t>
            </w:r>
          </w:p>
        </w:tc>
        <w:tc>
          <w:tcPr>
            <w:tcW w:w="43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3"/>
          </w:tcPr>
          <w:p>
            <w:pPr>
              <w:jc w:val="center"/>
              <w:ind w:right="550"/>
              <w:spacing w:after="0" w:line="182" w:lineRule="exact"/>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4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79"/>
              </w:rPr>
              <w:t>6.</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300" w:type="dxa"/>
            <w:vAlign w:val="bottom"/>
          </w:tcPr>
          <w:p>
            <w:pPr>
              <w:ind w:left="760"/>
              <w:spacing w:after="0"/>
              <w:rPr>
                <w:sz w:val="20"/>
                <w:szCs w:val="20"/>
                <w:color w:val="auto"/>
              </w:rPr>
            </w:pPr>
            <w:r>
              <w:rPr>
                <w:rFonts w:ascii="Arial" w:cs="Arial" w:eastAsia="Arial" w:hAnsi="Arial"/>
                <w:sz w:val="18"/>
                <w:szCs w:val="18"/>
                <w:b w:val="1"/>
                <w:bCs w:val="1"/>
                <w:color w:val="auto"/>
              </w:rPr>
              <w:t>1,653,857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60" w:type="dxa"/>
            <w:vAlign w:val="bottom"/>
            <w:tcBorders>
              <w:left w:val="single" w:sz="8" w:color="auto"/>
              <w:right w:val="single" w:sz="8" w:color="auto"/>
            </w:tcBorders>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4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79"/>
              </w:rPr>
              <w:t>7.</w:t>
            </w:r>
          </w:p>
        </w:tc>
        <w:tc>
          <w:tcPr>
            <w:tcW w:w="4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79"/>
              </w:rPr>
              <w:t>8.</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20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gridSpan w:val="2"/>
          </w:tcPr>
          <w:p>
            <w:pPr>
              <w:spacing w:after="0"/>
              <w:rPr>
                <w:sz w:val="20"/>
                <w:szCs w:val="20"/>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b w:val="1"/>
                <w:bCs w:val="1"/>
                <w:color w:val="auto"/>
              </w:rPr>
              <w:t>4.0%</w:t>
            </w:r>
          </w:p>
        </w:tc>
        <w:tc>
          <w:tcPr>
            <w:tcW w:w="4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gridSpan w:val="4"/>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8"/>
              </w:rPr>
              <w:t>OO; HC</w:t>
            </w:r>
          </w:p>
        </w:tc>
        <w:tc>
          <w:tcPr>
            <w:tcW w:w="4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5"/>
          <w:szCs w:val="15"/>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22802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Citadel Securities LLC</w:t>
            </w:r>
          </w:p>
        </w:tc>
        <w:tc>
          <w:tcPr>
            <w:tcW w:w="4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ind w:left="386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ind w:left="386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4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Delaware</w:t>
            </w:r>
          </w:p>
        </w:tc>
        <w:tc>
          <w:tcPr>
            <w:tcW w:w="4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left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040" w:type="dxa"/>
            <w:vAlign w:val="bottom"/>
            <w:gridSpan w:val="3"/>
          </w:tcPr>
          <w:p>
            <w:pPr>
              <w:jc w:val="center"/>
              <w:ind w:right="170"/>
              <w:spacing w:after="0" w:line="182" w:lineRule="exact"/>
              <w:rPr>
                <w:sz w:val="20"/>
                <w:szCs w:val="20"/>
                <w:color w:val="auto"/>
              </w:rPr>
            </w:pPr>
            <w:r>
              <w:rPr>
                <w:rFonts w:ascii="Arial" w:cs="Arial" w:eastAsia="Arial" w:hAnsi="Arial"/>
                <w:sz w:val="18"/>
                <w:szCs w:val="18"/>
                <w:color w:val="auto"/>
                <w:w w:val="94"/>
              </w:rPr>
              <w:t>SHARES</w:t>
            </w:r>
          </w:p>
        </w:tc>
        <w:tc>
          <w:tcPr>
            <w:tcW w:w="3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gridSpan w:val="4"/>
          </w:tcPr>
          <w:p>
            <w:pPr>
              <w:jc w:val="center"/>
              <w:ind w:left="29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ind w:left="680"/>
              <w:spacing w:after="0"/>
              <w:rPr>
                <w:sz w:val="20"/>
                <w:szCs w:val="20"/>
                <w:color w:val="auto"/>
              </w:rPr>
            </w:pPr>
            <w:r>
              <w:rPr>
                <w:rFonts w:ascii="Arial" w:cs="Arial" w:eastAsia="Arial" w:hAnsi="Arial"/>
                <w:sz w:val="18"/>
                <w:szCs w:val="18"/>
                <w:b w:val="1"/>
                <w:bCs w:val="1"/>
                <w:color w:val="auto"/>
              </w:rPr>
              <w:t>14,954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EACH</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80" w:type="dxa"/>
            <w:vAlign w:val="bottom"/>
            <w:tcBorders>
              <w:left w:val="single" w:sz="8" w:color="auto"/>
            </w:tcBorders>
            <w:gridSpan w:val="4"/>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tcBorders>
            <w:gridSpan w:val="4"/>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WITH</w:t>
            </w:r>
          </w:p>
        </w:tc>
        <w:tc>
          <w:tcPr>
            <w:tcW w:w="380" w:type="dxa"/>
            <w:vAlign w:val="bottom"/>
            <w:tcBorders>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Less than 0.1%</w:t>
            </w:r>
          </w:p>
        </w:tc>
        <w:tc>
          <w:tcPr>
            <w:tcW w:w="4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gridSpan w:val="5"/>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BD, OO</w:t>
            </w:r>
          </w:p>
        </w:tc>
        <w:tc>
          <w:tcPr>
            <w:tcW w:w="4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5" w:name="page6"/>
    <w:bookmarkEnd w:id="5"/>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5"/>
          <w:szCs w:val="15"/>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228028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CALC IV LP</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ind w:left="386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ind w:left="386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30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3"/>
              </w:rPr>
              <w:t>Delaware</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5.</w:t>
            </w:r>
          </w:p>
        </w:tc>
        <w:tc>
          <w:tcPr>
            <w:tcW w:w="8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3"/>
          </w:tcPr>
          <w:p>
            <w:pPr>
              <w:jc w:val="center"/>
              <w:ind w:right="550"/>
              <w:spacing w:after="0" w:line="182" w:lineRule="exact"/>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6.</w:t>
            </w:r>
          </w:p>
        </w:tc>
        <w:tc>
          <w:tcPr>
            <w:tcW w:w="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ind w:left="680"/>
              <w:spacing w:after="0"/>
              <w:rPr>
                <w:sz w:val="20"/>
                <w:szCs w:val="20"/>
                <w:color w:val="auto"/>
              </w:rPr>
            </w:pPr>
            <w:r>
              <w:rPr>
                <w:rFonts w:ascii="Arial" w:cs="Arial" w:eastAsia="Arial" w:hAnsi="Arial"/>
                <w:sz w:val="18"/>
                <w:szCs w:val="18"/>
                <w:b w:val="1"/>
                <w:bCs w:val="1"/>
                <w:color w:val="auto"/>
              </w:rPr>
              <w:t>14,954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60" w:type="dxa"/>
            <w:vAlign w:val="bottom"/>
            <w:tcBorders>
              <w:left w:val="single" w:sz="8" w:color="auto"/>
              <w:right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7.</w:t>
            </w:r>
          </w:p>
        </w:tc>
        <w:tc>
          <w:tcPr>
            <w:tcW w:w="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8.</w:t>
            </w:r>
          </w:p>
        </w:tc>
        <w:tc>
          <w:tcPr>
            <w:tcW w:w="8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20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980" w:type="dxa"/>
            <w:vAlign w:val="bottom"/>
            <w:gridSpan w:val="4"/>
          </w:tcPr>
          <w:p>
            <w:pPr>
              <w:ind w:left="760"/>
              <w:spacing w:after="0"/>
              <w:rPr>
                <w:sz w:val="20"/>
                <w:szCs w:val="20"/>
                <w:color w:val="auto"/>
              </w:rPr>
            </w:pPr>
            <w:r>
              <w:rPr>
                <w:rFonts w:ascii="Arial" w:cs="Arial" w:eastAsia="Arial" w:hAnsi="Arial"/>
                <w:sz w:val="18"/>
                <w:szCs w:val="18"/>
                <w:b w:val="1"/>
                <w:bCs w:val="1"/>
                <w:color w:val="auto"/>
                <w:w w:val="92"/>
              </w:rPr>
              <w:t>Less than 0.1%</w:t>
            </w:r>
          </w:p>
        </w:tc>
        <w:tc>
          <w:tcPr>
            <w:tcW w:w="4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gridSpan w:val="5"/>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9"/>
              </w:rPr>
              <w:t>PN; HC</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5"/>
          <w:szCs w:val="15"/>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22802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Citadel Securities GP LLC</w:t>
            </w: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ind w:left="386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ind w:left="386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4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Delaware</w:t>
            </w:r>
          </w:p>
        </w:tc>
        <w:tc>
          <w:tcPr>
            <w:tcW w:w="4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left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040" w:type="dxa"/>
            <w:vAlign w:val="bottom"/>
            <w:gridSpan w:val="3"/>
          </w:tcPr>
          <w:p>
            <w:pPr>
              <w:jc w:val="center"/>
              <w:ind w:right="170"/>
              <w:spacing w:after="0" w:line="182" w:lineRule="exact"/>
              <w:rPr>
                <w:sz w:val="20"/>
                <w:szCs w:val="20"/>
                <w:color w:val="auto"/>
              </w:rPr>
            </w:pPr>
            <w:r>
              <w:rPr>
                <w:rFonts w:ascii="Arial" w:cs="Arial" w:eastAsia="Arial" w:hAnsi="Arial"/>
                <w:sz w:val="18"/>
                <w:szCs w:val="18"/>
                <w:color w:val="auto"/>
                <w:w w:val="94"/>
              </w:rPr>
              <w:t>SHARES</w:t>
            </w:r>
          </w:p>
        </w:tc>
        <w:tc>
          <w:tcPr>
            <w:tcW w:w="3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gridSpan w:val="4"/>
          </w:tcPr>
          <w:p>
            <w:pPr>
              <w:jc w:val="center"/>
              <w:ind w:left="29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ind w:left="680"/>
              <w:spacing w:after="0"/>
              <w:rPr>
                <w:sz w:val="20"/>
                <w:szCs w:val="20"/>
                <w:color w:val="auto"/>
              </w:rPr>
            </w:pPr>
            <w:r>
              <w:rPr>
                <w:rFonts w:ascii="Arial" w:cs="Arial" w:eastAsia="Arial" w:hAnsi="Arial"/>
                <w:sz w:val="18"/>
                <w:szCs w:val="18"/>
                <w:b w:val="1"/>
                <w:bCs w:val="1"/>
                <w:color w:val="auto"/>
              </w:rPr>
              <w:t>14,954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EACH</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80" w:type="dxa"/>
            <w:vAlign w:val="bottom"/>
            <w:tcBorders>
              <w:left w:val="single" w:sz="8" w:color="auto"/>
            </w:tcBorders>
            <w:gridSpan w:val="4"/>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tcBorders>
            <w:gridSpan w:val="4"/>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WITH</w:t>
            </w:r>
          </w:p>
        </w:tc>
        <w:tc>
          <w:tcPr>
            <w:tcW w:w="380" w:type="dxa"/>
            <w:vAlign w:val="bottom"/>
            <w:tcBorders>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Less than 0.1%</w:t>
            </w:r>
          </w:p>
        </w:tc>
        <w:tc>
          <w:tcPr>
            <w:tcW w:w="4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gridSpan w:val="5"/>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OO; HC</w:t>
            </w:r>
          </w:p>
        </w:tc>
        <w:tc>
          <w:tcPr>
            <w:tcW w:w="4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-108585</wp:posOffset>
            </wp:positionV>
            <wp:extent cx="22802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2980" w:space="720"/>
            <w:col w:w="2480"/>
          </w:cols>
          <w:pgMar w:left="320" w:top="1120"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640" w:type="dxa"/>
            <w:vAlign w:val="bottom"/>
            <w:tcBorders>
              <w:top w:val="single" w:sz="8" w:color="auto"/>
              <w:lef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 OF REPORTING PERSON</w:t>
            </w:r>
          </w:p>
        </w:tc>
        <w:tc>
          <w:tcPr>
            <w:tcW w:w="23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S.S. OR I.R.S. IDENTIFICATION NO. OF ABOVE PERSON</w:t>
            </w: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Kenneth Griffin</w:t>
            </w:r>
          </w:p>
        </w:tc>
        <w:tc>
          <w:tcPr>
            <w:tcW w:w="5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2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00" w:type="dxa"/>
            <w:vAlign w:val="bottom"/>
          </w:tcPr>
          <w:p>
            <w:pPr>
              <w:ind w:left="3940"/>
              <w:spacing w:after="0" w:line="183" w:lineRule="exact"/>
              <w:rPr>
                <w:sz w:val="20"/>
                <w:szCs w:val="20"/>
                <w:color w:val="auto"/>
              </w:rPr>
            </w:pPr>
            <w:r>
              <w:rPr>
                <w:rFonts w:ascii="Arial" w:cs="Arial" w:eastAsia="Arial" w:hAnsi="Arial"/>
                <w:sz w:val="18"/>
                <w:szCs w:val="18"/>
                <w:color w:val="auto"/>
              </w:rPr>
              <w:t>(a)</w:t>
            </w:r>
          </w:p>
        </w:tc>
        <w:tc>
          <w:tcPr>
            <w:tcW w:w="2380" w:type="dxa"/>
            <w:vAlign w:val="bottom"/>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tcPr>
          <w:p>
            <w:pPr>
              <w:ind w:left="3940"/>
              <w:spacing w:after="0"/>
              <w:rPr>
                <w:sz w:val="20"/>
                <w:szCs w:val="20"/>
                <w:color w:val="auto"/>
              </w:rPr>
            </w:pPr>
            <w:r>
              <w:rPr>
                <w:rFonts w:ascii="Arial" w:cs="Arial" w:eastAsia="Arial" w:hAnsi="Arial"/>
                <w:sz w:val="18"/>
                <w:szCs w:val="18"/>
                <w:color w:val="auto"/>
              </w:rPr>
              <w:t>(b)</w:t>
            </w:r>
          </w:p>
        </w:tc>
        <w:tc>
          <w:tcPr>
            <w:tcW w:w="23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U.S. Citizen</w:t>
            </w: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43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3"/>
          </w:tcPr>
          <w:p>
            <w:pPr>
              <w:jc w:val="center"/>
              <w:ind w:right="550"/>
              <w:spacing w:after="0" w:line="182" w:lineRule="exact"/>
              <w:rPr>
                <w:sz w:val="20"/>
                <w:szCs w:val="20"/>
                <w:color w:val="auto"/>
              </w:rPr>
            </w:pPr>
            <w:r>
              <w:rPr>
                <w:rFonts w:ascii="Arial" w:cs="Arial" w:eastAsia="Arial" w:hAnsi="Arial"/>
                <w:sz w:val="18"/>
                <w:szCs w:val="18"/>
                <w:color w:val="auto"/>
                <w:w w:val="94"/>
              </w:rPr>
              <w:t>SHARES</w:t>
            </w: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300" w:type="dxa"/>
            <w:vAlign w:val="bottom"/>
          </w:tcPr>
          <w:p>
            <w:pPr>
              <w:ind w:left="760"/>
              <w:spacing w:after="0"/>
              <w:rPr>
                <w:sz w:val="20"/>
                <w:szCs w:val="20"/>
                <w:color w:val="auto"/>
              </w:rPr>
            </w:pPr>
            <w:r>
              <w:rPr>
                <w:rFonts w:ascii="Arial" w:cs="Arial" w:eastAsia="Arial" w:hAnsi="Arial"/>
                <w:sz w:val="18"/>
                <w:szCs w:val="18"/>
                <w:b w:val="1"/>
                <w:bCs w:val="1"/>
                <w:color w:val="auto"/>
              </w:rPr>
              <w:t>1,668,811 shares</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60" w:type="dxa"/>
            <w:vAlign w:val="bottom"/>
            <w:tcBorders>
              <w:left w:val="single" w:sz="8" w:color="auto"/>
              <w:right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4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2380" w:type="dxa"/>
            <w:vAlign w:val="bottom"/>
            <w:tcBorders>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43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2"/>
              </w:rPr>
              <w:t>9.</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5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20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See Row 6 above</w:t>
            </w: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left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bottom w:val="single" w:sz="8" w:color="auto"/>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gridSpan w:val="2"/>
          </w:tcPr>
          <w:p>
            <w:pPr>
              <w:spacing w:after="0"/>
              <w:rPr>
                <w:sz w:val="20"/>
                <w:szCs w:val="20"/>
                <w:color w:val="auto"/>
              </w:rPr>
            </w:pPr>
          </w:p>
        </w:tc>
        <w:tc>
          <w:tcPr>
            <w:tcW w:w="1380" w:type="dxa"/>
            <w:vAlign w:val="bottom"/>
            <w:gridSpan w:val="2"/>
          </w:tcPr>
          <w:p>
            <w:pPr>
              <w:ind w:left="760"/>
              <w:spacing w:after="0"/>
              <w:rPr>
                <w:sz w:val="20"/>
                <w:szCs w:val="20"/>
                <w:color w:val="auto"/>
              </w:rPr>
            </w:pPr>
            <w:r>
              <w:rPr>
                <w:rFonts w:ascii="Arial" w:cs="Arial" w:eastAsia="Arial" w:hAnsi="Arial"/>
                <w:sz w:val="18"/>
                <w:szCs w:val="18"/>
                <w:b w:val="1"/>
                <w:bCs w:val="1"/>
                <w:color w:val="auto"/>
              </w:rPr>
              <w:t>4.0%</w:t>
            </w:r>
          </w:p>
        </w:tc>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gridSpan w:val="4"/>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3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IN; HC</w:t>
            </w:r>
          </w:p>
        </w:tc>
        <w:tc>
          <w:tcPr>
            <w:tcW w:w="5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0" w:right="339" w:bottom="1440" w:gutter="0" w:footer="0" w:header="0"/>
          <w:type w:val="continuous"/>
        </w:sectPr>
      </w:pPr>
    </w:p>
    <w:bookmarkStart w:id="8" w:name="page9"/>
    <w:bookmarkEnd w:id="8"/>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-108585</wp:posOffset>
            </wp:positionV>
            <wp:extent cx="228028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2980" w:space="720"/>
            <w:col w:w="2480"/>
          </w:cols>
          <w:pgMar w:left="320" w:top="904" w:right="33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AvroBio, Inc.</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One Kendall Square, Building 300, Suite 201, Cambridge, MA 02139</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9"/>
              </w:rPr>
              <w:t>This Schedule 13G/A is being jointly filed by Citadel Advisors LLC (“Citadel Advisors”), Citadel Advisors Holdings LP (“CAH”),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Citadel GP LLC (“CGP”), Citadel Securities LLC (“Citadel Securities”), CALC IV LP (“CALC4”), Citadel Securities GP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(“CSGP”) and Mr. Kenneth Griffin (collectively with Citadel Advisors, CAH, CGP, Citadel Securities, CALC4 and CSGP, the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0"/>
              </w:rPr>
              <w:t>“Reporting Persons”) with respect to shares of common stock (and options to purchase common stock) of the above-named issuer owned</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by Citadel Multi-Strategy Equities Master Fund Ltd., a Cayman Islands limited company (“CM”), and Citadel Securities.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Citadel Advisors is the portfolio manager for CM. CAH is the sole member of Citadel Advisors. CGP is the general partner of CAH.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CALC4 is the non-member manager of Citadel Securities. CSGP is the general partner of CALC4. Mr. Griffin is the President and Chief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Executive Officer of CGP, and owns a controlling interest in CGP and CSGP.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The filing of this statement shall not be construed as an admission that any of the Reporting Persons is the beneficial owner of any</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address of the principal business office of each of the Reporting Persons is 131 S. Dearborn Street, 32nd Floor, Chicago, Illinois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60603.</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Delaware. Each of CALC4 and CAH is organized as a limited partnership under the laws of the State of Delaware. Mr. Griffin is a U.S.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 par value $0.0001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05455M100</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-108585</wp:posOffset>
            </wp:positionV>
            <wp:extent cx="228028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2940" w:space="720"/>
            <w:col w:w="2500"/>
          </w:cols>
          <w:pgMar w:left="320" w:top="904" w:right="359" w:bottom="1440" w:gutter="0" w:footer="0" w:header="0"/>
        </w:sectPr>
      </w:pP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96" w:lineRule="exact"/>
        <w:rPr>
          <w:sz w:val="20"/>
          <w:szCs w:val="20"/>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460" w:hanging="1156"/>
        <w:spacing w:after="0" w:line="223" w:lineRule="exact"/>
        <w:tabs>
          <w:tab w:leader="none" w:pos="1947"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0" w:name="page11"/>
    <w:bookmarkEnd w:id="10"/>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-108585</wp:posOffset>
            </wp:positionV>
            <wp:extent cx="228028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2940" w:space="720"/>
            <w:col w:w="2440"/>
          </w:cols>
          <w:pgMar w:left="320" w:top="904" w:right="419" w:bottom="1440" w:gutter="0" w:footer="0" w:header="0"/>
        </w:sectPr>
      </w:pP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Advisors LLC</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Citadel Advisors may be deemed to beneficially own 1,653,857 shares of common stock.</w:t>
      </w:r>
    </w:p>
    <w:p>
      <w:pPr>
        <w:spacing w:after="0" w:line="225" w:lineRule="exact"/>
        <w:rPr>
          <w:rFonts w:ascii="Arial" w:cs="Arial" w:eastAsia="Arial" w:hAnsi="Arial"/>
          <w:sz w:val="18"/>
          <w:szCs w:val="18"/>
          <w:color w:val="auto"/>
        </w:rPr>
      </w:pPr>
    </w:p>
    <w:p>
      <w:pPr>
        <w:ind w:left="2600" w:right="4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Citadel Advisors may be deemed to beneficially own constitutes approximately 4.0% of the common stock outstanding.</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1,653,857</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1,653,857</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Advisors Holdings LP and Citadel GP LLC</w:t>
      </w:r>
    </w:p>
    <w:p>
      <w:pPr>
        <w:spacing w:after="0" w:line="225" w:lineRule="exact"/>
        <w:rPr>
          <w:rFonts w:ascii="Arial" w:cs="Arial" w:eastAsia="Arial" w:hAnsi="Arial"/>
          <w:sz w:val="18"/>
          <w:szCs w:val="18"/>
          <w:color w:val="auto"/>
        </w:rPr>
      </w:pPr>
    </w:p>
    <w:p>
      <w:pPr>
        <w:ind w:left="2600" w:right="20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Citadel Advisors Holdings LP and Citadel GP LLC may be deemed to beneficially own 1,653,857 shares of common stock.</w:t>
      </w:r>
    </w:p>
    <w:p>
      <w:pPr>
        <w:spacing w:after="0" w:line="170" w:lineRule="exact"/>
        <w:rPr>
          <w:rFonts w:ascii="Arial" w:cs="Arial" w:eastAsia="Arial" w:hAnsi="Arial"/>
          <w:sz w:val="18"/>
          <w:szCs w:val="18"/>
          <w:color w:val="auto"/>
        </w:rPr>
      </w:pPr>
    </w:p>
    <w:p>
      <w:pPr>
        <w:ind w:left="2600" w:right="12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Holdings LP and Citadel GP LLC may be deemed to beneficially own constitutes approximately 4.0% of the common stock outstanding.</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1,653,857</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1,653,857</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14,954 shares of common stock.</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less than 0.1% of the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type w:val="continuous"/>
        </w:sectPr>
      </w:pPr>
    </w:p>
    <w:bookmarkStart w:id="11" w:name="page12"/>
    <w:bookmarkEnd w:id="11"/>
    <w:p>
      <w:pPr>
        <w:spacing w:after="0" w:line="209" w:lineRule="auto"/>
        <w:framePr w:w="1840" w:h="160" w:wrap="auto" w:vAnchor="page" w:hAnchor="page" w:x="880" w:y="938"/>
        <w:rPr>
          <w:rFonts w:ascii="Arial" w:cs="Arial" w:eastAsia="Arial" w:hAnsi="Arial"/>
          <w:sz w:val="16"/>
          <w:szCs w:val="16"/>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196" w:lineRule="auto"/>
        <w:framePr w:w="280" w:h="160" w:wrap="auto" w:vAnchor="page" w:hAnchor="page" w:x="2240" w:y="1384"/>
        <w:rPr>
          <w:rFonts w:ascii="Arial" w:cs="Arial" w:eastAsia="Arial" w:hAnsi="Arial"/>
          <w:sz w:val="17"/>
          <w:szCs w:val="17"/>
          <w:color w:val="auto"/>
        </w:rPr>
      </w:pPr>
      <w:r>
        <w:rPr>
          <w:rFonts w:ascii="Arial" w:cs="Arial" w:eastAsia="Arial" w:hAnsi="Arial"/>
          <w:sz w:val="17"/>
          <w:szCs w:val="17"/>
          <w:color w:val="auto"/>
        </w:rPr>
        <w:t>(c)</w:t>
      </w:r>
    </w:p>
    <w:p>
      <w:pPr>
        <w:ind w:left="3940"/>
        <w:spacing w:after="0"/>
        <w:rPr>
          <w:sz w:val="20"/>
          <w:szCs w:val="20"/>
          <w:color w:val="auto"/>
        </w:rPr>
      </w:pPr>
      <w:r>
        <w:rPr>
          <w:rFonts w:ascii="Arial" w:cs="Arial" w:eastAsia="Arial" w:hAnsi="Arial"/>
          <w:sz w:val="16"/>
          <w:szCs w:val="16"/>
          <w:b w:val="1"/>
          <w:bCs w:val="1"/>
          <w:color w:val="auto"/>
        </w:rPr>
        <w:t>13G/A</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-705485</wp:posOffset>
            </wp:positionH>
            <wp:positionV relativeFrom="paragraph">
              <wp:posOffset>-104775</wp:posOffset>
            </wp:positionV>
            <wp:extent cx="186880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Page 12 of 14 Pages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-679450</wp:posOffset>
            </wp:positionH>
            <wp:positionV relativeFrom="paragraph">
              <wp:posOffset>-108585</wp:posOffset>
            </wp:positionV>
            <wp:extent cx="228028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ectPr>
          <w:pgSz w:w="11900" w:h="16838" w:orient="portrait"/>
          <w:cols w:equalWidth="0" w:num="2">
            <w:col w:w="6880" w:space="720"/>
            <w:col w:w="2240"/>
          </w:cols>
          <w:pgMar w:left="1440" w:top="904" w:right="619" w:bottom="1440" w:gutter="0" w:footer="0" w:header="0"/>
        </w:sectPr>
      </w:pPr>
    </w:p>
    <w:p>
      <w:pPr>
        <w:spacing w:after="0" w:line="73" w:lineRule="exact"/>
        <w:rPr>
          <w:rFonts w:ascii="Arial" w:cs="Arial" w:eastAsia="Arial" w:hAnsi="Arial"/>
          <w:sz w:val="17"/>
          <w:szCs w:val="17"/>
          <w:color w:val="auto"/>
        </w:rPr>
      </w:pPr>
    </w:p>
    <w:p>
      <w:pPr>
        <w:ind w:left="1480"/>
        <w:spacing w:after="0"/>
        <w:rPr>
          <w:sz w:val="20"/>
          <w:szCs w:val="20"/>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7"/>
          <w:szCs w:val="17"/>
          <w:color w:val="auto"/>
        </w:rPr>
      </w:pPr>
    </w:p>
    <w:p>
      <w:pPr>
        <w:ind w:left="2120" w:hanging="640"/>
        <w:spacing w:after="0"/>
        <w:tabs>
          <w:tab w:leader="none" w:pos="2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14,954</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14,954</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 IV LP and Citadel Securities GP LLC</w:t>
      </w:r>
    </w:p>
    <w:p>
      <w:pPr>
        <w:spacing w:after="0" w:line="225" w:lineRule="exact"/>
        <w:rPr>
          <w:rFonts w:ascii="Arial" w:cs="Arial" w:eastAsia="Arial" w:hAnsi="Arial"/>
          <w:sz w:val="18"/>
          <w:szCs w:val="18"/>
          <w:color w:val="auto"/>
        </w:rPr>
      </w:pPr>
    </w:p>
    <w:p>
      <w:pPr>
        <w:ind w:left="1480" w:hanging="648"/>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of CALC IV LP and Citadel Securities GP LLC may be deemed to beneficially own 14,954 shares of common stock.</w:t>
      </w:r>
    </w:p>
    <w:p>
      <w:pPr>
        <w:spacing w:after="0" w:line="170" w:lineRule="exact"/>
        <w:rPr>
          <w:rFonts w:ascii="Arial" w:cs="Arial" w:eastAsia="Arial" w:hAnsi="Arial"/>
          <w:sz w:val="18"/>
          <w:szCs w:val="18"/>
          <w:color w:val="auto"/>
        </w:rPr>
      </w:pPr>
    </w:p>
    <w:p>
      <w:pPr>
        <w:ind w:left="1480" w:hanging="648"/>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number of shares that each of CALC IV LP and Citadel Securities GP LLC may be deemed to beneficially own constitutes less than 0.1% of the common stock outstanding.</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14,954</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14,954</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Griffin may be deemed to beneficially own 1,668,811 shares of common stock.</w:t>
      </w:r>
    </w:p>
    <w:p>
      <w:pPr>
        <w:spacing w:after="0" w:line="225" w:lineRule="exact"/>
        <w:rPr>
          <w:rFonts w:ascii="Arial" w:cs="Arial" w:eastAsia="Arial" w:hAnsi="Arial"/>
          <w:sz w:val="18"/>
          <w:szCs w:val="18"/>
          <w:color w:val="auto"/>
        </w:rPr>
      </w:pPr>
    </w:p>
    <w:p>
      <w:pPr>
        <w:ind w:left="1480" w:right="260" w:hanging="648"/>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number of shares that Mr. Griffin may be deemed to beneficially own constitutes approximately 4.0% of the common stock outstanding.</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1,668,811</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1,668,811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40"/>
          </w:cols>
          <w:pgMar w:left="1440" w:top="904" w:right="619" w:bottom="1440" w:gutter="0" w:footer="0" w:header="0"/>
          <w:type w:val="continuous"/>
        </w:sectPr>
      </w:pPr>
    </w:p>
    <w:bookmarkStart w:id="12" w:name="page13"/>
    <w:bookmarkEnd w:id="12"/>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-108585</wp:posOffset>
            </wp:positionV>
            <wp:extent cx="228028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2940" w:space="720"/>
            <w:col w:w="2520"/>
          </w:cols>
          <w:pgMar w:left="320" w:top="904" w:right="33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940" w:type="dxa"/>
            <w:vAlign w:val="bottom"/>
          </w:tcPr>
          <w:p>
            <w:pPr>
              <w:spacing w:after="0"/>
              <w:rPr>
                <w:sz w:val="15"/>
                <w:szCs w:val="15"/>
                <w:color w:val="auto"/>
              </w:rPr>
            </w:pPr>
          </w:p>
        </w:tc>
        <w:tc>
          <w:tcPr>
            <w:tcW w:w="10300" w:type="dxa"/>
            <w:vAlign w:val="bottom"/>
          </w:tcPr>
          <w:p>
            <w:pPr>
              <w:ind w:left="36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40" w:type="dxa"/>
            <w:vAlign w:val="bottom"/>
          </w:tcPr>
          <w:p>
            <w:pPr>
              <w:spacing w:after="0"/>
              <w:rPr>
                <w:sz w:val="24"/>
                <w:szCs w:val="24"/>
                <w:color w:val="auto"/>
              </w:rPr>
            </w:pPr>
          </w:p>
        </w:tc>
        <w:tc>
          <w:tcPr>
            <w:tcW w:w="1030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98"/>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4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See Item 2 above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43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3" w:name="page14"/>
    <w:bookmarkEnd w:id="13"/>
    <w:p>
      <w:pPr>
        <w:spacing w:after="0" w:line="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688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-108585</wp:posOffset>
            </wp:positionV>
            <wp:extent cx="228028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2940" w:space="720"/>
            <w:col w:w="2520"/>
          </w:cols>
          <w:pgMar w:left="320" w:top="904" w:right="339" w:bottom="1440" w:gutter="0" w:footer="0" w:header="0"/>
        </w:sectPr>
      </w:pP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520" w:type="dxa"/>
            <w:vAlign w:val="bottom"/>
            <w:gridSpan w:val="2"/>
          </w:tcPr>
          <w:p>
            <w:pPr>
              <w:spacing w:after="0"/>
              <w:rPr>
                <w:sz w:val="20"/>
                <w:szCs w:val="20"/>
                <w:color w:val="auto"/>
              </w:rPr>
            </w:pPr>
            <w:r>
              <w:rPr>
                <w:rFonts w:ascii="Arial" w:cs="Arial" w:eastAsia="Arial" w:hAnsi="Arial"/>
                <w:sz w:val="18"/>
                <w:szCs w:val="18"/>
                <w:color w:val="auto"/>
              </w:rPr>
              <w:t>Dated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tc>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90"/>
              </w:rPr>
              <w:t>Gregory Johnson, attorney-in-fact</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640" w:type="dxa"/>
            <w:vAlign w:val="bottom"/>
            <w:tcBorders>
              <w:top w:val="single" w:sz="8" w:color="auto"/>
              <w:bottom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660" w:right="180" w:hanging="652"/>
        <w:spacing w:after="0" w:line="209" w:lineRule="auto"/>
        <w:tabs>
          <w:tab w:leader="none" w:pos="660"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13G/A filed herewith (and any amendments thereto), relating to the common stock of AvroBio, Inc., a Delaware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520" w:type="dxa"/>
            <w:vAlign w:val="bottom"/>
            <w:gridSpan w:val="2"/>
          </w:tcPr>
          <w:p>
            <w:pPr>
              <w:spacing w:after="0"/>
              <w:rPr>
                <w:sz w:val="20"/>
                <w:szCs w:val="20"/>
                <w:color w:val="auto"/>
              </w:rPr>
            </w:pPr>
            <w:r>
              <w:rPr>
                <w:rFonts w:ascii="Arial" w:cs="Arial" w:eastAsia="Arial" w:hAnsi="Arial"/>
                <w:sz w:val="18"/>
                <w:szCs w:val="18"/>
                <w:color w:val="auto"/>
              </w:rPr>
              <w:t>Dated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tc>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20"/>
                <w:szCs w:val="20"/>
                <w:color w:val="auto"/>
              </w:rPr>
            </w:pPr>
          </w:p>
        </w:tc>
        <w:tc>
          <w:tcPr>
            <w:tcW w:w="5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4"/>
          </w:tcPr>
          <w:p>
            <w:pPr>
              <w:ind w:left="22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 /s/ Gregory Johnson</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90"/>
              </w:rPr>
              <w:t>Gregory Johnson, attorney-in-fact</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640" w:type="dxa"/>
            <w:vAlign w:val="bottom"/>
            <w:tcBorders>
              <w:top w:val="single" w:sz="8" w:color="auto"/>
              <w:bottom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3" w:lineRule="exact"/>
        <w:rPr>
          <w:sz w:val="20"/>
          <w:szCs w:val="20"/>
          <w:color w:val="auto"/>
        </w:rPr>
      </w:pPr>
    </w:p>
    <w:p>
      <w:pPr>
        <w:ind w:left="660" w:right="180" w:hanging="652"/>
        <w:spacing w:after="0" w:line="209" w:lineRule="auto"/>
        <w:tabs>
          <w:tab w:leader="none" w:pos="660" w:val="left"/>
        </w:tabs>
        <w:numPr>
          <w:ilvl w:val="0"/>
          <w:numId w:val="8"/>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2EB14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
    <w:nsid w:val="41B71EFB"/>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2021-02-16T16:19:49Z</dcterms:created>
  <dcterms:modified xsi:type="dcterms:W3CDTF">2021-02-16T16:19:49Z</dcterms:modified>
</cp:coreProperties>
</file>