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Tectonic Therapeutic,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TECX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09"/>
        </w:trPr>
        <w:tc>
          <w:tcPr>
            <w:tcW w:w="4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9"/>
                <w:szCs w:val="19"/>
                <w:color w:val="auto"/>
              </w:rPr>
            </w:pPr>
          </w:p>
        </w:tc>
        <w:tc>
          <w:tcPr>
            <w:tcW w:w="5360" w:type="dxa"/>
            <w:vAlign w:val="bottom"/>
            <w:gridSpan w:val="2"/>
          </w:tcPr>
          <w:p>
            <w:pPr>
              <w:ind w:left="1760"/>
              <w:spacing w:after="0"/>
              <w:rPr>
                <w:sz w:val="20"/>
                <w:szCs w:val="20"/>
                <w:color w:val="auto"/>
              </w:rPr>
            </w:pPr>
            <w:r>
              <w:rPr>
                <w:rFonts w:ascii="Times New Roman" w:cs="Times New Roman" w:eastAsia="Times New Roman" w:hAnsi="Times New Roman"/>
                <w:sz w:val="17"/>
                <w:szCs w:val="17"/>
                <w:color w:val="0000FF"/>
              </w:rPr>
              <w:t>02/12/2026</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600" w:type="dxa"/>
            <w:vAlign w:val="bottom"/>
            <w:tcBorders>
              <w:bottom w:val="single" w:sz="8" w:color="9A9A9A"/>
            </w:tcBorders>
          </w:tcPr>
          <w:p>
            <w:pPr>
              <w:spacing w:after="0"/>
              <w:rPr>
                <w:sz w:val="3"/>
                <w:szCs w:val="3"/>
                <w:color w:val="auto"/>
              </w:rPr>
            </w:pPr>
          </w:p>
        </w:tc>
        <w:tc>
          <w:tcPr>
            <w:tcW w:w="3760" w:type="dxa"/>
            <w:vAlign w:val="bottom"/>
          </w:tcPr>
          <w:p>
            <w:pPr>
              <w:spacing w:after="0"/>
              <w:rPr>
                <w:sz w:val="3"/>
                <w:szCs w:val="3"/>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2"/>
            <w:vMerge w:val="restart"/>
          </w:tcPr>
          <w:p>
            <w:pPr>
              <w:ind w:left="400"/>
              <w:spacing w:after="0"/>
              <w:rPr>
                <w:sz w:val="20"/>
                <w:szCs w:val="20"/>
                <w:color w:val="auto"/>
              </w:rPr>
            </w:pPr>
            <w:r>
              <w:rPr>
                <w:rFonts w:ascii="Arial" w:cs="Arial" w:eastAsia="Arial" w:hAnsi="Arial"/>
                <w:sz w:val="13"/>
                <w:szCs w:val="13"/>
                <w:color w:val="auto"/>
              </w:rPr>
              <w:t>(Zip)</w:t>
            </w: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5360" w:type="dxa"/>
            <w:vAlign w:val="bottom"/>
            <w:gridSpan w:val="2"/>
            <w:vMerge w:val="continue"/>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02/11/2026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127,030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235,047</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$21.02 to $21.15,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8" w:lineRule="auto"/>
        <w:rPr>
          <w:sz w:val="20"/>
          <w:szCs w:val="20"/>
          <w:color w:val="auto"/>
        </w:rPr>
      </w:pPr>
      <w:r>
        <w:rPr>
          <w:rFonts w:ascii="Times New Roman" w:cs="Times New Roman" w:eastAsia="Times New Roman" w:hAnsi="Times New Roman"/>
          <w:sz w:val="13"/>
          <w:szCs w:val="13"/>
          <w:color w:val="008000"/>
        </w:rPr>
        <w:t>This Form 4/A is being filed to correct the Form 4 filed with the Securities and Exchange Commission on February 12, 2026 (the "Original Filing Date"). The Reporting Person's Trust purchased the shares reported in the Form 4 filed on the Original Filing Date, not the Reporting Person directly. This Form 4 reflects the correct ownership of the Reporting Person and the Trust as of the Original Filing Date.</w:t>
      </w:r>
    </w:p>
    <w:p>
      <w:pPr>
        <w:spacing w:after="0" w:line="16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2026-03-05T15:34:37Z</dcterms:created>
  <dcterms:modified xsi:type="dcterms:W3CDTF">2026-03-05T15:34:37Z</dcterms:modified>
</cp:coreProperties>
</file>