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114935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130175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February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133350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Tectonic Therapeutic,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121285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88" w:lineRule="exact"/>
        <w:rPr>
          <w:sz w:val="24"/>
          <w:szCs w:val="24"/>
          <w:color w:val="auto"/>
        </w:rPr>
      </w:pPr>
    </w:p>
    <w:tbl>
      <w:tblPr>
        <w:tblLayout w:type="fixed"/>
        <w:tblInd w:w="1360" w:type="dxa"/>
        <w:tblCellMar>
          <w:top w:w="0" w:type="dxa"/>
          <w:left w:w="0" w:type="dxa"/>
          <w:bottom w:w="0" w:type="dxa"/>
          <w:right w:w="0" w:type="dxa"/>
        </w:tblCellMar>
      </w:tblPr>
      <w:tr>
        <w:trPr>
          <w:trHeight w:val="150"/>
        </w:trPr>
        <w:tc>
          <w:tcPr>
            <w:tcW w:w="2060" w:type="dxa"/>
            <w:vAlign w:val="bottom"/>
          </w:tcPr>
          <w:p>
            <w:pPr>
              <w:jc w:val="center"/>
              <w:ind w:right="825"/>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38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001-38537</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3"/>
                <w:szCs w:val="13"/>
                <w:b w:val="1"/>
                <w:bCs w:val="1"/>
                <w:color w:val="auto"/>
                <w:w w:val="98"/>
              </w:rPr>
              <w:t>81-0710585</w:t>
            </w:r>
          </w:p>
        </w:tc>
      </w:tr>
      <w:tr>
        <w:trPr>
          <w:trHeight w:val="104"/>
        </w:trPr>
        <w:tc>
          <w:tcPr>
            <w:tcW w:w="2060" w:type="dxa"/>
            <w:vAlign w:val="bottom"/>
          </w:tcPr>
          <w:p>
            <w:pPr>
              <w:jc w:val="center"/>
              <w:ind w:right="825"/>
              <w:spacing w:after="0" w:line="104" w:lineRule="exact"/>
              <w:rPr>
                <w:sz w:val="20"/>
                <w:szCs w:val="20"/>
                <w:color w:val="auto"/>
              </w:rPr>
            </w:pPr>
            <w:r>
              <w:rPr>
                <w:rFonts w:ascii="Times New Roman" w:cs="Times New Roman" w:eastAsia="Times New Roman" w:hAnsi="Times New Roman"/>
                <w:sz w:val="10"/>
                <w:szCs w:val="10"/>
                <w:b w:val="1"/>
                <w:bCs w:val="1"/>
                <w:color w:val="auto"/>
                <w:w w:val="99"/>
              </w:rPr>
              <w:t>(State or Other Jurisdiction</w:t>
            </w:r>
          </w:p>
        </w:tc>
        <w:tc>
          <w:tcPr>
            <w:tcW w:w="2380" w:type="dxa"/>
            <w:vAlign w:val="bottom"/>
          </w:tcPr>
          <w:p>
            <w:pPr>
              <w:ind w:left="880"/>
              <w:spacing w:after="0" w:line="104"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720" w:type="dxa"/>
            <w:vAlign w:val="bottom"/>
          </w:tcPr>
          <w:p>
            <w:pPr>
              <w:jc w:val="center"/>
              <w:ind w:left="885"/>
              <w:spacing w:after="0" w:line="104" w:lineRule="exact"/>
              <w:rPr>
                <w:sz w:val="20"/>
                <w:szCs w:val="20"/>
                <w:color w:val="auto"/>
              </w:rPr>
            </w:pPr>
            <w:r>
              <w:rPr>
                <w:rFonts w:ascii="Times New Roman" w:cs="Times New Roman" w:eastAsia="Times New Roman" w:hAnsi="Times New Roman"/>
                <w:sz w:val="10"/>
                <w:szCs w:val="10"/>
                <w:b w:val="1"/>
                <w:bCs w:val="1"/>
                <w:color w:val="auto"/>
              </w:rPr>
              <w:t>(IRS Employer</w:t>
            </w:r>
          </w:p>
        </w:tc>
      </w:tr>
      <w:tr>
        <w:trPr>
          <w:trHeight w:val="132"/>
        </w:trPr>
        <w:tc>
          <w:tcPr>
            <w:tcW w:w="2060" w:type="dxa"/>
            <w:vAlign w:val="bottom"/>
          </w:tcPr>
          <w:p>
            <w:pPr>
              <w:jc w:val="center"/>
              <w:ind w:right="825"/>
              <w:spacing w:after="0"/>
              <w:rPr>
                <w:sz w:val="20"/>
                <w:szCs w:val="20"/>
                <w:color w:val="auto"/>
              </w:rPr>
            </w:pPr>
            <w:r>
              <w:rPr>
                <w:rFonts w:ascii="Times New Roman" w:cs="Times New Roman" w:eastAsia="Times New Roman" w:hAnsi="Times New Roman"/>
                <w:sz w:val="10"/>
                <w:szCs w:val="10"/>
                <w:b w:val="1"/>
                <w:bCs w:val="1"/>
                <w:color w:val="auto"/>
                <w:w w:val="99"/>
              </w:rPr>
              <w:t>of Incorporation)</w:t>
            </w:r>
          </w:p>
        </w:tc>
        <w:tc>
          <w:tcPr>
            <w:tcW w:w="2380" w:type="dxa"/>
            <w:vAlign w:val="bottom"/>
          </w:tcPr>
          <w:p>
            <w:pPr>
              <w:ind w:left="88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r>
    </w:tbl>
    <w:p>
      <w:pPr>
        <w:spacing w:after="0" w:line="135" w:lineRule="exact"/>
        <w:rPr>
          <w:sz w:val="24"/>
          <w:szCs w:val="24"/>
          <w:color w:val="auto"/>
        </w:rPr>
      </w:pPr>
    </w:p>
    <w:tbl>
      <w:tblPr>
        <w:tblLayout w:type="fixed"/>
        <w:tblInd w:w="1720" w:type="dxa"/>
        <w:tblCellMar>
          <w:top w:w="0" w:type="dxa"/>
          <w:left w:w="0" w:type="dxa"/>
          <w:bottom w:w="0" w:type="dxa"/>
          <w:right w:w="0" w:type="dxa"/>
        </w:tblCellMar>
      </w:tblPr>
      <w:tr>
        <w:trPr>
          <w:trHeight w:val="152"/>
        </w:trPr>
        <w:tc>
          <w:tcPr>
            <w:tcW w:w="3140" w:type="dxa"/>
            <w:vAlign w:val="bottom"/>
          </w:tcPr>
          <w:p>
            <w:pPr>
              <w:jc w:val="center"/>
              <w:ind w:right="1340"/>
              <w:spacing w:after="0"/>
              <w:rPr>
                <w:sz w:val="20"/>
                <w:szCs w:val="20"/>
                <w:color w:val="auto"/>
              </w:rPr>
            </w:pPr>
            <w:r>
              <w:rPr>
                <w:rFonts w:ascii="Times New Roman" w:cs="Times New Roman" w:eastAsia="Times New Roman" w:hAnsi="Times New Roman"/>
                <w:sz w:val="13"/>
                <w:szCs w:val="13"/>
                <w:b w:val="1"/>
                <w:bCs w:val="1"/>
                <w:color w:val="auto"/>
                <w:w w:val="94"/>
              </w:rPr>
              <w:t>490 Arsenal Way</w:t>
            </w:r>
          </w:p>
        </w:tc>
        <w:tc>
          <w:tcPr>
            <w:tcW w:w="1860" w:type="dxa"/>
            <w:vAlign w:val="bottom"/>
          </w:tcPr>
          <w:p>
            <w:pPr>
              <w:spacing w:after="0"/>
              <w:rPr>
                <w:sz w:val="13"/>
                <w:szCs w:val="13"/>
                <w:color w:val="auto"/>
              </w:rPr>
            </w:pPr>
          </w:p>
        </w:tc>
      </w:tr>
      <w:tr>
        <w:trPr>
          <w:trHeight w:val="152"/>
        </w:trPr>
        <w:tc>
          <w:tcPr>
            <w:tcW w:w="3140" w:type="dxa"/>
            <w:vAlign w:val="bottom"/>
          </w:tcPr>
          <w:p>
            <w:pPr>
              <w:jc w:val="center"/>
              <w:ind w:right="1340"/>
              <w:spacing w:after="0"/>
              <w:rPr>
                <w:sz w:val="20"/>
                <w:szCs w:val="20"/>
                <w:color w:val="auto"/>
              </w:rPr>
            </w:pPr>
            <w:r>
              <w:rPr>
                <w:rFonts w:ascii="Times New Roman" w:cs="Times New Roman" w:eastAsia="Times New Roman" w:hAnsi="Times New Roman"/>
                <w:sz w:val="13"/>
                <w:szCs w:val="13"/>
                <w:b w:val="1"/>
                <w:bCs w:val="1"/>
                <w:color w:val="auto"/>
                <w:w w:val="98"/>
              </w:rPr>
              <w:t>Suite 200</w:t>
            </w:r>
          </w:p>
        </w:tc>
        <w:tc>
          <w:tcPr>
            <w:tcW w:w="1860" w:type="dxa"/>
            <w:vAlign w:val="bottom"/>
          </w:tcPr>
          <w:p>
            <w:pPr>
              <w:spacing w:after="0"/>
              <w:rPr>
                <w:sz w:val="13"/>
                <w:szCs w:val="13"/>
                <w:color w:val="auto"/>
              </w:rPr>
            </w:pPr>
          </w:p>
        </w:tc>
      </w:tr>
      <w:tr>
        <w:trPr>
          <w:trHeight w:val="150"/>
        </w:trPr>
        <w:tc>
          <w:tcPr>
            <w:tcW w:w="3140" w:type="dxa"/>
            <w:vAlign w:val="bottom"/>
          </w:tcPr>
          <w:p>
            <w:pPr>
              <w:jc w:val="center"/>
              <w:ind w:right="1340"/>
              <w:spacing w:after="0"/>
              <w:rPr>
                <w:sz w:val="20"/>
                <w:szCs w:val="20"/>
                <w:color w:val="auto"/>
              </w:rPr>
            </w:pPr>
            <w:r>
              <w:rPr>
                <w:rFonts w:ascii="Times New Roman" w:cs="Times New Roman" w:eastAsia="Times New Roman" w:hAnsi="Times New Roman"/>
                <w:sz w:val="13"/>
                <w:szCs w:val="13"/>
                <w:b w:val="1"/>
                <w:bCs w:val="1"/>
                <w:color w:val="auto"/>
                <w:w w:val="97"/>
              </w:rPr>
              <w:t>Watertown, Massachusetts</w:t>
            </w:r>
          </w:p>
        </w:tc>
        <w:tc>
          <w:tcPr>
            <w:tcW w:w="1860" w:type="dxa"/>
            <w:vAlign w:val="bottom"/>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02472</w:t>
            </w:r>
          </w:p>
        </w:tc>
      </w:tr>
      <w:tr>
        <w:trPr>
          <w:trHeight w:val="132"/>
        </w:trPr>
        <w:tc>
          <w:tcPr>
            <w:tcW w:w="3140" w:type="dxa"/>
            <w:vAlign w:val="bottom"/>
          </w:tcPr>
          <w:p>
            <w:pPr>
              <w:jc w:val="center"/>
              <w:ind w:right="1340"/>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tc>
        <w:tc>
          <w:tcPr>
            <w:tcW w:w="1860" w:type="dxa"/>
            <w:vAlign w:val="bottom"/>
          </w:tcPr>
          <w:p>
            <w:pPr>
              <w:jc w:val="center"/>
              <w:ind w:left="1343"/>
              <w:spacing w:after="0"/>
              <w:rPr>
                <w:sz w:val="20"/>
                <w:szCs w:val="20"/>
                <w:color w:val="auto"/>
              </w:rPr>
            </w:pPr>
            <w:r>
              <w:rPr>
                <w:rFonts w:ascii="Times New Roman" w:cs="Times New Roman" w:eastAsia="Times New Roman" w:hAnsi="Times New Roman"/>
                <w:sz w:val="10"/>
                <w:szCs w:val="10"/>
                <w:b w:val="1"/>
                <w:bCs w:val="1"/>
                <w:color w:val="auto"/>
                <w:w w:val="99"/>
              </w:rPr>
              <w:t>(Zip Code)</w:t>
            </w:r>
          </w:p>
        </w:tc>
      </w:tr>
    </w:tbl>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(339) 666-3320</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124460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67" w:lineRule="exact"/>
        <w:rPr>
          <w:sz w:val="24"/>
          <w:szCs w:val="24"/>
          <w:color w:val="auto"/>
        </w:rPr>
      </w:pPr>
    </w:p>
    <w:p>
      <w:pPr>
        <w:ind w:left="640" w:right="979"/>
        <w:spacing w:after="0" w:line="266"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29"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59"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59"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59"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p>
      <w:pPr>
        <w:spacing w:after="0" w:line="141"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Common Stock, $0.0001 par value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TECX</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Stock Market LLC</w:t>
            </w:r>
          </w:p>
        </w:tc>
        <w:tc>
          <w:tcPr>
            <w:tcW w:w="0" w:type="dxa"/>
            <w:vAlign w:val="bottom"/>
          </w:tcPr>
          <w:p>
            <w:pPr>
              <w:spacing w:after="0"/>
              <w:rPr>
                <w:sz w:val="1"/>
                <w:szCs w:val="1"/>
                <w:color w:val="auto"/>
              </w:rPr>
            </w:pPr>
          </w:p>
        </w:tc>
      </w:tr>
    </w:tbl>
    <w:p>
      <w:pPr>
        <w:spacing w:after="0" w:line="97" w:lineRule="exact"/>
        <w:rPr>
          <w:sz w:val="24"/>
          <w:szCs w:val="24"/>
          <w:color w:val="auto"/>
        </w:rPr>
      </w:pPr>
    </w:p>
    <w:p>
      <w:pPr>
        <w:ind w:left="640" w:right="83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5"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63"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120015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bookmarkStart w:id="1" w:name="page2"/>
    <w:bookmarkEnd w:id="1"/>
    <w:p>
      <w:pPr>
        <w:ind w:left="640"/>
        <w:spacing w:after="0"/>
        <w:rPr>
          <w:sz w:val="20"/>
          <w:szCs w:val="20"/>
          <w:color w:val="auto"/>
        </w:rPr>
      </w:pPr>
      <w:r>
        <w:rPr>
          <w:rFonts w:ascii="Times New Roman" w:cs="Times New Roman" w:eastAsia="Times New Roman" w:hAnsi="Times New Roman"/>
          <w:sz w:val="12"/>
          <w:szCs w:val="12"/>
          <w:b w:val="1"/>
          <w:bCs w:val="1"/>
          <w:color w:val="auto"/>
        </w:rPr>
        <w:t>Item 5.02</w:t>
      </w:r>
    </w:p>
    <w:p>
      <w:pPr>
        <w:spacing w:after="0" w:line="20" w:lineRule="exact"/>
        <w:rPr>
          <w:sz w:val="20"/>
          <w:szCs w:val="20"/>
          <w:color w:val="auto"/>
        </w:rPr>
      </w:pPr>
      <w:r>
        <w:rPr>
          <w:sz w:val="20"/>
          <w:szCs w:val="20"/>
          <w:color w:val="auto"/>
        </w:rPr>
        <w:br w:type="column"/>
      </w:r>
    </w:p>
    <w:p>
      <w:pPr>
        <w:ind w:right="1359"/>
        <w:spacing w:after="0" w:line="270" w:lineRule="auto"/>
        <w:rPr>
          <w:sz w:val="20"/>
          <w:szCs w:val="20"/>
          <w:color w:val="auto"/>
        </w:rPr>
      </w:pPr>
      <w:r>
        <w:rPr>
          <w:rFonts w:ascii="Times New Roman" w:cs="Times New Roman" w:eastAsia="Times New Roman" w:hAnsi="Times New Roman"/>
          <w:sz w:val="13"/>
          <w:szCs w:val="13"/>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-1678305</wp:posOffset>
            </wp:positionH>
            <wp:positionV relativeFrom="paragraph">
              <wp:posOffset>-281940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r>
    </w:p>
    <w:p>
      <w:pPr>
        <w:spacing w:after="0" w:line="45" w:lineRule="exact"/>
        <w:rPr>
          <w:sz w:val="20"/>
          <w:szCs w:val="20"/>
          <w:color w:val="auto"/>
        </w:rPr>
      </w:pPr>
    </w:p>
    <w:p>
      <w:pPr>
        <w:sectPr>
          <w:pgSz w:w="11900" w:h="16838" w:orient="portrait"/>
          <w:cols w:equalWidth="0" w:num="2">
            <w:col w:w="1140" w:space="340"/>
            <w:col w:w="7539"/>
          </w:cols>
          <w:pgMar w:left="1440" w:top="248" w:right="1440" w:bottom="1440" w:gutter="0" w:footer="0" w:header="0"/>
        </w:sectPr>
      </w:pPr>
    </w:p>
    <w:p>
      <w:pPr>
        <w:ind w:left="640" w:right="679"/>
        <w:spacing w:after="0" w:line="247" w:lineRule="auto"/>
        <w:rPr>
          <w:sz w:val="20"/>
          <w:szCs w:val="20"/>
          <w:color w:val="auto"/>
        </w:rPr>
      </w:pPr>
      <w:r>
        <w:rPr>
          <w:rFonts w:ascii="Times New Roman" w:cs="Times New Roman" w:eastAsia="Times New Roman" w:hAnsi="Times New Roman"/>
          <w:sz w:val="13"/>
          <w:szCs w:val="13"/>
          <w:color w:val="auto"/>
        </w:rPr>
        <w:t>On February 23, 2026, the Board of Directors (the “Board”) of Tectonic Therapeutic, Inc. (the “Company”), upon recommendation of the Nominating and Corporate Governance Committee of the Board (the “Nominating and Corporate Governance Committee”), approved an increase in the size of the Board from six directors to seven directors effective as of the Effective Date (as defined below) and appointed François Nader as a member of the Board and as a member of the Nominating and Corporate Governance Committee, effective as of the Effective Date, to serve until his successor is duly appointed and qualified, or until his earlier death, resignation or removal. Dr. Nader will serve as a Class III director whose term will expire at the Company’s 2027 annual stockholder meeting. The Board has determined that Dr. Nader qualifies as an “independent director” as determined in accordance with Rule 5605(a)(2) of the Nasdaq Rules and listing standards.</w:t>
      </w:r>
    </w:p>
    <w:p>
      <w:pPr>
        <w:spacing w:after="0" w:line="136" w:lineRule="exact"/>
        <w:rPr>
          <w:sz w:val="20"/>
          <w:szCs w:val="20"/>
          <w:color w:val="auto"/>
        </w:rPr>
      </w:pPr>
    </w:p>
    <w:p>
      <w:pPr>
        <w:ind w:left="640" w:right="719"/>
        <w:spacing w:after="0" w:line="275" w:lineRule="auto"/>
        <w:rPr>
          <w:sz w:val="20"/>
          <w:szCs w:val="20"/>
          <w:color w:val="auto"/>
        </w:rPr>
      </w:pPr>
      <w:r>
        <w:rPr>
          <w:rFonts w:ascii="Times New Roman" w:cs="Times New Roman" w:eastAsia="Times New Roman" w:hAnsi="Times New Roman"/>
          <w:sz w:val="12"/>
          <w:szCs w:val="12"/>
          <w:color w:val="auto"/>
        </w:rPr>
        <w:t>Also on February 23, 2026, Terrance McGuire notified the Board of his intent to (i) resign as Chair of the Board, effective as of April 1, 2026 (the “Effective Date”) and (ii) resign from the Board, including its committees, effective as of the Company’s 2026 annual stockholder meeting (the “2026 Annual Meeting”). Mr. McGuire will continue to serve as a member of the Board and as a member of the Nominating and Corporate Governance Committee and the Audit Committee of the Board until the Company’s 2026 Annual Meeting. Upon recommendation of the Nominating and Corporate Governance Committee, the Board appointed Dr. Nader to serve as Chair of the Board, effective as of the Effective Date.</w:t>
      </w:r>
    </w:p>
    <w:p>
      <w:pPr>
        <w:spacing w:after="0" w:line="119" w:lineRule="exact"/>
        <w:rPr>
          <w:sz w:val="20"/>
          <w:szCs w:val="20"/>
          <w:color w:val="auto"/>
        </w:rPr>
      </w:pPr>
    </w:p>
    <w:p>
      <w:pPr>
        <w:ind w:left="640" w:right="759"/>
        <w:spacing w:after="0" w:line="255" w:lineRule="auto"/>
        <w:rPr>
          <w:sz w:val="20"/>
          <w:szCs w:val="20"/>
          <w:color w:val="auto"/>
        </w:rPr>
      </w:pPr>
      <w:r>
        <w:rPr>
          <w:rFonts w:ascii="Times New Roman" w:cs="Times New Roman" w:eastAsia="Times New Roman" w:hAnsi="Times New Roman"/>
          <w:sz w:val="13"/>
          <w:szCs w:val="13"/>
          <w:color w:val="auto"/>
        </w:rPr>
        <w:t>There is no arrangement or understanding between Dr. Nader and any other person pursuant to which he was selected as a director, and there is no family relationship between Dr. Nader and any of the Company’s other directors or executive officers. Additionally, there are no transactions involving the Company and Dr. Nader that the Company would be required to report pursuant to Item 404(a) of Regulation S-K.</w:t>
      </w:r>
    </w:p>
    <w:p>
      <w:pPr>
        <w:spacing w:after="0" w:line="130" w:lineRule="exact"/>
        <w:rPr>
          <w:sz w:val="20"/>
          <w:szCs w:val="20"/>
          <w:color w:val="auto"/>
        </w:rPr>
      </w:pPr>
    </w:p>
    <w:p>
      <w:pPr>
        <w:ind w:left="640" w:right="659"/>
        <w:spacing w:after="0" w:line="272" w:lineRule="auto"/>
        <w:rPr>
          <w:sz w:val="20"/>
          <w:szCs w:val="20"/>
          <w:color w:val="auto"/>
        </w:rPr>
      </w:pPr>
      <w:r>
        <w:rPr>
          <w:rFonts w:ascii="Times New Roman" w:cs="Times New Roman" w:eastAsia="Times New Roman" w:hAnsi="Times New Roman"/>
          <w:sz w:val="12"/>
          <w:szCs w:val="12"/>
          <w:color w:val="auto"/>
        </w:rPr>
        <w:t>As a non-employee director of the Company, Dr. Nader is eligible to participate in the Company’s non-employee director compensation policy, as amended (the “Compensation Policy”), pursuant to which he will receive, as of the Effective Date, (a) an annual cash retainer of $40,000 per year for service on the Board, (b) an additional $30,000 per year for his service as Chair of the Board and (c) a one-time initial equity award of options to purchase 20,400 shares of the Company’s common stock (the “Initial Award”). The Initial Award will be made pursuant to the Company’s 2024 Equity Incentive Plan (the “2024 Plan”). One-third of the Initial Award will vest on the first anniversary of the date of grant, with the remainder vesting in equal monthly installments thereafter until the third anniversary of the date of grant, subject in each instance to his continued Board service.</w:t>
      </w:r>
    </w:p>
    <w:p>
      <w:pPr>
        <w:spacing w:after="0" w:line="123" w:lineRule="exact"/>
        <w:rPr>
          <w:sz w:val="20"/>
          <w:szCs w:val="20"/>
          <w:color w:val="auto"/>
        </w:rPr>
      </w:pPr>
    </w:p>
    <w:p>
      <w:pPr>
        <w:ind w:left="640" w:right="699"/>
        <w:spacing w:after="0" w:line="249" w:lineRule="auto"/>
        <w:rPr>
          <w:sz w:val="20"/>
          <w:szCs w:val="20"/>
          <w:color w:val="auto"/>
        </w:rPr>
      </w:pPr>
      <w:r>
        <w:rPr>
          <w:rFonts w:ascii="Times New Roman" w:cs="Times New Roman" w:eastAsia="Times New Roman" w:hAnsi="Times New Roman"/>
          <w:sz w:val="13"/>
          <w:szCs w:val="13"/>
          <w:color w:val="auto"/>
        </w:rPr>
        <w:t>In addition, on the business day following each annual stockholder meeting of the Company (with the exception of the Company’s 2026 Annual Meeting), and assuming Dr. Nader continues to serve as a non-employee member of the Board following such stockholder meeting, Dr. Nader will automatically be granted an option to purchase shares of the Company’s common stock in accordance with the Compensation Policy then in effect, vesting in full on the earlier of the first anniversary of the grant date or the date of the Company’s next following annual stockholder meeting, subject to his continued Board service.</w:t>
      </w:r>
    </w:p>
    <w:p>
      <w:pPr>
        <w:spacing w:after="0" w:line="134" w:lineRule="exact"/>
        <w:rPr>
          <w:sz w:val="20"/>
          <w:szCs w:val="20"/>
          <w:color w:val="auto"/>
        </w:rPr>
      </w:pPr>
    </w:p>
    <w:p>
      <w:pPr>
        <w:jc w:val="both"/>
        <w:ind w:left="640" w:right="919"/>
        <w:spacing w:after="0" w:line="255" w:lineRule="auto"/>
        <w:rPr>
          <w:sz w:val="20"/>
          <w:szCs w:val="20"/>
          <w:color w:val="auto"/>
        </w:rPr>
      </w:pPr>
      <w:r>
        <w:rPr>
          <w:rFonts w:ascii="Times New Roman" w:cs="Times New Roman" w:eastAsia="Times New Roman" w:hAnsi="Times New Roman"/>
          <w:sz w:val="13"/>
          <w:szCs w:val="13"/>
          <w:color w:val="auto"/>
        </w:rPr>
        <w:t>Notwithstanding any vesting schedule, if Dr. Nader remains in continuous Board service until immediately prior to a “change in control” as defined under the 2024 Plan, all of Dr. Nader’s then-outstanding equity awards granted in connection with the Compensation Policy shall vest and become exercisable in full immediately prior to the closing of such change in control.</w:t>
      </w:r>
    </w:p>
    <w:p>
      <w:pPr>
        <w:spacing w:after="0" w:line="130" w:lineRule="exact"/>
        <w:rPr>
          <w:sz w:val="20"/>
          <w:szCs w:val="20"/>
          <w:color w:val="auto"/>
        </w:rPr>
      </w:pPr>
    </w:p>
    <w:p>
      <w:pPr>
        <w:ind w:left="640" w:right="1019"/>
        <w:spacing w:after="0" w:line="255" w:lineRule="auto"/>
        <w:rPr>
          <w:sz w:val="20"/>
          <w:szCs w:val="20"/>
          <w:color w:val="auto"/>
        </w:rPr>
      </w:pPr>
      <w:r>
        <w:rPr>
          <w:rFonts w:ascii="Times New Roman" w:cs="Times New Roman" w:eastAsia="Times New Roman" w:hAnsi="Times New Roman"/>
          <w:sz w:val="13"/>
          <w:szCs w:val="13"/>
          <w:color w:val="auto"/>
        </w:rPr>
        <w:t>In connection with Dr. Nader’s election to the Board, the Company and Dr. Nader entered into the Company’s standard form of indemnification agreement, a copy of which was filed as Exhibit 10.2 to the Company’s Current Report on Form 8-K (File No. 001-38537), filed with the SEC on June 20, 2024.</w:t>
      </w:r>
    </w:p>
    <w:p>
      <w:pPr>
        <w:spacing w:after="0" w:line="232"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7.01</w:t>
      </w:r>
      <w:r>
        <w:rPr>
          <w:sz w:val="20"/>
          <w:szCs w:val="20"/>
          <w:color w:val="auto"/>
        </w:rPr>
        <w:tab/>
      </w:r>
      <w:r>
        <w:rPr>
          <w:rFonts w:ascii="Times New Roman" w:cs="Times New Roman" w:eastAsia="Times New Roman" w:hAnsi="Times New Roman"/>
          <w:sz w:val="13"/>
          <w:szCs w:val="13"/>
          <w:b w:val="1"/>
          <w:bCs w:val="1"/>
          <w:color w:val="auto"/>
        </w:rPr>
        <w:t>Regulation FD Disclosure.</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On February 23, 2026, the Company issued a press release announcing the appointment of Dr. Nader to the Board and to his role as Chair of the Board.</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 copy of the Company’s press release is attached as Exhibit 99.1 to this Current Report on Form 8-K.</w:t>
      </w:r>
    </w:p>
    <w:p>
      <w:pPr>
        <w:sectPr>
          <w:pgSz w:w="11900" w:h="16838" w:orient="portrait"/>
          <w:cols w:equalWidth="0" w:num="1">
            <w:col w:w="9019"/>
          </w:cols>
          <w:pgMar w:left="1440" w:top="248" w:right="1440" w:bottom="1440" w:gutter="0" w:footer="0" w:header="0"/>
          <w:type w:val="continuous"/>
        </w:sectPr>
      </w:pPr>
    </w:p>
    <w:bookmarkStart w:id="2" w:name="page3"/>
    <w:bookmarkEnd w:id="2"/>
    <w:p>
      <w:pPr>
        <w:ind w:left="640" w:right="89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On February 24, 2026, the Company posted a presentation titled “TX2100: A Differentiated Anti-Angiogenic Therapy for HHT and Other Bleeding Disorders” on its website, a copy of which is attached as Exhibit 99.2 to this Current Report on Form 8-K.</w:t>
      </w:r>
    </w:p>
    <w:p>
      <w:pPr>
        <w:spacing w:after="0" w:line="122" w:lineRule="exact"/>
        <w:rPr>
          <w:sz w:val="20"/>
          <w:szCs w:val="20"/>
          <w:color w:val="auto"/>
        </w:rPr>
      </w:pPr>
    </w:p>
    <w:p>
      <w:pPr>
        <w:ind w:left="640" w:right="659"/>
        <w:spacing w:after="0" w:line="249" w:lineRule="auto"/>
        <w:rPr>
          <w:sz w:val="20"/>
          <w:szCs w:val="20"/>
          <w:color w:val="auto"/>
        </w:rPr>
      </w:pPr>
      <w:r>
        <w:rPr>
          <w:rFonts w:ascii="Times New Roman" w:cs="Times New Roman" w:eastAsia="Times New Roman" w:hAnsi="Times New Roman"/>
          <w:sz w:val="13"/>
          <w:szCs w:val="13"/>
          <w:color w:val="auto"/>
        </w:rPr>
        <w:t>The information under Item 7.01 in this Current Report on Form 8-K, including Exhibits 99.1 and 99.2 attached hereto, is being furnished and shall not be deemed “filed” for purposes of Section 18 of the Securities Exchange Act of 1934, as amended (the “Exchange Act”) or otherwise subject to the liabilities of that section, nor shall it be deemed incorporated by reference in any filing of the Company under the Securities Act of 1933, as amended, or the Exchange Act, whether made before or after the date hereof, regardless of any general incorporation language in such filing, except as shall be expressly set forth by specific reference in such filing.</w:t>
      </w:r>
    </w:p>
    <w:p>
      <w:pPr>
        <w:spacing w:after="0" w:line="237"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9.01</w:t>
      </w:r>
      <w:r>
        <w:rPr>
          <w:sz w:val="20"/>
          <w:szCs w:val="20"/>
          <w:color w:val="auto"/>
        </w:rPr>
        <w:tab/>
      </w:r>
      <w:r>
        <w:rPr>
          <w:rFonts w:ascii="Times New Roman" w:cs="Times New Roman" w:eastAsia="Times New Roman" w:hAnsi="Times New Roman"/>
          <w:sz w:val="13"/>
          <w:szCs w:val="13"/>
          <w:b w:val="1"/>
          <w:bCs w:val="1"/>
          <w:color w:val="auto"/>
        </w:rPr>
        <w:t>Financial Statements and Exhibits.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(d) Exhibits.</w:t>
      </w:r>
    </w:p>
    <w:p>
      <w:pPr>
        <w:spacing w:after="0" w:line="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99.1  </w:t>
      </w:r>
      <w:r>
        <w:rPr>
          <w:rFonts w:ascii="Times New Roman" w:cs="Times New Roman" w:eastAsia="Times New Roman" w:hAnsi="Times New Roman"/>
          <w:sz w:val="13"/>
          <w:szCs w:val="13"/>
          <w:u w:val="single" w:color="auto"/>
          <w:color w:val="0000EE"/>
        </w:rPr>
        <w:t>Press Release of Tectonic Therapeutic, Inc. dated February 23, 2026</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99.2  </w:t>
      </w:r>
      <w:r>
        <w:rPr>
          <w:rFonts w:ascii="Times New Roman" w:cs="Times New Roman" w:eastAsia="Times New Roman" w:hAnsi="Times New Roman"/>
          <w:sz w:val="13"/>
          <w:szCs w:val="13"/>
          <w:u w:val="single" w:color="auto"/>
          <w:color w:val="0000EE"/>
        </w:rPr>
        <w:t>Corporate Presentation dated February 24, 2026</w:t>
      </w:r>
    </w:p>
    <w:p>
      <w:pPr>
        <w:spacing w:after="0" w:line="78" w:lineRule="exact"/>
        <w:rPr>
          <w:sz w:val="20"/>
          <w:szCs w:val="20"/>
          <w:color w:val="auto"/>
        </w:rPr>
      </w:pPr>
    </w:p>
    <w:p>
      <w:pPr>
        <w:ind w:left="640"/>
        <w:spacing w:after="0"/>
        <w:tabs>
          <w:tab w:leader="none" w:pos="940" w:val="left"/>
        </w:tabs>
        <w:rPr>
          <w:sz w:val="20"/>
          <w:szCs w:val="20"/>
          <w:color w:val="auto"/>
        </w:rPr>
      </w:pPr>
      <w:r>
        <w:rPr>
          <w:rFonts w:ascii="Times New Roman" w:cs="Times New Roman" w:eastAsia="Times New Roman" w:hAnsi="Times New Roman"/>
          <w:sz w:val="13"/>
          <w:szCs w:val="13"/>
          <w:color w:val="auto"/>
        </w:rPr>
        <w:t>104</w:t>
      </w:r>
      <w:r>
        <w:rPr>
          <w:sz w:val="20"/>
          <w:szCs w:val="20"/>
          <w:color w:val="auto"/>
        </w:rPr>
        <w:tab/>
      </w:r>
      <w:r>
        <w:rPr>
          <w:rFonts w:ascii="Times New Roman" w:cs="Times New Roman" w:eastAsia="Times New Roman" w:hAnsi="Times New Roman"/>
          <w:sz w:val="12"/>
          <w:szCs w:val="12"/>
          <w:color w:val="auto"/>
        </w:rPr>
        <w:t>Cover Page Interactive Data File (embedded within the Inline XBRL document)</w:t>
      </w:r>
    </w:p>
    <w:p>
      <w:pPr>
        <w:sectPr>
          <w:pgSz w:w="11900" w:h="16838" w:orient="portrait"/>
          <w:cols w:equalWidth="0" w:num="1">
            <w:col w:w="9019"/>
          </w:cols>
          <w:pgMar w:left="1440" w:top="250"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117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3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b w:val="1"/>
          <w:bCs w:val="1"/>
          <w:color w:val="auto"/>
        </w:rPr>
        <w:t>Tectonic Therapeutic, Inc.</w:t>
      </w:r>
    </w:p>
    <w:p>
      <w:pPr>
        <w:spacing w:after="0" w:line="156" w:lineRule="exact"/>
        <w:rPr>
          <w:sz w:val="20"/>
          <w:szCs w:val="20"/>
          <w:color w:val="auto"/>
        </w:rPr>
      </w:pPr>
    </w:p>
    <w:p>
      <w:pPr>
        <w:ind w:left="640"/>
        <w:spacing w:after="0"/>
        <w:tabs>
          <w:tab w:leader="none" w:pos="4560" w:val="left"/>
          <w:tab w:leader="none" w:pos="4880" w:val="left"/>
        </w:tabs>
        <w:rPr>
          <w:sz w:val="20"/>
          <w:szCs w:val="20"/>
          <w:color w:val="auto"/>
        </w:rPr>
      </w:pPr>
      <w:r>
        <w:rPr>
          <w:rFonts w:ascii="Times New Roman" w:cs="Times New Roman" w:eastAsia="Times New Roman" w:hAnsi="Times New Roman"/>
          <w:sz w:val="13"/>
          <w:szCs w:val="13"/>
          <w:color w:val="auto"/>
        </w:rPr>
        <w:t>Date: February 24, 2026</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Daniel Lochner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9525</wp:posOffset>
            </wp:positionV>
            <wp:extent cx="220853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Daniel Lochner</w:t>
      </w:r>
    </w:p>
    <w:p>
      <w:pPr>
        <w:spacing w:after="0" w:line="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Chief Financial Officer</w:t>
      </w:r>
    </w:p>
    <w:p>
      <w:pPr>
        <w:sectPr>
          <w:pgSz w:w="11900" w:h="16838" w:orient="portrait"/>
          <w:cols w:equalWidth="0" w:num="1">
            <w:col w:w="9019"/>
          </w:cols>
          <w:pgMar w:left="1440" w:top="248" w:right="1440" w:bottom="1440" w:gutter="0" w:footer="0" w:header="0"/>
        </w:sectPr>
      </w:pPr>
    </w:p>
    <w:bookmarkStart w:id="4" w:name="page5"/>
    <w:bookmarkEnd w:id="4"/>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Tectonic Therapeutic Appoints François Nader, M.D., as Chair and Independent</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Director of the Board</w:t>
      </w:r>
    </w:p>
    <w:p>
      <w:pPr>
        <w:spacing w:after="0" w:line="141" w:lineRule="exact"/>
        <w:rPr>
          <w:sz w:val="20"/>
          <w:szCs w:val="20"/>
          <w:color w:val="auto"/>
        </w:rPr>
      </w:pPr>
    </w:p>
    <w:p>
      <w:pPr>
        <w:ind w:left="640" w:right="959"/>
        <w:spacing w:after="0" w:line="251" w:lineRule="auto"/>
        <w:rPr>
          <w:sz w:val="20"/>
          <w:szCs w:val="20"/>
          <w:color w:val="auto"/>
        </w:rPr>
      </w:pPr>
      <w:r>
        <w:rPr>
          <w:rFonts w:ascii="Times New Roman" w:cs="Times New Roman" w:eastAsia="Times New Roman" w:hAnsi="Times New Roman"/>
          <w:sz w:val="13"/>
          <w:szCs w:val="13"/>
          <w:color w:val="auto"/>
        </w:rPr>
        <w:t xml:space="preserve">WATERTOWN, Mass., February 23, 2026 (GLOBE NEWSWIRE) — </w:t>
      </w:r>
      <w:r>
        <w:rPr>
          <w:rFonts w:ascii="Times New Roman" w:cs="Times New Roman" w:eastAsia="Times New Roman" w:hAnsi="Times New Roman"/>
          <w:sz w:val="13"/>
          <w:szCs w:val="13"/>
          <w:u w:val="single" w:color="auto"/>
          <w:color w:val="auto"/>
        </w:rPr>
        <w:t>Tectonic Therapeutic, Inc.</w:t>
      </w:r>
      <w:r>
        <w:rPr>
          <w:rFonts w:ascii="Times New Roman" w:cs="Times New Roman" w:eastAsia="Times New Roman" w:hAnsi="Times New Roman"/>
          <w:sz w:val="13"/>
          <w:szCs w:val="13"/>
          <w:color w:val="auto"/>
        </w:rPr>
        <w:t xml:space="preserve"> (NASDAQ: TECX) (“Tectonic”), a clinical-stage biotechnology company focused on the discovery and development of therapeutic proteins and antibodies that modulate the activity of G-protein coupled receptors (GPCRs), today announced it has appointed François Nader, M.D., MBA, as an independent director to its Board of Directors, effective April 1, 2026, at which time he will also assume the role of Chair of the Board.</w:t>
      </w:r>
    </w:p>
    <w:p>
      <w:pPr>
        <w:spacing w:after="0" w:line="133" w:lineRule="exact"/>
        <w:rPr>
          <w:sz w:val="20"/>
          <w:szCs w:val="20"/>
          <w:color w:val="auto"/>
        </w:rPr>
      </w:pPr>
    </w:p>
    <w:p>
      <w:pPr>
        <w:ind w:left="640" w:right="719"/>
        <w:spacing w:after="0" w:line="249" w:lineRule="auto"/>
        <w:rPr>
          <w:sz w:val="20"/>
          <w:szCs w:val="20"/>
          <w:color w:val="auto"/>
        </w:rPr>
      </w:pPr>
      <w:r>
        <w:rPr>
          <w:rFonts w:ascii="Times New Roman" w:cs="Times New Roman" w:eastAsia="Times New Roman" w:hAnsi="Times New Roman"/>
          <w:sz w:val="13"/>
          <w:szCs w:val="13"/>
          <w:color w:val="auto"/>
        </w:rPr>
        <w:t>Dr. Nader brings more than 30 years of leadership experience across the biotechnology and pharmaceutical industry and currently serves as an Independent Director of Moderna, Inc. (NASDAQ: MRNA), a global biotechnology company. Upon Dr. Nader assuming the role as independent director to the Board of Directors, Terry McGuire will resign from his role as Chair of the Board, a role which Dr. Nader will immediately assume. In order to provide for a smooth leadership transition, Mr. McGuire will remain a member of the Board of Directors until Tectonic’s 2026 Annual Meeting of Stockholders, which is anticipated to be in June 2026.</w:t>
      </w:r>
    </w:p>
    <w:p>
      <w:pPr>
        <w:spacing w:after="0" w:line="134" w:lineRule="exact"/>
        <w:rPr>
          <w:sz w:val="20"/>
          <w:szCs w:val="20"/>
          <w:color w:val="auto"/>
        </w:rPr>
      </w:pPr>
    </w:p>
    <w:p>
      <w:pPr>
        <w:ind w:left="640" w:right="719"/>
        <w:spacing w:after="0" w:line="248" w:lineRule="auto"/>
        <w:rPr>
          <w:sz w:val="20"/>
          <w:szCs w:val="20"/>
          <w:color w:val="auto"/>
        </w:rPr>
      </w:pPr>
      <w:r>
        <w:rPr>
          <w:rFonts w:ascii="Times New Roman" w:cs="Times New Roman" w:eastAsia="Times New Roman" w:hAnsi="Times New Roman"/>
          <w:sz w:val="13"/>
          <w:szCs w:val="13"/>
          <w:color w:val="auto"/>
        </w:rPr>
        <w:t>“We are delighted to welcome François Nader to Tectonic’s Board of Directors. François brings exceptional and broad leadership experience, deep expertise in corporate governance and strategic transactions, and a strong track record of building and scaling innovative biotechnology companies. His perspective will be invaluable as we continue advancing our GPCR-targeted pipeline and positioning Tectonic for long-term growth and shareholder value creation,” said Alise Reicin, M.D., President and Chief Executive Officer of Tectonic Therapeutic. “We would also like to express our sincere appreciation to Terry McGuire for his strong leadership and continued support since Tectonic’s inception, and for his instrumental contributions in helping us build our company.”</w:t>
      </w:r>
    </w:p>
    <w:p>
      <w:pPr>
        <w:spacing w:after="0" w:line="135" w:lineRule="exact"/>
        <w:rPr>
          <w:sz w:val="20"/>
          <w:szCs w:val="20"/>
          <w:color w:val="auto"/>
        </w:rPr>
      </w:pPr>
    </w:p>
    <w:p>
      <w:pPr>
        <w:jc w:val="both"/>
        <w:ind w:left="640" w:right="739"/>
        <w:spacing w:after="0" w:line="255" w:lineRule="auto"/>
        <w:rPr>
          <w:sz w:val="20"/>
          <w:szCs w:val="20"/>
          <w:color w:val="auto"/>
        </w:rPr>
      </w:pPr>
      <w:r>
        <w:rPr>
          <w:rFonts w:ascii="Times New Roman" w:cs="Times New Roman" w:eastAsia="Times New Roman" w:hAnsi="Times New Roman"/>
          <w:sz w:val="13"/>
          <w:szCs w:val="13"/>
          <w:color w:val="auto"/>
        </w:rPr>
        <w:t>“I am excited to join Tectonic at this important stage of its development,” said Dr. Nader. “The company’s approach to targeting GPCR biology has the potential to unlock meaningful therapeutic advances. I look forward to working with the Board and management team to help guide Tectonic’s strategy and support its continued growth.”</w:t>
      </w:r>
    </w:p>
    <w:p>
      <w:pPr>
        <w:spacing w:after="0" w:line="130" w:lineRule="exact"/>
        <w:rPr>
          <w:sz w:val="20"/>
          <w:szCs w:val="20"/>
          <w:color w:val="auto"/>
        </w:rPr>
      </w:pPr>
    </w:p>
    <w:p>
      <w:pPr>
        <w:ind w:left="640" w:right="919"/>
        <w:spacing w:after="0" w:line="255" w:lineRule="auto"/>
        <w:rPr>
          <w:sz w:val="20"/>
          <w:szCs w:val="20"/>
          <w:color w:val="auto"/>
        </w:rPr>
      </w:pPr>
      <w:r>
        <w:rPr>
          <w:rFonts w:ascii="Times New Roman" w:cs="Times New Roman" w:eastAsia="Times New Roman" w:hAnsi="Times New Roman"/>
          <w:sz w:val="13"/>
          <w:szCs w:val="13"/>
          <w:color w:val="auto"/>
        </w:rPr>
        <w:t>“I strongly support the appointment of François Nader to Tectonic’s Board as the company continues to evolve to its next stage of growth,” said Mr. McGuire. “It has been an honor for me to serve as the Chair of Tectonic’s Board, and I’m proud to have been part of the Company’s progress in advancing innovative GPCR-targeted therapies for patients with serious diseases.”</w:t>
      </w:r>
    </w:p>
    <w:p>
      <w:pPr>
        <w:spacing w:after="0" w:line="130" w:lineRule="exact"/>
        <w:rPr>
          <w:sz w:val="20"/>
          <w:szCs w:val="20"/>
          <w:color w:val="auto"/>
        </w:rPr>
      </w:pPr>
    </w:p>
    <w:p>
      <w:pPr>
        <w:ind w:left="640" w:right="679"/>
        <w:spacing w:after="0" w:line="246" w:lineRule="auto"/>
        <w:rPr>
          <w:sz w:val="20"/>
          <w:szCs w:val="20"/>
          <w:color w:val="auto"/>
        </w:rPr>
      </w:pPr>
      <w:r>
        <w:rPr>
          <w:rFonts w:ascii="Times New Roman" w:cs="Times New Roman" w:eastAsia="Times New Roman" w:hAnsi="Times New Roman"/>
          <w:sz w:val="13"/>
          <w:szCs w:val="13"/>
          <w:color w:val="auto"/>
        </w:rPr>
        <w:t>Dr. Nader was appointed as an Independent Director of Moderna in 2019, where he chairs both the Talent &amp; Compensation Committee and the Nominating &amp; Governance Committee. He has served as Chairman, Executive Chairman, and/or Independent Director of numerous biotechnology companies which culminated in significant strategic transactions, including Acceleron Pharma (acquired by Merck), Alexion Pharmaceuticals (acquired by AstraZeneca), Prevail Therapeutics (acquired by Eli Lilly), Clementia Pharmaceuticals (acquired by Ipsen), Advanced Accelerator Applications (acquired by Novartis), Baxalta (acquired by Shire), NPS Pharmaceuticals (acquired by Shire), and Noven Pharmaceuticals (acquired by Hisamitsu). He also previously served as President and Chief Executive Officer of NPS Pharmaceuticals, where he led the company’s transformation into a global rare disease leader. Earlier in his career, he held senior leadership roles spanning medical, regulatory, and commercial functions at Aventis and its predecessor companies. Dr. Nader earned his French Doctorate in Medicine from St. Joseph University in Lebanon and a Physician Executive MBA from the University of Tennessee.</w:t>
      </w:r>
    </w:p>
    <w:p>
      <w:pPr>
        <w:sectPr>
          <w:pgSz w:w="11900" w:h="16838" w:orient="portrait"/>
          <w:cols w:equalWidth="0" w:num="1">
            <w:col w:w="9019"/>
          </w:cols>
          <w:pgMar w:left="1440" w:top="125" w:right="1440" w:bottom="1440" w:gutter="0" w:footer="0" w:header="0"/>
        </w:sectPr>
      </w:pPr>
    </w:p>
    <w:bookmarkStart w:id="5" w:name="page6"/>
    <w:bookmarkEnd w:id="5"/>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About Tectonic</w:t>
      </w:r>
    </w:p>
    <w:p>
      <w:pPr>
        <w:spacing w:after="0" w:line="80" w:lineRule="exact"/>
        <w:rPr>
          <w:sz w:val="20"/>
          <w:szCs w:val="20"/>
          <w:color w:val="auto"/>
        </w:rPr>
      </w:pPr>
    </w:p>
    <w:p>
      <w:pPr>
        <w:ind w:left="640" w:right="699"/>
        <w:spacing w:after="0" w:line="232" w:lineRule="auto"/>
        <w:rPr>
          <w:sz w:val="20"/>
          <w:szCs w:val="20"/>
          <w:color w:val="auto"/>
        </w:rPr>
      </w:pPr>
      <w:r>
        <w:rPr>
          <w:rFonts w:ascii="Times New Roman" w:cs="Times New Roman" w:eastAsia="Times New Roman" w:hAnsi="Times New Roman"/>
          <w:sz w:val="13"/>
          <w:szCs w:val="13"/>
          <w:color w:val="auto"/>
        </w:rPr>
        <w:t>Tectonic Therapeutic is a clinical-stage biotechnology company focused on the discovery and development of therapeutic proteins and antibodies that modulate the activity of GPCRs. Leveraging its proprietary technology platform called GEODe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(GPCRs Engineered for Optimal Discovery), Tectonic is focused on developing biologic medicines that overcome the existing challenges of GPCR-targeted drug discovery and harness the human body to modify the course of disease. Tectonic focuses on areas of significant unmet medical need, often where therapeutic options are poor or nonexistent, as these are areas where new medicines have the potential to improve patient quality of life. Tectonic is headquartered in Watertown, Massachusetts. For more information, please visit </w:t>
      </w:r>
      <w:r>
        <w:rPr>
          <w:rFonts w:ascii="Times New Roman" w:cs="Times New Roman" w:eastAsia="Times New Roman" w:hAnsi="Times New Roman"/>
          <w:sz w:val="13"/>
          <w:szCs w:val="13"/>
          <w:u w:val="single" w:color="auto"/>
          <w:color w:val="auto"/>
        </w:rPr>
        <w:t>www.tectonictx.com</w:t>
      </w:r>
      <w:r>
        <w:rPr>
          <w:rFonts w:ascii="Times New Roman" w:cs="Times New Roman" w:eastAsia="Times New Roman" w:hAnsi="Times New Roman"/>
          <w:sz w:val="13"/>
          <w:szCs w:val="13"/>
          <w:color w:val="auto"/>
        </w:rPr>
        <w:t xml:space="preserve"> and follow us on </w:t>
      </w:r>
      <w:r>
        <w:rPr>
          <w:rFonts w:ascii="Times New Roman" w:cs="Times New Roman" w:eastAsia="Times New Roman" w:hAnsi="Times New Roman"/>
          <w:sz w:val="13"/>
          <w:szCs w:val="13"/>
          <w:u w:val="single" w:color="auto"/>
          <w:color w:val="auto"/>
        </w:rPr>
        <w:t>LinkedIn</w:t>
      </w:r>
      <w:r>
        <w:rPr>
          <w:rFonts w:ascii="Times New Roman" w:cs="Times New Roman" w:eastAsia="Times New Roman" w:hAnsi="Times New Roman"/>
          <w:sz w:val="13"/>
          <w:szCs w:val="13"/>
          <w:color w:val="auto"/>
        </w:rPr>
        <w:t>.</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80" w:lineRule="exact"/>
        <w:rPr>
          <w:sz w:val="20"/>
          <w:szCs w:val="20"/>
          <w:color w:val="auto"/>
        </w:rPr>
      </w:pPr>
    </w:p>
    <w:p>
      <w:pPr>
        <w:ind w:left="640" w:right="659"/>
        <w:spacing w:after="0" w:line="265"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the “safe harbor” provisions of the Private Securities Litigation Reform Act of 1995. All statements in this press release other than statements of historical facts are “forward-looking statements.”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but are not limited to, statements regarding: the anticipated timing of Tectonic’s 2026 Annual Meeting of Stockholders and the expected changes in board leadership roles. These forward-looking statements are based on Tectonic’s expectations and assumptions as of the date of this press release. Each of these forward-looking statements involves risks and uncertainties that may cause Tectonic’s actual results to differ from those expressed or implied in the forward-looking statements in this press release. These risks and uncertainties include those that are identified under the heading “Risk Factors” in Tectonic’s quarterly report on Form 10-Q filed with the SEC for the quarter ended September 30, 2025, and in other filings that Tectonic makes and will make with</w:t>
      </w:r>
    </w:p>
    <w:p>
      <w:pPr>
        <w:spacing w:after="0" w:line="6" w:lineRule="exact"/>
        <w:rPr>
          <w:sz w:val="20"/>
          <w:szCs w:val="20"/>
          <w:color w:val="auto"/>
        </w:rPr>
      </w:pPr>
    </w:p>
    <w:p>
      <w:pPr>
        <w:ind w:left="640" w:right="679"/>
        <w:spacing w:after="0" w:line="246" w:lineRule="auto"/>
        <w:rPr>
          <w:sz w:val="20"/>
          <w:szCs w:val="20"/>
          <w:color w:val="auto"/>
        </w:rPr>
      </w:pPr>
      <w:r>
        <w:rPr>
          <w:rFonts w:ascii="Times New Roman" w:cs="Times New Roman" w:eastAsia="Times New Roman" w:hAnsi="Times New Roman"/>
          <w:sz w:val="13"/>
          <w:szCs w:val="13"/>
          <w:color w:val="auto"/>
        </w:rPr>
        <w:t>the SEC in the future. Tectonic expressly disclaims any obligation to update any forward-looking statements contained herein, whether as a result of any new information, future events, changed circumstances or otherwise, except as otherwise required by law.</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Contacts:</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Investors:</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Dan Ferry</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LifeSci Advisors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daniel@lifesciadvisors.com</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(617) 430-7576</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Media:</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Kathryn Morris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Yates Network</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kathryn@theyatesnetwork.com</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(914) 204-6412</w:t>
      </w:r>
    </w:p>
    <w:p>
      <w:pPr>
        <w:sectPr>
          <w:pgSz w:w="11900" w:h="16838" w:orient="portrait"/>
          <w:cols w:equalWidth="0" w:num="1">
            <w:col w:w="9019"/>
          </w:cols>
          <w:pgMar w:left="1440" w:top="229" w:right="1440" w:bottom="1440"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2026-02-24T15:17:25Z</dcterms:created>
  <dcterms:modified xsi:type="dcterms:W3CDTF">2026-02-24T15:17:25Z</dcterms:modified>
</cp:coreProperties>
</file>