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5280025</wp:posOffset>
            </wp:positionH>
            <wp:positionV relativeFrom="paragraph">
              <wp:posOffset>-596900</wp:posOffset>
            </wp:positionV>
            <wp:extent cx="8255" cy="5975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3971290</wp:posOffset>
            </wp:positionH>
            <wp:positionV relativeFrom="paragraph">
              <wp:posOffset>-605155</wp:posOffset>
            </wp:positionV>
            <wp:extent cx="8255" cy="6057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3995420</wp:posOffset>
            </wp:positionH>
            <wp:positionV relativeFrom="paragraph">
              <wp:posOffset>-581025</wp:posOffset>
            </wp:positionV>
            <wp:extent cx="1268095" cy="557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557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26670</wp:posOffset>
            </wp:positionV>
            <wp:extent cx="6969760" cy="17202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720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u w:val="single" w:color="auto"/>
                  <w:color w:val="0000EE"/>
                </w:rPr>
                <w:t>MACKAY GEOFFREY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60"/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0"/>
                  <w:szCs w:val="20"/>
                  <w:u w:val="single" w:color="auto"/>
                  <w:color w:val="0000EE"/>
                </w:rPr>
                <w:t>AVROBIO, Inc.</w:t>
              </w:r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AVRO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AVROBIO,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02/04/2021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KENDALL SQUARE, BLDG. 300, SUITE 201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0"/>
          <w:szCs w:val="20"/>
          <w:color w:val="auto"/>
        </w:rPr>
      </w:pPr>
    </w:p>
    <w:p>
      <w:pPr>
        <w:jc w:val="center"/>
        <w:ind w:right="17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-2474595</wp:posOffset>
            </wp:positionH>
            <wp:positionV relativeFrom="paragraph">
              <wp:posOffset>180340</wp:posOffset>
            </wp:positionV>
            <wp:extent cx="6969760" cy="8642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86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-15240</wp:posOffset>
            </wp:positionV>
            <wp:extent cx="7034530" cy="18249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1824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16.02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02/04/2021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343,850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02/03/2031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343,850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343,850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25% of the shares shall vest and become exercisable on February 4, 2022, and the remaining 75% shall vest in equal monthly installments thereafter over a 3 year period.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Steven N. Avruch, Attorney-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02/04/2021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335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Geoffrey MacKay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12369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6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41849" TargetMode="External"/><Relationship Id="rId14" Type="http://schemas.openxmlformats.org/officeDocument/2006/relationships/hyperlink" Target="http://www.sec.gov/cgi-bin/browse-edgar?action=getcompany&amp;CIK=00016810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2021-02-04T16:58:06Z</dcterms:created>
  <dcterms:modified xsi:type="dcterms:W3CDTF">2021-02-04T16:58:06Z</dcterms:modified>
</cp:coreProperties>
</file>