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014d424b3.htm"/>
        <w:bookmarkStart w:id="1" w:name="ksd15014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424(b)(3) </w:t>
        <w:br/>
        <w:t xml:space="preserve">Registration No. 333-286133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April 2, 2025) </w:t>
      </w:r>
    </w:p>
    <w:p>
      <w:pPr>
        <w:pStyle w:val="TextBody"/>
        <w:bidi w:val="0"/>
        <w:spacing w:before="0" w:after="0"/>
        <w:jc w:val="left"/>
        <w:rPr/>
      </w:pPr>
      <w:r>
        <w:rPr/>
        <w:t> </w:t>
      </w:r>
    </w:p>
    <w:p>
      <w:pPr>
        <w:pStyle w:val="TextBody"/>
        <w:bidi w:val="0"/>
        <w:spacing w:before="0" w:after="0"/>
        <w:jc w:val="center"/>
        <w:rPr/>
      </w:pPr>
      <w:r>
        <w:rPr/>
        <w:drawing>
          <wp:inline distT="0" distB="0" distL="0" distR="0">
            <wp:extent cx="14097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3810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Tectonic Therapeutic, Inc. </w:t>
      </w:r>
    </w:p>
    <w:p>
      <w:pPr>
        <w:pStyle w:val="TextBody"/>
        <w:bidi w:val="0"/>
        <w:spacing w:before="120" w:after="0"/>
        <w:jc w:val="center"/>
        <w:rPr>
          <w:rFonts w:ascii="Times New Roman" w:hAnsi="Times New Roman"/>
          <w:b/>
          <w:sz w:val="28"/>
        </w:rPr>
      </w:pPr>
      <w:r>
        <w:rPr>
          <w:rFonts w:ascii="Times New Roman" w:hAnsi="Times New Roman"/>
          <w:b/>
          <w:sz w:val="28"/>
        </w:rPr>
        <w:t xml:space="preserve">Up to 3,689,465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supplements the prospectus dated April 2, 2025 (the Prospectus), which forms a part of our registration statement on Form S-1 (No. 333-286133). This prospectus supplement is being filed to update and supplement the information in the Prospectus with certain information contained in our Quarterly Report on Form 10-Q, filed with the Securities and Exchange Commission on May 8, 2025 (the Quarterly Report). Accordingly, we have attached the Quarterly Report in relevant part to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and this prospectus supplement relate to the proposed offer and resale or other disposition from time to time by the selling stockholders identified in this prospectus of up to an aggregate of 3,689,465 shares of common stock, par value $0.0001 per share (the Common Stock), of Tectonic Therapeutic, Inc.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ticker symbol TECX. On May 7, 2025, the last reported sales price of our Common Stock was $18.97 per share.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not complete without, and may not be delivered or utilized except in connection with, the Prospectus, including any amendments or supplements thereto.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securities involves a high degree of risk. You should review carefully the risks and uncertainties described in the section titled Risk Factors beginning on page 9 of the Prospectus, and under similar headings in any amendments or supplements to the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supplement or the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May 8,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10-Q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(Mark One)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quarterly period ended March 31, 2025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transition period from ______________ to ______________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001-38537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TECTONIC THERAPEUTIC,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81-0710585</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3" w:type="dxa"/>
            <w:tcBorders/>
            <w:vAlign w:val="center"/>
          </w:tcPr>
          <w:p>
            <w:pPr>
              <w:pStyle w:val="TableContents"/>
              <w:bidi w:val="0"/>
              <w:spacing w:before="0" w:after="283"/>
              <w:jc w:val="left"/>
              <w:rPr>
                <w:sz w:val="4"/>
                <w:szCs w:val="4"/>
              </w:rPr>
            </w:pPr>
            <w:r>
              <w:rPr>
                <w:sz w:val="4"/>
                <w:szCs w:val="4"/>
              </w:rPr>
            </w:r>
          </w:p>
        </w:tc>
        <w:tc>
          <w:tcPr>
            <w:tcW w:w="5052" w:type="dxa"/>
            <w:gridSpan w:val="2"/>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490 Arsenal Way, Suite 210</w:t>
            </w:r>
          </w:p>
          <w:p>
            <w:pPr>
              <w:pStyle w:val="TableContents"/>
              <w:bidi w:val="0"/>
              <w:spacing w:before="0" w:after="20"/>
              <w:jc w:val="center"/>
              <w:rPr>
                <w:rFonts w:ascii="Times New Roman" w:hAnsi="Times New Roman"/>
                <w:b/>
                <w:sz w:val="20"/>
              </w:rPr>
            </w:pPr>
            <w:r>
              <w:rPr>
                <w:rFonts w:ascii="Times New Roman" w:hAnsi="Times New Roman"/>
                <w:b/>
                <w:sz w:val="20"/>
              </w:rPr>
              <w:t>Watertown, MA</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02472</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(339) 666-3320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1"/>
        <w:gridCol w:w="3267"/>
        <w:gridCol w:w="100"/>
        <w:gridCol w:w="3268"/>
      </w:tblGrid>
      <w:tr>
        <w:trPr/>
        <w:tc>
          <w:tcPr>
            <w:tcW w:w="346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8" w:type="dxa"/>
            <w:tcBorders/>
            <w:vAlign w:val="center"/>
          </w:tcPr>
          <w:p>
            <w:pPr>
              <w:pStyle w:val="TableContents"/>
              <w:bidi w:val="0"/>
              <w:spacing w:before="0" w:after="283"/>
              <w:jc w:val="left"/>
              <w:rPr>
                <w:sz w:val="4"/>
                <w:szCs w:val="4"/>
              </w:rPr>
            </w:pPr>
            <w:r>
              <w:rPr>
                <w:sz w:val="4"/>
                <w:szCs w:val="4"/>
              </w:rPr>
            </w:r>
          </w:p>
        </w:tc>
      </w:tr>
      <w:tr>
        <w:trPr/>
        <w:tc>
          <w:tcPr>
            <w:tcW w:w="34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00" w:type="dxa"/>
            <w:tcBorders/>
            <w:vAlign w:val="bottom"/>
          </w:tcPr>
          <w:p>
            <w:pPr>
              <w:pStyle w:val="TableContents"/>
              <w:bidi w:val="0"/>
              <w:spacing w:before="0" w:after="283"/>
              <w:jc w:val="left"/>
              <w:rPr/>
            </w:pPr>
            <w:r>
              <w:rPr/>
              <w:t> </w:t>
            </w:r>
          </w:p>
        </w:tc>
        <w:tc>
          <w:tcPr>
            <w:tcW w:w="326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69" w:type="dxa"/>
            <w:tcBorders/>
          </w:tcPr>
          <w:p>
            <w:pPr>
              <w:pStyle w:val="TableContents"/>
              <w:bidi w:val="0"/>
              <w:spacing w:before="0" w:after="283"/>
              <w:jc w:val="center"/>
              <w:rPr>
                <w:b/>
              </w:rPr>
            </w:pPr>
            <w:r>
              <w:rPr>
                <w:b/>
              </w:rPr>
              <w:t>Common Stock, par value $0.0001 per share</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TECX</w:t>
            </w:r>
          </w:p>
        </w:tc>
        <w:tc>
          <w:tcPr>
            <w:tcW w:w="100" w:type="dxa"/>
            <w:tcBorders/>
            <w:vAlign w:val="bottom"/>
          </w:tcPr>
          <w:p>
            <w:pPr>
              <w:pStyle w:val="TableContents"/>
              <w:bidi w:val="0"/>
              <w:spacing w:before="0" w:after="283"/>
              <w:jc w:val="left"/>
              <w:rPr/>
            </w:pPr>
            <w:r>
              <w:rPr/>
              <w:t> </w:t>
            </w:r>
          </w:p>
        </w:tc>
        <w:tc>
          <w:tcPr>
            <w:tcW w:w="3268" w:type="dxa"/>
            <w:tcBorders/>
          </w:tcPr>
          <w:p>
            <w:pPr>
              <w:pStyle w:val="TableContents"/>
              <w:bidi w:val="0"/>
              <w:spacing w:before="0" w:after="283"/>
              <w:jc w:val="center"/>
              <w:rPr>
                <w:b/>
              </w:rPr>
            </w:pPr>
            <w:r>
              <w:rPr>
                <w:b/>
              </w:rPr>
              <w:t>The Nasdaq Stock Market LLC</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12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Act). Yes ☐ No ☒ </w:t>
      </w:r>
    </w:p>
    <w:p>
      <w:pPr>
        <w:pStyle w:val="TextBody"/>
        <w:bidi w:val="0"/>
        <w:spacing w:before="240" w:after="0"/>
        <w:jc w:val="left"/>
        <w:rPr>
          <w:rFonts w:ascii="Times New Roman" w:hAnsi="Times New Roman"/>
          <w:sz w:val="20"/>
        </w:rPr>
      </w:pPr>
      <w:r>
        <w:rPr>
          <w:rFonts w:ascii="Times New Roman" w:hAnsi="Times New Roman"/>
          <w:sz w:val="20"/>
        </w:rPr>
        <w:t xml:space="preserve">As of May 1, 2025, the registrant had 18,672,509 shares of common stock, $0.0001 par value per share, outstanding.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82"/>
        <w:gridCol w:w="175"/>
        <w:gridCol w:w="8086"/>
        <w:gridCol w:w="175"/>
        <w:gridCol w:w="96"/>
        <w:gridCol w:w="427"/>
        <w:gridCol w:w="64"/>
      </w:tblGrid>
      <w:tr>
        <w:trPr/>
        <w:tc>
          <w:tcPr>
            <w:tcW w:w="1182"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8086"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82"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523"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1182" w:type="dxa"/>
            <w:tcBorders/>
            <w:vAlign w:val="center"/>
          </w:tcPr>
          <w:p>
            <w:pPr>
              <w:pStyle w:val="TableContents"/>
              <w:bidi w:val="0"/>
              <w:spacing w:before="0" w:after="283"/>
              <w:jc w:val="left"/>
              <w:rPr>
                <w:sz w:val="4"/>
                <w:szCs w:val="4"/>
              </w:rPr>
            </w:pPr>
            <w:r>
              <w:rPr>
                <w:sz w:val="4"/>
                <w:szCs w:val="4"/>
              </w:rPr>
            </w:r>
          </w:p>
        </w:tc>
        <w:tc>
          <w:tcPr>
            <w:tcW w:w="8261"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0"/>
              <w:jc w:val="left"/>
              <w:rPr>
                <w:rFonts w:ascii="Times New Roman" w:hAnsi="Times New Roman"/>
                <w:b/>
                <w:sz w:val="20"/>
              </w:rPr>
            </w:pPr>
            <w:r>
              <w:rPr>
                <w:rFonts w:ascii="Times New Roman" w:hAnsi="Times New Roman"/>
                <w:b/>
                <w:sz w:val="20"/>
              </w:rPr>
              <w:t>PART I.</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
              <w:r>
                <w:rPr>
                  <w:rStyle w:val="InternetLink"/>
                </w:rPr>
                <w:t>FINANCIAL INFORMATION</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1182" w:type="dxa"/>
            <w:tcBorders/>
            <w:vAlign w:val="center"/>
          </w:tcPr>
          <w:p>
            <w:pPr>
              <w:pStyle w:val="TableContents"/>
              <w:bidi w:val="0"/>
              <w:spacing w:before="0" w:after="283"/>
              <w:jc w:val="left"/>
              <w:rPr>
                <w:sz w:val="4"/>
                <w:szCs w:val="4"/>
              </w:rPr>
            </w:pPr>
            <w:r>
              <w:rPr>
                <w:sz w:val="4"/>
                <w:szCs w:val="4"/>
              </w:rPr>
            </w:r>
          </w:p>
        </w:tc>
        <w:tc>
          <w:tcPr>
            <w:tcW w:w="8261"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2">
              <w:r>
                <w:rPr>
                  <w:rStyle w:val="InternetLink"/>
                </w:rPr>
                <w:t>Financial Statements (Unaudited)</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3">
              <w:r>
                <w:rPr>
                  <w:rStyle w:val="InternetLink"/>
                </w:rPr>
                <w:t xml:space="preserve">Condensed Consolidated Balance Sheets as of March 31, 2025 and December 31, 2024 </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4">
              <w:r>
                <w:rPr>
                  <w:rStyle w:val="InternetLink"/>
                </w:rPr>
                <w:t>Condensed Consolidated Statements of Operations and Comprehensive Loss for the three months ended March 31, 2025 and 2024</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5">
              <w:r>
                <w:rPr>
                  <w:rStyle w:val="InternetLink"/>
                </w:rPr>
                <w:t>Condensed Consolidated Statements of Convertible Preferred Stock and Stockholders Equity (Deficit) for the three months ended March 31, 2025 and 2024</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6">
              <w:r>
                <w:rPr>
                  <w:rStyle w:val="InternetLink"/>
                </w:rPr>
                <w:t xml:space="preserve">Condensed Consolidated Statements of Cash Flows for the three months ended March 31, 2025 and 2024 </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7">
              <w:r>
                <w:rPr>
                  <w:rStyle w:val="InternetLink"/>
                </w:rPr>
                <w:t>Notes to Unaudited Interim Condensed Consolidated Financial Statements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8">
              <w:r>
                <w:rPr>
                  <w:rStyle w:val="InternetLink"/>
                </w:rPr>
                <w:t>Managements Discussion and Analysis of Financial Condition and Results of Operations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9">
              <w:r>
                <w:rPr>
                  <w:rStyle w:val="InternetLink"/>
                </w:rPr>
                <w:t>Quantitative and Qualitative Disclosures About Market Risk</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0">
              <w:r>
                <w:rPr>
                  <w:rStyle w:val="InternetLink"/>
                </w:rPr>
                <w:t>Controls and Procedures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1182" w:type="dxa"/>
            <w:tcBorders/>
            <w:vAlign w:val="center"/>
          </w:tcPr>
          <w:p>
            <w:pPr>
              <w:pStyle w:val="TableContents"/>
              <w:bidi w:val="0"/>
              <w:spacing w:before="0" w:after="283"/>
              <w:jc w:val="left"/>
              <w:rPr>
                <w:sz w:val="4"/>
                <w:szCs w:val="4"/>
              </w:rPr>
            </w:pPr>
            <w:r>
              <w:rPr>
                <w:sz w:val="4"/>
                <w:szCs w:val="4"/>
              </w:rPr>
            </w:r>
          </w:p>
        </w:tc>
        <w:tc>
          <w:tcPr>
            <w:tcW w:w="8261"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0"/>
              <w:jc w:val="left"/>
              <w:rPr>
                <w:rFonts w:ascii="Times New Roman" w:hAnsi="Times New Roman"/>
                <w:b/>
                <w:sz w:val="20"/>
              </w:rPr>
            </w:pPr>
            <w:r>
              <w:rPr>
                <w:rFonts w:ascii="Times New Roman" w:hAnsi="Times New Roman"/>
                <w:b/>
                <w:sz w:val="20"/>
              </w:rPr>
              <w:t>PART II.</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1">
              <w:r>
                <w:rPr>
                  <w:rStyle w:val="InternetLink"/>
                </w:rPr>
                <w:t>OTHER INFORMATION</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1182" w:type="dxa"/>
            <w:tcBorders/>
            <w:vAlign w:val="center"/>
          </w:tcPr>
          <w:p>
            <w:pPr>
              <w:pStyle w:val="TableContents"/>
              <w:bidi w:val="0"/>
              <w:spacing w:before="0" w:after="283"/>
              <w:jc w:val="left"/>
              <w:rPr>
                <w:sz w:val="4"/>
                <w:szCs w:val="4"/>
              </w:rPr>
            </w:pPr>
            <w:r>
              <w:rPr>
                <w:sz w:val="4"/>
                <w:szCs w:val="4"/>
              </w:rPr>
            </w:r>
          </w:p>
        </w:tc>
        <w:tc>
          <w:tcPr>
            <w:tcW w:w="8261" w:type="dxa"/>
            <w:gridSpan w:val="2"/>
            <w:tcBorders/>
            <w:vAlign w:val="center"/>
          </w:tcPr>
          <w:p>
            <w:pPr>
              <w:pStyle w:val="TableContents"/>
              <w:bidi w:val="0"/>
              <w:spacing w:before="0" w:after="283"/>
              <w:jc w:val="left"/>
              <w:rPr>
                <w:sz w:val="4"/>
                <w:szCs w:val="4"/>
              </w:rPr>
            </w:pPr>
            <w:r>
              <w:rPr>
                <w:sz w:val="4"/>
                <w:szCs w:val="4"/>
              </w:rPr>
            </w:r>
          </w:p>
        </w:tc>
        <w:tc>
          <w:tcPr>
            <w:tcW w:w="762" w:type="dxa"/>
            <w:gridSpan w:val="4"/>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2">
              <w:r>
                <w:rPr>
                  <w:rStyle w:val="InternetLink"/>
                </w:rPr>
                <w:t>Legal Proceedings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3">
              <w:r>
                <w:rPr>
                  <w:rStyle w:val="InternetLink"/>
                </w:rPr>
                <w:t>Risk Factors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4">
              <w:r>
                <w:rPr>
                  <w:rStyle w:val="InternetLink"/>
                </w:rPr>
                <w:t>Unregistered Sales of Equity Securities and Use of Proceeds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5">
              <w:r>
                <w:rPr>
                  <w:rStyle w:val="InternetLink"/>
                </w:rPr>
                <w:t>Defaults Upon Senior Securities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6">
              <w:r>
                <w:rPr>
                  <w:rStyle w:val="InternetLink"/>
                </w:rPr>
                <w:t>Mine Safety Disclosures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7">
              <w:r>
                <w:rPr>
                  <w:rStyle w:val="InternetLink"/>
                </w:rPr>
                <w:t>Other Information</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8">
              <w:r>
                <w:rPr>
                  <w:rStyle w:val="InternetLink"/>
                </w:rPr>
                <w:t>Exhibits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8086" w:type="dxa"/>
            <w:tcBorders/>
            <w:vAlign w:val="bottom"/>
          </w:tcPr>
          <w:p>
            <w:pPr>
              <w:pStyle w:val="TableContents"/>
              <w:bidi w:val="0"/>
              <w:spacing w:before="0" w:after="283"/>
              <w:jc w:val="left"/>
              <w:rPr/>
            </w:pPr>
            <w:hyperlink w:anchor="q15014_19">
              <w:r>
                <w:rPr>
                  <w:rStyle w:val="InternetLink"/>
                </w:rPr>
                <w:t>Signatures</w:t>
              </w:r>
            </w:hyperlink>
          </w:p>
        </w:tc>
        <w:tc>
          <w:tcPr>
            <w:tcW w:w="17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10-Q (Quarterly Report) contains forward-looking statements within the meaning of Section 21E the Securities Exchange Act of 1934, as amended (the Exchange Act). All statements other than statements of historical facts contained in this Quarterly Report are statements that could be deemed forward-looking statements reflecting the current beliefs and expectations of management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These statements are often identified by the use of words such as aim, anticipate, assume, believe, contemplate, continue, could, due, estimate, expect, goal, if, intend, may, objective, plan, predict, potential, positioned, seek, should, target, until, will, would, and similar expressions or variations. Forward-looking statements in this Quarterly Report may include, for example,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strategies, prospects, plans, expectations or objectives of management for our future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progress, scope or timing of the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surrounding the potential safety, efficacy, and regulatory and clinical progress of TX45, TX2100 and any other product candidates, and our anticipated milestones and timing therefor;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that may be derived from any of our future products, if approved, or the commercial or market opportunity with respect to any of our future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protect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operations, financial position, ability to raise capital to fund our operations, revenues, costs or expenses;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statements regarding our future economic conditions or performance, statements of belief and any statement of assumptions underlying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caution you that the foregoing list may not contain all of the forward-looking statements made in this Quarterly Report. These forward-looking statements are based on our managements current expectations, estimates, forecasts and projections about our business and the industry in which we operate, and managements beliefs and assumptions and are not guarantees of future performance or development. These forward-looking statements are subject to a number of risks, uncertainties and assumptions, including those described under the section titled Risk Factors under Part II, Item 1A below, and under similar captions in our periodic reports filed with the Securities and Exchange Commission (SEC) from time to time.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 Given these uncertainties, you should not place undue reliance on these forward-looking statements. Also, forward-looking statements represent our managements beliefs and assumptions only as of the date of this Quarterly Report on Form 10-Q.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Quarterly Report. While we believe that information provides a reasonable basis for these statements, that information may be limited or incomplete. Our statements should not be read to indicate that we have conducted an exhaustive inquiry into, or review of, all relevant information. </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by law, we assume no obligation to update these forward-looking statements publicly, or to update the reasons actual results could differ materially from those anticipated in these forward-looking statements, even if new information becomes available in the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q15014_1"/>
      <w:bookmarkEnd w:id="3"/>
      <w:r>
        <w:rPr>
          <w:rFonts w:ascii="Times New Roman" w:hAnsi="Times New Roman"/>
          <w:b/>
          <w:sz w:val="20"/>
        </w:rPr>
        <w:t xml:space="preserve">PART IFINANCIAL INFORMATION </w:t>
      </w:r>
    </w:p>
    <w:p>
      <w:pPr>
        <w:pStyle w:val="TextBody"/>
        <w:bidi w:val="0"/>
        <w:spacing w:before="240" w:after="0"/>
        <w:jc w:val="left"/>
        <w:rPr>
          <w:rFonts w:ascii="Times New Roman" w:hAnsi="Times New Roman"/>
          <w:b/>
          <w:sz w:val="20"/>
        </w:rPr>
      </w:pPr>
      <w:bookmarkStart w:id="4" w:name="q15014_2"/>
      <w:bookmarkEnd w:id="4"/>
      <w:r>
        <w:rPr>
          <w:rFonts w:ascii="Times New Roman" w:hAnsi="Times New Roman"/>
          <w:b/>
          <w:sz w:val="20"/>
        </w:rPr>
        <w:t xml:space="preserve">Item 1. Financial Statements. </w:t>
      </w:r>
    </w:p>
    <w:p>
      <w:pPr>
        <w:pStyle w:val="TextBody"/>
        <w:bidi w:val="0"/>
        <w:spacing w:before="480" w:after="0"/>
        <w:jc w:val="center"/>
        <w:rPr>
          <w:rFonts w:ascii="Times New Roman" w:hAnsi="Times New Roman"/>
          <w:b/>
          <w:sz w:val="20"/>
        </w:rPr>
      </w:pPr>
      <w:bookmarkStart w:id="5" w:name="q15014_3"/>
      <w:bookmarkEnd w:id="5"/>
      <w:r>
        <w:rPr>
          <w:rFonts w:ascii="Times New Roman" w:hAnsi="Times New Roman"/>
          <w:b/>
          <w:sz w:val="20"/>
        </w:rPr>
        <w:t xml:space="preserve">TECTONIC THERAPEUTIC,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46"/>
        <w:gridCol w:w="305"/>
        <w:gridCol w:w="147"/>
        <w:gridCol w:w="934"/>
        <w:gridCol w:w="155"/>
        <w:gridCol w:w="258"/>
        <w:gridCol w:w="195"/>
        <w:gridCol w:w="1307"/>
        <w:gridCol w:w="158"/>
      </w:tblGrid>
      <w:tr>
        <w:trPr/>
        <w:tc>
          <w:tcPr>
            <w:tcW w:w="6746"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46"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0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5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306,246</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141,239</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3,397</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5,618</w:t>
            </w:r>
          </w:p>
        </w:tc>
        <w:tc>
          <w:tcPr>
            <w:tcW w:w="158" w:type="dxa"/>
            <w:tcBorders/>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309,643</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146,857</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1,924</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2,151</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right-of-use assets, net</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813</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919</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Operating right-of-use assets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1,724</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2,235</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587</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587</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138</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156</w:t>
            </w:r>
          </w:p>
        </w:tc>
        <w:tc>
          <w:tcPr>
            <w:tcW w:w="158" w:type="dxa"/>
            <w:tcBorders/>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314,829</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152,905</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6,254</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976</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4,907</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7,850</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1,874</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2,295</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liability</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475</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489</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13,510</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11,610</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liability, non-current</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132</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liability, non-current</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283</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387</w:t>
            </w:r>
          </w:p>
        </w:tc>
        <w:tc>
          <w:tcPr>
            <w:tcW w:w="158" w:type="dxa"/>
            <w:tcBorders/>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13,793</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12,129</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11)</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93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307"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30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10,000,000 shares authorized as of March 31, 2025 and December 31, 2024; no shares issued and outstanding as of March 31, 2025 and December 31, 2024</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$0.0001 par value; 150,000,000 shares authorized as of March 31, 2025 and December 31, 2024; 18,671,229 and 14,856,309 shares issued and outstanding as of March 31, 2025 and December 31, 2024, respectively</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465,524</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289,351</w:t>
            </w:r>
          </w:p>
        </w:tc>
        <w:tc>
          <w:tcPr>
            <w:tcW w:w="158" w:type="dxa"/>
            <w:tcBorders/>
            <w:vAlign w:val="bottom"/>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9</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(164,492</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(148,586</w:t>
            </w:r>
          </w:p>
        </w:tc>
        <w:tc>
          <w:tcPr>
            <w:tcW w:w="158" w:type="dxa"/>
            <w:tcBorders/>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05"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301,036</w:t>
            </w:r>
          </w:p>
        </w:tc>
        <w:tc>
          <w:tcPr>
            <w:tcW w:w="155"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140,776</w:t>
            </w:r>
          </w:p>
        </w:tc>
        <w:tc>
          <w:tcPr>
            <w:tcW w:w="158" w:type="dxa"/>
            <w:tcBorders/>
            <w:shd w:fill="CCEEFF" w:val="clear"/>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6"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314,829</w:t>
            </w:r>
          </w:p>
        </w:tc>
        <w:tc>
          <w:tcPr>
            <w:tcW w:w="155"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307" w:type="dxa"/>
            <w:tcBorders/>
            <w:vAlign w:val="bottom"/>
          </w:tcPr>
          <w:p>
            <w:pPr>
              <w:pStyle w:val="TableContents"/>
              <w:bidi w:val="0"/>
              <w:spacing w:before="0" w:after="283"/>
              <w:jc w:val="right"/>
              <w:rPr/>
            </w:pPr>
            <w:r>
              <w:rPr/>
              <w:t>152,905</w:t>
            </w:r>
          </w:p>
        </w:tc>
        <w:tc>
          <w:tcPr>
            <w:tcW w:w="158" w:type="dxa"/>
            <w:tcBorders/>
            <w:vAlign w:val="bottom"/>
          </w:tcPr>
          <w:p>
            <w:pPr>
              <w:pStyle w:val="TableContents"/>
              <w:bidi w:val="0"/>
              <w:spacing w:before="0" w:after="283"/>
              <w:jc w:val="left"/>
              <w:rPr/>
            </w:pPr>
            <w:r>
              <w:rPr/>
              <w:t> </w:t>
            </w:r>
          </w:p>
        </w:tc>
      </w:tr>
      <w:tr>
        <w:trPr/>
        <w:tc>
          <w:tcPr>
            <w:tcW w:w="6746"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30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q15014_4"/>
      <w:bookmarkEnd w:id="6"/>
      <w:r>
        <w:rPr>
          <w:rFonts w:ascii="Times New Roman" w:hAnsi="Times New Roman"/>
          <w:b/>
          <w:sz w:val="20"/>
        </w:rPr>
        <w:t xml:space="preserve">TECTONIC THERAPEUTIC,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CONSOLIDATED STATEMENTS OF OPERATIONS AND COMPREHENSIVE LOSS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2"/>
        <w:gridCol w:w="301"/>
        <w:gridCol w:w="140"/>
        <w:gridCol w:w="1114"/>
        <w:gridCol w:w="155"/>
        <w:gridCol w:w="261"/>
        <w:gridCol w:w="140"/>
        <w:gridCol w:w="1033"/>
        <w:gridCol w:w="159"/>
      </w:tblGrid>
      <w:tr>
        <w:trPr/>
        <w:tc>
          <w:tcPr>
            <w:tcW w:w="6902" w:type="dxa"/>
            <w:tcBorders/>
            <w:vAlign w:val="center"/>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0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28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9" w:type="dxa"/>
            <w:tcBorders/>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6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2"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4" w:type="dxa"/>
            <w:tcBorders/>
            <w:vAlign w:val="bottom"/>
          </w:tcPr>
          <w:p>
            <w:pPr>
              <w:pStyle w:val="TableContents"/>
              <w:bidi w:val="0"/>
              <w:spacing w:before="0" w:after="283"/>
              <w:jc w:val="right"/>
              <w:rPr/>
            </w:pPr>
            <w:r>
              <w:rPr/>
              <w:t>13,036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10,818</w:t>
            </w:r>
          </w:p>
        </w:tc>
        <w:tc>
          <w:tcPr>
            <w:tcW w:w="159" w:type="dxa"/>
            <w:tcBorders/>
            <w:vAlign w:val="bottom"/>
          </w:tcPr>
          <w:p>
            <w:pPr>
              <w:pStyle w:val="TableContents"/>
              <w:bidi w:val="0"/>
              <w:spacing w:before="0" w:after="283"/>
              <w:jc w:val="left"/>
              <w:rPr/>
            </w:pPr>
            <w:r>
              <w:rPr/>
              <w:t> </w:t>
            </w:r>
          </w:p>
        </w:tc>
      </w:tr>
      <w:tr>
        <w:trPr/>
        <w:tc>
          <w:tcPr>
            <w:tcW w:w="6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5,262</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2,150</w:t>
            </w:r>
          </w:p>
        </w:tc>
        <w:tc>
          <w:tcPr>
            <w:tcW w:w="159" w:type="dxa"/>
            <w:tcBorders/>
            <w:shd w:fill="CCEEFF" w:val="clear"/>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2"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18,298</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12,968</w:t>
            </w:r>
          </w:p>
        </w:tc>
        <w:tc>
          <w:tcPr>
            <w:tcW w:w="159" w:type="dxa"/>
            <w:tcBorders/>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(18,298</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(12,968</w:t>
            </w:r>
          </w:p>
        </w:tc>
        <w:tc>
          <w:tcPr>
            <w:tcW w:w="159" w:type="dxa"/>
            <w:tcBorders/>
            <w:shd w:fill="CCEEFF" w:val="clear"/>
            <w:vAlign w:val="bottom"/>
          </w:tcPr>
          <w:p>
            <w:pPr>
              <w:pStyle w:val="TableContents"/>
              <w:bidi w:val="0"/>
              <w:spacing w:before="0" w:after="283"/>
              <w:jc w:val="left"/>
              <w:rPr/>
            </w:pPr>
            <w:r>
              <w:rPr/>
              <w:t>) </w:t>
            </w:r>
          </w:p>
        </w:tc>
      </w:tr>
      <w:tr>
        <w:trPr/>
        <w:tc>
          <w:tcPr>
            <w:tcW w:w="6902"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3"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SAFE liabilities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(2,075</w:t>
            </w:r>
          </w:p>
        </w:tc>
        <w:tc>
          <w:tcPr>
            <w:tcW w:w="159" w:type="dxa"/>
            <w:tcBorders/>
            <w:shd w:fill="CCEEFF" w:val="clear"/>
            <w:vAlign w:val="bottom"/>
          </w:tcPr>
          <w:p>
            <w:pPr>
              <w:pStyle w:val="TableContents"/>
              <w:bidi w:val="0"/>
              <w:spacing w:before="0" w:after="283"/>
              <w:jc w:val="left"/>
              <w:rPr/>
            </w:pPr>
            <w:r>
              <w:rPr/>
              <w:t>) </w:t>
            </w:r>
          </w:p>
        </w:tc>
      </w:tr>
      <w:tr>
        <w:trPr/>
        <w:tc>
          <w:tcPr>
            <w:tcW w:w="6902"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2,444</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256</w:t>
            </w:r>
          </w:p>
        </w:tc>
        <w:tc>
          <w:tcPr>
            <w:tcW w:w="159" w:type="dxa"/>
            <w:tcBorders/>
            <w:vAlign w:val="bottom"/>
          </w:tcPr>
          <w:p>
            <w:pPr>
              <w:pStyle w:val="TableContents"/>
              <w:bidi w:val="0"/>
              <w:spacing w:before="0" w:after="283"/>
              <w:jc w:val="left"/>
              <w:rPr/>
            </w:pPr>
            <w:r>
              <w:rPr/>
              <w:t> </w:t>
            </w:r>
          </w:p>
        </w:tc>
      </w:tr>
      <w:tr>
        <w:trPr/>
        <w:tc>
          <w:tcPr>
            <w:tcW w:w="6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(20</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(31</w:t>
            </w:r>
          </w:p>
        </w:tc>
        <w:tc>
          <w:tcPr>
            <w:tcW w:w="159" w:type="dxa"/>
            <w:tcBorders/>
            <w:shd w:fill="CCEEFF" w:val="clear"/>
            <w:vAlign w:val="bottom"/>
          </w:tcPr>
          <w:p>
            <w:pPr>
              <w:pStyle w:val="TableContents"/>
              <w:bidi w:val="0"/>
              <w:spacing w:before="0" w:after="283"/>
              <w:jc w:val="left"/>
              <w:rPr/>
            </w:pPr>
            <w:r>
              <w:rPr/>
              <w:t>) </w:t>
            </w:r>
          </w:p>
        </w:tc>
      </w:tr>
      <w:tr>
        <w:trPr/>
        <w:tc>
          <w:tcPr>
            <w:tcW w:w="6902"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(403</w:t>
            </w:r>
          </w:p>
        </w:tc>
        <w:tc>
          <w:tcPr>
            <w:tcW w:w="159" w:type="dxa"/>
            <w:tcBorders/>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2,392</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(2,253</w:t>
            </w:r>
          </w:p>
        </w:tc>
        <w:tc>
          <w:tcPr>
            <w:tcW w:w="159" w:type="dxa"/>
            <w:tcBorders/>
            <w:shd w:fill="CCEEFF" w:val="clear"/>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(15,906</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(15,221</w:t>
            </w:r>
          </w:p>
        </w:tc>
        <w:tc>
          <w:tcPr>
            <w:tcW w:w="159" w:type="dxa"/>
            <w:tcBorders/>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3"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02"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3" w:type="dxa"/>
            <w:tcBorders/>
            <w:vAlign w:val="bottom"/>
          </w:tcPr>
          <w:p>
            <w:pPr>
              <w:pStyle w:val="TableContents"/>
              <w:bidi w:val="0"/>
              <w:spacing w:before="0" w:after="283"/>
              <w:jc w:val="right"/>
              <w:rPr/>
            </w:pPr>
            <w:r>
              <w:rPr/>
              <w:t>(50</w:t>
            </w:r>
          </w:p>
        </w:tc>
        <w:tc>
          <w:tcPr>
            <w:tcW w:w="159" w:type="dxa"/>
            <w:tcBorders/>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(15,913</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3" w:type="dxa"/>
            <w:tcBorders/>
            <w:shd w:fill="CCEEFF" w:val="clear"/>
            <w:vAlign w:val="bottom"/>
          </w:tcPr>
          <w:p>
            <w:pPr>
              <w:pStyle w:val="TableContents"/>
              <w:bidi w:val="0"/>
              <w:spacing w:before="0" w:after="283"/>
              <w:jc w:val="right"/>
              <w:rPr/>
            </w:pPr>
            <w:r>
              <w:rPr/>
              <w:t>(15,271</w:t>
            </w:r>
          </w:p>
        </w:tc>
        <w:tc>
          <w:tcPr>
            <w:tcW w:w="159" w:type="dxa"/>
            <w:tcBorders/>
            <w:shd w:fill="CCEEFF" w:val="clear"/>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4" w:type="dxa"/>
            <w:tcBorders/>
            <w:vAlign w:val="bottom"/>
          </w:tcPr>
          <w:p>
            <w:pPr>
              <w:pStyle w:val="TableContents"/>
              <w:bidi w:val="0"/>
              <w:spacing w:before="0" w:after="283"/>
              <w:jc w:val="right"/>
              <w:rPr/>
            </w:pPr>
            <w:r>
              <w:rPr/>
              <w:t>(0.93</w:t>
            </w:r>
          </w:p>
        </w:tc>
        <w:tc>
          <w:tcPr>
            <w:tcW w:w="155"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33" w:type="dxa"/>
            <w:tcBorders/>
            <w:vAlign w:val="bottom"/>
          </w:tcPr>
          <w:p>
            <w:pPr>
              <w:pStyle w:val="TableContents"/>
              <w:bidi w:val="0"/>
              <w:spacing w:before="0" w:after="283"/>
              <w:jc w:val="right"/>
              <w:rPr/>
            </w:pPr>
            <w:r>
              <w:rPr/>
              <w:t>(10.97</w:t>
            </w:r>
          </w:p>
        </w:tc>
        <w:tc>
          <w:tcPr>
            <w:tcW w:w="159" w:type="dxa"/>
            <w:tcBorders/>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17,157,661</w:t>
            </w:r>
          </w:p>
        </w:tc>
        <w:tc>
          <w:tcPr>
            <w:tcW w:w="155" w:type="dxa"/>
            <w:tcBorders/>
            <w:shd w:fill="CCEEFF" w:val="clear"/>
            <w:vAlign w:val="bottom"/>
          </w:tcPr>
          <w:p>
            <w:pPr>
              <w:pStyle w:val="TableContents"/>
              <w:bidi w:val="0"/>
              <w:spacing w:before="0" w:after="283"/>
              <w:jc w:val="left"/>
              <w:rPr/>
            </w:pPr>
            <w:r>
              <w:rPr/>
              <w:t> </w:t>
            </w:r>
          </w:p>
        </w:tc>
        <w:tc>
          <w:tcPr>
            <w:tcW w:w="2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3" w:type="dxa"/>
            <w:tcBorders/>
            <w:shd w:fill="CCEEFF" w:val="clear"/>
            <w:vAlign w:val="bottom"/>
          </w:tcPr>
          <w:p>
            <w:pPr>
              <w:pStyle w:val="TableContents"/>
              <w:bidi w:val="0"/>
              <w:spacing w:before="0" w:after="283"/>
              <w:jc w:val="right"/>
              <w:rPr/>
            </w:pPr>
            <w:r>
              <w:rPr/>
              <w:t>1,387,303</w:t>
            </w:r>
          </w:p>
        </w:tc>
        <w:tc>
          <w:tcPr>
            <w:tcW w:w="159" w:type="dxa"/>
            <w:tcBorders/>
            <w:shd w:fill="CCEEFF" w:val="clear"/>
            <w:vAlign w:val="bottom"/>
          </w:tcPr>
          <w:p>
            <w:pPr>
              <w:pStyle w:val="TableContents"/>
              <w:bidi w:val="0"/>
              <w:spacing w:before="0" w:after="283"/>
              <w:jc w:val="left"/>
              <w:rPr/>
            </w:pPr>
            <w:r>
              <w:rPr/>
              <w:t> </w:t>
            </w:r>
          </w:p>
        </w:tc>
      </w:tr>
      <w:tr>
        <w:trPr/>
        <w:tc>
          <w:tcPr>
            <w:tcW w:w="6902" w:type="dxa"/>
            <w:tcBorders/>
            <w:vAlign w:val="bottom"/>
          </w:tcPr>
          <w:p>
            <w:pPr>
              <w:pStyle w:val="TableContents"/>
              <w:bidi w:val="0"/>
              <w:spacing w:before="0" w:after="283"/>
              <w:jc w:val="left"/>
              <w:rPr>
                <w:sz w:val="4"/>
                <w:szCs w:val="4"/>
              </w:rPr>
            </w:pPr>
            <w:r>
              <w:rPr>
                <w:sz w:val="4"/>
                <w:szCs w:val="4"/>
              </w:rPr>
            </w:r>
          </w:p>
        </w:tc>
        <w:tc>
          <w:tcPr>
            <w:tcW w:w="30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q15014_5"/>
      <w:bookmarkEnd w:id="7"/>
      <w:r>
        <w:rPr>
          <w:rFonts w:ascii="Times New Roman" w:hAnsi="Times New Roman"/>
          <w:b/>
          <w:sz w:val="20"/>
        </w:rPr>
        <w:t xml:space="preserve">TECTONIC THERAPEUTIC,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CONSOLIDATED STATEMENTS OF CONVERTIBLE PREFERRED STOCK AND STOCKHOLDERS EQUITY (DEFICIT)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amounts)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12870" w:type="dxa"/>
        <w:jc w:val="center"/>
        <w:tblInd w:w="0" w:type="dxa"/>
        <w:tblLayout w:type="fixed"/>
        <w:tblCellMar>
          <w:top w:w="0" w:type="dxa"/>
          <w:left w:w="0" w:type="dxa"/>
          <w:bottom w:w="0" w:type="dxa"/>
          <w:right w:w="0" w:type="dxa"/>
        </w:tblCellMar>
      </w:tblPr>
      <w:tblGrid>
        <w:gridCol w:w="1070"/>
        <w:gridCol w:w="120"/>
        <w:gridCol w:w="80"/>
        <w:gridCol w:w="1423"/>
        <w:gridCol w:w="209"/>
        <w:gridCol w:w="80"/>
        <w:gridCol w:w="188"/>
        <w:gridCol w:w="920"/>
        <w:gridCol w:w="60"/>
        <w:gridCol w:w="120"/>
        <w:gridCol w:w="60"/>
        <w:gridCol w:w="1100"/>
        <w:gridCol w:w="155"/>
        <w:gridCol w:w="60"/>
        <w:gridCol w:w="430"/>
        <w:gridCol w:w="430"/>
        <w:gridCol w:w="60"/>
        <w:gridCol w:w="120"/>
        <w:gridCol w:w="163"/>
        <w:gridCol w:w="937"/>
        <w:gridCol w:w="60"/>
        <w:gridCol w:w="120"/>
        <w:gridCol w:w="474"/>
        <w:gridCol w:w="1136"/>
        <w:gridCol w:w="155"/>
        <w:gridCol w:w="60"/>
        <w:gridCol w:w="188"/>
        <w:gridCol w:w="1182"/>
        <w:gridCol w:w="155"/>
        <w:gridCol w:w="60"/>
        <w:gridCol w:w="199"/>
        <w:gridCol w:w="1141"/>
        <w:gridCol w:w="15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9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Convertible Preferred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2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 Income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Equity</w:t>
              <w:br/>
              <w:t>(Deficit)</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Balances as of January 1, 2024</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6,825,483</w:t>
            </w:r>
          </w:p>
        </w:tc>
        <w:tc>
          <w:tcPr>
            <w:tcW w:w="2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80,627</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2,634,246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5,979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(90,604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(84,636</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8"/>
              </w:rPr>
            </w:pPr>
            <w:r>
              <w:rPr>
                <w:rFonts w:ascii="Times New Roman" w:hAnsi="Times New Roman"/>
                <w:sz w:val="18"/>
              </w:rPr>
              <w:t>Retroactive application of reverse recapitalization</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(3,177,808</w:t>
            </w:r>
          </w:p>
        </w:tc>
        <w:tc>
          <w:tcPr>
            <w:tcW w:w="2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(1,226,493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423" w:type="dxa"/>
            <w:tcBorders/>
            <w:vAlign w:val="bottom"/>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Adjusted balance, beginning of period</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3,647,675</w:t>
            </w:r>
          </w:p>
        </w:tc>
        <w:tc>
          <w:tcPr>
            <w:tcW w:w="2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80,627</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1,407,753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5,979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(90,604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(84,636</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8"/>
              </w:rPr>
            </w:pPr>
            <w:r>
              <w:rPr>
                <w:rFonts w:ascii="Times New Roman" w:hAnsi="Times New Roman"/>
                <w:sz w:val="18"/>
              </w:rPr>
              <w:t>Exercise of stock options</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1,535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321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321</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8"/>
              </w:rPr>
            </w:pPr>
            <w:r>
              <w:rPr>
                <w:rFonts w:ascii="Times New Roman" w:hAnsi="Times New Roman"/>
                <w:sz w:val="18"/>
              </w:rPr>
              <w:t>Foreign currency translation adjustment</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(15,221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(15,221</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423" w:type="dxa"/>
            <w:tcBorders/>
            <w:vAlign w:val="bottom"/>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b/>
                <w:sz w:val="18"/>
              </w:rPr>
            </w:pPr>
            <w:r>
              <w:rPr>
                <w:rFonts w:ascii="Times New Roman" w:hAnsi="Times New Roman"/>
                <w:b/>
                <w:sz w:val="18"/>
              </w:rPr>
              <w:t>Balances as of March 31, 2024</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3,647,675</w:t>
            </w:r>
          </w:p>
        </w:tc>
        <w:tc>
          <w:tcPr>
            <w:tcW w:w="2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920" w:type="dxa"/>
            <w:tcBorders/>
            <w:vAlign w:val="bottom"/>
          </w:tcPr>
          <w:p>
            <w:pPr>
              <w:pStyle w:val="TableContents"/>
              <w:bidi w:val="0"/>
              <w:spacing w:before="0" w:after="283"/>
              <w:jc w:val="right"/>
              <w:rPr/>
            </w:pPr>
            <w:r>
              <w:rPr/>
              <w:t>80,627</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1,409,288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937" w:type="dxa"/>
            <w:tcBorders/>
            <w:vAlign w:val="bottom"/>
          </w:tcPr>
          <w:p>
            <w:pPr>
              <w:pStyle w:val="TableContents"/>
              <w:bidi w:val="0"/>
              <w:spacing w:before="0" w:after="283"/>
              <w:jc w:val="right"/>
              <w:rPr/>
            </w:pPr>
            <w:r>
              <w:rPr/>
              <w:t>6,304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w:t>
            </w:r>
          </w:p>
        </w:tc>
        <w:tc>
          <w:tcPr>
            <w:tcW w:w="1136" w:type="dxa"/>
            <w:tcBorders/>
            <w:vAlign w:val="bottom"/>
          </w:tcPr>
          <w:p>
            <w:pPr>
              <w:pStyle w:val="TableContents"/>
              <w:bidi w:val="0"/>
              <w:spacing w:before="0" w:after="283"/>
              <w:jc w:val="right"/>
              <w:rPr/>
            </w:pPr>
            <w:r>
              <w:rPr/>
              <w:t>(53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(105,825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141" w:type="dxa"/>
            <w:tcBorders/>
            <w:vAlign w:val="bottom"/>
          </w:tcPr>
          <w:p>
            <w:pPr>
              <w:pStyle w:val="TableContents"/>
              <w:bidi w:val="0"/>
              <w:spacing w:before="0" w:after="283"/>
              <w:jc w:val="right"/>
              <w:rPr/>
            </w:pPr>
            <w:r>
              <w:rPr/>
              <w:t>(99,574</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1423" w:type="dxa"/>
            <w:tcBorders/>
            <w:vAlign w:val="bottom"/>
          </w:tcPr>
          <w:p>
            <w:pPr>
              <w:pStyle w:val="TableContents"/>
              <w:pBdr>
                <w:top w:val="double" w:sz="6"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920"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Balances as of January 1, 2025</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14,856,309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289,351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(148,586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140,776</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8"/>
              </w:rPr>
            </w:pPr>
            <w:r>
              <w:rPr>
                <w:rFonts w:ascii="Times New Roman" w:hAnsi="Times New Roman"/>
                <w:sz w:val="18"/>
              </w:rPr>
              <w:t>Exercise of stock options</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125,455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972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972</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Stock-based compensation expense</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2,103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2,103</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8"/>
              </w:rPr>
            </w:pPr>
            <w:r>
              <w:rPr>
                <w:rFonts w:ascii="Times New Roman" w:hAnsi="Times New Roman"/>
                <w:sz w:val="18"/>
              </w:rPr>
              <w:t>Issuance of common stock in connection with the private placement, net of offering costs of $11,928</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3,689,465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173,098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173,098</w:t>
            </w:r>
          </w:p>
        </w:tc>
        <w:tc>
          <w:tcPr>
            <w:tcW w:w="15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Foreign currency translation adjustment</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18"/>
              </w:rPr>
            </w:pPr>
            <w:r>
              <w:rPr>
                <w:rFonts w:ascii="Times New Roman" w:hAnsi="Times New Roman"/>
                <w:sz w:val="18"/>
              </w:rPr>
              <w:t>Net loss</w:t>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right"/>
              <w:rPr/>
            </w:pPr>
            <w:r>
              <w:rPr/>
              <w:t> </w:t>
            </w:r>
          </w:p>
        </w:tc>
        <w:tc>
          <w:tcPr>
            <w:tcW w:w="20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(15,906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41" w:type="dxa"/>
            <w:tcBorders/>
            <w:vAlign w:val="bottom"/>
          </w:tcPr>
          <w:p>
            <w:pPr>
              <w:pStyle w:val="TableContents"/>
              <w:bidi w:val="0"/>
              <w:spacing w:before="0" w:after="283"/>
              <w:jc w:val="right"/>
              <w:rPr/>
            </w:pPr>
            <w:r>
              <w:rPr/>
              <w:t>(15,906</w:t>
            </w:r>
          </w:p>
        </w:tc>
        <w:tc>
          <w:tcPr>
            <w:tcW w:w="15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423" w:type="dxa"/>
            <w:tcBorders/>
            <w:vAlign w:val="bottom"/>
          </w:tcPr>
          <w:p>
            <w:pPr>
              <w:pStyle w:val="TableContents"/>
              <w:pBdr>
                <w:top w:val="single" w:sz="2"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4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11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Balances as of March 31, 2025</w:t>
            </w:r>
          </w:p>
        </w:tc>
        <w:tc>
          <w:tcPr>
            <w:tcW w:w="120"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23" w:type="dxa"/>
            <w:tcBorders/>
            <w:shd w:fill="CCEEFF" w:val="clear"/>
            <w:vAlign w:val="bottom"/>
          </w:tcPr>
          <w:p>
            <w:pPr>
              <w:pStyle w:val="TableContents"/>
              <w:bidi w:val="0"/>
              <w:spacing w:before="0" w:after="283"/>
              <w:jc w:val="right"/>
              <w:rPr/>
            </w:pPr>
            <w:r>
              <w:rPr/>
              <w:t> </w:t>
            </w:r>
          </w:p>
        </w:tc>
        <w:tc>
          <w:tcPr>
            <w:tcW w:w="209"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18,671,229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937" w:type="dxa"/>
            <w:tcBorders/>
            <w:shd w:fill="CCEEFF" w:val="clear"/>
            <w:vAlign w:val="bottom"/>
          </w:tcPr>
          <w:p>
            <w:pPr>
              <w:pStyle w:val="TableContents"/>
              <w:bidi w:val="0"/>
              <w:spacing w:before="0" w:after="283"/>
              <w:jc w:val="right"/>
              <w:rPr/>
            </w:pPr>
            <w:r>
              <w:rPr/>
              <w:t>465,524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(164,492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141" w:type="dxa"/>
            <w:tcBorders/>
            <w:shd w:fill="CCEEFF" w:val="clear"/>
            <w:vAlign w:val="bottom"/>
          </w:tcPr>
          <w:p>
            <w:pPr>
              <w:pStyle w:val="TableContents"/>
              <w:bidi w:val="0"/>
              <w:spacing w:before="0" w:after="283"/>
              <w:jc w:val="right"/>
              <w:rPr/>
            </w:pPr>
            <w:r>
              <w:rPr/>
              <w:t>301,036</w:t>
            </w:r>
          </w:p>
        </w:tc>
        <w:tc>
          <w:tcPr>
            <w:tcW w:w="15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1423" w:type="dxa"/>
            <w:tcBorders/>
            <w:vAlign w:val="bottom"/>
          </w:tcPr>
          <w:p>
            <w:pPr>
              <w:pStyle w:val="TableContents"/>
              <w:pBdr>
                <w:top w:val="double" w:sz="6" w:space="1" w:color="000000"/>
              </w:pBdr>
              <w:bidi w:val="0"/>
              <w:spacing w:before="0" w:after="0"/>
              <w:jc w:val="left"/>
              <w:rPr/>
            </w:pPr>
            <w:r>
              <w:rPr/>
              <w:t> </w:t>
            </w:r>
          </w:p>
        </w:tc>
        <w:tc>
          <w:tcPr>
            <w:tcW w:w="209" w:type="dxa"/>
            <w:tcBorders/>
            <w:vAlign w:val="center"/>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920"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4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3"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4"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11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q15014_6"/>
      <w:bookmarkEnd w:id="8"/>
      <w:r>
        <w:rPr>
          <w:rFonts w:ascii="Times New Roman" w:hAnsi="Times New Roman"/>
          <w:b/>
          <w:sz w:val="20"/>
        </w:rPr>
        <w:t xml:space="preserve">TECTONIC THERAPEUTIC, INC. </w:t>
      </w:r>
    </w:p>
    <w:p>
      <w:pPr>
        <w:pStyle w:val="TextBody"/>
        <w:bidi w:val="0"/>
        <w:spacing w:before="12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12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51"/>
        <w:gridCol w:w="153"/>
        <w:gridCol w:w="140"/>
        <w:gridCol w:w="809"/>
        <w:gridCol w:w="155"/>
        <w:gridCol w:w="117"/>
        <w:gridCol w:w="140"/>
        <w:gridCol w:w="782"/>
        <w:gridCol w:w="158"/>
      </w:tblGrid>
      <w:tr>
        <w:trPr/>
        <w:tc>
          <w:tcPr>
            <w:tcW w:w="7751"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5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1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March 31,</w:t>
            </w:r>
          </w:p>
        </w:tc>
        <w:tc>
          <w:tcPr>
            <w:tcW w:w="158" w:type="dxa"/>
            <w:tcBorders/>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(15,906</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(15,221</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360</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377</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2,103</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321</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Reduction in the carrying amount of the operating right-of-use assets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511</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294</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SAFE liabilities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2,075</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Change in operating assets and liabilities: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2,221</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289</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14</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24</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1,584</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1,510</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(3,417</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1,382</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(553</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(324</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(13,083</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(9,273</w:t>
            </w:r>
          </w:p>
        </w:tc>
        <w:tc>
          <w:tcPr>
            <w:tcW w:w="158" w:type="dxa"/>
            <w:tcBorders/>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Purchase of property, equipment and improvements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(4</w:t>
            </w:r>
          </w:p>
        </w:tc>
        <w:tc>
          <w:tcPr>
            <w:tcW w:w="158" w:type="dxa"/>
            <w:tcBorders/>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deferred offering costs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(554</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the private placement, net of offering costs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177,268</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exercise of common stock options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972</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4</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finance lease obligations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(118</w:t>
            </w:r>
          </w:p>
        </w:tc>
        <w:tc>
          <w:tcPr>
            <w:tcW w:w="158" w:type="dxa"/>
            <w:tcBorders/>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178,122</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(668</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(76</w:t>
            </w:r>
          </w:p>
        </w:tc>
        <w:tc>
          <w:tcPr>
            <w:tcW w:w="158" w:type="dxa"/>
            <w:tcBorders/>
            <w:vAlign w:val="bottom"/>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 and restricted cash</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165,007</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(10,021</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as of beginning of period</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141,826</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29,356</w:t>
            </w:r>
          </w:p>
        </w:tc>
        <w:tc>
          <w:tcPr>
            <w:tcW w:w="158" w:type="dxa"/>
            <w:tcBorders/>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and restricted cash as of end of period</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306,833</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19,335</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Components of cash, cash equivalents and restricted cash:</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306,246</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18,748</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587</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587</w:t>
            </w:r>
          </w:p>
        </w:tc>
        <w:tc>
          <w:tcPr>
            <w:tcW w:w="158" w:type="dxa"/>
            <w:tcBorders/>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306,833</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19,335</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75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Supplemental disclosure of non-cash financing activities: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775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offering costs included in accrued expenses and other current liabilities</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1,576</w:t>
            </w:r>
          </w:p>
        </w:tc>
        <w:tc>
          <w:tcPr>
            <w:tcW w:w="158" w:type="dxa"/>
            <w:tcBorders/>
            <w:shd w:fill="CCEEFF" w:val="clear"/>
            <w:vAlign w:val="bottom"/>
          </w:tcPr>
          <w:p>
            <w:pPr>
              <w:pStyle w:val="TableContents"/>
              <w:bidi w:val="0"/>
              <w:spacing w:before="0" w:after="283"/>
              <w:jc w:val="left"/>
              <w:rPr/>
            </w:pPr>
            <w:r>
              <w:rPr/>
              <w:t> </w:t>
            </w:r>
          </w:p>
        </w:tc>
      </w:tr>
      <w:tr>
        <w:trPr/>
        <w:tc>
          <w:tcPr>
            <w:tcW w:w="77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Private placement costs included in accrued expenses and other current liabilities</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4,170</w:t>
            </w:r>
          </w:p>
        </w:tc>
        <w:tc>
          <w:tcPr>
            <w:tcW w:w="155"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unaudited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q15014_7"/>
      <w:bookmarkEnd w:id="9"/>
      <w:r>
        <w:rPr>
          <w:rFonts w:ascii="Times New Roman" w:hAnsi="Times New Roman"/>
          <w:b/>
          <w:sz w:val="20"/>
        </w:rPr>
        <w:t xml:space="preserve">TECTONIC THERAPEUTIC,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NOTES TO UNAUDITED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NATURE OF BUSINESS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Description of the Business </w:t>
      </w:r>
    </w:p>
    <w:p>
      <w:pPr>
        <w:pStyle w:val="TextBody"/>
        <w:bidi w:val="0"/>
        <w:spacing w:before="120" w:after="0"/>
        <w:jc w:val="left"/>
        <w:rPr>
          <w:rFonts w:ascii="Times New Roman" w:hAnsi="Times New Roman"/>
          <w:sz w:val="20"/>
        </w:rPr>
      </w:pPr>
      <w:r>
        <w:rPr>
          <w:rFonts w:ascii="Times New Roman" w:hAnsi="Times New Roman"/>
          <w:sz w:val="20"/>
        </w:rPr>
        <w:t xml:space="preserve">Tectonic Therapeutic, Inc. (formerly AVROBIO, Inc.) (the Company or Tectonic) is a clinical-stage biotechnology company focused on the discovery and development of therapeutic proteins and antibodies that modulate the activity of G-protein coupled receptors (GPCRs). The Company focuses on areas of significant unmet medical need, often where therapeutic options are poor or nonexistent, as these are areas where new medicines have the potential to improve patient quality of life.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and Pre-Merger Financing Transaction </w:t>
      </w:r>
    </w:p>
    <w:p>
      <w:pPr>
        <w:pStyle w:val="TextBody"/>
        <w:bidi w:val="0"/>
        <w:spacing w:before="120" w:after="0"/>
        <w:jc w:val="left"/>
        <w:rPr>
          <w:rFonts w:ascii="Times New Roman" w:hAnsi="Times New Roman"/>
          <w:sz w:val="20"/>
        </w:rPr>
      </w:pPr>
      <w:r>
        <w:rPr>
          <w:rFonts w:ascii="Times New Roman" w:hAnsi="Times New Roman"/>
          <w:sz w:val="20"/>
        </w:rPr>
        <w:t xml:space="preserve">On June 20, 2024, the Company completed its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The Merger was accounted for as a reverse recapitalization in accordance with generally accepted accounting principles in the United States of America (GAAP), with AVROBIO treated as the acquired company for financial reporting purposes, and Legacy Tectonic treated as the accounting acquirer. </w:t>
      </w:r>
    </w:p>
    <w:p>
      <w:pPr>
        <w:pStyle w:val="TextBody"/>
        <w:bidi w:val="0"/>
        <w:spacing w:before="120" w:after="0"/>
        <w:jc w:val="left"/>
        <w:rPr>
          <w:rFonts w:ascii="Times New Roman" w:hAnsi="Times New Roman"/>
          <w:sz w:val="20"/>
        </w:rPr>
      </w:pPr>
      <w:r>
        <w:rPr>
          <w:rFonts w:ascii="Times New Roman" w:hAnsi="Times New Roman"/>
          <w:sz w:val="20"/>
        </w:rPr>
        <w:t xml:space="preserve">Upon the closing of the Merger, each outstanding share of Legacy Tectonics common stock, including outstanding and unvested restricted stock, was converted into the right to receive a number of shares of AVROBIOs common stock based on an exchange ratio of 0.53 (the Exchange Ratio), as defined in the Merger Agreement, after giving effect to the 1-for-12 reverse stock split of AVROBIO common stock that was effected on June 20, 2024. The exchange ratio was retroactively applied to all outstanding common shares, convertible preferred shares, stock options and restricted stock. </w:t>
      </w:r>
    </w:p>
    <w:p>
      <w:pPr>
        <w:pStyle w:val="TextBody"/>
        <w:bidi w:val="0"/>
        <w:spacing w:before="120" w:after="0"/>
        <w:jc w:val="left"/>
        <w:rPr>
          <w:rFonts w:ascii="Times New Roman" w:hAnsi="Times New Roman"/>
          <w:sz w:val="20"/>
        </w:rPr>
      </w:pPr>
      <w:r>
        <w:rPr>
          <w:rFonts w:ascii="Times New Roman" w:hAnsi="Times New Roman"/>
          <w:sz w:val="20"/>
        </w:rPr>
        <w:t xml:space="preserve">Each outstanding and unexercised option to purchase shares of Legacy Tectonics common stock immediately prior to closing was assumed by AVROBIO and was converted into an option to purchase shares of AVROBIO common stock, with necessary adjustments to the number of shares and exercise price to reflect the Exchange Ratio. Legacy Tectonics restricted common stock, outstanding and unvested immediately prior to the closing, was assumed by AVROBIO in the Merger. </w:t>
      </w:r>
    </w:p>
    <w:p>
      <w:pPr>
        <w:pStyle w:val="TextBody"/>
        <w:bidi w:val="0"/>
        <w:spacing w:before="120" w:after="0"/>
        <w:jc w:val="left"/>
        <w:rPr>
          <w:rFonts w:ascii="Times New Roman" w:hAnsi="Times New Roman"/>
          <w:sz w:val="20"/>
        </w:rPr>
      </w:pPr>
      <w:r>
        <w:rPr>
          <w:rFonts w:ascii="Times New Roman" w:hAnsi="Times New Roman"/>
          <w:sz w:val="20"/>
        </w:rPr>
        <w:t xml:space="preserve">Legacy Tectonic stockholders received 10,956,614 shares of AVROBIO common stock in connection with the Merger, including 11,447 shares of AVROBIO restricted common stock subject to vesting terms, based on the number of shares of Legacy Tectonic common stock outstanding immediately prior to the Merger, including restricted stock, the number of shares of common stock issued to investors participating in the Subscription Agreements (as defined below) and Simple Agreements for Future Equity (SAFEs), and Legacy Tectonic convertible preferred stock outstanding immediately prior to the Merger, which was converted into shares of Legacy Tectonic common stock on a one-for-one basis immediately prior to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closing of the Merger, certain investors of Legacy Tectonic completed the purchase of 7,790,889 shares of Legacy Tectonic common stock pursuant to the Subscription Agreement dated January 30, 2024 (the Subscription Agreement) at a purchase price of $12.40 per share for an aggregate purchase price of $96.6 million. Shares of Legacy Tectonic common stock issued pursuant to the Subscription Agreements were converted into 4,163,606 shares of AVROBIO common stock at the closing of the Merger based on the Exchange Ratio, pursuant to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2025, the Company entered into a securities purchase agreement (the Private Placement) pursuant to which the Company issued an aggregate of 3,689,465 shares of common stock, at a price of $50.00 per share to institutional accredited investors and $54.14 per share to individual accredited investors that are either an officer or director of the Company, in exchange for aggregate consideration of approximately $185.0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proprietary GEODe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the Company has incurred recurring losses and negative cash flows from operations and expects such losses to continue in the future as it conducts research and development activities and continues to develop its product candidates. The Company generated net losses of $15.9 million and $15.2 million for the three months ended March 31, 2025 and 2024, respectively and had an accumulated deficit of $164.5 million as of March 31, 2025. The Company has financed its operations primarily through the sale and issuance of common stock, convertible preferred stock, convertible promissory notes, SAFEs and the Merger. In February 2025, the Company sold shares of its common stock under a securities purchase agreement in exchange for gross proceeds of approximately $185.0 million. The Company has devoted substantially all of its financial resources and efforts to business planning, conducting research and development, recruiting management and technical staff, and raising capital. </w:t>
      </w:r>
    </w:p>
    <w:p>
      <w:pPr>
        <w:pStyle w:val="TextBody"/>
        <w:bidi w:val="0"/>
        <w:spacing w:before="120" w:after="0"/>
        <w:jc w:val="left"/>
        <w:rPr>
          <w:rFonts w:ascii="Times New Roman" w:hAnsi="Times New Roman"/>
          <w:sz w:val="20"/>
        </w:rPr>
      </w:pPr>
      <w:r>
        <w:rPr>
          <w:rFonts w:ascii="Times New Roman" w:hAnsi="Times New Roman"/>
          <w:sz w:val="20"/>
        </w:rPr>
        <w:t xml:space="preserve">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The Company had cash and cash equivalents of $306.2 million as of March 31, 2025. Management believes that the Companys current cash and cash equivalents will be sufficient to fund its planned operations for at least 12 months from the issuance date of these condensed consolidated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AND BASIS OF PRESENTATION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The accompanying unaudited interim condensed consolidated financial statements have been prepared in conformity with GAAP and the rules and regulations of the Securities and Exchange Commission (SEC). Any reference in these notes to applicable guidance is meant to refer to GAAP, as found in the Accounting Standards Codification (ASC) and Accounting Standards Updates (ASU) of the Financial Accounting Standards Board (FASB). These condensed consolidated financial statements are unaudited and, in the opinion of management, include all adjustments (consisting only of normal recurring adjustments and accruals) necessary for a fair statement of the results for the periods presented in accordance with accounting principles generally accepted in the United States of America (GAAP). The year-end condensed consolidated balance sheet data was derived from our audited consolidated financial statements but does not include all disclosures required by GAAP. Operating results for the three months ended March 31, 2025 are not necessarily indicative of the results that may be expected for the fiscal year ending December 31, 2025. Certain information and footnote disclosures normally included in the annual consolidated financial statements prepared in accordance with GAAP have been omitted in accordance with the SECs rules and regulations for interim reporting.</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consolidated financial statements and related notes should be read in conjunction with our audited consolidated financial statements for the year ended December 31, 2024, which are included in our 2024 Annual Report on Form 10-K for the fiscal year ended December 31, 2024 (the 2024 Annual Report on Form 10-K) </w:t>
      </w:r>
    </w:p>
    <w:p>
      <w:pPr>
        <w:pStyle w:val="TextBody"/>
        <w:bidi w:val="0"/>
        <w:spacing w:before="120" w:after="0"/>
        <w:jc w:val="left"/>
        <w:rPr>
          <w:rFonts w:ascii="Times New Roman" w:hAnsi="Times New Roman"/>
          <w:sz w:val="20"/>
        </w:rPr>
      </w:pPr>
      <w:r>
        <w:rPr>
          <w:rFonts w:ascii="Times New Roman" w:hAnsi="Times New Roman"/>
          <w:sz w:val="20"/>
        </w:rPr>
        <w:t xml:space="preserve">Our significant accounting policies are disclosed in Note 2 of the consolidated financial statements for the years ended December 31, 2024 and 2023, which are included in our 2024 Annual Report on Form 10-K. There have been no material changes to our significant accounting policies during the three months ended March 31,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Principles of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condensed consolidated financial statements include the accounts of the Company and its subsidiaries. All intercompany balances and transactions have been eliminated in consolidation.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Significant items subject to such estimates and assumptions include the prepaid and accrued research and development accruals, stock-based compensation expense, the fair value of the Companys common stock, the income tax valuation allowance, and the fair value determination of the SAFEs. Managements estimates are based on historical experience and various other assumptions that it believes are reasonable under the circumstances. Changes in estimates are recorded in the period in which they become known. Actual results could differ from those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Operating segments are identified as components of an enterprise about which separate discrete financial information is made available for evaluation by the chief operating decision maker (CODM) in making decisions regarding resource allocation and assessing performance. The Companys CODM is its chief executive officer, who reviews financial information on a consolidated basis for the purpose of making operating decisions, assessing financial performance and allocating resources. The Company has one reportable segment and manages its operations on a consolidated basis for the purposes of assessing performance and making operating decisions. See Note 13, </w:t>
      </w:r>
      <w:r>
        <w:rPr>
          <w:rFonts w:ascii="Times New Roman" w:hAnsi="Times New Roman"/>
          <w:i/>
          <w:sz w:val="20"/>
        </w:rPr>
        <w:t>Segment Information</w:t>
      </w:r>
      <w:r>
        <w:rPr>
          <w:rFonts w:ascii="Times New Roman" w:hAnsi="Times New Roman"/>
          <w:sz w:val="20"/>
        </w:rPr>
        <w:t xml:space="preserve"> for additional information regarding the Companys segment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new accounting pronouncements are issued by the FASB, or other standard setting bodies and are adopted by the Company as of the specified effective dates. Unless otherwise discussed, the impact of recently issued standards that are not yet effective are not anticipated to have a material impact on the Companys condensed consolidated financial statements upon adoption.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Recently Issued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No. 2024-03 </w:t>
      </w:r>
      <w:r>
        <w:rPr>
          <w:rFonts w:ascii="Times New Roman" w:hAnsi="Times New Roman"/>
          <w:i/>
          <w:sz w:val="20"/>
        </w:rPr>
        <w:t>Income StatementReporting Comprehensive IncomeExpense Disaggregation Disclosures</w:t>
      </w:r>
      <w:r>
        <w:rPr>
          <w:rFonts w:ascii="Times New Roman" w:hAnsi="Times New Roman"/>
          <w:sz w:val="20"/>
        </w:rPr>
        <w:t xml:space="preserve"> (Subtopic 220-40) (ASU 2024-03), which requires disaggregated disclosure of certain income statement captions within the footnotes to the financial statements. The amendments in ASU 2024-03 are effective for fiscal years beginning after December 15, 2026, and early adoption is permitted. The Company is currently evaluating the impact of ASU 2023-09 on its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issued ASU No. 2023-09, </w:t>
      </w:r>
      <w:r>
        <w:rPr>
          <w:rFonts w:ascii="Times New Roman" w:hAnsi="Times New Roman"/>
          <w:i/>
          <w:sz w:val="20"/>
        </w:rPr>
        <w:t xml:space="preserve">Income Taxes </w:t>
      </w:r>
      <w:r>
        <w:rPr>
          <w:rFonts w:ascii="Times New Roman" w:hAnsi="Times New Roman"/>
          <w:sz w:val="20"/>
        </w:rPr>
        <w:t xml:space="preserve">(Topic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MERGER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described in Note 1, </w:t>
      </w:r>
      <w:r>
        <w:rPr>
          <w:rFonts w:ascii="Times New Roman" w:hAnsi="Times New Roman"/>
          <w:i/>
          <w:sz w:val="20"/>
        </w:rPr>
        <w:t>Nature of Business</w:t>
      </w:r>
      <w:r>
        <w:rPr>
          <w:rFonts w:ascii="Times New Roman" w:hAnsi="Times New Roman"/>
          <w:sz w:val="20"/>
        </w:rPr>
        <w:t xml:space="preserve">, the Company completed its Merger with AVROBIO on June 20, 2024. The Merger was accounted for as a reverse recapitalization in accordance with GAAP with Legacy Tectonic as the accounting acquirer of AVROBIO. At the effective time of the Merger, substantially all the assets of AVROBIO consisted of cash and cash equivalents, as well as other nominal assets. Under such reverse recapitalization accounting, the assets and liabilities of AVROBIO were recorded at their fair value at the effective time of the Merger, which approximated book value due to the short-term nature. No goodwill or intangible assets were recognized. Consequently, the consolidated financial statements of the Company reflect the historical operations of Legacy Tectonic for accounting purposes together with the issuance of shares to the former shareholders of AVROBIO, the legal acquirer, and a recapitalization of the equity of Legacy Tectonic, the accounting acquirer. The exchange ratio was retroactively applied to all outstanding common shares, convertible preferred shares, stock options and restricted stock of Legacy Tectonic.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recapitalization, Legacy Tectonic obtained the assets and liabilities listed below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11"/>
        <w:gridCol w:w="303"/>
        <w:gridCol w:w="146"/>
        <w:gridCol w:w="720"/>
        <w:gridCol w:w="159"/>
      </w:tblGrid>
      <w:tr>
        <w:trPr/>
        <w:tc>
          <w:tcPr>
            <w:tcW w:w="5611"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85,230</w:t>
            </w:r>
          </w:p>
        </w:tc>
        <w:tc>
          <w:tcPr>
            <w:tcW w:w="159" w:type="dxa"/>
            <w:tcBorders/>
            <w:shd w:fill="CCEEFF" w:val="clear"/>
            <w:vAlign w:val="bottom"/>
          </w:tcPr>
          <w:p>
            <w:pPr>
              <w:pStyle w:val="TableContents"/>
              <w:bidi w:val="0"/>
              <w:spacing w:before="0" w:after="283"/>
              <w:jc w:val="left"/>
              <w:rPr/>
            </w:pPr>
            <w:r>
              <w:rPr/>
              <w:t> </w:t>
            </w:r>
          </w:p>
        </w:tc>
      </w:tr>
      <w:tr>
        <w:trPr/>
        <w:tc>
          <w:tcPr>
            <w:tcW w:w="5611"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319</w:t>
            </w:r>
          </w:p>
        </w:tc>
        <w:tc>
          <w:tcPr>
            <w:tcW w:w="159" w:type="dxa"/>
            <w:tcBorders/>
            <w:vAlign w:val="bottom"/>
          </w:tcPr>
          <w:p>
            <w:pPr>
              <w:pStyle w:val="TableContents"/>
              <w:bidi w:val="0"/>
              <w:spacing w:before="0" w:after="283"/>
              <w:jc w:val="left"/>
              <w:rPr/>
            </w:pPr>
            <w:r>
              <w:rPr/>
              <w:t> </w:t>
            </w:r>
          </w:p>
        </w:tc>
      </w:tr>
      <w:tr>
        <w:trPr/>
        <w:tc>
          <w:tcPr>
            <w:tcW w:w="56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(1,988</w:t>
            </w:r>
          </w:p>
        </w:tc>
        <w:tc>
          <w:tcPr>
            <w:tcW w:w="159" w:type="dxa"/>
            <w:tcBorders/>
            <w:shd w:fill="CCEEFF" w:val="clear"/>
            <w:vAlign w:val="bottom"/>
          </w:tcPr>
          <w:p>
            <w:pPr>
              <w:pStyle w:val="TableContents"/>
              <w:bidi w:val="0"/>
              <w:spacing w:before="0" w:after="283"/>
              <w:jc w:val="left"/>
              <w:rPr/>
            </w:pPr>
            <w:r>
              <w:rPr/>
              <w:t>) </w:t>
            </w:r>
          </w:p>
        </w:tc>
      </w:tr>
      <w:tr>
        <w:trPr/>
        <w:tc>
          <w:tcPr>
            <w:tcW w:w="5611"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(5,405</w:t>
            </w:r>
          </w:p>
        </w:tc>
        <w:tc>
          <w:tcPr>
            <w:tcW w:w="159" w:type="dxa"/>
            <w:tcBorders/>
            <w:vAlign w:val="bottom"/>
          </w:tcPr>
          <w:p>
            <w:pPr>
              <w:pStyle w:val="TableContents"/>
              <w:bidi w:val="0"/>
              <w:spacing w:before="0" w:after="283"/>
              <w:jc w:val="left"/>
              <w:rPr/>
            </w:pPr>
            <w:r>
              <w:rPr/>
              <w:t>) </w:t>
            </w:r>
          </w:p>
        </w:tc>
      </w:tr>
      <w:tr>
        <w:trPr/>
        <w:tc>
          <w:tcPr>
            <w:tcW w:w="5611"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assets acquired</w:t>
            </w:r>
          </w:p>
        </w:tc>
        <w:tc>
          <w:tcPr>
            <w:tcW w:w="30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720" w:type="dxa"/>
            <w:tcBorders/>
            <w:shd w:fill="CCEEFF" w:val="clear"/>
            <w:vAlign w:val="bottom"/>
          </w:tcPr>
          <w:p>
            <w:pPr>
              <w:pStyle w:val="TableContents"/>
              <w:bidi w:val="0"/>
              <w:spacing w:before="0" w:after="283"/>
              <w:jc w:val="right"/>
              <w:rPr/>
            </w:pPr>
            <w:r>
              <w:rPr/>
              <w:t>78,156</w:t>
            </w:r>
          </w:p>
        </w:tc>
        <w:tc>
          <w:tcPr>
            <w:tcW w:w="159" w:type="dxa"/>
            <w:tcBorders/>
            <w:shd w:fill="CCEEFF" w:val="clear"/>
            <w:vAlign w:val="bottom"/>
          </w:tcPr>
          <w:p>
            <w:pPr>
              <w:pStyle w:val="TableContents"/>
              <w:bidi w:val="0"/>
              <w:spacing w:before="0" w:after="283"/>
              <w:jc w:val="left"/>
              <w:rPr/>
            </w:pPr>
            <w:r>
              <w:rPr/>
              <w:t> </w:t>
            </w:r>
          </w:p>
        </w:tc>
      </w:tr>
      <w:tr>
        <w:trPr/>
        <w:tc>
          <w:tcPr>
            <w:tcW w:w="5611"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incurred transaction costs of $9.3 million which was recorded as a reduction to additional paid-in capital in the condensed consolidated balance sheet as of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4.</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MEASUREMENTS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information about financial assets and liabilities measured at fair value on a recurring basis and indicate the level of the fair value hierarchy utilized to determine such fair values (in thousands):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89"/>
        <w:gridCol w:w="264"/>
        <w:gridCol w:w="140"/>
        <w:gridCol w:w="851"/>
        <w:gridCol w:w="60"/>
        <w:gridCol w:w="264"/>
        <w:gridCol w:w="378"/>
        <w:gridCol w:w="379"/>
        <w:gridCol w:w="60"/>
        <w:gridCol w:w="264"/>
        <w:gridCol w:w="378"/>
        <w:gridCol w:w="379"/>
        <w:gridCol w:w="60"/>
        <w:gridCol w:w="264"/>
        <w:gridCol w:w="140"/>
        <w:gridCol w:w="850"/>
        <w:gridCol w:w="68"/>
      </w:tblGrid>
      <w:tr>
        <w:trPr/>
        <w:tc>
          <w:tcPr>
            <w:tcW w:w="4589"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58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446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March 31, 2025</w:t>
            </w:r>
          </w:p>
        </w:tc>
        <w:tc>
          <w:tcPr>
            <w:tcW w:w="68"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9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45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5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1" w:type="dxa"/>
            <w:tcBorders/>
            <w:shd w:fill="CCEEFF" w:val="clear"/>
            <w:vAlign w:val="bottom"/>
          </w:tcPr>
          <w:p>
            <w:pPr>
              <w:pStyle w:val="TableContents"/>
              <w:bidi w:val="0"/>
              <w:spacing w:before="0" w:after="283"/>
              <w:jc w:val="right"/>
              <w:rPr/>
            </w:pPr>
            <w:r>
              <w:rPr/>
              <w:t>304,615</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3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3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304,615</w:t>
            </w:r>
          </w:p>
        </w:tc>
        <w:tc>
          <w:tcPr>
            <w:tcW w:w="68" w:type="dxa"/>
            <w:tcBorders/>
            <w:shd w:fill="CCEEFF" w:val="clear"/>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1" w:type="dxa"/>
            <w:tcBorders/>
            <w:vAlign w:val="bottom"/>
          </w:tcPr>
          <w:p>
            <w:pPr>
              <w:pStyle w:val="TableContents"/>
              <w:bidi w:val="0"/>
              <w:spacing w:before="0" w:after="283"/>
              <w:jc w:val="right"/>
              <w:rPr/>
            </w:pPr>
            <w:r>
              <w:rPr/>
              <w:t>304,615</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3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3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304,615</w:t>
            </w:r>
          </w:p>
        </w:tc>
        <w:tc>
          <w:tcPr>
            <w:tcW w:w="68"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3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3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589"/>
        <w:gridCol w:w="264"/>
        <w:gridCol w:w="140"/>
        <w:gridCol w:w="851"/>
        <w:gridCol w:w="60"/>
        <w:gridCol w:w="264"/>
        <w:gridCol w:w="378"/>
        <w:gridCol w:w="379"/>
        <w:gridCol w:w="60"/>
        <w:gridCol w:w="264"/>
        <w:gridCol w:w="378"/>
        <w:gridCol w:w="379"/>
        <w:gridCol w:w="60"/>
        <w:gridCol w:w="264"/>
        <w:gridCol w:w="140"/>
        <w:gridCol w:w="850"/>
        <w:gridCol w:w="68"/>
      </w:tblGrid>
      <w:tr>
        <w:trPr/>
        <w:tc>
          <w:tcPr>
            <w:tcW w:w="4589"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58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446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68"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9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7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45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37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50"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Cash equivalents:</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50"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45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Money market funds</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1" w:type="dxa"/>
            <w:tcBorders/>
            <w:shd w:fill="CCEEFF" w:val="clear"/>
            <w:vAlign w:val="bottom"/>
          </w:tcPr>
          <w:p>
            <w:pPr>
              <w:pStyle w:val="TableContents"/>
              <w:bidi w:val="0"/>
              <w:spacing w:before="0" w:after="283"/>
              <w:jc w:val="right"/>
              <w:rPr/>
            </w:pPr>
            <w:r>
              <w:rPr/>
              <w:t>139,610</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3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3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139,610</w:t>
            </w:r>
          </w:p>
        </w:tc>
        <w:tc>
          <w:tcPr>
            <w:tcW w:w="68" w:type="dxa"/>
            <w:tcBorders/>
            <w:shd w:fill="CCEEFF" w:val="clear"/>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3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58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1" w:type="dxa"/>
            <w:tcBorders/>
            <w:vAlign w:val="bottom"/>
          </w:tcPr>
          <w:p>
            <w:pPr>
              <w:pStyle w:val="TableContents"/>
              <w:bidi w:val="0"/>
              <w:spacing w:before="0" w:after="283"/>
              <w:jc w:val="right"/>
              <w:rPr/>
            </w:pPr>
            <w:r>
              <w:rPr/>
              <w:t>139,610</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3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3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139,610</w:t>
            </w:r>
          </w:p>
        </w:tc>
        <w:tc>
          <w:tcPr>
            <w:tcW w:w="68" w:type="dxa"/>
            <w:tcBorders/>
            <w:vAlign w:val="bottom"/>
          </w:tcPr>
          <w:p>
            <w:pPr>
              <w:pStyle w:val="TableContents"/>
              <w:bidi w:val="0"/>
              <w:spacing w:before="0" w:after="283"/>
              <w:jc w:val="left"/>
              <w:rPr/>
            </w:pPr>
            <w:r>
              <w:rPr/>
              <w:t> </w:t>
            </w:r>
          </w:p>
        </w:tc>
      </w:tr>
      <w:tr>
        <w:trPr/>
        <w:tc>
          <w:tcPr>
            <w:tcW w:w="4589" w:type="dxa"/>
            <w:tcBorders/>
            <w:vAlign w:val="bottom"/>
          </w:tcPr>
          <w:p>
            <w:pPr>
              <w:pStyle w:val="TableContents"/>
              <w:bidi w:val="0"/>
              <w:spacing w:before="0" w:after="283"/>
              <w:jc w:val="left"/>
              <w:rPr>
                <w:sz w:val="4"/>
                <w:szCs w:val="4"/>
              </w:rPr>
            </w:pPr>
            <w:r>
              <w:rPr>
                <w:sz w:val="4"/>
                <w:szCs w:val="4"/>
              </w:rPr>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3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3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Money market funds are included in cash and cash equivalents on the condensed consolidated balance sheets and are classified within Level 1 of the fair value hierarchy because they are valued using quoted market prices.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From October through December 2023, Legacy Tectonic entered into multiple SAFE agreements with certain existing investors and received $34.1 million. Prior to redemption, the SAFE liabilities were valued using a probability weighted scenario analysis and discount rates derived by application of the build-up method to reflect the cost of equity. The valuation model required a variety of inputs, including the probability of occurrence of events that would trigger conversion or redemption of the SAFEs, the expected timing of such events, and a discount rate. All investors were considered related parties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Upon the closing of the Merger, the principal balance of the SAFEs was automatically redeemed for 2,752,216 shares of Legacy Tectonic common stock at the conversion price of $12.40 per share immediately prior to the Merger closing. As such the valuation inputs utilized to adjust the SAFE liability to fair value upon the closing of the Merger was $12.40. At closing, shares of Legacy Tectonic common stock issued pursuant to the redemption of Legacy Tectonic SAFEs were converted into 1,470,839 shares of AVROBIO common stock based on the Exchange Ratio, pursuant to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activity for the SAFE liabilities that were measured at fair value using significant unobservable Level 3 inputs during the year ended December 31, 2024 (in thousands):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391"/>
        <w:gridCol w:w="682"/>
        <w:gridCol w:w="265"/>
        <w:gridCol w:w="1444"/>
        <w:gridCol w:w="157"/>
      </w:tblGrid>
      <w:tr>
        <w:trPr/>
        <w:tc>
          <w:tcPr>
            <w:tcW w:w="4391" w:type="dxa"/>
            <w:tcBorders/>
            <w:vAlign w:val="center"/>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91"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left"/>
              <w:rPr/>
            </w:pPr>
            <w:r>
              <w:rPr/>
              <w:t>  </w:t>
            </w:r>
          </w:p>
        </w:tc>
        <w:tc>
          <w:tcPr>
            <w:tcW w:w="17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SAFE Liabilities</w:t>
            </w:r>
          </w:p>
        </w:tc>
        <w:tc>
          <w:tcPr>
            <w:tcW w:w="157" w:type="dxa"/>
            <w:tcBorders/>
            <w:vAlign w:val="bottom"/>
          </w:tcPr>
          <w:p>
            <w:pPr>
              <w:pStyle w:val="TableContents"/>
              <w:bidi w:val="0"/>
              <w:spacing w:before="0" w:after="283"/>
              <w:jc w:val="left"/>
              <w:rPr/>
            </w:pPr>
            <w:r>
              <w:rPr/>
              <w:t> </w:t>
            </w:r>
          </w:p>
        </w:tc>
      </w:tr>
      <w:tr>
        <w:trPr/>
        <w:tc>
          <w:tcPr>
            <w:tcW w:w="4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as of January 1, 2024</w:t>
            </w:r>
          </w:p>
        </w:tc>
        <w:tc>
          <w:tcPr>
            <w:tcW w:w="68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30,515</w:t>
            </w:r>
          </w:p>
        </w:tc>
        <w:tc>
          <w:tcPr>
            <w:tcW w:w="157" w:type="dxa"/>
            <w:tcBorders/>
            <w:shd w:fill="CCEEFF" w:val="clear"/>
            <w:vAlign w:val="bottom"/>
          </w:tcPr>
          <w:p>
            <w:pPr>
              <w:pStyle w:val="TableContents"/>
              <w:bidi w:val="0"/>
              <w:spacing w:before="0" w:after="283"/>
              <w:jc w:val="left"/>
              <w:rPr/>
            </w:pPr>
            <w:r>
              <w:rPr/>
              <w:t> </w:t>
            </w:r>
          </w:p>
        </w:tc>
      </w:tr>
      <w:tr>
        <w:trPr/>
        <w:tc>
          <w:tcPr>
            <w:tcW w:w="4391" w:type="dxa"/>
            <w:tcBorders/>
          </w:tcPr>
          <w:p>
            <w:pPr>
              <w:pStyle w:val="TableContents"/>
              <w:bidi w:val="0"/>
              <w:spacing w:before="0" w:after="0"/>
              <w:jc w:val="left"/>
              <w:rPr>
                <w:rFonts w:ascii="Times New Roman" w:hAnsi="Times New Roman"/>
                <w:sz w:val="20"/>
              </w:rPr>
            </w:pPr>
            <w:r>
              <w:rPr>
                <w:rFonts w:ascii="Times New Roman" w:hAnsi="Times New Roman"/>
                <w:sz w:val="20"/>
              </w:rPr>
              <w:t>Fair value adjustments</w:t>
            </w:r>
          </w:p>
        </w:tc>
        <w:tc>
          <w:tcPr>
            <w:tcW w:w="68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1444" w:type="dxa"/>
            <w:tcBorders/>
            <w:vAlign w:val="bottom"/>
          </w:tcPr>
          <w:p>
            <w:pPr>
              <w:pStyle w:val="TableContents"/>
              <w:bidi w:val="0"/>
              <w:spacing w:before="0" w:after="283"/>
              <w:jc w:val="right"/>
              <w:rPr/>
            </w:pPr>
            <w:r>
              <w:rPr/>
              <w:t>3,610</w:t>
            </w:r>
          </w:p>
        </w:tc>
        <w:tc>
          <w:tcPr>
            <w:tcW w:w="157" w:type="dxa"/>
            <w:tcBorders/>
            <w:vAlign w:val="bottom"/>
          </w:tcPr>
          <w:p>
            <w:pPr>
              <w:pStyle w:val="TableContents"/>
              <w:bidi w:val="0"/>
              <w:spacing w:before="0" w:after="283"/>
              <w:jc w:val="left"/>
              <w:rPr/>
            </w:pPr>
            <w:r>
              <w:rPr/>
              <w:t> </w:t>
            </w:r>
          </w:p>
        </w:tc>
      </w:tr>
      <w:tr>
        <w:trPr/>
        <w:tc>
          <w:tcPr>
            <w:tcW w:w="439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Redemption</w:t>
            </w:r>
          </w:p>
        </w:tc>
        <w:tc>
          <w:tcPr>
            <w:tcW w:w="682" w:type="dxa"/>
            <w:tcBorders/>
            <w:shd w:fill="CCEEFF" w:val="clear"/>
            <w:vAlign w:val="bottom"/>
          </w:tcPr>
          <w:p>
            <w:pPr>
              <w:pStyle w:val="TableContents"/>
              <w:bidi w:val="0"/>
              <w:spacing w:before="0" w:after="283"/>
              <w:jc w:val="left"/>
              <w:rPr/>
            </w:pPr>
            <w:r>
              <w:rPr/>
              <w:t>  </w:t>
            </w:r>
          </w:p>
        </w:tc>
        <w:tc>
          <w:tcPr>
            <w:tcW w:w="265" w:type="dxa"/>
            <w:tcBorders/>
            <w:shd w:fill="CCEEFF" w:val="clear"/>
            <w:vAlign w:val="bottom"/>
          </w:tcPr>
          <w:p>
            <w:pPr>
              <w:pStyle w:val="TableContents"/>
              <w:bidi w:val="0"/>
              <w:spacing w:before="0" w:after="283"/>
              <w:jc w:val="left"/>
              <w:rPr/>
            </w:pPr>
            <w:r>
              <w:rPr/>
              <w:t> </w:t>
            </w:r>
          </w:p>
        </w:tc>
        <w:tc>
          <w:tcPr>
            <w:tcW w:w="1444" w:type="dxa"/>
            <w:tcBorders/>
            <w:shd w:fill="CCEEFF" w:val="clear"/>
            <w:vAlign w:val="bottom"/>
          </w:tcPr>
          <w:p>
            <w:pPr>
              <w:pStyle w:val="TableContents"/>
              <w:bidi w:val="0"/>
              <w:spacing w:before="0" w:after="283"/>
              <w:jc w:val="right"/>
              <w:rPr/>
            </w:pPr>
            <w:r>
              <w:rPr/>
              <w:t>(34,125</w:t>
            </w:r>
          </w:p>
        </w:tc>
        <w:tc>
          <w:tcPr>
            <w:tcW w:w="157" w:type="dxa"/>
            <w:tcBorders/>
            <w:shd w:fill="CCEEFF" w:val="clear"/>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single" w:sz="2" w:space="1" w:color="000000"/>
              </w:pBdr>
              <w:bidi w:val="0"/>
              <w:spacing w:before="0" w:after="0"/>
              <w:jc w:val="left"/>
              <w:rPr/>
            </w:pPr>
            <w:r>
              <w:rPr/>
              <w:t> </w:t>
            </w:r>
          </w:p>
        </w:tc>
        <w:tc>
          <w:tcPr>
            <w:tcW w:w="1444"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43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Balance as of December 31, 2024</w:t>
            </w:r>
          </w:p>
        </w:tc>
        <w:tc>
          <w:tcPr>
            <w:tcW w:w="682"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w:t>
            </w:r>
          </w:p>
        </w:tc>
        <w:tc>
          <w:tcPr>
            <w:tcW w:w="1444"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t> </w:t>
            </w:r>
          </w:p>
        </w:tc>
      </w:tr>
      <w:tr>
        <w:trPr/>
        <w:tc>
          <w:tcPr>
            <w:tcW w:w="4391"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pPr>
            <w:r>
              <w:rPr/>
              <w:t>  </w:t>
            </w:r>
          </w:p>
        </w:tc>
        <w:tc>
          <w:tcPr>
            <w:tcW w:w="265" w:type="dxa"/>
            <w:tcBorders/>
            <w:vAlign w:val="bottom"/>
          </w:tcPr>
          <w:p>
            <w:pPr>
              <w:pStyle w:val="TableContents"/>
              <w:pBdr>
                <w:top w:val="double" w:sz="6" w:space="1" w:color="000000"/>
              </w:pBdr>
              <w:bidi w:val="0"/>
              <w:spacing w:before="0" w:after="0"/>
              <w:jc w:val="left"/>
              <w:rPr/>
            </w:pPr>
            <w:r>
              <w:rPr/>
              <w:t> </w:t>
            </w:r>
          </w:p>
        </w:tc>
        <w:tc>
          <w:tcPr>
            <w:tcW w:w="1444"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is comprised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21"/>
        <w:gridCol w:w="435"/>
        <w:gridCol w:w="193"/>
        <w:gridCol w:w="880"/>
        <w:gridCol w:w="155"/>
        <w:gridCol w:w="393"/>
        <w:gridCol w:w="255"/>
        <w:gridCol w:w="1165"/>
        <w:gridCol w:w="158"/>
      </w:tblGrid>
      <w:tr>
        <w:trPr/>
        <w:tc>
          <w:tcPr>
            <w:tcW w:w="4121"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21"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155"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4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Laboratory equipment</w:t>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4,590</w:t>
            </w:r>
          </w:p>
        </w:tc>
        <w:tc>
          <w:tcPr>
            <w:tcW w:w="155"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4,590</w:t>
            </w:r>
          </w:p>
        </w:tc>
        <w:tc>
          <w:tcPr>
            <w:tcW w:w="158" w:type="dxa"/>
            <w:tcBorders/>
            <w:shd w:fill="CCEEFF" w:val="clear"/>
            <w:vAlign w:val="bottom"/>
          </w:tcPr>
          <w:p>
            <w:pPr>
              <w:pStyle w:val="TableContents"/>
              <w:bidi w:val="0"/>
              <w:spacing w:before="0" w:after="283"/>
              <w:jc w:val="left"/>
              <w:rPr/>
            </w:pPr>
            <w:r>
              <w:rPr/>
              <w:t> </w:t>
            </w:r>
          </w:p>
        </w:tc>
      </w:tr>
      <w:tr>
        <w:trPr/>
        <w:tc>
          <w:tcPr>
            <w:tcW w:w="4121" w:type="dxa"/>
            <w:tcBorders/>
          </w:tcPr>
          <w:p>
            <w:pPr>
              <w:pStyle w:val="TableContents"/>
              <w:bidi w:val="0"/>
              <w:spacing w:before="0" w:after="0"/>
              <w:jc w:val="left"/>
              <w:rPr>
                <w:rFonts w:ascii="Times New Roman" w:hAnsi="Times New Roman"/>
                <w:sz w:val="20"/>
              </w:rPr>
            </w:pPr>
            <w:r>
              <w:rPr>
                <w:rFonts w:ascii="Times New Roman" w:hAnsi="Times New Roman"/>
                <w:sz w:val="20"/>
              </w:rPr>
              <w:t>Office equipment, furniture and fixtures</w:t>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281</w:t>
            </w:r>
          </w:p>
        </w:tc>
        <w:tc>
          <w:tcPr>
            <w:tcW w:w="155"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281</w:t>
            </w:r>
          </w:p>
        </w:tc>
        <w:tc>
          <w:tcPr>
            <w:tcW w:w="158" w:type="dxa"/>
            <w:tcBorders/>
            <w:vAlign w:val="bottom"/>
          </w:tcPr>
          <w:p>
            <w:pPr>
              <w:pStyle w:val="TableContents"/>
              <w:bidi w:val="0"/>
              <w:spacing w:before="0" w:after="283"/>
              <w:jc w:val="left"/>
              <w:rPr/>
            </w:pPr>
            <w:r>
              <w:rPr/>
              <w:t> </w:t>
            </w:r>
          </w:p>
        </w:tc>
      </w:tr>
      <w:tr>
        <w:trPr/>
        <w:tc>
          <w:tcPr>
            <w:tcW w:w="4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4121" w:type="dxa"/>
            <w:tcBorders/>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25</w:t>
            </w:r>
          </w:p>
        </w:tc>
        <w:tc>
          <w:tcPr>
            <w:tcW w:w="158" w:type="dxa"/>
            <w:tcBorders/>
            <w:vAlign w:val="bottom"/>
          </w:tcPr>
          <w:p>
            <w:pPr>
              <w:pStyle w:val="TableContents"/>
              <w:bidi w:val="0"/>
              <w:spacing w:before="0" w:after="283"/>
              <w:jc w:val="left"/>
              <w:rPr/>
            </w:pPr>
            <w:r>
              <w:rPr/>
              <w:t> </w:t>
            </w:r>
          </w:p>
        </w:tc>
      </w:tr>
      <w:tr>
        <w:trPr/>
        <w:tc>
          <w:tcPr>
            <w:tcW w:w="4121"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21" w:type="dxa"/>
            <w:tcBorders/>
            <w:shd w:fill="CCEEFF" w:val="clear"/>
          </w:tcPr>
          <w:p>
            <w:pPr>
              <w:pStyle w:val="TableContents"/>
              <w:bidi w:val="0"/>
              <w:spacing w:before="0" w:after="283"/>
              <w:jc w:val="left"/>
              <w:rPr>
                <w:sz w:val="4"/>
                <w:szCs w:val="4"/>
              </w:rPr>
            </w:pPr>
            <w:r>
              <w:rPr>
                <w:sz w:val="4"/>
                <w:szCs w:val="4"/>
              </w:rPr>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4,923</w:t>
            </w:r>
          </w:p>
        </w:tc>
        <w:tc>
          <w:tcPr>
            <w:tcW w:w="155"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4,896</w:t>
            </w:r>
          </w:p>
        </w:tc>
        <w:tc>
          <w:tcPr>
            <w:tcW w:w="158" w:type="dxa"/>
            <w:tcBorders/>
            <w:shd w:fill="CCEEFF" w:val="clear"/>
            <w:vAlign w:val="bottom"/>
          </w:tcPr>
          <w:p>
            <w:pPr>
              <w:pStyle w:val="TableContents"/>
              <w:bidi w:val="0"/>
              <w:spacing w:before="0" w:after="283"/>
              <w:jc w:val="left"/>
              <w:rPr/>
            </w:pPr>
            <w:r>
              <w:rPr/>
              <w:t> </w:t>
            </w:r>
          </w:p>
        </w:tc>
      </w:tr>
      <w:tr>
        <w:trPr/>
        <w:tc>
          <w:tcPr>
            <w:tcW w:w="4121"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(2,999</w:t>
            </w:r>
          </w:p>
        </w:tc>
        <w:tc>
          <w:tcPr>
            <w:tcW w:w="155"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(2,745</w:t>
            </w:r>
          </w:p>
        </w:tc>
        <w:tc>
          <w:tcPr>
            <w:tcW w:w="158" w:type="dxa"/>
            <w:tcBorders/>
            <w:vAlign w:val="bottom"/>
          </w:tcPr>
          <w:p>
            <w:pPr>
              <w:pStyle w:val="TableContents"/>
              <w:bidi w:val="0"/>
              <w:spacing w:before="0" w:after="283"/>
              <w:jc w:val="left"/>
              <w:rPr/>
            </w:pPr>
            <w:r>
              <w:rPr/>
              <w:t>) </w:t>
            </w:r>
          </w:p>
        </w:tc>
      </w:tr>
      <w:tr>
        <w:trPr/>
        <w:tc>
          <w:tcPr>
            <w:tcW w:w="4121"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1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43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1,924</w:t>
            </w:r>
          </w:p>
        </w:tc>
        <w:tc>
          <w:tcPr>
            <w:tcW w:w="155"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2,151</w:t>
            </w:r>
          </w:p>
        </w:tc>
        <w:tc>
          <w:tcPr>
            <w:tcW w:w="158" w:type="dxa"/>
            <w:tcBorders/>
            <w:shd w:fill="CCEEFF" w:val="clear"/>
            <w:vAlign w:val="bottom"/>
          </w:tcPr>
          <w:p>
            <w:pPr>
              <w:pStyle w:val="TableContents"/>
              <w:bidi w:val="0"/>
              <w:spacing w:before="0" w:after="283"/>
              <w:jc w:val="left"/>
              <w:rPr/>
            </w:pPr>
            <w:r>
              <w:rPr/>
              <w:t> </w:t>
            </w:r>
          </w:p>
        </w:tc>
      </w:tr>
      <w:tr>
        <w:trPr/>
        <w:tc>
          <w:tcPr>
            <w:tcW w:w="4121" w:type="dxa"/>
            <w:tcBorders/>
            <w:vAlign w:val="bottom"/>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pPr>
            <w:r>
              <w:rPr/>
              <w:t>  </w:t>
            </w:r>
          </w:p>
        </w:tc>
        <w:tc>
          <w:tcPr>
            <w:tcW w:w="193"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6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Depreciation expense was $0.3 million for each of the three month periods ended March 31, 2025 and 2024, and is primarily attributable to research and development activities.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CURRENT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Accrued expenses and other current liabilities is comprised of the following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26"/>
        <w:gridCol w:w="409"/>
        <w:gridCol w:w="214"/>
        <w:gridCol w:w="856"/>
        <w:gridCol w:w="60"/>
        <w:gridCol w:w="409"/>
        <w:gridCol w:w="283"/>
        <w:gridCol w:w="1133"/>
        <w:gridCol w:w="65"/>
      </w:tblGrid>
      <w:tr>
        <w:trPr/>
        <w:tc>
          <w:tcPr>
            <w:tcW w:w="4326"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26"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14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5"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related expenses</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1,648</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3" w:type="dxa"/>
            <w:tcBorders/>
            <w:shd w:fill="CCEEFF" w:val="clear"/>
            <w:vAlign w:val="bottom"/>
          </w:tcPr>
          <w:p>
            <w:pPr>
              <w:pStyle w:val="TableContents"/>
              <w:bidi w:val="0"/>
              <w:spacing w:before="0" w:after="283"/>
              <w:jc w:val="right"/>
              <w:rPr/>
            </w:pPr>
            <w:r>
              <w:rPr/>
              <w:t>3,585</w:t>
            </w:r>
          </w:p>
        </w:tc>
        <w:tc>
          <w:tcPr>
            <w:tcW w:w="65" w:type="dxa"/>
            <w:tcBorders/>
            <w:shd w:fill="CCEEFF" w:val="clear"/>
            <w:vAlign w:val="bottom"/>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Accrued research and development expenses</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1,362</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3" w:type="dxa"/>
            <w:tcBorders/>
            <w:vAlign w:val="bottom"/>
          </w:tcPr>
          <w:p>
            <w:pPr>
              <w:pStyle w:val="TableContents"/>
              <w:bidi w:val="0"/>
              <w:spacing w:before="0" w:after="283"/>
              <w:jc w:val="right"/>
              <w:rPr/>
            </w:pPr>
            <w:r>
              <w:rPr/>
              <w:t>2,787</w:t>
            </w:r>
          </w:p>
        </w:tc>
        <w:tc>
          <w:tcPr>
            <w:tcW w:w="65" w:type="dxa"/>
            <w:tcBorders/>
            <w:vAlign w:val="bottom"/>
          </w:tcPr>
          <w:p>
            <w:pPr>
              <w:pStyle w:val="TableContents"/>
              <w:bidi w:val="0"/>
              <w:spacing w:before="0" w:after="283"/>
              <w:jc w:val="left"/>
              <w:rPr/>
            </w:pPr>
            <w:r>
              <w:rPr/>
              <w:t> </w:t>
            </w:r>
          </w:p>
        </w:tc>
      </w:tr>
      <w:tr>
        <w:trPr/>
        <w:tc>
          <w:tcPr>
            <w:tcW w:w="4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professional fees and other expenses</w:t>
            </w:r>
          </w:p>
        </w:tc>
        <w:tc>
          <w:tcPr>
            <w:tcW w:w="40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1,897</w:t>
            </w:r>
          </w:p>
        </w:tc>
        <w:tc>
          <w:tcPr>
            <w:tcW w:w="60"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3" w:type="dxa"/>
            <w:tcBorders/>
            <w:shd w:fill="CCEEFF" w:val="clear"/>
            <w:vAlign w:val="bottom"/>
          </w:tcPr>
          <w:p>
            <w:pPr>
              <w:pStyle w:val="TableContents"/>
              <w:bidi w:val="0"/>
              <w:spacing w:before="0" w:after="283"/>
              <w:jc w:val="right"/>
              <w:rPr/>
            </w:pPr>
            <w:r>
              <w:rPr/>
              <w:t>1,478</w:t>
            </w:r>
          </w:p>
        </w:tc>
        <w:tc>
          <w:tcPr>
            <w:tcW w:w="65" w:type="dxa"/>
            <w:tcBorders/>
            <w:shd w:fill="CCEEFF" w:val="clear"/>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326" w:type="dxa"/>
            <w:tcBorders/>
          </w:tcPr>
          <w:p>
            <w:pPr>
              <w:pStyle w:val="TableContents"/>
              <w:bidi w:val="0"/>
              <w:spacing w:before="0" w:after="0"/>
              <w:jc w:val="left"/>
              <w:rPr>
                <w:rFonts w:ascii="Times New Roman" w:hAnsi="Times New Roman"/>
                <w:sz w:val="20"/>
              </w:rPr>
            </w:pPr>
            <w:r>
              <w:rPr>
                <w:rFonts w:ascii="Times New Roman" w:hAnsi="Times New Roman"/>
                <w:sz w:val="20"/>
              </w:rPr>
              <w:t>Total accrued expenses and other current liabilities</w:t>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4,907</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3" w:type="dxa"/>
            <w:tcBorders/>
            <w:vAlign w:val="bottom"/>
          </w:tcPr>
          <w:p>
            <w:pPr>
              <w:pStyle w:val="TableContents"/>
              <w:bidi w:val="0"/>
              <w:spacing w:before="0" w:after="283"/>
              <w:jc w:val="right"/>
              <w:rPr/>
            </w:pPr>
            <w:r>
              <w:rPr/>
              <w:t>7,850</w:t>
            </w:r>
          </w:p>
        </w:tc>
        <w:tc>
          <w:tcPr>
            <w:tcW w:w="65" w:type="dxa"/>
            <w:tcBorders/>
            <w:vAlign w:val="bottom"/>
          </w:tcPr>
          <w:p>
            <w:pPr>
              <w:pStyle w:val="TableContents"/>
              <w:bidi w:val="0"/>
              <w:spacing w:before="0" w:after="283"/>
              <w:jc w:val="left"/>
              <w:rPr/>
            </w:pPr>
            <w:r>
              <w:rPr/>
              <w:t> </w:t>
            </w:r>
          </w:p>
        </w:tc>
      </w:tr>
      <w:tr>
        <w:trPr/>
        <w:tc>
          <w:tcPr>
            <w:tcW w:w="4326" w:type="dxa"/>
            <w:tcBorders/>
            <w:vAlign w:val="bottom"/>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9"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STOCKHOLDERS EQUITY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150,000,000 shares of common stock at a par value of $0.0001. Holders of voting common stock are entitled to one vote per share. In addition, holders of voting common stock are entitled to receive dividends, if and when declared by the Companys Board of Directors. As of March 31, 2025, no dividends have been declared. </w:t>
      </w:r>
    </w:p>
    <w:p>
      <w:pPr>
        <w:pStyle w:val="TextBody"/>
        <w:bidi w:val="0"/>
        <w:spacing w:before="120" w:after="0"/>
        <w:jc w:val="left"/>
        <w:rPr>
          <w:rFonts w:ascii="Times New Roman" w:hAnsi="Times New Roman"/>
          <w:sz w:val="20"/>
        </w:rPr>
      </w:pPr>
      <w:r>
        <w:rPr>
          <w:rFonts w:ascii="Times New Roman" w:hAnsi="Times New Roman"/>
          <w:sz w:val="20"/>
        </w:rPr>
        <w:t xml:space="preserve">The Company reserved common stock for future issuance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06"/>
        <w:gridCol w:w="240"/>
        <w:gridCol w:w="61"/>
        <w:gridCol w:w="1017"/>
        <w:gridCol w:w="60"/>
        <w:gridCol w:w="240"/>
        <w:gridCol w:w="81"/>
        <w:gridCol w:w="1387"/>
        <w:gridCol w:w="63"/>
      </w:tblGrid>
      <w:tr>
        <w:trPr/>
        <w:tc>
          <w:tcPr>
            <w:tcW w:w="4606"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606"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2025</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14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3" w:type="dxa"/>
            <w:tcBorders/>
            <w:vAlign w:val="bottom"/>
          </w:tcPr>
          <w:p>
            <w:pPr>
              <w:pStyle w:val="TableContents"/>
              <w:bidi w:val="0"/>
              <w:spacing w:before="0" w:after="283"/>
              <w:jc w:val="left"/>
              <w:rPr/>
            </w:pPr>
            <w:r>
              <w:rPr/>
              <w:t> </w:t>
            </w:r>
          </w:p>
        </w:tc>
      </w:tr>
      <w:tr>
        <w:trPr/>
        <w:tc>
          <w:tcPr>
            <w:tcW w:w="4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options to purchase common stock</w:t>
            </w:r>
          </w:p>
        </w:tc>
        <w:tc>
          <w:tcPr>
            <w:tcW w:w="2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1,823,123</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1,626,841</w:t>
            </w:r>
          </w:p>
        </w:tc>
        <w:tc>
          <w:tcPr>
            <w:tcW w:w="63" w:type="dxa"/>
            <w:tcBorders/>
            <w:shd w:fill="CCEEFF" w:val="clear"/>
            <w:vAlign w:val="bottom"/>
          </w:tcPr>
          <w:p>
            <w:pPr>
              <w:pStyle w:val="TableContents"/>
              <w:bidi w:val="0"/>
              <w:spacing w:before="0" w:after="283"/>
              <w:jc w:val="left"/>
              <w:rPr/>
            </w:pPr>
            <w:r>
              <w:rPr/>
              <w:t> </w:t>
            </w:r>
          </w:p>
        </w:tc>
      </w:tr>
      <w:tr>
        <w:trPr/>
        <w:tc>
          <w:tcPr>
            <w:tcW w:w="4606" w:type="dxa"/>
            <w:tcBorders/>
          </w:tcPr>
          <w:p>
            <w:pPr>
              <w:pStyle w:val="TableContents"/>
              <w:bidi w:val="0"/>
              <w:spacing w:before="0" w:after="0"/>
              <w:jc w:val="left"/>
              <w:rPr>
                <w:rFonts w:ascii="Times New Roman" w:hAnsi="Times New Roman"/>
                <w:sz w:val="20"/>
              </w:rPr>
            </w:pPr>
            <w:r>
              <w:rPr>
                <w:rFonts w:ascii="Times New Roman" w:hAnsi="Times New Roman"/>
                <w:sz w:val="20"/>
              </w:rPr>
              <w:t>Unvested restricted stock units</w:t>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181,987</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25,612</w:t>
            </w:r>
          </w:p>
        </w:tc>
        <w:tc>
          <w:tcPr>
            <w:tcW w:w="63" w:type="dxa"/>
            <w:tcBorders/>
            <w:vAlign w:val="bottom"/>
          </w:tcPr>
          <w:p>
            <w:pPr>
              <w:pStyle w:val="TableContents"/>
              <w:bidi w:val="0"/>
              <w:spacing w:before="0" w:after="283"/>
              <w:jc w:val="left"/>
              <w:rPr/>
            </w:pPr>
            <w:r>
              <w:rPr/>
              <w:t> </w:t>
            </w:r>
          </w:p>
        </w:tc>
      </w:tr>
      <w:tr>
        <w:trPr/>
        <w:tc>
          <w:tcPr>
            <w:tcW w:w="46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 awards available for future issuance under the 2024 Equity Incentive Plan</w:t>
            </w:r>
          </w:p>
        </w:tc>
        <w:tc>
          <w:tcPr>
            <w:tcW w:w="2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1,227,159</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976,082</w:t>
            </w:r>
          </w:p>
        </w:tc>
        <w:tc>
          <w:tcPr>
            <w:tcW w:w="63" w:type="dxa"/>
            <w:tcBorders/>
            <w:shd w:fill="CCEEFF" w:val="clear"/>
            <w:vAlign w:val="bottom"/>
          </w:tcPr>
          <w:p>
            <w:pPr>
              <w:pStyle w:val="TableContents"/>
              <w:bidi w:val="0"/>
              <w:spacing w:before="0" w:after="283"/>
              <w:jc w:val="left"/>
              <w:rPr/>
            </w:pPr>
            <w:r>
              <w:rPr/>
              <w:t> </w:t>
            </w:r>
          </w:p>
        </w:tc>
      </w:tr>
      <w:tr>
        <w:trPr/>
        <w:tc>
          <w:tcPr>
            <w:tcW w:w="4606" w:type="dxa"/>
            <w:tcBorders/>
          </w:tcPr>
          <w:p>
            <w:pPr>
              <w:pStyle w:val="TableContents"/>
              <w:bidi w:val="0"/>
              <w:spacing w:before="0" w:after="0"/>
              <w:jc w:val="left"/>
              <w:rPr>
                <w:rFonts w:ascii="Times New Roman" w:hAnsi="Times New Roman"/>
                <w:sz w:val="20"/>
              </w:rPr>
            </w:pPr>
            <w:r>
              <w:rPr>
                <w:rFonts w:ascii="Times New Roman" w:hAnsi="Times New Roman"/>
                <w:sz w:val="20"/>
              </w:rPr>
              <w:t>Shares reserved for purchase under the 2024 Employee Stock Purchase Plan</w:t>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295,906</w:t>
            </w:r>
          </w:p>
        </w:tc>
        <w:tc>
          <w:tcPr>
            <w:tcW w:w="60" w:type="dxa"/>
            <w:tcBorders/>
            <w:vAlign w:val="bottom"/>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147,343</w:t>
            </w:r>
          </w:p>
        </w:tc>
        <w:tc>
          <w:tcPr>
            <w:tcW w:w="63" w:type="dxa"/>
            <w:tcBorders/>
            <w:vAlign w:val="bottom"/>
          </w:tcPr>
          <w:p>
            <w:pPr>
              <w:pStyle w:val="TableContents"/>
              <w:bidi w:val="0"/>
              <w:spacing w:before="0" w:after="283"/>
              <w:jc w:val="left"/>
              <w:rPr/>
            </w:pPr>
            <w:r>
              <w:rPr/>
              <w:t> </w:t>
            </w:r>
          </w:p>
        </w:tc>
      </w:tr>
      <w:tr>
        <w:trPr/>
        <w:tc>
          <w:tcPr>
            <w:tcW w:w="4606"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138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606" w:type="dxa"/>
            <w:tcBorders/>
            <w:shd w:fill="CCEEFF" w:val="clear"/>
          </w:tcPr>
          <w:p>
            <w:pPr>
              <w:pStyle w:val="TableContents"/>
              <w:bidi w:val="0"/>
              <w:spacing w:before="0" w:after="283"/>
              <w:jc w:val="left"/>
              <w:rPr>
                <w:sz w:val="4"/>
                <w:szCs w:val="4"/>
              </w:rPr>
            </w:pPr>
            <w:r>
              <w:rPr>
                <w:sz w:val="4"/>
                <w:szCs w:val="4"/>
              </w:rPr>
            </w:r>
          </w:p>
        </w:tc>
        <w:tc>
          <w:tcPr>
            <w:tcW w:w="24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3,528,175</w:t>
            </w:r>
          </w:p>
        </w:tc>
        <w:tc>
          <w:tcPr>
            <w:tcW w:w="6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2,775,878</w:t>
            </w:r>
          </w:p>
        </w:tc>
        <w:tc>
          <w:tcPr>
            <w:tcW w:w="63" w:type="dxa"/>
            <w:tcBorders/>
            <w:shd w:fill="CCEEFF" w:val="clear"/>
            <w:vAlign w:val="bottom"/>
          </w:tcPr>
          <w:p>
            <w:pPr>
              <w:pStyle w:val="TableContents"/>
              <w:bidi w:val="0"/>
              <w:spacing w:before="0" w:after="283"/>
              <w:jc w:val="left"/>
              <w:rPr/>
            </w:pPr>
            <w:r>
              <w:rPr/>
              <w:t> </w:t>
            </w:r>
          </w:p>
        </w:tc>
      </w:tr>
      <w:tr>
        <w:trPr/>
        <w:tc>
          <w:tcPr>
            <w:tcW w:w="4606"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138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EQUITY INCENTIVE PLANS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2019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Legacy Tectonic 2019 Equity Incentive Plan (the 2019 Plan) provides employees, consultants and advisors and non-employee members of the Board of Directors with the opportunity to receive grants of stock options, stock awards and equity awards. Following the effectiveness of the 2024 Equity Incentive Plan (the 2024 Plan) as described below, no further grants will be made under the 2019 Plan; however, any outstanding equity awards granted under the 2019 Plan will continue to be governed by the terms of the 2019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On June 20, 2024, the Company adopted the 2024 Equity Incentive Plan (the 2024 Plan) which became effective upon completion of the Merger. The 2024 Plan provides for the grant of incentive stock options, nonstatutory stock options, stock appreciation rights, restricted stock awards, restricted stock unit awards, performance awards and other forms of awards to employees, consultants, and non-employee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The 2024 Plan initially provided for the issuance of up to 1,938,799 shares of common stock (the Initial Share Reserve). Effective January 1, 2025, in connection with the evergreen provision contained in the 2024 Plan, an additional 742,815 shares of common stock were reserved for issuance under the 2024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2024 Employee Stock Purchase Plan </w:t>
      </w:r>
    </w:p>
    <w:p>
      <w:pPr>
        <w:pStyle w:val="TextBody"/>
        <w:bidi w:val="0"/>
        <w:spacing w:before="120" w:after="0"/>
        <w:jc w:val="left"/>
        <w:rPr>
          <w:rFonts w:ascii="Times New Roman" w:hAnsi="Times New Roman"/>
          <w:sz w:val="20"/>
        </w:rPr>
      </w:pPr>
      <w:r>
        <w:rPr>
          <w:rFonts w:ascii="Times New Roman" w:hAnsi="Times New Roman"/>
          <w:sz w:val="20"/>
        </w:rPr>
        <w:t xml:space="preserve">On June 20, 2024, the Company adopted the 2024 Employee Stock Purchase Plan (the 2024 ESPP), which became effective upon completion of the Merger. The 2024 ESPP initially provided for the issuance of up to 147,343 shares of common stock. Effective January 1, 2025, in connection with an evergreen provision contained in the ESPP, an additional 148,563 shares of common stock were reserved for issuance under the ESPP. No offering periods under the 2024 ESPP had been initiated as of March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stock option activity under the 2019 Plan and 2024 Plan for the three months ended March 31, 2025 (in thousands except share, contractual term and per share amounts):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113"/>
        <w:gridCol w:w="282"/>
        <w:gridCol w:w="73"/>
        <w:gridCol w:w="1250"/>
        <w:gridCol w:w="155"/>
        <w:gridCol w:w="248"/>
        <w:gridCol w:w="214"/>
        <w:gridCol w:w="857"/>
        <w:gridCol w:w="60"/>
        <w:gridCol w:w="282"/>
        <w:gridCol w:w="209"/>
        <w:gridCol w:w="1165"/>
        <w:gridCol w:w="60"/>
        <w:gridCol w:w="282"/>
        <w:gridCol w:w="214"/>
        <w:gridCol w:w="857"/>
        <w:gridCol w:w="67"/>
      </w:tblGrid>
      <w:tr>
        <w:trPr/>
        <w:tc>
          <w:tcPr>
            <w:tcW w:w="3113"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113"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592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Outstanding Options</w:t>
            </w:r>
          </w:p>
        </w:tc>
        <w:tc>
          <w:tcPr>
            <w:tcW w:w="67" w:type="dxa"/>
            <w:tcBorders/>
            <w:vAlign w:val="bottom"/>
          </w:tcPr>
          <w:p>
            <w:pPr>
              <w:pStyle w:val="TableContents"/>
              <w:bidi w:val="0"/>
              <w:spacing w:before="0" w:after="283"/>
              <w:jc w:val="left"/>
              <w:rPr/>
            </w:pPr>
            <w:r>
              <w:rPr/>
              <w:t> </w:t>
            </w:r>
          </w:p>
        </w:tc>
      </w:tr>
      <w:tr>
        <w:trPr/>
        <w:tc>
          <w:tcPr>
            <w:tcW w:w="3113"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Underlying</w:t>
              <w:br/>
              <w:t>Outstanding</w:t>
              <w:br/>
              <w:t>Options</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(Years)</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7" w:type="dxa"/>
            <w:tcBorders/>
            <w:vAlign w:val="bottom"/>
          </w:tcPr>
          <w:p>
            <w:pPr>
              <w:pStyle w:val="TableContents"/>
              <w:bidi w:val="0"/>
              <w:spacing w:before="0" w:after="283"/>
              <w:jc w:val="left"/>
              <w:rPr/>
            </w:pPr>
            <w:r>
              <w:rPr/>
              <w:t> </w:t>
            </w:r>
          </w:p>
        </w:tc>
      </w:tr>
      <w:tr>
        <w:trPr/>
        <w:tc>
          <w:tcPr>
            <w:tcW w:w="3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January 1, 2025</w:t>
            </w:r>
          </w:p>
        </w:tc>
        <w:tc>
          <w:tcPr>
            <w:tcW w:w="28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1,534,361</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12.49</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8.2</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2,276</w:t>
            </w:r>
          </w:p>
        </w:tc>
        <w:tc>
          <w:tcPr>
            <w:tcW w:w="67" w:type="dxa"/>
            <w:tcBorders/>
            <w:shd w:fill="CCEEFF" w:val="clear"/>
            <w:vAlign w:val="bottom"/>
          </w:tcPr>
          <w:p>
            <w:pPr>
              <w:pStyle w:val="TableContents"/>
              <w:bidi w:val="0"/>
              <w:spacing w:before="0" w:after="283"/>
              <w:jc w:val="left"/>
              <w:rPr/>
            </w:pPr>
            <w:r>
              <w:rPr/>
              <w:t> </w:t>
            </w:r>
          </w:p>
        </w:tc>
      </w:tr>
      <w:tr>
        <w:trPr/>
        <w:tc>
          <w:tcPr>
            <w:tcW w:w="3113" w:type="dxa"/>
            <w:tcBorders/>
          </w:tcPr>
          <w:p>
            <w:pPr>
              <w:pStyle w:val="TableContents"/>
              <w:bidi w:val="0"/>
              <w:spacing w:before="0" w:after="0"/>
              <w:jc w:val="left"/>
              <w:rPr>
                <w:rFonts w:ascii="Times New Roman" w:hAnsi="Times New Roman"/>
                <w:sz w:val="20"/>
              </w:rPr>
            </w:pPr>
            <w:r>
              <w:rPr>
                <w:rFonts w:ascii="Times New Roman" w:hAnsi="Times New Roman"/>
                <w:sz w:val="20"/>
              </w:rPr>
              <w:t>Options granted</w:t>
            </w:r>
          </w:p>
        </w:tc>
        <w:tc>
          <w:tcPr>
            <w:tcW w:w="28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335,863</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46.73</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exercised</w:t>
            </w:r>
          </w:p>
        </w:tc>
        <w:tc>
          <w:tcPr>
            <w:tcW w:w="28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(64,866</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2.68</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sz w:val="4"/>
                <w:szCs w:val="4"/>
              </w:rPr>
            </w:pPr>
            <w:r>
              <w:rPr>
                <w:sz w:val="4"/>
                <w:szCs w:val="4"/>
              </w:rPr>
            </w:r>
          </w:p>
        </w:tc>
        <w:tc>
          <w:tcPr>
            <w:tcW w:w="11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57" w:type="dxa"/>
            <w:tcBorders/>
            <w:shd w:fill="CCEEFF" w:val="clear"/>
            <w:vAlign w:val="bottom"/>
          </w:tcPr>
          <w:p>
            <w:pPr>
              <w:pStyle w:val="TableContents"/>
              <w:bidi w:val="0"/>
              <w:spacing w:before="0" w:after="283"/>
              <w:jc w:val="right"/>
              <w:rPr/>
            </w:pPr>
            <w:r>
              <w:rPr/>
              <w:t>2,361</w:t>
            </w:r>
          </w:p>
        </w:tc>
        <w:tc>
          <w:tcPr>
            <w:tcW w:w="67" w:type="dxa"/>
            <w:tcBorders/>
            <w:shd w:fill="CCEEFF" w:val="clear"/>
            <w:vAlign w:val="bottom"/>
          </w:tcPr>
          <w:p>
            <w:pPr>
              <w:pStyle w:val="TableContents"/>
              <w:bidi w:val="0"/>
              <w:spacing w:before="0" w:after="283"/>
              <w:jc w:val="left"/>
              <w:rPr/>
            </w:pPr>
            <w:r>
              <w:rPr/>
              <w:t> </w:t>
            </w:r>
          </w:p>
        </w:tc>
      </w:tr>
      <w:tr>
        <w:trPr/>
        <w:tc>
          <w:tcPr>
            <w:tcW w:w="3113" w:type="dxa"/>
            <w:tcBorders/>
          </w:tcPr>
          <w:p>
            <w:pPr>
              <w:pStyle w:val="TableContents"/>
              <w:bidi w:val="0"/>
              <w:spacing w:before="0" w:after="0"/>
              <w:jc w:val="left"/>
              <w:rPr>
                <w:rFonts w:ascii="Times New Roman" w:hAnsi="Times New Roman"/>
                <w:sz w:val="20"/>
              </w:rPr>
            </w:pPr>
            <w:r>
              <w:rPr>
                <w:rFonts w:ascii="Times New Roman" w:hAnsi="Times New Roman"/>
                <w:sz w:val="20"/>
              </w:rPr>
              <w:t>Options forfeited and expired</w:t>
            </w:r>
          </w:p>
        </w:tc>
        <w:tc>
          <w:tcPr>
            <w:tcW w:w="28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(14,126</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5.75</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113"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March 31, 2025</w:t>
            </w:r>
          </w:p>
        </w:tc>
        <w:tc>
          <w:tcPr>
            <w:tcW w:w="28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1,791,232</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19.32</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8,235</w:t>
            </w:r>
          </w:p>
        </w:tc>
        <w:tc>
          <w:tcPr>
            <w:tcW w:w="67" w:type="dxa"/>
            <w:tcBorders/>
            <w:shd w:fill="CCEEFF" w:val="clear"/>
            <w:vAlign w:val="bottom"/>
          </w:tcPr>
          <w:p>
            <w:pPr>
              <w:pStyle w:val="TableContents"/>
              <w:bidi w:val="0"/>
              <w:spacing w:before="0" w:after="283"/>
              <w:jc w:val="left"/>
              <w:rPr/>
            </w:pPr>
            <w:r>
              <w:rPr/>
              <w:t> </w:t>
            </w:r>
          </w:p>
        </w:tc>
      </w:tr>
      <w:tr>
        <w:trPr/>
        <w:tc>
          <w:tcPr>
            <w:tcW w:w="3113"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2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113" w:type="dxa"/>
            <w:tcBorders/>
          </w:tcPr>
          <w:p>
            <w:pPr>
              <w:pStyle w:val="TableContents"/>
              <w:bidi w:val="0"/>
              <w:spacing w:before="0" w:after="0"/>
              <w:jc w:val="left"/>
              <w:rPr>
                <w:rFonts w:ascii="Times New Roman" w:hAnsi="Times New Roman"/>
                <w:sz w:val="20"/>
              </w:rPr>
            </w:pPr>
            <w:r>
              <w:rPr>
                <w:rFonts w:ascii="Times New Roman" w:hAnsi="Times New Roman"/>
                <w:sz w:val="20"/>
              </w:rPr>
              <w:t>Options vested and exercisable as of March 31, 2025</w:t>
            </w:r>
          </w:p>
        </w:tc>
        <w:tc>
          <w:tcPr>
            <w:tcW w:w="282"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365,025</w:t>
            </w:r>
          </w:p>
        </w:tc>
        <w:tc>
          <w:tcPr>
            <w:tcW w:w="155"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3.68</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5,322</w:t>
            </w:r>
          </w:p>
        </w:tc>
        <w:tc>
          <w:tcPr>
            <w:tcW w:w="67" w:type="dxa"/>
            <w:tcBorders/>
            <w:vAlign w:val="bottom"/>
          </w:tcPr>
          <w:p>
            <w:pPr>
              <w:pStyle w:val="TableContents"/>
              <w:bidi w:val="0"/>
              <w:spacing w:before="0" w:after="283"/>
              <w:jc w:val="left"/>
              <w:rPr/>
            </w:pPr>
            <w:r>
              <w:rPr/>
              <w:t> </w:t>
            </w:r>
          </w:p>
        </w:tc>
      </w:tr>
      <w:tr>
        <w:trPr/>
        <w:tc>
          <w:tcPr>
            <w:tcW w:w="3113"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2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1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vested and expected to vest as of March 31, 2025</w:t>
            </w:r>
          </w:p>
        </w:tc>
        <w:tc>
          <w:tcPr>
            <w:tcW w:w="282"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250" w:type="dxa"/>
            <w:tcBorders/>
            <w:shd w:fill="CCEEFF" w:val="clear"/>
            <w:vAlign w:val="bottom"/>
          </w:tcPr>
          <w:p>
            <w:pPr>
              <w:pStyle w:val="TableContents"/>
              <w:bidi w:val="0"/>
              <w:spacing w:before="0" w:after="283"/>
              <w:jc w:val="right"/>
              <w:rPr/>
            </w:pPr>
            <w:r>
              <w:rPr/>
              <w:t>1,791,232</w:t>
            </w:r>
          </w:p>
        </w:tc>
        <w:tc>
          <w:tcPr>
            <w:tcW w:w="155"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19.32</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8,235</w:t>
            </w:r>
          </w:p>
        </w:tc>
        <w:tc>
          <w:tcPr>
            <w:tcW w:w="67" w:type="dxa"/>
            <w:tcBorders/>
            <w:shd w:fill="CCEEFF" w:val="clear"/>
            <w:vAlign w:val="bottom"/>
          </w:tcPr>
          <w:p>
            <w:pPr>
              <w:pStyle w:val="TableContents"/>
              <w:bidi w:val="0"/>
              <w:spacing w:before="0" w:after="283"/>
              <w:jc w:val="left"/>
              <w:rPr/>
            </w:pPr>
            <w:r>
              <w:rPr/>
              <w:t> </w:t>
            </w:r>
          </w:p>
        </w:tc>
      </w:tr>
      <w:tr>
        <w:trPr/>
        <w:tc>
          <w:tcPr>
            <w:tcW w:w="3113"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73" w:type="dxa"/>
            <w:tcBorders/>
            <w:vAlign w:val="bottom"/>
          </w:tcPr>
          <w:p>
            <w:pPr>
              <w:pStyle w:val="TableContents"/>
              <w:pBdr>
                <w:top w:val="double" w:sz="6" w:space="1" w:color="000000"/>
              </w:pBdr>
              <w:bidi w:val="0"/>
              <w:spacing w:before="0" w:after="0"/>
              <w:jc w:val="left"/>
              <w:rPr/>
            </w:pPr>
            <w:r>
              <w:rPr/>
              <w:t> </w:t>
            </w:r>
          </w:p>
        </w:tc>
        <w:tc>
          <w:tcPr>
            <w:tcW w:w="12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stock option activity for the options that were assumed from AVROBIO upon the Merger for the three months ended March 31, 2025 (in thousands except share, contractual term and per share amounts):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43"/>
        <w:gridCol w:w="317"/>
        <w:gridCol w:w="94"/>
        <w:gridCol w:w="1196"/>
        <w:gridCol w:w="155"/>
        <w:gridCol w:w="282"/>
        <w:gridCol w:w="214"/>
        <w:gridCol w:w="857"/>
        <w:gridCol w:w="60"/>
        <w:gridCol w:w="317"/>
        <w:gridCol w:w="209"/>
        <w:gridCol w:w="1131"/>
        <w:gridCol w:w="60"/>
        <w:gridCol w:w="317"/>
        <w:gridCol w:w="213"/>
        <w:gridCol w:w="857"/>
        <w:gridCol w:w="66"/>
      </w:tblGrid>
      <w:tr>
        <w:trPr/>
        <w:tc>
          <w:tcPr>
            <w:tcW w:w="3043"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04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596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Outstanding Options</w:t>
            </w:r>
          </w:p>
        </w:tc>
        <w:tc>
          <w:tcPr>
            <w:tcW w:w="66" w:type="dxa"/>
            <w:tcBorders/>
            <w:vAlign w:val="bottom"/>
          </w:tcPr>
          <w:p>
            <w:pPr>
              <w:pStyle w:val="TableContents"/>
              <w:bidi w:val="0"/>
              <w:spacing w:before="0" w:after="283"/>
              <w:jc w:val="left"/>
              <w:rPr/>
            </w:pPr>
            <w:r>
              <w:rPr/>
              <w:t> </w:t>
            </w:r>
          </w:p>
        </w:tc>
      </w:tr>
      <w:tr>
        <w:trPr/>
        <w:tc>
          <w:tcPr>
            <w:tcW w:w="3043"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Underlying</w:t>
              <w:br/>
              <w:t>Outstanding</w:t>
              <w:br/>
              <w:t>Options</w:t>
            </w:r>
          </w:p>
        </w:tc>
        <w:tc>
          <w:tcPr>
            <w:tcW w:w="15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(Years)</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6" w:type="dxa"/>
            <w:tcBorders/>
            <w:vAlign w:val="bottom"/>
          </w:tcPr>
          <w:p>
            <w:pPr>
              <w:pStyle w:val="TableContents"/>
              <w:bidi w:val="0"/>
              <w:spacing w:before="0" w:after="283"/>
              <w:jc w:val="left"/>
              <w:rPr/>
            </w:pPr>
            <w:r>
              <w:rPr/>
              <w:t> </w:t>
            </w:r>
          </w:p>
        </w:tc>
      </w:tr>
      <w:tr>
        <w:trPr/>
        <w:tc>
          <w:tcPr>
            <w:tcW w:w="3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January 1, 2025</w:t>
            </w:r>
          </w:p>
        </w:tc>
        <w:tc>
          <w:tcPr>
            <w:tcW w:w="317"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92,480</w:t>
            </w:r>
          </w:p>
        </w:tc>
        <w:tc>
          <w:tcPr>
            <w:tcW w:w="15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22.69</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1.1</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2,903</w:t>
            </w:r>
          </w:p>
        </w:tc>
        <w:tc>
          <w:tcPr>
            <w:tcW w:w="66" w:type="dxa"/>
            <w:tcBorders/>
            <w:shd w:fill="CCEEFF" w:val="clear"/>
            <w:vAlign w:val="bottom"/>
          </w:tcPr>
          <w:p>
            <w:pPr>
              <w:pStyle w:val="TableContents"/>
              <w:bidi w:val="0"/>
              <w:spacing w:before="0" w:after="283"/>
              <w:jc w:val="left"/>
              <w:rPr/>
            </w:pPr>
            <w:r>
              <w:rPr/>
              <w:t> </w:t>
            </w:r>
          </w:p>
        </w:tc>
      </w:tr>
      <w:tr>
        <w:trPr/>
        <w:tc>
          <w:tcPr>
            <w:tcW w:w="3043" w:type="dxa"/>
            <w:tcBorders/>
          </w:tcPr>
          <w:p>
            <w:pPr>
              <w:pStyle w:val="TableContents"/>
              <w:bidi w:val="0"/>
              <w:spacing w:before="0" w:after="0"/>
              <w:jc w:val="left"/>
              <w:rPr>
                <w:rFonts w:ascii="Times New Roman" w:hAnsi="Times New Roman"/>
                <w:sz w:val="20"/>
              </w:rPr>
            </w:pPr>
            <w:r>
              <w:rPr>
                <w:rFonts w:ascii="Times New Roman" w:hAnsi="Times New Roman"/>
                <w:sz w:val="20"/>
              </w:rPr>
              <w:t>Options exercised</w:t>
            </w:r>
          </w:p>
        </w:tc>
        <w:tc>
          <w:tcPr>
            <w:tcW w:w="317"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(60,589</w:t>
            </w:r>
          </w:p>
        </w:tc>
        <w:tc>
          <w:tcPr>
            <w:tcW w:w="15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13.16</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57" w:type="dxa"/>
            <w:tcBorders/>
            <w:vAlign w:val="bottom"/>
          </w:tcPr>
          <w:p>
            <w:pPr>
              <w:pStyle w:val="TableContents"/>
              <w:bidi w:val="0"/>
              <w:spacing w:before="0" w:after="283"/>
              <w:jc w:val="right"/>
              <w:rPr/>
            </w:pPr>
            <w:r>
              <w:rPr/>
              <w:t>1,982</w:t>
            </w:r>
          </w:p>
        </w:tc>
        <w:tc>
          <w:tcPr>
            <w:tcW w:w="66" w:type="dxa"/>
            <w:tcBorders/>
            <w:vAlign w:val="bottom"/>
          </w:tcPr>
          <w:p>
            <w:pPr>
              <w:pStyle w:val="TableContents"/>
              <w:bidi w:val="0"/>
              <w:spacing w:before="0" w:after="283"/>
              <w:jc w:val="left"/>
              <w:rPr/>
            </w:pPr>
            <w:r>
              <w:rPr/>
              <w:t> </w:t>
            </w:r>
          </w:p>
        </w:tc>
      </w:tr>
      <w:tr>
        <w:trPr/>
        <w:tc>
          <w:tcPr>
            <w:tcW w:w="304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19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March 31, 2025</w:t>
            </w:r>
          </w:p>
        </w:tc>
        <w:tc>
          <w:tcPr>
            <w:tcW w:w="317"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31,891</w:t>
            </w:r>
          </w:p>
        </w:tc>
        <w:tc>
          <w:tcPr>
            <w:tcW w:w="15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40.80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151</w:t>
            </w:r>
          </w:p>
        </w:tc>
        <w:tc>
          <w:tcPr>
            <w:tcW w:w="66" w:type="dxa"/>
            <w:tcBorders/>
            <w:shd w:fill="CCEEFF" w:val="clear"/>
            <w:vAlign w:val="bottom"/>
          </w:tcPr>
          <w:p>
            <w:pPr>
              <w:pStyle w:val="TableContents"/>
              <w:bidi w:val="0"/>
              <w:spacing w:before="0" w:after="283"/>
              <w:jc w:val="left"/>
              <w:rPr/>
            </w:pPr>
            <w:r>
              <w:rPr/>
              <w:t> </w:t>
            </w:r>
          </w:p>
        </w:tc>
      </w:tr>
      <w:tr>
        <w:trPr/>
        <w:tc>
          <w:tcPr>
            <w:tcW w:w="304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43" w:type="dxa"/>
            <w:tcBorders/>
          </w:tcPr>
          <w:p>
            <w:pPr>
              <w:pStyle w:val="TableContents"/>
              <w:bidi w:val="0"/>
              <w:spacing w:before="0" w:after="0"/>
              <w:jc w:val="left"/>
              <w:rPr>
                <w:rFonts w:ascii="Times New Roman" w:hAnsi="Times New Roman"/>
                <w:sz w:val="20"/>
              </w:rPr>
            </w:pPr>
            <w:r>
              <w:rPr>
                <w:rFonts w:ascii="Times New Roman" w:hAnsi="Times New Roman"/>
                <w:sz w:val="20"/>
              </w:rPr>
              <w:t>Options vested and exercisable as of March 31, 2025</w:t>
            </w:r>
          </w:p>
        </w:tc>
        <w:tc>
          <w:tcPr>
            <w:tcW w:w="317"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196" w:type="dxa"/>
            <w:tcBorders/>
            <w:vAlign w:val="bottom"/>
          </w:tcPr>
          <w:p>
            <w:pPr>
              <w:pStyle w:val="TableContents"/>
              <w:bidi w:val="0"/>
              <w:spacing w:before="0" w:after="283"/>
              <w:jc w:val="right"/>
              <w:rPr/>
            </w:pPr>
            <w:r>
              <w:rPr/>
              <w:t>31,891</w:t>
            </w:r>
          </w:p>
        </w:tc>
        <w:tc>
          <w:tcPr>
            <w:tcW w:w="155"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40.80</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857" w:type="dxa"/>
            <w:tcBorders/>
            <w:vAlign w:val="bottom"/>
          </w:tcPr>
          <w:p>
            <w:pPr>
              <w:pStyle w:val="TableContents"/>
              <w:bidi w:val="0"/>
              <w:spacing w:before="0" w:after="283"/>
              <w:jc w:val="right"/>
              <w:rPr/>
            </w:pPr>
            <w:r>
              <w:rPr/>
              <w:t>151</w:t>
            </w:r>
          </w:p>
        </w:tc>
        <w:tc>
          <w:tcPr>
            <w:tcW w:w="66" w:type="dxa"/>
            <w:tcBorders/>
            <w:vAlign w:val="bottom"/>
          </w:tcPr>
          <w:p>
            <w:pPr>
              <w:pStyle w:val="TableContents"/>
              <w:bidi w:val="0"/>
              <w:spacing w:before="0" w:after="283"/>
              <w:jc w:val="left"/>
              <w:rPr/>
            </w:pPr>
            <w:r>
              <w:rPr/>
              <w:t> </w:t>
            </w:r>
          </w:p>
        </w:tc>
      </w:tr>
      <w:tr>
        <w:trPr/>
        <w:tc>
          <w:tcPr>
            <w:tcW w:w="304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0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Options vested and expected to vest as of March 31, 2025</w:t>
            </w:r>
          </w:p>
        </w:tc>
        <w:tc>
          <w:tcPr>
            <w:tcW w:w="317"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196" w:type="dxa"/>
            <w:tcBorders/>
            <w:shd w:fill="CCEEFF" w:val="clear"/>
            <w:vAlign w:val="bottom"/>
          </w:tcPr>
          <w:p>
            <w:pPr>
              <w:pStyle w:val="TableContents"/>
              <w:bidi w:val="0"/>
              <w:spacing w:before="0" w:after="283"/>
              <w:jc w:val="right"/>
              <w:rPr/>
            </w:pPr>
            <w:r>
              <w:rPr/>
              <w:t>31,891</w:t>
            </w:r>
          </w:p>
        </w:tc>
        <w:tc>
          <w:tcPr>
            <w:tcW w:w="155"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40.80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857" w:type="dxa"/>
            <w:tcBorders/>
            <w:shd w:fill="CCEEFF" w:val="clear"/>
            <w:vAlign w:val="bottom"/>
          </w:tcPr>
          <w:p>
            <w:pPr>
              <w:pStyle w:val="TableContents"/>
              <w:bidi w:val="0"/>
              <w:spacing w:before="0" w:after="283"/>
              <w:jc w:val="right"/>
              <w:rPr/>
            </w:pPr>
            <w:r>
              <w:rPr/>
              <w:t>151</w:t>
            </w:r>
          </w:p>
        </w:tc>
        <w:tc>
          <w:tcPr>
            <w:tcW w:w="66" w:type="dxa"/>
            <w:tcBorders/>
            <w:shd w:fill="CCEEFF" w:val="clear"/>
            <w:vAlign w:val="bottom"/>
          </w:tcPr>
          <w:p>
            <w:pPr>
              <w:pStyle w:val="TableContents"/>
              <w:bidi w:val="0"/>
              <w:spacing w:before="0" w:after="283"/>
              <w:jc w:val="left"/>
              <w:rPr/>
            </w:pPr>
            <w:r>
              <w:rPr/>
              <w:t> </w:t>
            </w:r>
          </w:p>
        </w:tc>
      </w:tr>
      <w:tr>
        <w:trPr/>
        <w:tc>
          <w:tcPr>
            <w:tcW w:w="3043"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19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sz w:val="4"/>
                <w:szCs w:val="4"/>
              </w:rPr>
            </w:pPr>
            <w:r>
              <w:rPr>
                <w:sz w:val="4"/>
                <w:szCs w:val="4"/>
              </w:rPr>
            </w:r>
          </w:p>
        </w:tc>
        <w:tc>
          <w:tcPr>
            <w:tcW w:w="857"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March 31, 2025, the Company granted options with a weighted-average grant-date fair value of $41.40. No options were granted during the three months ended March 31, 2024. As of March 31, 2025, the total unrecognized stock-based compensation expense for stock options was $26.1 million, which is expected to be recognized over a weighted-average period of 3.2 years.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the assumptions used for estimated the fair value of stock options granted under the Black-Scholes-Merton option pricing model: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938"/>
        <w:gridCol w:w="670"/>
        <w:gridCol w:w="3331"/>
      </w:tblGrid>
      <w:tr>
        <w:trPr/>
        <w:tc>
          <w:tcPr>
            <w:tcW w:w="2938" w:type="dxa"/>
            <w:tcBorders/>
            <w:vAlign w:val="center"/>
          </w:tcPr>
          <w:p>
            <w:pPr>
              <w:pStyle w:val="TableContents"/>
              <w:bidi w:val="0"/>
              <w:spacing w:before="0" w:after="283"/>
              <w:jc w:val="left"/>
              <w:rPr>
                <w:sz w:val="4"/>
                <w:szCs w:val="4"/>
              </w:rPr>
            </w:pPr>
            <w:r>
              <w:rPr>
                <w:sz w:val="4"/>
                <w:szCs w:val="4"/>
              </w:rPr>
            </w:r>
          </w:p>
        </w:tc>
        <w:tc>
          <w:tcPr>
            <w:tcW w:w="670" w:type="dxa"/>
            <w:tcBorders/>
            <w:vAlign w:val="bottom"/>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938" w:type="dxa"/>
            <w:tcBorders/>
            <w:vAlign w:val="bottom"/>
          </w:tcPr>
          <w:p>
            <w:pPr>
              <w:pStyle w:val="TableContents"/>
              <w:bidi w:val="0"/>
              <w:spacing w:before="0" w:after="283"/>
              <w:jc w:val="left"/>
              <w:rPr/>
            </w:pPr>
            <w:r>
              <w:rPr/>
              <w:t> </w:t>
            </w:r>
          </w:p>
        </w:tc>
        <w:tc>
          <w:tcPr>
            <w:tcW w:w="670" w:type="dxa"/>
            <w:tcBorders/>
            <w:vAlign w:val="bottom"/>
          </w:tcPr>
          <w:p>
            <w:pPr>
              <w:pStyle w:val="TableContents"/>
              <w:bidi w:val="0"/>
              <w:spacing w:before="0" w:after="283"/>
              <w:jc w:val="left"/>
              <w:rPr/>
            </w:pPr>
            <w:r>
              <w:rPr/>
              <w:t>  </w:t>
            </w:r>
          </w:p>
        </w:tc>
        <w:tc>
          <w:tcPr>
            <w:tcW w:w="3331" w:type="dxa"/>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br/>
              <w:t>2025</w:t>
            </w:r>
          </w:p>
        </w:tc>
      </w:tr>
      <w:tr>
        <w:trPr/>
        <w:tc>
          <w:tcPr>
            <w:tcW w:w="2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Fair value per share of underlying common stock</w:t>
            </w:r>
          </w:p>
        </w:tc>
        <w:tc>
          <w:tcPr>
            <w:tcW w:w="670" w:type="dxa"/>
            <w:tcBorders/>
            <w:shd w:fill="CCEEFF" w:val="clear"/>
            <w:vAlign w:val="bottom"/>
          </w:tcPr>
          <w:p>
            <w:pPr>
              <w:pStyle w:val="TableContents"/>
              <w:bidi w:val="0"/>
              <w:spacing w:before="0" w:after="283"/>
              <w:jc w:val="left"/>
              <w:rPr/>
            </w:pPr>
            <w:r>
              <w:rPr/>
              <w:t>  </w:t>
            </w:r>
          </w:p>
        </w:tc>
        <w:tc>
          <w:tcPr>
            <w:tcW w:w="3331" w:type="dxa"/>
            <w:tcBorders/>
            <w:shd w:fill="CCEEFF" w:val="clear"/>
            <w:vAlign w:val="bottom"/>
          </w:tcPr>
          <w:p>
            <w:pPr>
              <w:pStyle w:val="TableContents"/>
              <w:bidi w:val="0"/>
              <w:spacing w:before="0" w:after="283"/>
              <w:jc w:val="center"/>
              <w:rPr/>
            </w:pPr>
            <w:r>
              <w:rPr/>
              <w:t>$23.13 - $48.01</w:t>
            </w:r>
          </w:p>
        </w:tc>
      </w:tr>
      <w:tr>
        <w:trPr/>
        <w:tc>
          <w:tcPr>
            <w:tcW w:w="2938" w:type="dxa"/>
            <w:tcBorders/>
          </w:tcPr>
          <w:p>
            <w:pPr>
              <w:pStyle w:val="TableContents"/>
              <w:bidi w:val="0"/>
              <w:spacing w:before="0" w:after="0"/>
              <w:jc w:val="left"/>
              <w:rPr>
                <w:rFonts w:ascii="Times New Roman" w:hAnsi="Times New Roman"/>
                <w:sz w:val="20"/>
              </w:rPr>
            </w:pPr>
            <w:r>
              <w:rPr>
                <w:rFonts w:ascii="Times New Roman" w:hAnsi="Times New Roman"/>
                <w:sz w:val="20"/>
              </w:rPr>
              <w:t>Expected term (in years)</w:t>
            </w:r>
          </w:p>
        </w:tc>
        <w:tc>
          <w:tcPr>
            <w:tcW w:w="670" w:type="dxa"/>
            <w:tcBorders/>
            <w:vAlign w:val="bottom"/>
          </w:tcPr>
          <w:p>
            <w:pPr>
              <w:pStyle w:val="TableContents"/>
              <w:bidi w:val="0"/>
              <w:spacing w:before="0" w:after="283"/>
              <w:jc w:val="left"/>
              <w:rPr/>
            </w:pPr>
            <w:r>
              <w:rPr/>
              <w:t>  </w:t>
            </w:r>
          </w:p>
        </w:tc>
        <w:tc>
          <w:tcPr>
            <w:tcW w:w="3331" w:type="dxa"/>
            <w:tcBorders/>
            <w:vAlign w:val="bottom"/>
          </w:tcPr>
          <w:p>
            <w:pPr>
              <w:pStyle w:val="TableContents"/>
              <w:bidi w:val="0"/>
              <w:spacing w:before="0" w:after="283"/>
              <w:jc w:val="center"/>
              <w:rPr/>
            </w:pPr>
            <w:r>
              <w:rPr/>
              <w:t>6.25</w:t>
            </w:r>
          </w:p>
        </w:tc>
      </w:tr>
      <w:tr>
        <w:trPr/>
        <w:tc>
          <w:tcPr>
            <w:tcW w:w="2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670" w:type="dxa"/>
            <w:tcBorders/>
            <w:shd w:fill="CCEEFF" w:val="clear"/>
            <w:vAlign w:val="bottom"/>
          </w:tcPr>
          <w:p>
            <w:pPr>
              <w:pStyle w:val="TableContents"/>
              <w:bidi w:val="0"/>
              <w:spacing w:before="0" w:after="283"/>
              <w:jc w:val="left"/>
              <w:rPr/>
            </w:pPr>
            <w:r>
              <w:rPr/>
              <w:t>  </w:t>
            </w:r>
          </w:p>
        </w:tc>
        <w:tc>
          <w:tcPr>
            <w:tcW w:w="3331" w:type="dxa"/>
            <w:tcBorders/>
            <w:shd w:fill="CCEEFF" w:val="clear"/>
            <w:vAlign w:val="bottom"/>
          </w:tcPr>
          <w:p>
            <w:pPr>
              <w:pStyle w:val="TableContents"/>
              <w:bidi w:val="0"/>
              <w:spacing w:before="0" w:after="283"/>
              <w:jc w:val="center"/>
              <w:rPr/>
            </w:pPr>
            <w:r>
              <w:rPr/>
              <w:t>120.9%</w:t>
            </w:r>
          </w:p>
        </w:tc>
      </w:tr>
      <w:tr>
        <w:trPr/>
        <w:tc>
          <w:tcPr>
            <w:tcW w:w="2938" w:type="dxa"/>
            <w:tcBorders/>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670" w:type="dxa"/>
            <w:tcBorders/>
            <w:vAlign w:val="bottom"/>
          </w:tcPr>
          <w:p>
            <w:pPr>
              <w:pStyle w:val="TableContents"/>
              <w:bidi w:val="0"/>
              <w:spacing w:before="0" w:after="283"/>
              <w:jc w:val="left"/>
              <w:rPr/>
            </w:pPr>
            <w:r>
              <w:rPr/>
              <w:t>  </w:t>
            </w:r>
          </w:p>
        </w:tc>
        <w:tc>
          <w:tcPr>
            <w:tcW w:w="3331" w:type="dxa"/>
            <w:tcBorders/>
            <w:vAlign w:val="bottom"/>
          </w:tcPr>
          <w:p>
            <w:pPr>
              <w:pStyle w:val="TableContents"/>
              <w:bidi w:val="0"/>
              <w:spacing w:before="0" w:after="283"/>
              <w:jc w:val="center"/>
              <w:rPr/>
            </w:pPr>
            <w:r>
              <w:rPr/>
              <w:t>4.06% -4.43%</w:t>
            </w:r>
          </w:p>
        </w:tc>
      </w:tr>
      <w:tr>
        <w:trPr/>
        <w:tc>
          <w:tcPr>
            <w:tcW w:w="2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670" w:type="dxa"/>
            <w:tcBorders/>
            <w:shd w:fill="CCEEFF" w:val="clear"/>
            <w:vAlign w:val="bottom"/>
          </w:tcPr>
          <w:p>
            <w:pPr>
              <w:pStyle w:val="TableContents"/>
              <w:bidi w:val="0"/>
              <w:spacing w:before="0" w:after="283"/>
              <w:jc w:val="left"/>
              <w:rPr/>
            </w:pPr>
            <w:r>
              <w:rPr/>
              <w:t>  </w:t>
            </w:r>
          </w:p>
        </w:tc>
        <w:tc>
          <w:tcPr>
            <w:tcW w:w="3331" w:type="dxa"/>
            <w:tcBorders/>
            <w:shd w:fill="CCEEFF" w:val="clear"/>
            <w:vAlign w:val="bottom"/>
          </w:tcPr>
          <w:p>
            <w:pPr>
              <w:pStyle w:val="TableContents"/>
              <w:bidi w:val="0"/>
              <w:spacing w:before="0" w:after="283"/>
              <w:jc w:val="center"/>
              <w:rPr/>
            </w:pPr>
            <w:r>
              <w:rPr/>
              <w:t>0%</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Restricted stock units (RSUs) are granted to certain employees. The value of an RSU award is based on the Companys stock price on the date of the grant. The shares underlying the RSUs are not issued until the RSUs vest. Activity with respect to the Companys restricted stock units during the three months ended March 31, 2025 was as follows (in thousands, except share, contractual term, and per share data):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600" w:type="pct"/>
        <w:jc w:val="center"/>
        <w:tblInd w:w="0" w:type="dxa"/>
        <w:tblLayout w:type="fixed"/>
        <w:tblCellMar>
          <w:top w:w="0" w:type="dxa"/>
          <w:left w:w="0" w:type="dxa"/>
          <w:bottom w:w="0" w:type="dxa"/>
          <w:right w:w="0" w:type="dxa"/>
        </w:tblCellMar>
      </w:tblPr>
      <w:tblGrid>
        <w:gridCol w:w="2756"/>
        <w:gridCol w:w="292"/>
        <w:gridCol w:w="89"/>
        <w:gridCol w:w="1198"/>
        <w:gridCol w:w="60"/>
        <w:gridCol w:w="292"/>
        <w:gridCol w:w="304"/>
        <w:gridCol w:w="1221"/>
        <w:gridCol w:w="60"/>
        <w:gridCol w:w="292"/>
        <w:gridCol w:w="209"/>
        <w:gridCol w:w="1128"/>
        <w:gridCol w:w="60"/>
        <w:gridCol w:w="292"/>
        <w:gridCol w:w="214"/>
        <w:gridCol w:w="856"/>
        <w:gridCol w:w="65"/>
      </w:tblGrid>
      <w:tr>
        <w:trPr/>
        <w:tc>
          <w:tcPr>
            <w:tcW w:w="2756"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756"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27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Outstanding RSUs</w:t>
            </w:r>
          </w:p>
        </w:tc>
        <w:tc>
          <w:tcPr>
            <w:tcW w:w="65" w:type="dxa"/>
            <w:tcBorders/>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2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br/>
              <w:t>Underlying</w:t>
              <w:br/>
              <w:t>Outstanding</w:t>
              <w:br/>
              <w:t>Units</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Grant Date</w:t>
              <w:br/>
              <w:t>Fair Value per</w:t>
              <w:br/>
              <w:t>Unit</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(Years)</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w:t>
            </w:r>
          </w:p>
        </w:tc>
        <w:tc>
          <w:tcPr>
            <w:tcW w:w="65" w:type="dxa"/>
            <w:tcBorders/>
            <w:vAlign w:val="bottom"/>
          </w:tcPr>
          <w:p>
            <w:pPr>
              <w:pStyle w:val="TableContents"/>
              <w:bidi w:val="0"/>
              <w:spacing w:before="0" w:after="283"/>
              <w:jc w:val="left"/>
              <w:rPr/>
            </w:pPr>
            <w:r>
              <w:rPr/>
              <w:t> </w:t>
            </w:r>
          </w:p>
        </w:tc>
      </w:tr>
      <w:tr>
        <w:trPr/>
        <w:tc>
          <w:tcPr>
            <w:tcW w:w="2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January 1, 2025</w:t>
            </w:r>
          </w:p>
        </w:tc>
        <w:tc>
          <w:tcPr>
            <w:tcW w:w="292"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25,612</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44.90</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1.9</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1,183</w:t>
            </w:r>
          </w:p>
        </w:tc>
        <w:tc>
          <w:tcPr>
            <w:tcW w:w="65" w:type="dxa"/>
            <w:tcBorders/>
            <w:shd w:fill="CCEEFF" w:val="clear"/>
            <w:vAlign w:val="bottom"/>
          </w:tcPr>
          <w:p>
            <w:pPr>
              <w:pStyle w:val="TableContents"/>
              <w:bidi w:val="0"/>
              <w:spacing w:before="0" w:after="283"/>
              <w:jc w:val="left"/>
              <w:rPr/>
            </w:pPr>
            <w:r>
              <w:rPr/>
              <w:t> </w:t>
            </w:r>
          </w:p>
        </w:tc>
      </w:tr>
      <w:tr>
        <w:trPr/>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units granted</w:t>
            </w:r>
          </w:p>
        </w:tc>
        <w:tc>
          <w:tcPr>
            <w:tcW w:w="292"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156,375</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47.77</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56"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1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7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March 31, 2025</w:t>
            </w:r>
          </w:p>
        </w:tc>
        <w:tc>
          <w:tcPr>
            <w:tcW w:w="292"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181,987</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pPr>
            <w:r>
              <w:rPr/>
              <w:t>$</w:t>
            </w:r>
          </w:p>
        </w:tc>
        <w:tc>
          <w:tcPr>
            <w:tcW w:w="1221" w:type="dxa"/>
            <w:tcBorders/>
            <w:shd w:fill="CCEEFF" w:val="clear"/>
            <w:vAlign w:val="bottom"/>
          </w:tcPr>
          <w:p>
            <w:pPr>
              <w:pStyle w:val="TableContents"/>
              <w:bidi w:val="0"/>
              <w:spacing w:before="0" w:after="283"/>
              <w:jc w:val="right"/>
              <w:rPr/>
            </w:pPr>
            <w:r>
              <w:rPr/>
              <w:t>47.37</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1.8</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56" w:type="dxa"/>
            <w:tcBorders/>
            <w:shd w:fill="CCEEFF" w:val="clear"/>
            <w:vAlign w:val="bottom"/>
          </w:tcPr>
          <w:p>
            <w:pPr>
              <w:pStyle w:val="TableContents"/>
              <w:bidi w:val="0"/>
              <w:spacing w:before="0" w:after="283"/>
              <w:jc w:val="right"/>
              <w:rPr/>
            </w:pPr>
            <w:r>
              <w:rPr/>
              <w:t>3,223</w:t>
            </w:r>
          </w:p>
        </w:tc>
        <w:tc>
          <w:tcPr>
            <w:tcW w:w="65" w:type="dxa"/>
            <w:tcBorders/>
            <w:shd w:fill="CCEEFF" w:val="clear"/>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1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756" w:type="dxa"/>
            <w:tcBorders/>
          </w:tcPr>
          <w:p>
            <w:pPr>
              <w:pStyle w:val="TableContents"/>
              <w:bidi w:val="0"/>
              <w:spacing w:before="0" w:after="0"/>
              <w:jc w:val="left"/>
              <w:rPr>
                <w:rFonts w:ascii="Times New Roman" w:hAnsi="Times New Roman"/>
                <w:sz w:val="20"/>
              </w:rPr>
            </w:pPr>
            <w:r>
              <w:rPr>
                <w:rFonts w:ascii="Times New Roman" w:hAnsi="Times New Roman"/>
                <w:sz w:val="20"/>
              </w:rPr>
              <w:t>Unvested and expected to vest as of March 31, 2025</w:t>
            </w:r>
          </w:p>
        </w:tc>
        <w:tc>
          <w:tcPr>
            <w:tcW w:w="292"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181,987</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w:t>
            </w:r>
          </w:p>
        </w:tc>
        <w:tc>
          <w:tcPr>
            <w:tcW w:w="1221" w:type="dxa"/>
            <w:tcBorders/>
            <w:vAlign w:val="bottom"/>
          </w:tcPr>
          <w:p>
            <w:pPr>
              <w:pStyle w:val="TableContents"/>
              <w:bidi w:val="0"/>
              <w:spacing w:before="0" w:after="283"/>
              <w:jc w:val="right"/>
              <w:rPr/>
            </w:pPr>
            <w:r>
              <w:rPr/>
              <w:t>47.37</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56" w:type="dxa"/>
            <w:tcBorders/>
            <w:vAlign w:val="bottom"/>
          </w:tcPr>
          <w:p>
            <w:pPr>
              <w:pStyle w:val="TableContents"/>
              <w:bidi w:val="0"/>
              <w:spacing w:before="0" w:after="283"/>
              <w:jc w:val="right"/>
              <w:rPr/>
            </w:pPr>
            <w:r>
              <w:rPr/>
              <w:t>3,223</w:t>
            </w:r>
          </w:p>
        </w:tc>
        <w:tc>
          <w:tcPr>
            <w:tcW w:w="65" w:type="dxa"/>
            <w:tcBorders/>
            <w:vAlign w:val="bottom"/>
          </w:tcPr>
          <w:p>
            <w:pPr>
              <w:pStyle w:val="TableContents"/>
              <w:bidi w:val="0"/>
              <w:spacing w:before="0" w:after="283"/>
              <w:jc w:val="left"/>
              <w:rPr/>
            </w:pPr>
            <w:r>
              <w:rPr/>
              <w:t> </w:t>
            </w:r>
          </w:p>
        </w:tc>
      </w:tr>
      <w:tr>
        <w:trPr/>
        <w:tc>
          <w:tcPr>
            <w:tcW w:w="2756"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1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85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March 31, 2025, the total unrecognized stock-based compensation expense for RSUs was $8.1 million, which is expected to be recognized over a weighted average period of 2.9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Expense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recorded stock-based compensation expense relating to its employees and non-employee directors is as follows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08"/>
        <w:gridCol w:w="292"/>
        <w:gridCol w:w="221"/>
        <w:gridCol w:w="897"/>
        <w:gridCol w:w="94"/>
        <w:gridCol w:w="351"/>
        <w:gridCol w:w="221"/>
        <w:gridCol w:w="608"/>
        <w:gridCol w:w="63"/>
      </w:tblGrid>
      <w:tr>
        <w:trPr/>
        <w:tc>
          <w:tcPr>
            <w:tcW w:w="5008"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08"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3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63" w:type="dxa"/>
            <w:tcBorders/>
            <w:vAlign w:val="bottom"/>
          </w:tcPr>
          <w:p>
            <w:pPr>
              <w:pStyle w:val="TableContents"/>
              <w:bidi w:val="0"/>
              <w:spacing w:before="0" w:after="283"/>
              <w:jc w:val="left"/>
              <w:rPr/>
            </w:pPr>
            <w:r>
              <w:rPr/>
              <w:t> </w:t>
            </w:r>
          </w:p>
        </w:tc>
      </w:tr>
      <w:tr>
        <w:trPr/>
        <w:tc>
          <w:tcPr>
            <w:tcW w:w="5008"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94"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5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9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1,183</w:t>
            </w:r>
          </w:p>
        </w:tc>
        <w:tc>
          <w:tcPr>
            <w:tcW w:w="94"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608" w:type="dxa"/>
            <w:tcBorders/>
            <w:shd w:fill="CCEEFF" w:val="clear"/>
            <w:vAlign w:val="bottom"/>
          </w:tcPr>
          <w:p>
            <w:pPr>
              <w:pStyle w:val="TableContents"/>
              <w:bidi w:val="0"/>
              <w:spacing w:before="0" w:after="283"/>
              <w:jc w:val="right"/>
              <w:rPr/>
            </w:pPr>
            <w:r>
              <w:rPr/>
              <w:t>193</w:t>
            </w:r>
          </w:p>
        </w:tc>
        <w:tc>
          <w:tcPr>
            <w:tcW w:w="63" w:type="dxa"/>
            <w:tcBorders/>
            <w:shd w:fill="CCEEFF" w:val="clear"/>
            <w:vAlign w:val="bottom"/>
          </w:tcPr>
          <w:p>
            <w:pPr>
              <w:pStyle w:val="TableContents"/>
              <w:bidi w:val="0"/>
              <w:spacing w:before="0" w:after="283"/>
              <w:jc w:val="left"/>
              <w:rPr/>
            </w:pPr>
            <w:r>
              <w:rPr/>
              <w:t> </w:t>
            </w:r>
          </w:p>
        </w:tc>
      </w:tr>
      <w:tr>
        <w:trPr/>
        <w:tc>
          <w:tcPr>
            <w:tcW w:w="500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9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897" w:type="dxa"/>
            <w:tcBorders/>
            <w:vAlign w:val="bottom"/>
          </w:tcPr>
          <w:p>
            <w:pPr>
              <w:pStyle w:val="TableContents"/>
              <w:bidi w:val="0"/>
              <w:spacing w:before="0" w:after="283"/>
              <w:jc w:val="right"/>
              <w:rPr/>
            </w:pPr>
            <w:r>
              <w:rPr/>
              <w:t>920</w:t>
            </w:r>
          </w:p>
        </w:tc>
        <w:tc>
          <w:tcPr>
            <w:tcW w:w="94"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right"/>
              <w:rPr/>
            </w:pPr>
            <w:r>
              <w:rPr/>
              <w:t>128</w:t>
            </w:r>
          </w:p>
        </w:tc>
        <w:tc>
          <w:tcPr>
            <w:tcW w:w="63" w:type="dxa"/>
            <w:tcBorders/>
            <w:vAlign w:val="bottom"/>
          </w:tcPr>
          <w:p>
            <w:pPr>
              <w:pStyle w:val="TableContents"/>
              <w:bidi w:val="0"/>
              <w:spacing w:before="0" w:after="283"/>
              <w:jc w:val="left"/>
              <w:rPr/>
            </w:pPr>
            <w:r>
              <w:rPr/>
              <w:t> </w:t>
            </w:r>
          </w:p>
        </w:tc>
      </w:tr>
      <w:tr>
        <w:trPr/>
        <w:tc>
          <w:tcPr>
            <w:tcW w:w="5008"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897" w:type="dxa"/>
            <w:tcBorders/>
            <w:vAlign w:val="bottom"/>
          </w:tcPr>
          <w:p>
            <w:pPr>
              <w:pStyle w:val="TableContents"/>
              <w:pBdr>
                <w:top w:val="single" w:sz="2"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60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0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w:t>
            </w:r>
          </w:p>
        </w:tc>
        <w:tc>
          <w:tcPr>
            <w:tcW w:w="292"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897" w:type="dxa"/>
            <w:tcBorders/>
            <w:shd w:fill="CCEEFF" w:val="clear"/>
            <w:vAlign w:val="bottom"/>
          </w:tcPr>
          <w:p>
            <w:pPr>
              <w:pStyle w:val="TableContents"/>
              <w:bidi w:val="0"/>
              <w:spacing w:before="0" w:after="283"/>
              <w:jc w:val="right"/>
              <w:rPr/>
            </w:pPr>
            <w:r>
              <w:rPr/>
              <w:t>2,103</w:t>
            </w:r>
          </w:p>
        </w:tc>
        <w:tc>
          <w:tcPr>
            <w:tcW w:w="94"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608" w:type="dxa"/>
            <w:tcBorders/>
            <w:shd w:fill="CCEEFF" w:val="clear"/>
            <w:vAlign w:val="bottom"/>
          </w:tcPr>
          <w:p>
            <w:pPr>
              <w:pStyle w:val="TableContents"/>
              <w:bidi w:val="0"/>
              <w:spacing w:before="0" w:after="283"/>
              <w:jc w:val="right"/>
              <w:rPr/>
            </w:pPr>
            <w:r>
              <w:rPr/>
              <w:t>321</w:t>
            </w:r>
          </w:p>
        </w:tc>
        <w:tc>
          <w:tcPr>
            <w:tcW w:w="63" w:type="dxa"/>
            <w:tcBorders/>
            <w:shd w:fill="CCEEFF" w:val="clear"/>
            <w:vAlign w:val="bottom"/>
          </w:tcPr>
          <w:p>
            <w:pPr>
              <w:pStyle w:val="TableContents"/>
              <w:bidi w:val="0"/>
              <w:spacing w:before="0" w:after="283"/>
              <w:jc w:val="left"/>
              <w:rPr/>
            </w:pPr>
            <w:r>
              <w:rPr/>
              <w:t> </w:t>
            </w:r>
          </w:p>
        </w:tc>
      </w:tr>
      <w:tr>
        <w:trPr/>
        <w:tc>
          <w:tcPr>
            <w:tcW w:w="5008"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897" w:type="dxa"/>
            <w:tcBorders/>
            <w:vAlign w:val="bottom"/>
          </w:tcPr>
          <w:p>
            <w:pPr>
              <w:pStyle w:val="TableContents"/>
              <w:pBdr>
                <w:top w:val="double" w:sz="6" w:space="1" w:color="000000"/>
              </w:pBdr>
              <w:bidi w:val="0"/>
              <w:spacing w:before="0" w:after="0"/>
              <w:jc w:val="left"/>
              <w:rPr/>
            </w:pPr>
            <w:r>
              <w:rPr/>
              <w:t> </w:t>
            </w:r>
          </w:p>
        </w:tc>
        <w:tc>
          <w:tcPr>
            <w:tcW w:w="94"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60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records compensation expense for options with service based vesting conditions on a straight-line basis over the vesting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NET LOSS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Basic and diluted net loss per share attributable to common stockholders was calculated as follows (in thousands, except share and per share amounts):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14"/>
        <w:gridCol w:w="394"/>
        <w:gridCol w:w="140"/>
        <w:gridCol w:w="1100"/>
        <w:gridCol w:w="155"/>
        <w:gridCol w:w="351"/>
        <w:gridCol w:w="140"/>
        <w:gridCol w:w="1003"/>
        <w:gridCol w:w="158"/>
      </w:tblGrid>
      <w:tr>
        <w:trPr/>
        <w:tc>
          <w:tcPr>
            <w:tcW w:w="4314"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14"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288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8" w:type="dxa"/>
            <w:tcBorders/>
            <w:vAlign w:val="bottom"/>
          </w:tcPr>
          <w:p>
            <w:pPr>
              <w:pStyle w:val="TableContents"/>
              <w:bidi w:val="0"/>
              <w:spacing w:before="0" w:after="283"/>
              <w:jc w:val="left"/>
              <w:rPr/>
            </w:pPr>
            <w:r>
              <w:rPr/>
              <w:t> </w:t>
            </w:r>
          </w:p>
        </w:tc>
      </w:tr>
      <w:tr>
        <w:trPr/>
        <w:tc>
          <w:tcPr>
            <w:tcW w:w="4314"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8" w:type="dxa"/>
            <w:tcBorders/>
            <w:vAlign w:val="bottom"/>
          </w:tcPr>
          <w:p>
            <w:pPr>
              <w:pStyle w:val="TableContents"/>
              <w:bidi w:val="0"/>
              <w:spacing w:before="0" w:after="283"/>
              <w:jc w:val="left"/>
              <w:rPr/>
            </w:pPr>
            <w:r>
              <w:rPr/>
              <w:t> </w:t>
            </w:r>
          </w:p>
        </w:tc>
      </w:tr>
      <w:tr>
        <w:trPr/>
        <w:tc>
          <w:tcPr>
            <w:tcW w:w="4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Numerator:</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314"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(15,906</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(15,221</w:t>
            </w:r>
          </w:p>
        </w:tc>
        <w:tc>
          <w:tcPr>
            <w:tcW w:w="158" w:type="dxa"/>
            <w:tcBorders/>
            <w:vAlign w:val="bottom"/>
          </w:tcPr>
          <w:p>
            <w:pPr>
              <w:pStyle w:val="TableContents"/>
              <w:bidi w:val="0"/>
              <w:spacing w:before="0" w:after="283"/>
              <w:jc w:val="left"/>
              <w:rPr/>
            </w:pPr>
            <w:r>
              <w:rPr/>
              <w:t>) </w:t>
            </w:r>
          </w:p>
        </w:tc>
      </w:tr>
      <w:tr>
        <w:trPr/>
        <w:tc>
          <w:tcPr>
            <w:tcW w:w="4314"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Denominator:</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314"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common shares outstanding, basic and diluted</w:t>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17,157,661</w:t>
            </w:r>
          </w:p>
        </w:tc>
        <w:tc>
          <w:tcPr>
            <w:tcW w:w="155" w:type="dxa"/>
            <w:tcBorders/>
            <w:vAlign w:val="bottom"/>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03" w:type="dxa"/>
            <w:tcBorders/>
            <w:vAlign w:val="bottom"/>
          </w:tcPr>
          <w:p>
            <w:pPr>
              <w:pStyle w:val="TableContents"/>
              <w:bidi w:val="0"/>
              <w:spacing w:before="0" w:after="283"/>
              <w:jc w:val="right"/>
              <w:rPr/>
            </w:pPr>
            <w:r>
              <w:rPr/>
              <w:t>1,387,303</w:t>
            </w:r>
          </w:p>
        </w:tc>
        <w:tc>
          <w:tcPr>
            <w:tcW w:w="158" w:type="dxa"/>
            <w:tcBorders/>
            <w:vAlign w:val="bottom"/>
          </w:tcPr>
          <w:p>
            <w:pPr>
              <w:pStyle w:val="TableContents"/>
              <w:bidi w:val="0"/>
              <w:spacing w:before="0" w:after="283"/>
              <w:jc w:val="left"/>
              <w:rPr/>
            </w:pPr>
            <w:r>
              <w:rPr/>
              <w:t> </w:t>
            </w:r>
          </w:p>
        </w:tc>
      </w:tr>
      <w:tr>
        <w:trPr/>
        <w:tc>
          <w:tcPr>
            <w:tcW w:w="4314"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3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3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(0.93</w:t>
            </w:r>
          </w:p>
        </w:tc>
        <w:tc>
          <w:tcPr>
            <w:tcW w:w="155" w:type="dxa"/>
            <w:tcBorders/>
            <w:shd w:fill="CCEEFF" w:val="clear"/>
            <w:vAlign w:val="bottom"/>
          </w:tcPr>
          <w:p>
            <w:pPr>
              <w:pStyle w:val="TableContents"/>
              <w:bidi w:val="0"/>
              <w:spacing w:before="0" w:after="283"/>
              <w:jc w:val="left"/>
              <w:rPr/>
            </w:pPr>
            <w:r>
              <w:rPr/>
              <w:t>) </w:t>
            </w:r>
          </w:p>
        </w:tc>
        <w:tc>
          <w:tcPr>
            <w:tcW w:w="35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03" w:type="dxa"/>
            <w:tcBorders/>
            <w:shd w:fill="CCEEFF" w:val="clear"/>
            <w:vAlign w:val="bottom"/>
          </w:tcPr>
          <w:p>
            <w:pPr>
              <w:pStyle w:val="TableContents"/>
              <w:bidi w:val="0"/>
              <w:spacing w:before="0" w:after="283"/>
              <w:jc w:val="right"/>
              <w:rPr/>
            </w:pPr>
            <w:r>
              <w:rPr/>
              <w:t>(10.97</w:t>
            </w:r>
          </w:p>
        </w:tc>
        <w:tc>
          <w:tcPr>
            <w:tcW w:w="158" w:type="dxa"/>
            <w:tcBorders/>
            <w:shd w:fill="CCEEFF" w:val="clear"/>
            <w:vAlign w:val="bottom"/>
          </w:tcPr>
          <w:p>
            <w:pPr>
              <w:pStyle w:val="TableContents"/>
              <w:bidi w:val="0"/>
              <w:spacing w:before="0" w:after="283"/>
              <w:jc w:val="left"/>
              <w:rPr/>
            </w:pPr>
            <w:r>
              <w:rPr/>
              <w:t>) </w:t>
            </w:r>
          </w:p>
        </w:tc>
      </w:tr>
      <w:tr>
        <w:trPr/>
        <w:tc>
          <w:tcPr>
            <w:tcW w:w="4314"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5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0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shares of potentially diluted securities were excluded from the computation of diluted net loss per share attributable to common stockholders for the periods presented because including them would have been anti-dilutive: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87"/>
        <w:gridCol w:w="182"/>
        <w:gridCol w:w="60"/>
        <w:gridCol w:w="980"/>
        <w:gridCol w:w="60"/>
        <w:gridCol w:w="182"/>
        <w:gridCol w:w="60"/>
        <w:gridCol w:w="980"/>
        <w:gridCol w:w="64"/>
      </w:tblGrid>
      <w:tr>
        <w:trPr/>
        <w:tc>
          <w:tcPr>
            <w:tcW w:w="5187"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8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23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March 31,</w:t>
            </w:r>
          </w:p>
        </w:tc>
        <w:tc>
          <w:tcPr>
            <w:tcW w:w="64" w:type="dxa"/>
            <w:tcBorders/>
            <w:vAlign w:val="bottom"/>
          </w:tcPr>
          <w:p>
            <w:pPr>
              <w:pStyle w:val="TableContents"/>
              <w:bidi w:val="0"/>
              <w:spacing w:before="0" w:after="283"/>
              <w:jc w:val="left"/>
              <w:rPr/>
            </w:pPr>
            <w:r>
              <w:rPr/>
              <w:t> </w:t>
            </w:r>
          </w:p>
        </w:tc>
      </w:tr>
      <w:tr>
        <w:trPr/>
        <w:tc>
          <w:tcPr>
            <w:tcW w:w="5187"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51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Convertible preferred stock (as converted to common stock)</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3,647,675</w:t>
            </w:r>
          </w:p>
        </w:tc>
        <w:tc>
          <w:tcPr>
            <w:tcW w:w="64" w:type="dxa"/>
            <w:tcBorders/>
            <w:shd w:fill="CCEEFF" w:val="clear"/>
            <w:vAlign w:val="bottom"/>
          </w:tcPr>
          <w:p>
            <w:pPr>
              <w:pStyle w:val="TableContents"/>
              <w:bidi w:val="0"/>
              <w:spacing w:before="0" w:after="283"/>
              <w:jc w:val="left"/>
              <w:rPr/>
            </w:pPr>
            <w:r>
              <w:rPr/>
              <w:t> </w:t>
            </w:r>
          </w:p>
        </w:tc>
      </w:tr>
      <w:tr>
        <w:trPr/>
        <w:tc>
          <w:tcPr>
            <w:tcW w:w="5187" w:type="dxa"/>
            <w:tcBorders/>
          </w:tcPr>
          <w:p>
            <w:pPr>
              <w:pStyle w:val="TableContents"/>
              <w:bidi w:val="0"/>
              <w:spacing w:before="0" w:after="0"/>
              <w:jc w:val="left"/>
              <w:rPr>
                <w:rFonts w:ascii="Times New Roman" w:hAnsi="Times New Roman"/>
                <w:sz w:val="20"/>
              </w:rPr>
            </w:pPr>
            <w:r>
              <w:rPr>
                <w:rFonts w:ascii="Times New Roman" w:hAnsi="Times New Roman"/>
                <w:sz w:val="20"/>
              </w:rPr>
              <w:t>Options to purchase common stock</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1,823,123</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990,547</w:t>
            </w:r>
          </w:p>
        </w:tc>
        <w:tc>
          <w:tcPr>
            <w:tcW w:w="64" w:type="dxa"/>
            <w:tcBorders/>
            <w:vAlign w:val="bottom"/>
          </w:tcPr>
          <w:p>
            <w:pPr>
              <w:pStyle w:val="TableContents"/>
              <w:bidi w:val="0"/>
              <w:spacing w:before="0" w:after="283"/>
              <w:jc w:val="left"/>
              <w:rPr/>
            </w:pPr>
            <w:r>
              <w:rPr/>
              <w:t> </w:t>
            </w:r>
          </w:p>
        </w:tc>
      </w:tr>
      <w:tr>
        <w:trPr/>
        <w:tc>
          <w:tcPr>
            <w:tcW w:w="51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Unvested restricted stock units and common stock</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181,987</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11,524</w:t>
            </w:r>
          </w:p>
        </w:tc>
        <w:tc>
          <w:tcPr>
            <w:tcW w:w="64" w:type="dxa"/>
            <w:tcBorders/>
            <w:shd w:fill="CCEEFF" w:val="clear"/>
            <w:vAlign w:val="bottom"/>
          </w:tcPr>
          <w:p>
            <w:pPr>
              <w:pStyle w:val="TableContents"/>
              <w:bidi w:val="0"/>
              <w:spacing w:before="0" w:after="283"/>
              <w:jc w:val="left"/>
              <w:rPr/>
            </w:pPr>
            <w:r>
              <w:rPr/>
              <w:t> </w:t>
            </w:r>
          </w:p>
        </w:tc>
      </w:tr>
      <w:tr>
        <w:trPr/>
        <w:tc>
          <w:tcPr>
            <w:tcW w:w="5187" w:type="dxa"/>
            <w:tcBorders/>
          </w:tcPr>
          <w:p>
            <w:pPr>
              <w:pStyle w:val="TableContents"/>
              <w:bidi w:val="0"/>
              <w:spacing w:before="0" w:after="0"/>
              <w:jc w:val="left"/>
              <w:rPr>
                <w:rFonts w:ascii="Times New Roman" w:hAnsi="Times New Roman"/>
                <w:sz w:val="20"/>
              </w:rPr>
            </w:pPr>
            <w:r>
              <w:rPr>
                <w:rFonts w:ascii="Times New Roman" w:hAnsi="Times New Roman"/>
                <w:sz w:val="20"/>
              </w:rPr>
              <w:t>SAFEs (as converted to common stock)</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1,470,839</w:t>
            </w:r>
          </w:p>
        </w:tc>
        <w:tc>
          <w:tcPr>
            <w:tcW w:w="64" w:type="dxa"/>
            <w:tcBorders/>
            <w:vAlign w:val="bottom"/>
          </w:tcPr>
          <w:p>
            <w:pPr>
              <w:pStyle w:val="TableContents"/>
              <w:bidi w:val="0"/>
              <w:spacing w:before="0" w:after="283"/>
              <w:jc w:val="left"/>
              <w:rPr/>
            </w:pPr>
            <w:r>
              <w:rPr/>
              <w:t> </w:t>
            </w:r>
          </w:p>
        </w:tc>
      </w:tr>
      <w:tr>
        <w:trPr/>
        <w:tc>
          <w:tcPr>
            <w:tcW w:w="518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87" w:type="dxa"/>
            <w:tcBorders/>
            <w:shd w:fill="CCEEFF" w:val="clear"/>
          </w:tcPr>
          <w:p>
            <w:pPr>
              <w:pStyle w:val="TableContents"/>
              <w:bidi w:val="0"/>
              <w:spacing w:before="0" w:after="283"/>
              <w:jc w:val="left"/>
              <w:rPr>
                <w:sz w:val="4"/>
                <w:szCs w:val="4"/>
              </w:rPr>
            </w:pPr>
            <w:r>
              <w:rPr>
                <w:sz w:val="4"/>
                <w:szCs w:val="4"/>
              </w:rPr>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2,005,110</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6,120,585</w:t>
            </w:r>
          </w:p>
        </w:tc>
        <w:tc>
          <w:tcPr>
            <w:tcW w:w="64" w:type="dxa"/>
            <w:tcBorders/>
            <w:shd w:fill="CCEEFF" w:val="clear"/>
            <w:vAlign w:val="bottom"/>
          </w:tcPr>
          <w:p>
            <w:pPr>
              <w:pStyle w:val="TableContents"/>
              <w:bidi w:val="0"/>
              <w:spacing w:before="0" w:after="283"/>
              <w:jc w:val="left"/>
              <w:rPr/>
            </w:pPr>
            <w:r>
              <w:rPr/>
              <w:t> </w:t>
            </w:r>
          </w:p>
        </w:tc>
      </w:tr>
      <w:tr>
        <w:trPr/>
        <w:tc>
          <w:tcPr>
            <w:tcW w:w="5187"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LICENSE AGREEMENTS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Harvard Agreement </w:t>
      </w:r>
    </w:p>
    <w:p>
      <w:pPr>
        <w:pStyle w:val="TextBody"/>
        <w:bidi w:val="0"/>
        <w:spacing w:before="120" w:after="0"/>
        <w:jc w:val="left"/>
        <w:rPr>
          <w:rFonts w:ascii="Times New Roman" w:hAnsi="Times New Roman"/>
          <w:sz w:val="20"/>
        </w:rPr>
      </w:pPr>
      <w:r>
        <w:rPr>
          <w:rFonts w:ascii="Times New Roman" w:hAnsi="Times New Roman"/>
          <w:sz w:val="20"/>
        </w:rPr>
        <w:t xml:space="preserve">In July 2020, Legacy Tectonic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 Agreement) with Harvard to conduct research and development activities using certain materials, technology and patent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The Company paid Harvard a one-time license fee and issued shares of common stock as consideration for the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The Company incurred expense of $0.1 million related to the License Agreement during the each of the three month periods ended March 31, 2025 and 2024. No amounts were due to Harvard related to the License Agreement as of March 31, 2025 and December 31, 2024,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lease obligations including amounts due on leases of certain laboratory equipment and office and laboratory space under the terms of non-cancelable operating and finance leases. The leases expire at various times through 2027. Minimum lease payments as of March 31, 2025 are $2.2 million in 2025, $0.5 million in 2026, and $0.1 million in 2027.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also party to royalty and maintenance based commitments, as described in Note 10, </w:t>
      </w:r>
      <w:r>
        <w:rPr>
          <w:rFonts w:ascii="Times New Roman" w:hAnsi="Times New Roman"/>
          <w:i/>
          <w:sz w:val="20"/>
        </w:rPr>
        <w:t>License Agreements.</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the Company and its designated rights agent entered into a contingent value rights agreement (the CVR Agreement). Pursuant to the CVR Agreement, each holder of AVROBIO common stock immediately prior to the closing received a contractual contingent value right (CVR) subject to and in accordance with the terms and conditions of the CVR Agreement, representing the contractual right to receive a pro rata portion of any net proceeds, if any, resulting from a disposition of certain AVROBIO intellectual property (including a license of AVROBIOs pre-closing assets as defined in the CVR Agreement) after the closing and prior to the 18-month anniversary of the closing, received within a 10-year period following the closing; provided that no contingent payment will be payable to any holder of the CVRs until such time as the then-outstanding and undistributed proceeds exceeds $0.4 million in the aggregate. The Company believes that any receipt of payments resulting from the disposition of AVROBIOs pre-closing assets described in the CVR Agreement are highly susceptible to factors outside the Companys influence that are not expected to be resolved within the timeline outlined in the CVR Agreement, if at all. In particular, these amounts are primarily influenced by the actions and judgments of third parties and the buyers of such assets and are based on the buyers of such assets progressing the specific platform and intellectual property and early stage of research and development programs. If the Company were to record a receivable for such contingent payments, it would also record a corresponding liability. As of March 31, 2025 and December 31, 2024, no receivables or liabilities were recorded on the condensed consolidated balance sheets relating to such contingent payments.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operations, the Company may become involved in various legal proceedings. As of March 31, 2025 and December 31, 2024,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Scientific Advisory Board Member </w:t>
      </w:r>
    </w:p>
    <w:p>
      <w:pPr>
        <w:pStyle w:val="TextBody"/>
        <w:bidi w:val="0"/>
        <w:spacing w:before="120" w:after="0"/>
        <w:jc w:val="left"/>
        <w:rPr>
          <w:rFonts w:ascii="Times New Roman" w:hAnsi="Times New Roman"/>
          <w:sz w:val="20"/>
        </w:rPr>
      </w:pPr>
      <w:r>
        <w:rPr>
          <w:rFonts w:ascii="Times New Roman" w:hAnsi="Times New Roman"/>
          <w:sz w:val="20"/>
        </w:rPr>
        <w:t xml:space="preserve">One of the Companys co-founders and former director is a member of the Companys Scientific Advisory Board (SAB) and meets the criteria of a related party. For each of the three months ended March 31, 2025 and 2024, the Company incurred expense of $0.1 million for advisory services provided. There were no amounts due to this related party as of March 31, 2025 and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Harvard meets the criteria of a related party resulting from the Companys co-founders employment as professors in the Harvard Department of Molecular Pharmacology. Core intellectual property utilized by the Company is licensed from Harvard under the License Agreement described in Note 10, </w:t>
      </w:r>
      <w:r>
        <w:rPr>
          <w:rFonts w:ascii="Times New Roman" w:hAnsi="Times New Roman"/>
          <w:i/>
          <w:sz w:val="20"/>
        </w:rPr>
        <w:t>License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incurred expense of $0.1 million related to the License Agreement during each of the three month periods ended March 31, 2025 and 2024, respectively. No amounts were due to Harvard related to the License Agreement as of March 31, 2025 and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issued shares in connection with the Private Placement at a price of $54.14 per share to accredited individual investors that are either an officer or director of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SEGMENT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operates in one operating segment, and therefore one reportable segment, focused on the discovery and development of therapeutic proteins and antibodies that modulate the activity of GPCRs. The accounting policies of the segment are the same as those described in the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 determination of a single segment is consistent with the consolidated financial information regularly reviewed by the Chief Executive Officer as CODM in evaluating financial performance and deciding how to allocate resources on a consolidated basis. The significant expense categories outlined below align with the segment-level information that is regularly provided to the CODM. When evaluating the Companys financial performance, the CODM reviews one measure of profitability, net loss, and makes decisions using this information. </w:t>
      </w:r>
    </w:p>
    <w:p>
      <w:pPr>
        <w:pStyle w:val="TextBody"/>
        <w:bidi w:val="0"/>
        <w:spacing w:before="120" w:after="0"/>
        <w:jc w:val="left"/>
        <w:rPr>
          <w:rFonts w:ascii="Times New Roman" w:hAnsi="Times New Roman"/>
          <w:sz w:val="20"/>
        </w:rPr>
      </w:pPr>
      <w:r>
        <w:rPr>
          <w:rFonts w:ascii="Times New Roman" w:hAnsi="Times New Roman"/>
          <w:sz w:val="20"/>
        </w:rPr>
        <w:t xml:space="preserve">No segment asset information is provided below as the CODM is focused on how expenses impact ending cash by period and overall cash runway. Any review of segment assets, which would focus on cash and cash equivalents, would be at the same level as the consolidated balance sheet.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segment net loss and significant segment expenses for the three months ended March 31, 2025 and 2024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98"/>
        <w:gridCol w:w="230"/>
        <w:gridCol w:w="250"/>
        <w:gridCol w:w="1220"/>
        <w:gridCol w:w="107"/>
        <w:gridCol w:w="315"/>
        <w:gridCol w:w="250"/>
        <w:gridCol w:w="1222"/>
        <w:gridCol w:w="63"/>
      </w:tblGrid>
      <w:tr>
        <w:trPr/>
        <w:tc>
          <w:tcPr>
            <w:tcW w:w="4098"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09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336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3" w:type="dxa"/>
            <w:tcBorders/>
            <w:vAlign w:val="bottom"/>
          </w:tcPr>
          <w:p>
            <w:pPr>
              <w:pStyle w:val="TableContents"/>
              <w:bidi w:val="0"/>
              <w:spacing w:before="0" w:after="283"/>
              <w:jc w:val="left"/>
              <w:rPr/>
            </w:pPr>
            <w:r>
              <w:rPr/>
              <w:t> </w:t>
            </w:r>
          </w:p>
        </w:tc>
      </w:tr>
      <w:tr>
        <w:trPr/>
        <w:tc>
          <w:tcPr>
            <w:tcW w:w="409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0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3" w:type="dxa"/>
            <w:tcBorders/>
            <w:vAlign w:val="bottom"/>
          </w:tcPr>
          <w:p>
            <w:pPr>
              <w:pStyle w:val="TableContents"/>
              <w:bidi w:val="0"/>
              <w:spacing w:before="0" w:after="283"/>
              <w:jc w:val="left"/>
              <w:rPr/>
            </w:pPr>
            <w:r>
              <w:rPr/>
              <w:t> </w:t>
            </w:r>
          </w:p>
        </w:tc>
      </w:tr>
      <w:tr>
        <w:trPr/>
        <w:tc>
          <w:tcPr>
            <w:tcW w:w="4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Employee-related expenses:</w:t>
            </w:r>
          </w:p>
        </w:tc>
        <w:tc>
          <w:tcPr>
            <w:tcW w:w="23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22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098"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employee-related expenses</w:t>
            </w:r>
          </w:p>
        </w:tc>
        <w:tc>
          <w:tcPr>
            <w:tcW w:w="23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3,164</w:t>
            </w:r>
          </w:p>
        </w:tc>
        <w:tc>
          <w:tcPr>
            <w:tcW w:w="10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3,075</w:t>
            </w:r>
          </w:p>
        </w:tc>
        <w:tc>
          <w:tcPr>
            <w:tcW w:w="63" w:type="dxa"/>
            <w:tcBorders/>
            <w:vAlign w:val="bottom"/>
          </w:tcPr>
          <w:p>
            <w:pPr>
              <w:pStyle w:val="TableContents"/>
              <w:bidi w:val="0"/>
              <w:spacing w:before="0" w:after="283"/>
              <w:jc w:val="left"/>
              <w:rPr/>
            </w:pPr>
            <w:r>
              <w:rPr/>
              <w:t> </w:t>
            </w:r>
          </w:p>
        </w:tc>
      </w:tr>
      <w:tr>
        <w:trPr/>
        <w:tc>
          <w:tcPr>
            <w:tcW w:w="4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 employee-related expenses</w:t>
            </w:r>
          </w:p>
        </w:tc>
        <w:tc>
          <w:tcPr>
            <w:tcW w:w="23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1,337</w:t>
            </w:r>
          </w:p>
        </w:tc>
        <w:tc>
          <w:tcPr>
            <w:tcW w:w="10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1,053</w:t>
            </w:r>
          </w:p>
        </w:tc>
        <w:tc>
          <w:tcPr>
            <w:tcW w:w="63" w:type="dxa"/>
            <w:tcBorders/>
            <w:shd w:fill="CCEEFF" w:val="clear"/>
            <w:vAlign w:val="bottom"/>
          </w:tcPr>
          <w:p>
            <w:pPr>
              <w:pStyle w:val="TableContents"/>
              <w:bidi w:val="0"/>
              <w:spacing w:before="0" w:after="283"/>
              <w:jc w:val="left"/>
              <w:rPr/>
            </w:pPr>
            <w:r>
              <w:rPr/>
              <w:t> </w:t>
            </w:r>
          </w:p>
        </w:tc>
      </w:tr>
      <w:tr>
        <w:trPr/>
        <w:tc>
          <w:tcPr>
            <w:tcW w:w="4098" w:type="dxa"/>
            <w:tcBorders/>
          </w:tcPr>
          <w:p>
            <w:pPr>
              <w:pStyle w:val="TableContents"/>
              <w:bidi w:val="0"/>
              <w:spacing w:before="0" w:after="0"/>
              <w:jc w:val="left"/>
              <w:rPr>
                <w:rFonts w:ascii="Times New Roman" w:hAnsi="Times New Roman"/>
                <w:sz w:val="20"/>
              </w:rPr>
            </w:pPr>
            <w:r>
              <w:rPr>
                <w:rFonts w:ascii="Times New Roman" w:hAnsi="Times New Roman"/>
                <w:sz w:val="20"/>
              </w:rPr>
              <w:t>External research and development expenses:</w:t>
            </w:r>
          </w:p>
        </w:tc>
        <w:tc>
          <w:tcPr>
            <w:tcW w:w="23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22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pre-clinical expenses</w:t>
            </w:r>
          </w:p>
        </w:tc>
        <w:tc>
          <w:tcPr>
            <w:tcW w:w="23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2,707</w:t>
            </w:r>
          </w:p>
        </w:tc>
        <w:tc>
          <w:tcPr>
            <w:tcW w:w="10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2,129</w:t>
            </w:r>
          </w:p>
        </w:tc>
        <w:tc>
          <w:tcPr>
            <w:tcW w:w="63" w:type="dxa"/>
            <w:tcBorders/>
            <w:shd w:fill="CCEEFF" w:val="clear"/>
            <w:vAlign w:val="bottom"/>
          </w:tcPr>
          <w:p>
            <w:pPr>
              <w:pStyle w:val="TableContents"/>
              <w:bidi w:val="0"/>
              <w:spacing w:before="0" w:after="283"/>
              <w:jc w:val="left"/>
              <w:rPr/>
            </w:pPr>
            <w:r>
              <w:rPr/>
              <w:t> </w:t>
            </w:r>
          </w:p>
        </w:tc>
      </w:tr>
      <w:tr>
        <w:trPr/>
        <w:tc>
          <w:tcPr>
            <w:tcW w:w="4098" w:type="dxa"/>
            <w:tcBorders/>
          </w:tcPr>
          <w:p>
            <w:pPr>
              <w:pStyle w:val="TableContents"/>
              <w:bidi w:val="0"/>
              <w:spacing w:before="0" w:after="0"/>
              <w:jc w:val="left"/>
              <w:rPr>
                <w:rFonts w:ascii="Times New Roman" w:hAnsi="Times New Roman"/>
                <w:sz w:val="20"/>
              </w:rPr>
            </w:pPr>
            <w:r>
              <w:rPr>
                <w:rFonts w:ascii="Times New Roman" w:hAnsi="Times New Roman"/>
                <w:sz w:val="20"/>
              </w:rPr>
              <w:t>Clinical and development expenses</w:t>
            </w:r>
          </w:p>
        </w:tc>
        <w:tc>
          <w:tcPr>
            <w:tcW w:w="23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4,404</w:t>
            </w:r>
          </w:p>
        </w:tc>
        <w:tc>
          <w:tcPr>
            <w:tcW w:w="10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4,219</w:t>
            </w:r>
          </w:p>
        </w:tc>
        <w:tc>
          <w:tcPr>
            <w:tcW w:w="63" w:type="dxa"/>
            <w:tcBorders/>
            <w:vAlign w:val="bottom"/>
          </w:tcPr>
          <w:p>
            <w:pPr>
              <w:pStyle w:val="TableContents"/>
              <w:bidi w:val="0"/>
              <w:spacing w:before="0" w:after="283"/>
              <w:jc w:val="left"/>
              <w:rPr/>
            </w:pPr>
            <w:r>
              <w:rPr/>
              <w:t> </w:t>
            </w:r>
          </w:p>
        </w:tc>
      </w:tr>
      <w:tr>
        <w:trPr/>
        <w:tc>
          <w:tcPr>
            <w:tcW w:w="4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Chemistry, manufacturing, and control expenses</w:t>
            </w:r>
          </w:p>
        </w:tc>
        <w:tc>
          <w:tcPr>
            <w:tcW w:w="23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1,484</w:t>
            </w:r>
          </w:p>
        </w:tc>
        <w:tc>
          <w:tcPr>
            <w:tcW w:w="10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894</w:t>
            </w:r>
          </w:p>
        </w:tc>
        <w:tc>
          <w:tcPr>
            <w:tcW w:w="63" w:type="dxa"/>
            <w:tcBorders/>
            <w:shd w:fill="CCEEFF" w:val="clear"/>
            <w:vAlign w:val="bottom"/>
          </w:tcPr>
          <w:p>
            <w:pPr>
              <w:pStyle w:val="TableContents"/>
              <w:bidi w:val="0"/>
              <w:spacing w:before="0" w:after="283"/>
              <w:jc w:val="left"/>
              <w:rPr/>
            </w:pPr>
            <w:r>
              <w:rPr/>
              <w:t> </w:t>
            </w:r>
          </w:p>
        </w:tc>
      </w:tr>
      <w:tr>
        <w:trPr/>
        <w:tc>
          <w:tcPr>
            <w:tcW w:w="4098" w:type="dxa"/>
            <w:tcBorders/>
          </w:tcPr>
          <w:p>
            <w:pPr>
              <w:pStyle w:val="TableContents"/>
              <w:bidi w:val="0"/>
              <w:spacing w:before="0" w:after="0"/>
              <w:jc w:val="left"/>
              <w:rPr>
                <w:rFonts w:ascii="Times New Roman" w:hAnsi="Times New Roman"/>
                <w:sz w:val="20"/>
              </w:rPr>
            </w:pPr>
            <w:r>
              <w:rPr>
                <w:rFonts w:ascii="Times New Roman" w:hAnsi="Times New Roman"/>
                <w:sz w:val="20"/>
              </w:rPr>
              <w:t>Non-employee-related general and administrative expenses</w:t>
            </w:r>
          </w:p>
        </w:tc>
        <w:tc>
          <w:tcPr>
            <w:tcW w:w="23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2,729</w:t>
            </w:r>
          </w:p>
        </w:tc>
        <w:tc>
          <w:tcPr>
            <w:tcW w:w="10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900</w:t>
            </w:r>
          </w:p>
        </w:tc>
        <w:tc>
          <w:tcPr>
            <w:tcW w:w="63" w:type="dxa"/>
            <w:tcBorders/>
            <w:vAlign w:val="bottom"/>
          </w:tcPr>
          <w:p>
            <w:pPr>
              <w:pStyle w:val="TableContents"/>
              <w:bidi w:val="0"/>
              <w:spacing w:before="0" w:after="283"/>
              <w:jc w:val="left"/>
              <w:rPr/>
            </w:pPr>
            <w:r>
              <w:rPr/>
              <w:t> </w:t>
            </w:r>
          </w:p>
        </w:tc>
      </w:tr>
      <w:tr>
        <w:trPr/>
        <w:tc>
          <w:tcPr>
            <w:tcW w:w="4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items1</w:t>
            </w:r>
          </w:p>
        </w:tc>
        <w:tc>
          <w:tcPr>
            <w:tcW w:w="23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81</w:t>
            </w:r>
          </w:p>
        </w:tc>
        <w:tc>
          <w:tcPr>
            <w:tcW w:w="107"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2,951</w:t>
            </w:r>
          </w:p>
        </w:tc>
        <w:tc>
          <w:tcPr>
            <w:tcW w:w="63" w:type="dxa"/>
            <w:tcBorders/>
            <w:shd w:fill="CCEEFF" w:val="clear"/>
            <w:vAlign w:val="bottom"/>
          </w:tcPr>
          <w:p>
            <w:pPr>
              <w:pStyle w:val="TableContents"/>
              <w:bidi w:val="0"/>
              <w:spacing w:before="0" w:after="283"/>
              <w:jc w:val="left"/>
              <w:rPr/>
            </w:pPr>
            <w:r>
              <w:rPr/>
              <w:t> </w:t>
            </w:r>
          </w:p>
        </w:tc>
      </w:tr>
      <w:tr>
        <w:trPr/>
        <w:tc>
          <w:tcPr>
            <w:tcW w:w="409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07"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09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15,906</w:t>
            </w:r>
          </w:p>
        </w:tc>
        <w:tc>
          <w:tcPr>
            <w:tcW w:w="107"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15,221</w:t>
            </w:r>
          </w:p>
        </w:tc>
        <w:tc>
          <w:tcPr>
            <w:tcW w:w="63" w:type="dxa"/>
            <w:tcBorders/>
            <w:vAlign w:val="bottom"/>
          </w:tcPr>
          <w:p>
            <w:pPr>
              <w:pStyle w:val="TableContents"/>
              <w:bidi w:val="0"/>
              <w:spacing w:before="0" w:after="283"/>
              <w:jc w:val="left"/>
              <w:rPr/>
            </w:pPr>
            <w:r>
              <w:rPr/>
              <w:t> </w:t>
            </w:r>
          </w:p>
        </w:tc>
      </w:tr>
      <w:tr>
        <w:trPr/>
        <w:tc>
          <w:tcPr>
            <w:tcW w:w="4098"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07"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Other segment expenses include stock-based compensation, depreciation and amortization, changes in the fair value of the SAFE liabilities, loss on the issuance of SAFEs, interest income, and interest expense.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0" w:name="q15014_8"/>
      <w:bookmarkEnd w:id="10"/>
      <w:r>
        <w:rPr>
          <w:rFonts w:ascii="Times New Roman" w:hAnsi="Times New Roman"/>
          <w:b/>
          <w:sz w:val="20"/>
        </w:rPr>
        <w:t xml:space="preserve">Item 2. Managements Discussion and Analysis of Financial Condition and Results of Operations. </w:t>
      </w:r>
    </w:p>
    <w:p>
      <w:pPr>
        <w:pStyle w:val="TextBody"/>
        <w:bidi w:val="0"/>
        <w:spacing w:before="120" w:after="0"/>
        <w:jc w:val="left"/>
        <w:rPr>
          <w:rFonts w:ascii="Times New Roman" w:hAnsi="Times New Roman"/>
          <w:sz w:val="20"/>
        </w:rPr>
      </w:pPr>
      <w:r>
        <w:rPr>
          <w:rFonts w:ascii="Times New Roman" w:hAnsi="Times New Roman"/>
          <w:i/>
          <w:sz w:val="20"/>
        </w:rPr>
        <w:t>The following discussion and analysis of our financial condition and results of operations should be read in conjunction with our unaudited condensed consolidated financial statements and related notes included elsewhere in this Quarterly Report.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Quarterly Report. Please also see the section titled Special Note Regarding Forward-Looking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i/>
          <w:sz w:val="20"/>
        </w:rPr>
        <w:t>All brand names or trademarks appearing in this report are the property of their respective holders. Unless otherwise indicated or the context otherwise requires, references in this Managements Discussion and Analysis of Financial Condition and Results of Operations section to the Company, we, us, and our refer to the business and operations of Tectonic Operating Company, Inc. (previously Tectonic Therapeutic, Inc., referred to as Legacy Tectonic) and its consolidated subsidiaries prior to the Merger, and the business and operations of Tectonic Therapeutic, Inc. (previously AVROBIO, Inc., referred to as AVROBIO) and its consolidated subsidiaries following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biotechnology company focused on the discovery and development of therapeutic proteins and antibodies that modulate the activity of GPCRs. The discovery of biologics that can modulate GPCRs has historically been quite challenging. We have developed a proprietary technology platform called GEODe,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 </w:t>
      </w:r>
    </w:p>
    <w:p>
      <w:pPr>
        <w:pStyle w:val="TextBody"/>
        <w:bidi w:val="0"/>
        <w:spacing w:before="120" w:after="0"/>
        <w:jc w:val="left"/>
        <w:rPr>
          <w:rFonts w:ascii="Times New Roman" w:hAnsi="Times New Roman"/>
          <w:sz w:val="20"/>
        </w:rPr>
      </w:pPr>
      <w:r>
        <w:rPr>
          <w:rFonts w:ascii="Times New Roman" w:hAnsi="Times New Roman"/>
          <w:sz w:val="20"/>
        </w:rPr>
        <w:t xml:space="preserve">Our lead asset, TX45, is an Fc-relaxin fusion molecule that activates the RXFP1 receptor, the GPCR target of the hormone, relaxin. In September 2024, we announced favorable results from a Phase 1a trial evaluating safety, tolerability and pharmacokinetic (PK) and pharmacodynamic (PD) properties for TX45. In this trial, TX45 was well-tolerated with no drug-related severe adverse events, no observed immunogenicity and demonstrated a favorable PK/PD relationship. Renal plasma flow was measured in each patient at several time points as a pharmacodynamic marker. This data was used to develop an exposure-response model which enabled the selection of doses for the APEX Phase 2 trial. </w:t>
      </w:r>
    </w:p>
    <w:p>
      <w:pPr>
        <w:pStyle w:val="TextBody"/>
        <w:bidi w:val="0"/>
        <w:spacing w:before="120" w:after="0"/>
        <w:jc w:val="left"/>
        <w:rPr>
          <w:rFonts w:ascii="Times New Roman" w:hAnsi="Times New Roman"/>
          <w:sz w:val="20"/>
        </w:rPr>
      </w:pPr>
      <w:r>
        <w:rPr>
          <w:rFonts w:ascii="Times New Roman" w:hAnsi="Times New Roman"/>
          <w:sz w:val="20"/>
        </w:rPr>
        <w:t xml:space="preserve">We are currently evaluating TX45 in a Phase 1b hemodynamic clinical trial and in a Phase 2 clinical trial. Part A of the TX45 Phase 1b hemodynamic clinical trial is a single dose IV, open-label clinical trial evaluating the safety, tolerability and acute hemodynamic effects of TX45 in patients with Group 2 PH in Heart Failure with Preserved Ejection Fraction (PH-HFpEF). We have completed dosing of all 19 patients in the Part A of the Phase 1b trial. A preliminary analysis of hemodynamic data from 16 out of 19 patients demonstrated improvements which met and or exceeded our prespecified goals and demonstrated that TX45 both improved left heart function and pulmonary hemodynamics over the 8 hour period post dosing which was evaluated. Part B of the Phase 1b trial which is assessing acute hemodynamics effects of TX45 in patients with Group 2 PH-HFrEF is expected to enroll the first patient in the first half of 2025 with data expected to be announced in the second half of 2025. We dosed our first subject in the APEX Phase 2 clinical trial in October 2024. The APEX Phase 2 clinical trial is a global, 24-week, placebo-controlled trial designed to evaluate the safety and efficacy TX45 administered subcutaneously (SC) in subjects with PH-HFpEF. Subjects will be randomized to 300 mg SC (2ml injection) once monthly of TX45, 300 mg SC once every other week of TX45, or placebo. We expect topline trial results from the APEX trial in 2026. </w:t>
      </w:r>
    </w:p>
    <w:p>
      <w:pPr>
        <w:pStyle w:val="TextBody"/>
        <w:bidi w:val="0"/>
        <w:spacing w:before="120" w:after="0"/>
        <w:jc w:val="left"/>
        <w:rPr>
          <w:rFonts w:ascii="Times New Roman" w:hAnsi="Times New Roman"/>
          <w:sz w:val="20"/>
        </w:rPr>
      </w:pPr>
      <w:r>
        <w:rPr>
          <w:rFonts w:ascii="Times New Roman" w:hAnsi="Times New Roman"/>
          <w:sz w:val="20"/>
        </w:rPr>
        <w:t xml:space="preserve">We are also evaluating TX002100 (TX2100) as our second development candidate for the treatment of Hereditary Hemorrhagic Telangiectasia (HHT), the second most common genetic bleeding disorder with no approved therapy. TX2100 is a VHH-Fc fusion antagonist antibody that binds to an undisclosed GPCR target (GPCR3)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A formulation supporting TX2100 SC dosing has been identified. Both IND enabling NHP GLP toxicology studies and technical development activities to generate GMP drug supply and drug product for TX2100 started in the second quarter of 2025. We expect to initiate a Phase 1 clinical trial for TX2100 in the fourth quarter of 2025 or the first quarter of 2026, subject to the results of IND enabling studies.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Private Placement </w:t>
      </w:r>
    </w:p>
    <w:p>
      <w:pPr>
        <w:pStyle w:val="TextBody"/>
        <w:bidi w:val="0"/>
        <w:spacing w:before="120" w:after="0"/>
        <w:jc w:val="left"/>
        <w:rPr>
          <w:rFonts w:ascii="Times New Roman" w:hAnsi="Times New Roman"/>
          <w:sz w:val="20"/>
        </w:rPr>
      </w:pPr>
      <w:r>
        <w:rPr>
          <w:rFonts w:ascii="Times New Roman" w:hAnsi="Times New Roman"/>
          <w:sz w:val="20"/>
        </w:rPr>
        <w:t xml:space="preserve">In February 2025, we entered into a securities purchase agreement (the Private Placement) pursuant to which we issued an aggregate of 3,689,465 shares of common stock, at a price of $50.00 per share to institutional accredited investors and $54.14 per share to accredited individual investors that are either an officer or director of our Company, in exchange for aggregate consideration of approximately $185.0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Merger with AVROBIO </w:t>
      </w:r>
    </w:p>
    <w:p>
      <w:pPr>
        <w:pStyle w:val="TextBody"/>
        <w:bidi w:val="0"/>
        <w:spacing w:before="120" w:after="0"/>
        <w:jc w:val="left"/>
        <w:rPr>
          <w:rFonts w:ascii="Times New Roman" w:hAnsi="Times New Roman"/>
          <w:sz w:val="20"/>
        </w:rPr>
      </w:pPr>
      <w:r>
        <w:rPr>
          <w:rFonts w:ascii="Times New Roman" w:hAnsi="Times New Roman"/>
          <w:sz w:val="20"/>
        </w:rPr>
        <w:t xml:space="preserve">On June 20, 2024, we completed our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b/>
          <w:sz w:val="20"/>
        </w:rPr>
      </w:pPr>
      <w:r>
        <w:rPr>
          <w:rFonts w:ascii="Times New Roman" w:hAnsi="Times New Roman"/>
          <w:b/>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We have not generated any revenue since our inception and do not expect to generate any revenue from the sale of products in the foreseeable future, if at all. If our development efforts for our product candidates are successful and result in regulatory approval, or if we enter collaboration or license agreements with third parties, we may generate revenue in the future from product sales or payments from collaboration or license agreements, or any combination thereof. We cannot predict if, when or to what extent we will generate revenue from the commercialization and sale of our product candidates. We may never succeed in obtaining regulatory approval for any of our product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Operating Expenses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of costs incurred for our research activities, including our discovery efforts and the development of our programs and platform. These expenses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employee-related expenses, including salaries and bonuses, related benefits and stock-based compensation expense, for employees engaged in research and development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in connection with research and the preclinical and clinical development of our programs and our product candidates, including fees paid to contract research organizations (CROs);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manufacturing material for our preclinical studies and clinical trials, including fees paid to contract development and manufacturing organizations (CDMOs);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laboratory supplies, consumables and other research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facilities, depreciation and other expenses related to research and development activities, which include direct or allocated expenses for rent and maintenance of facilities, and utilities;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compliance with regulatory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payments made under third-party licensing agreements.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expense all research and development costs in the periods in which they are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 </w:t>
      </w:r>
    </w:p>
    <w:p>
      <w:pPr>
        <w:pStyle w:val="TextBody"/>
        <w:bidi w:val="0"/>
        <w:spacing w:before="120" w:after="0"/>
        <w:jc w:val="left"/>
        <w:rPr>
          <w:rFonts w:ascii="Times New Roman" w:hAnsi="Times New Roman"/>
          <w:sz w:val="20"/>
        </w:rPr>
      </w:pPr>
      <w:r>
        <w:rPr>
          <w:rFonts w:ascii="Times New Roman" w:hAnsi="Times New Roman"/>
          <w:sz w:val="20"/>
        </w:rPr>
        <w:t xml:space="preserve">Our direct research and development expenses relate to the development of TX45 and TX2100, as well as the nonclinical safety pharmacology and toxicology testing of our product candidates. Our external services expenses consist of the external costs and fees paid to consultants and other research laboratories in connection with our preclinical development and clinical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Costs that are deployed across multiple internal programs, including programs aimed at the discovery and development of potential therapies for fibrotic disease, and our platform technology and are not directly attributable to any single program are not allocated to any single program and, as such, are not separately classified. These costs include multi-program employee-related costs, cross-program payments made under third-party licensing agreements, costs of laboratory supplies and facilities expenses, including rent, depreciation and other indirect costs, the costs of our discovery efforts and projects, and other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to conduct preclinical studies required to advance our product candidates into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patient trial costs, including based on the number of doses that patients received;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patients who enroll in each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trials required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sites included in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countries in which the trials are conducted;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length of time required to enroll eligible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drop-out or discontinuation rates of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additional safety monitoring requested by regulatory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duration of patient participation in the trials and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phase of development of the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third-party contractors failing to comply with regulatory requirements or meet their contractual obligations to us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manufacture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efficacy and safety profile of our product candidates.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employee-related costs, including salaries and bonuses, related benefits and stock-based compensation expense, for our personnel in executive, legal, accounting, human resources and other administrative functions. General and administrative expenses also include legal fees relating to patents and corporate matters, professional fees paid for accounting, auditing, consulting and tax services, insurance, travel expenses, office and information technology costs and facilities and utilities, depreciation and other expenses related to general and administrative activities. </w:t>
      </w:r>
    </w:p>
    <w:p>
      <w:pPr>
        <w:pStyle w:val="TextBody"/>
        <w:bidi w:val="0"/>
        <w:spacing w:before="120" w:after="0"/>
        <w:jc w:val="left"/>
        <w:rPr>
          <w:rFonts w:ascii="Times New Roman" w:hAnsi="Times New Roman"/>
          <w:sz w:val="20"/>
        </w:rPr>
      </w:pPr>
      <w:r>
        <w:rPr>
          <w:rFonts w:ascii="Times New Roman" w:hAnsi="Times New Roman"/>
          <w:sz w:val="20"/>
        </w:rPr>
        <w:t xml:space="preserve">We anticipate that our general and administrative expenses will increase in the future as we expect to incur increased accounting, audit, legal, regulatory, compliance, director and officer insurance, and investor and public relations expenses associated with operating as a public company. We also expect to incur additional intellectual property-related expenses as we file patent applications to protect innovations arising from our research and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Other Income (Expense), Net </w:t>
      </w:r>
    </w:p>
    <w:p>
      <w:pPr>
        <w:pStyle w:val="TextBody"/>
        <w:bidi w:val="0"/>
        <w:spacing w:before="120" w:after="0"/>
        <w:jc w:val="left"/>
        <w:rPr>
          <w:rFonts w:ascii="Times New Roman" w:hAnsi="Times New Roman"/>
          <w:i/>
          <w:sz w:val="20"/>
        </w:rPr>
      </w:pPr>
      <w:r>
        <w:rPr>
          <w:rFonts w:ascii="Times New Roman" w:hAnsi="Times New Roman"/>
          <w:i/>
          <w:sz w:val="20"/>
        </w:rPr>
        <w:t xml:space="preserve">Loss on Issuance of SAFE Liabilities and Change in Fair Value of SAFE Liabilities </w:t>
      </w:r>
    </w:p>
    <w:p>
      <w:pPr>
        <w:pStyle w:val="TextBody"/>
        <w:bidi w:val="0"/>
        <w:spacing w:before="120" w:after="0"/>
        <w:jc w:val="left"/>
        <w:rPr>
          <w:rFonts w:ascii="Times New Roman" w:hAnsi="Times New Roman"/>
          <w:sz w:val="20"/>
        </w:rPr>
      </w:pPr>
      <w:r>
        <w:rPr>
          <w:rFonts w:ascii="Times New Roman" w:hAnsi="Times New Roman"/>
          <w:sz w:val="20"/>
        </w:rPr>
        <w:t xml:space="preserve">In October and December 2023, Legacy Tectonic issued SAFEs for proceeds of $34.1 million. The SAFEs were recorded as liabilities in the condensed consolidated balance sheets at their fair value on the issuance dates. Until redemption on June 20, 2024, the SAFEs were measured at a fair value on a recurring basis, with subsequent changes in fair value recorded in other income and expenses on the consolidated statement of operations and comprehensive loss.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primarily consists of interest earned on money market funds, which are included in cash and cash equivalents in the condensed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Three Months Ended March 31, 2025 and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results of operations for the three months ended March 31, 2025 and 2024: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05"/>
        <w:gridCol w:w="229"/>
        <w:gridCol w:w="221"/>
        <w:gridCol w:w="1194"/>
        <w:gridCol w:w="244"/>
        <w:gridCol w:w="271"/>
        <w:gridCol w:w="221"/>
        <w:gridCol w:w="1197"/>
        <w:gridCol w:w="155"/>
        <w:gridCol w:w="205"/>
        <w:gridCol w:w="179"/>
        <w:gridCol w:w="817"/>
        <w:gridCol w:w="154"/>
        <w:gridCol w:w="205"/>
        <w:gridCol w:w="129"/>
        <w:gridCol w:w="1001"/>
        <w:gridCol w:w="361"/>
      </w:tblGrid>
      <w:tr>
        <w:trPr/>
        <w:tc>
          <w:tcPr>
            <w:tcW w:w="2605"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6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34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96" w:type="dxa"/>
            <w:gridSpan w:val="2"/>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4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4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61" w:type="dxa"/>
            <w:tcBorders/>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193" w:type="dxa"/>
            <w:gridSpan w:val="14"/>
            <w:tcBorders/>
            <w:vAlign w:val="bottom"/>
          </w:tcPr>
          <w:p>
            <w:pPr>
              <w:pStyle w:val="TableContents"/>
              <w:bidi w:val="0"/>
              <w:spacing w:before="0" w:after="283"/>
              <w:jc w:val="center"/>
              <w:rPr>
                <w:b/>
              </w:rPr>
            </w:pPr>
            <w:r>
              <w:rPr>
                <w:b/>
              </w:rPr>
              <w:t>(dollars in thousands)</w:t>
            </w:r>
          </w:p>
        </w:tc>
        <w:tc>
          <w:tcPr>
            <w:tcW w:w="361" w:type="dxa"/>
            <w:tcBorders/>
            <w:vAlign w:val="bottom"/>
          </w:tcPr>
          <w:p>
            <w:pPr>
              <w:pStyle w:val="TableContents"/>
              <w:bidi w:val="0"/>
              <w:spacing w:before="0" w:after="283"/>
              <w:jc w:val="left"/>
              <w:rPr/>
            </w:pPr>
            <w:r>
              <w:rPr/>
              <w:t> </w:t>
            </w:r>
          </w:p>
        </w:tc>
      </w:tr>
      <w:tr>
        <w:trPr/>
        <w:tc>
          <w:tcPr>
            <w:tcW w:w="2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22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4" w:type="dxa"/>
            <w:tcBorders/>
            <w:shd w:fill="CCEEFF" w:val="clear"/>
            <w:vAlign w:val="bottom"/>
          </w:tcPr>
          <w:p>
            <w:pPr>
              <w:pStyle w:val="TableContents"/>
              <w:bidi w:val="0"/>
              <w:spacing w:before="0" w:after="283"/>
              <w:jc w:val="left"/>
              <w:rPr>
                <w:sz w:val="4"/>
                <w:szCs w:val="4"/>
              </w:rPr>
            </w:pPr>
            <w:r>
              <w:rPr>
                <w:sz w:val="4"/>
                <w:szCs w:val="4"/>
              </w:rPr>
            </w:r>
          </w:p>
        </w:tc>
        <w:tc>
          <w:tcPr>
            <w:tcW w:w="244"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sz w:val="4"/>
                <w:szCs w:val="4"/>
              </w:rPr>
            </w:pPr>
            <w:r>
              <w:rPr>
                <w:sz w:val="4"/>
                <w:szCs w:val="4"/>
              </w:rPr>
            </w:r>
          </w:p>
        </w:tc>
        <w:tc>
          <w:tcPr>
            <w:tcW w:w="119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001"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r>
      <w:tr>
        <w:trPr/>
        <w:tc>
          <w:tcPr>
            <w:tcW w:w="2605"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13,036</w:t>
            </w:r>
          </w:p>
        </w:tc>
        <w:tc>
          <w:tcPr>
            <w:tcW w:w="24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7" w:type="dxa"/>
            <w:tcBorders/>
            <w:vAlign w:val="bottom"/>
          </w:tcPr>
          <w:p>
            <w:pPr>
              <w:pStyle w:val="TableContents"/>
              <w:bidi w:val="0"/>
              <w:spacing w:before="0" w:after="283"/>
              <w:jc w:val="right"/>
              <w:rPr/>
            </w:pPr>
            <w:r>
              <w:rPr/>
              <w:t>10,818</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2,218</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21</w:t>
            </w:r>
          </w:p>
        </w:tc>
        <w:tc>
          <w:tcPr>
            <w:tcW w:w="361" w:type="dxa"/>
            <w:tcBorders/>
            <w:vAlign w:val="bottom"/>
          </w:tcPr>
          <w:p>
            <w:pPr>
              <w:pStyle w:val="TableContents"/>
              <w:bidi w:val="0"/>
              <w:spacing w:before="0" w:after="283"/>
              <w:jc w:val="left"/>
              <w:rPr/>
            </w:pPr>
            <w:r>
              <w:rPr/>
              <w:t>% </w:t>
            </w:r>
          </w:p>
        </w:tc>
      </w:tr>
      <w:tr>
        <w:trPr/>
        <w:tc>
          <w:tcPr>
            <w:tcW w:w="2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2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5,262</w:t>
            </w:r>
          </w:p>
        </w:tc>
        <w:tc>
          <w:tcPr>
            <w:tcW w:w="24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2,150</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3,112</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145</w:t>
            </w:r>
          </w:p>
        </w:tc>
        <w:tc>
          <w:tcPr>
            <w:tcW w:w="361" w:type="dxa"/>
            <w:tcBorders/>
            <w:shd w:fill="CCEEFF" w:val="clear"/>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244"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60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18,298</w:t>
            </w:r>
          </w:p>
        </w:tc>
        <w:tc>
          <w:tcPr>
            <w:tcW w:w="24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12,968</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5,330</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41</w:t>
            </w:r>
          </w:p>
        </w:tc>
        <w:tc>
          <w:tcPr>
            <w:tcW w:w="361" w:type="dxa"/>
            <w:tcBorders/>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244"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2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(18,298</w:t>
            </w:r>
          </w:p>
        </w:tc>
        <w:tc>
          <w:tcPr>
            <w:tcW w:w="24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(12,968</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(5,330</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41</w:t>
            </w:r>
          </w:p>
        </w:tc>
        <w:tc>
          <w:tcPr>
            <w:tcW w:w="361" w:type="dxa"/>
            <w:tcBorders/>
            <w:shd w:fill="CCEEFF" w:val="clear"/>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244"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605"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sz w:val="4"/>
                <w:szCs w:val="4"/>
              </w:rPr>
            </w:pPr>
            <w:r>
              <w:rPr>
                <w:sz w:val="4"/>
                <w:szCs w:val="4"/>
              </w:rPr>
            </w:r>
          </w:p>
        </w:tc>
        <w:tc>
          <w:tcPr>
            <w:tcW w:w="119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001"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r>
      <w:tr>
        <w:trPr/>
        <w:tc>
          <w:tcPr>
            <w:tcW w:w="2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the SAFE liabilities</w:t>
            </w:r>
          </w:p>
        </w:tc>
        <w:tc>
          <w:tcPr>
            <w:tcW w:w="22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4" w:type="dxa"/>
            <w:tcBorders/>
            <w:shd w:fill="CCEEFF" w:val="clear"/>
            <w:vAlign w:val="bottom"/>
          </w:tcPr>
          <w:p>
            <w:pPr>
              <w:pStyle w:val="TableContents"/>
              <w:bidi w:val="0"/>
              <w:spacing w:before="0" w:after="283"/>
              <w:jc w:val="right"/>
              <w:rPr/>
            </w:pPr>
            <w:r>
              <w:rPr/>
              <w:t> </w:t>
            </w:r>
          </w:p>
        </w:tc>
        <w:tc>
          <w:tcPr>
            <w:tcW w:w="24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w:t>
            </w:r>
          </w:p>
        </w:tc>
        <w:tc>
          <w:tcPr>
            <w:tcW w:w="1197" w:type="dxa"/>
            <w:tcBorders/>
            <w:shd w:fill="CCEEFF" w:val="clear"/>
            <w:vAlign w:val="bottom"/>
          </w:tcPr>
          <w:p>
            <w:pPr>
              <w:pStyle w:val="TableContents"/>
              <w:bidi w:val="0"/>
              <w:spacing w:before="0" w:after="283"/>
              <w:jc w:val="right"/>
              <w:rPr/>
            </w:pPr>
            <w:r>
              <w:rPr/>
              <w:t>(2,075</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2,075</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(100</w:t>
            </w:r>
          </w:p>
        </w:tc>
        <w:tc>
          <w:tcPr>
            <w:tcW w:w="361" w:type="dxa"/>
            <w:tcBorders/>
            <w:shd w:fill="CCEEFF" w:val="clear"/>
            <w:vAlign w:val="bottom"/>
          </w:tcPr>
          <w:p>
            <w:pPr>
              <w:pStyle w:val="TableContents"/>
              <w:bidi w:val="0"/>
              <w:spacing w:before="0" w:after="283"/>
              <w:jc w:val="left"/>
              <w:rPr/>
            </w:pPr>
            <w:r>
              <w:rPr/>
              <w:t>%) </w:t>
            </w:r>
          </w:p>
        </w:tc>
      </w:tr>
      <w:tr>
        <w:trPr/>
        <w:tc>
          <w:tcPr>
            <w:tcW w:w="260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2,444</w:t>
            </w:r>
          </w:p>
        </w:tc>
        <w:tc>
          <w:tcPr>
            <w:tcW w:w="24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256</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2,188</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855</w:t>
            </w:r>
          </w:p>
        </w:tc>
        <w:tc>
          <w:tcPr>
            <w:tcW w:w="361" w:type="dxa"/>
            <w:tcBorders/>
            <w:vAlign w:val="bottom"/>
          </w:tcPr>
          <w:p>
            <w:pPr>
              <w:pStyle w:val="TableContents"/>
              <w:bidi w:val="0"/>
              <w:spacing w:before="0" w:after="283"/>
              <w:jc w:val="left"/>
              <w:rPr/>
            </w:pPr>
            <w:r>
              <w:rPr/>
              <w:t>% </w:t>
            </w:r>
          </w:p>
        </w:tc>
      </w:tr>
      <w:tr>
        <w:trPr/>
        <w:tc>
          <w:tcPr>
            <w:tcW w:w="2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2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(20</w:t>
            </w:r>
          </w:p>
        </w:tc>
        <w:tc>
          <w:tcPr>
            <w:tcW w:w="24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11</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(35</w:t>
            </w:r>
          </w:p>
        </w:tc>
        <w:tc>
          <w:tcPr>
            <w:tcW w:w="361" w:type="dxa"/>
            <w:tcBorders/>
            <w:shd w:fill="CCEEFF" w:val="clear"/>
            <w:vAlign w:val="bottom"/>
          </w:tcPr>
          <w:p>
            <w:pPr>
              <w:pStyle w:val="TableContents"/>
              <w:bidi w:val="0"/>
              <w:spacing w:before="0" w:after="283"/>
              <w:jc w:val="left"/>
              <w:rPr/>
            </w:pPr>
            <w:r>
              <w:rPr/>
              <w:t>%) </w:t>
            </w:r>
          </w:p>
        </w:tc>
      </w:tr>
      <w:tr>
        <w:trPr/>
        <w:tc>
          <w:tcPr>
            <w:tcW w:w="2605"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(32</w:t>
            </w:r>
          </w:p>
        </w:tc>
        <w:tc>
          <w:tcPr>
            <w:tcW w:w="24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(403</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371</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(92</w:t>
            </w:r>
          </w:p>
        </w:tc>
        <w:tc>
          <w:tcPr>
            <w:tcW w:w="361" w:type="dxa"/>
            <w:tcBorders/>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244"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6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29"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2,392</w:t>
            </w:r>
          </w:p>
        </w:tc>
        <w:tc>
          <w:tcPr>
            <w:tcW w:w="244"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(2,253</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4,645</w:t>
            </w:r>
          </w:p>
        </w:tc>
        <w:tc>
          <w:tcPr>
            <w:tcW w:w="154"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(206</w:t>
            </w:r>
          </w:p>
        </w:tc>
        <w:tc>
          <w:tcPr>
            <w:tcW w:w="361" w:type="dxa"/>
            <w:tcBorders/>
            <w:shd w:fill="CCEEFF" w:val="clear"/>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244"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single" w:sz="2" w:space="1" w:color="000000"/>
              </w:pBdr>
              <w:bidi w:val="0"/>
              <w:spacing w:before="0" w:after="0"/>
              <w:jc w:val="left"/>
              <w:rPr/>
            </w:pPr>
            <w:r>
              <w:rPr/>
              <w:t> </w:t>
            </w:r>
          </w:p>
        </w:tc>
        <w:tc>
          <w:tcPr>
            <w:tcW w:w="119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001" w:type="dxa"/>
            <w:tcBorders/>
            <w:vAlign w:val="bottom"/>
          </w:tcPr>
          <w:p>
            <w:pPr>
              <w:pStyle w:val="TableContents"/>
              <w:pBdr>
                <w:top w:val="single" w:sz="2"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r>
        <w:trPr/>
        <w:tc>
          <w:tcPr>
            <w:tcW w:w="260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4" w:type="dxa"/>
            <w:tcBorders/>
            <w:vAlign w:val="bottom"/>
          </w:tcPr>
          <w:p>
            <w:pPr>
              <w:pStyle w:val="TableContents"/>
              <w:bidi w:val="0"/>
              <w:spacing w:before="0" w:after="283"/>
              <w:jc w:val="right"/>
              <w:rPr/>
            </w:pPr>
            <w:r>
              <w:rPr/>
              <w:t>(15,906</w:t>
            </w:r>
          </w:p>
        </w:tc>
        <w:tc>
          <w:tcPr>
            <w:tcW w:w="24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w:t>
            </w:r>
          </w:p>
        </w:tc>
        <w:tc>
          <w:tcPr>
            <w:tcW w:w="1197" w:type="dxa"/>
            <w:tcBorders/>
            <w:vAlign w:val="bottom"/>
          </w:tcPr>
          <w:p>
            <w:pPr>
              <w:pStyle w:val="TableContents"/>
              <w:bidi w:val="0"/>
              <w:spacing w:before="0" w:after="283"/>
              <w:jc w:val="right"/>
              <w:rPr/>
            </w:pPr>
            <w:r>
              <w:rPr/>
              <w:t>(15,221</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817" w:type="dxa"/>
            <w:tcBorders/>
            <w:vAlign w:val="bottom"/>
          </w:tcPr>
          <w:p>
            <w:pPr>
              <w:pStyle w:val="TableContents"/>
              <w:bidi w:val="0"/>
              <w:spacing w:before="0" w:after="283"/>
              <w:jc w:val="right"/>
              <w:rPr/>
            </w:pPr>
            <w:r>
              <w:rPr/>
              <w:t>(685</w:t>
            </w:r>
          </w:p>
        </w:tc>
        <w:tc>
          <w:tcPr>
            <w:tcW w:w="154"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5</w:t>
            </w:r>
          </w:p>
        </w:tc>
        <w:tc>
          <w:tcPr>
            <w:tcW w:w="361" w:type="dxa"/>
            <w:tcBorders/>
            <w:vAlign w:val="bottom"/>
          </w:tcPr>
          <w:p>
            <w:pPr>
              <w:pStyle w:val="TableContents"/>
              <w:bidi w:val="0"/>
              <w:spacing w:before="0" w:after="283"/>
              <w:jc w:val="left"/>
              <w:rPr/>
            </w:pPr>
            <w:r>
              <w:rPr/>
              <w:t>% </w:t>
            </w:r>
          </w:p>
        </w:tc>
      </w:tr>
      <w:tr>
        <w:trPr/>
        <w:tc>
          <w:tcPr>
            <w:tcW w:w="2605"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244"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21" w:type="dxa"/>
            <w:tcBorders/>
            <w:vAlign w:val="bottom"/>
          </w:tcPr>
          <w:p>
            <w:pPr>
              <w:pStyle w:val="TableContents"/>
              <w:pBdr>
                <w:top w:val="double" w:sz="6" w:space="1" w:color="000000"/>
              </w:pBdr>
              <w:bidi w:val="0"/>
              <w:spacing w:before="0" w:after="0"/>
              <w:jc w:val="left"/>
              <w:rPr/>
            </w:pPr>
            <w:r>
              <w:rPr/>
              <w:t> </w:t>
            </w:r>
          </w:p>
        </w:tc>
        <w:tc>
          <w:tcPr>
            <w:tcW w:w="119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1001" w:type="dxa"/>
            <w:tcBorders/>
            <w:vAlign w:val="bottom"/>
          </w:tcPr>
          <w:p>
            <w:pPr>
              <w:pStyle w:val="TableContents"/>
              <w:pBdr>
                <w:top w:val="double" w:sz="6" w:space="1" w:color="000000"/>
              </w:pBdr>
              <w:bidi w:val="0"/>
              <w:spacing w:before="0" w:after="0"/>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research and development expenses for the three months ended March 31, 2025 and 2024: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78"/>
        <w:gridCol w:w="196"/>
        <w:gridCol w:w="250"/>
        <w:gridCol w:w="1227"/>
        <w:gridCol w:w="107"/>
        <w:gridCol w:w="286"/>
        <w:gridCol w:w="250"/>
        <w:gridCol w:w="1230"/>
        <w:gridCol w:w="60"/>
        <w:gridCol w:w="196"/>
        <w:gridCol w:w="199"/>
        <w:gridCol w:w="802"/>
        <w:gridCol w:w="155"/>
        <w:gridCol w:w="175"/>
        <w:gridCol w:w="169"/>
        <w:gridCol w:w="946"/>
        <w:gridCol w:w="362"/>
      </w:tblGrid>
      <w:tr>
        <w:trPr/>
        <w:tc>
          <w:tcPr>
            <w:tcW w:w="2778"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277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33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0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07"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362" w:type="dxa"/>
            <w:tcBorders/>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6052" w:type="dxa"/>
            <w:gridSpan w:val="14"/>
            <w:tcBorders/>
            <w:vAlign w:val="bottom"/>
          </w:tcPr>
          <w:p>
            <w:pPr>
              <w:pStyle w:val="TableContents"/>
              <w:bidi w:val="0"/>
              <w:spacing w:before="0" w:after="283"/>
              <w:jc w:val="center"/>
              <w:rPr>
                <w:b/>
              </w:rPr>
            </w:pPr>
            <w:r>
              <w:rPr>
                <w:b/>
              </w:rPr>
              <w:t>(dollars in thousands)</w:t>
            </w:r>
          </w:p>
        </w:tc>
        <w:tc>
          <w:tcPr>
            <w:tcW w:w="362" w:type="dxa"/>
            <w:tcBorders/>
            <w:vAlign w:val="bottom"/>
          </w:tcPr>
          <w:p>
            <w:pPr>
              <w:pStyle w:val="TableContents"/>
              <w:bidi w:val="0"/>
              <w:spacing w:before="0" w:after="283"/>
              <w:jc w:val="left"/>
              <w:rPr/>
            </w:pPr>
            <w:r>
              <w:rPr/>
              <w:t> </w:t>
            </w:r>
          </w:p>
        </w:tc>
      </w:tr>
      <w:tr>
        <w:trPr/>
        <w:tc>
          <w:tcPr>
            <w:tcW w:w="2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research and development expenses by program:</w:t>
            </w:r>
          </w:p>
        </w:tc>
        <w:tc>
          <w:tcPr>
            <w:tcW w:w="19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227"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2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946" w:type="dxa"/>
            <w:tcBorders/>
            <w:shd w:fill="CCEEFF" w:val="clear"/>
            <w:vAlign w:val="bottom"/>
          </w:tcPr>
          <w:p>
            <w:pPr>
              <w:pStyle w:val="TableContents"/>
              <w:bidi w:val="0"/>
              <w:spacing w:before="0" w:after="283"/>
              <w:jc w:val="left"/>
              <w:rPr>
                <w:sz w:val="4"/>
                <w:szCs w:val="4"/>
              </w:rPr>
            </w:pPr>
            <w:r>
              <w:rPr>
                <w:sz w:val="4"/>
                <w:szCs w:val="4"/>
              </w:rPr>
            </w:r>
          </w:p>
        </w:tc>
        <w:tc>
          <w:tcPr>
            <w:tcW w:w="362" w:type="dxa"/>
            <w:tcBorders/>
            <w:shd w:fill="CCEEFF" w:val="clear"/>
            <w:vAlign w:val="bottom"/>
          </w:tcPr>
          <w:p>
            <w:pPr>
              <w:pStyle w:val="TableContents"/>
              <w:bidi w:val="0"/>
              <w:spacing w:before="0" w:after="283"/>
              <w:jc w:val="left"/>
              <w:rPr>
                <w:sz w:val="4"/>
                <w:szCs w:val="4"/>
              </w:rPr>
            </w:pPr>
            <w:r>
              <w:rPr>
                <w:sz w:val="4"/>
                <w:szCs w:val="4"/>
              </w:rPr>
            </w:r>
          </w:p>
        </w:tc>
      </w:tr>
      <w:tr>
        <w:trPr/>
        <w:tc>
          <w:tcPr>
            <w:tcW w:w="2778" w:type="dxa"/>
            <w:tcBorders/>
          </w:tcPr>
          <w:p>
            <w:pPr>
              <w:pStyle w:val="TableContents"/>
              <w:bidi w:val="0"/>
              <w:spacing w:before="0" w:after="0"/>
              <w:jc w:val="left"/>
              <w:rPr>
                <w:rFonts w:ascii="Times New Roman" w:hAnsi="Times New Roman"/>
                <w:sz w:val="20"/>
              </w:rPr>
            </w:pPr>
            <w:r>
              <w:rPr>
                <w:rFonts w:ascii="Times New Roman" w:hAnsi="Times New Roman"/>
                <w:sz w:val="20"/>
              </w:rPr>
              <w:t>TX45</w:t>
            </w:r>
          </w:p>
        </w:tc>
        <w:tc>
          <w:tcPr>
            <w:tcW w:w="19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4,293</w:t>
            </w:r>
          </w:p>
        </w:tc>
        <w:tc>
          <w:tcPr>
            <w:tcW w:w="107"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230" w:type="dxa"/>
            <w:tcBorders/>
            <w:vAlign w:val="bottom"/>
          </w:tcPr>
          <w:p>
            <w:pPr>
              <w:pStyle w:val="TableContents"/>
              <w:bidi w:val="0"/>
              <w:spacing w:before="0" w:after="283"/>
              <w:jc w:val="right"/>
              <w:rPr/>
            </w:pPr>
            <w:r>
              <w:rPr/>
              <w:t>4,755</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(462</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(10</w:t>
            </w:r>
          </w:p>
        </w:tc>
        <w:tc>
          <w:tcPr>
            <w:tcW w:w="362" w:type="dxa"/>
            <w:tcBorders/>
            <w:vAlign w:val="bottom"/>
          </w:tcPr>
          <w:p>
            <w:pPr>
              <w:pStyle w:val="TableContents"/>
              <w:bidi w:val="0"/>
              <w:spacing w:before="0" w:after="283"/>
              <w:jc w:val="left"/>
              <w:rPr/>
            </w:pPr>
            <w:r>
              <w:rPr/>
              <w:t>%) </w:t>
            </w:r>
          </w:p>
        </w:tc>
      </w:tr>
      <w:tr>
        <w:trPr/>
        <w:tc>
          <w:tcPr>
            <w:tcW w:w="2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TX2100</w:t>
            </w:r>
          </w:p>
        </w:tc>
        <w:tc>
          <w:tcPr>
            <w:tcW w:w="19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2,244</w:t>
            </w:r>
          </w:p>
        </w:tc>
        <w:tc>
          <w:tcPr>
            <w:tcW w:w="107"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261</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1,983</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 </w:t>
            </w:r>
          </w:p>
        </w:tc>
        <w:tc>
          <w:tcPr>
            <w:tcW w:w="362" w:type="dxa"/>
            <w:tcBorders/>
            <w:shd w:fill="CCEEFF" w:val="clear"/>
            <w:vAlign w:val="bottom"/>
          </w:tcPr>
          <w:p>
            <w:pPr>
              <w:pStyle w:val="TableContents"/>
              <w:bidi w:val="0"/>
              <w:spacing w:before="0" w:after="283"/>
              <w:jc w:val="left"/>
              <w:rPr/>
            </w:pPr>
            <w:r>
              <w:rPr/>
              <w:t> </w:t>
            </w:r>
          </w:p>
        </w:tc>
      </w:tr>
      <w:tr>
        <w:trPr/>
        <w:tc>
          <w:tcPr>
            <w:tcW w:w="2778" w:type="dxa"/>
            <w:tcBorders/>
          </w:tcPr>
          <w:p>
            <w:pPr>
              <w:pStyle w:val="TableContents"/>
              <w:bidi w:val="0"/>
              <w:spacing w:before="0" w:after="0"/>
              <w:jc w:val="left"/>
              <w:rPr>
                <w:rFonts w:ascii="Times New Roman" w:hAnsi="Times New Roman"/>
                <w:sz w:val="20"/>
              </w:rPr>
            </w:pPr>
            <w:r>
              <w:rPr>
                <w:rFonts w:ascii="Times New Roman" w:hAnsi="Times New Roman"/>
                <w:sz w:val="20"/>
              </w:rPr>
              <w:t>Platform development and unallocated expenses:</w:t>
            </w:r>
          </w:p>
        </w:tc>
        <w:tc>
          <w:tcPr>
            <w:tcW w:w="19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227"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2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946" w:type="dxa"/>
            <w:tcBorders/>
            <w:vAlign w:val="bottom"/>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r>
      <w:tr>
        <w:trPr/>
        <w:tc>
          <w:tcPr>
            <w:tcW w:w="2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Employee-related expenses, including stock-based compensation</w:t>
            </w:r>
          </w:p>
        </w:tc>
        <w:tc>
          <w:tcPr>
            <w:tcW w:w="19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4,084</w:t>
            </w:r>
          </w:p>
        </w:tc>
        <w:tc>
          <w:tcPr>
            <w:tcW w:w="107"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3,203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881</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28</w:t>
            </w:r>
          </w:p>
        </w:tc>
        <w:tc>
          <w:tcPr>
            <w:tcW w:w="362" w:type="dxa"/>
            <w:tcBorders/>
            <w:shd w:fill="CCEEFF" w:val="clear"/>
            <w:vAlign w:val="bottom"/>
          </w:tcPr>
          <w:p>
            <w:pPr>
              <w:pStyle w:val="TableContents"/>
              <w:bidi w:val="0"/>
              <w:spacing w:before="0" w:after="283"/>
              <w:jc w:val="left"/>
              <w:rPr/>
            </w:pPr>
            <w:r>
              <w:rPr/>
              <w:t>% </w:t>
            </w:r>
          </w:p>
        </w:tc>
      </w:tr>
      <w:tr>
        <w:trPr/>
        <w:tc>
          <w:tcPr>
            <w:tcW w:w="2778" w:type="dxa"/>
            <w:tcBorders/>
          </w:tcPr>
          <w:p>
            <w:pPr>
              <w:pStyle w:val="TableContents"/>
              <w:bidi w:val="0"/>
              <w:spacing w:before="0" w:after="0"/>
              <w:jc w:val="left"/>
              <w:rPr>
                <w:rFonts w:ascii="Times New Roman" w:hAnsi="Times New Roman"/>
                <w:sz w:val="20"/>
              </w:rPr>
            </w:pPr>
            <w:r>
              <w:rPr>
                <w:rFonts w:ascii="Times New Roman" w:hAnsi="Times New Roman"/>
                <w:sz w:val="20"/>
              </w:rPr>
              <w:t>External services</w:t>
            </w:r>
          </w:p>
        </w:tc>
        <w:tc>
          <w:tcPr>
            <w:tcW w:w="19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217</w:t>
            </w:r>
          </w:p>
        </w:tc>
        <w:tc>
          <w:tcPr>
            <w:tcW w:w="107"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319</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(102</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(32</w:t>
            </w:r>
          </w:p>
        </w:tc>
        <w:tc>
          <w:tcPr>
            <w:tcW w:w="362" w:type="dxa"/>
            <w:tcBorders/>
            <w:vAlign w:val="bottom"/>
          </w:tcPr>
          <w:p>
            <w:pPr>
              <w:pStyle w:val="TableContents"/>
              <w:bidi w:val="0"/>
              <w:spacing w:before="0" w:after="283"/>
              <w:jc w:val="left"/>
              <w:rPr/>
            </w:pPr>
            <w:r>
              <w:rPr/>
              <w:t>%) </w:t>
            </w:r>
          </w:p>
        </w:tc>
      </w:tr>
      <w:tr>
        <w:trPr/>
        <w:tc>
          <w:tcPr>
            <w:tcW w:w="2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Lab supplies and related expenses</w:t>
            </w:r>
          </w:p>
        </w:tc>
        <w:tc>
          <w:tcPr>
            <w:tcW w:w="19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1,024</w:t>
            </w:r>
          </w:p>
        </w:tc>
        <w:tc>
          <w:tcPr>
            <w:tcW w:w="107"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1,168</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(144</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(12</w:t>
            </w:r>
          </w:p>
        </w:tc>
        <w:tc>
          <w:tcPr>
            <w:tcW w:w="362" w:type="dxa"/>
            <w:tcBorders/>
            <w:shd w:fill="CCEEFF" w:val="clear"/>
            <w:vAlign w:val="bottom"/>
          </w:tcPr>
          <w:p>
            <w:pPr>
              <w:pStyle w:val="TableContents"/>
              <w:bidi w:val="0"/>
              <w:spacing w:before="0" w:after="283"/>
              <w:jc w:val="left"/>
              <w:rPr/>
            </w:pPr>
            <w:r>
              <w:rPr/>
              <w:t>%) </w:t>
            </w:r>
          </w:p>
        </w:tc>
      </w:tr>
      <w:tr>
        <w:trPr/>
        <w:tc>
          <w:tcPr>
            <w:tcW w:w="2778" w:type="dxa"/>
            <w:tcBorders/>
          </w:tcPr>
          <w:p>
            <w:pPr>
              <w:pStyle w:val="TableContents"/>
              <w:bidi w:val="0"/>
              <w:spacing w:before="0" w:after="0"/>
              <w:jc w:val="left"/>
              <w:rPr>
                <w:rFonts w:ascii="Times New Roman" w:hAnsi="Times New Roman"/>
                <w:sz w:val="20"/>
              </w:rPr>
            </w:pPr>
            <w:r>
              <w:rPr>
                <w:rFonts w:ascii="Times New Roman" w:hAnsi="Times New Roman"/>
                <w:sz w:val="20"/>
              </w:rPr>
              <w:t>Facility related and other expenses, including depreciation</w:t>
            </w:r>
          </w:p>
        </w:tc>
        <w:tc>
          <w:tcPr>
            <w:tcW w:w="19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1,174</w:t>
            </w:r>
          </w:p>
        </w:tc>
        <w:tc>
          <w:tcPr>
            <w:tcW w:w="107"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right"/>
              <w:rPr/>
            </w:pPr>
            <w:r>
              <w:rPr/>
              <w:t>1,112</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62</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6</w:t>
            </w:r>
          </w:p>
        </w:tc>
        <w:tc>
          <w:tcPr>
            <w:tcW w:w="362" w:type="dxa"/>
            <w:tcBorders/>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07"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27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platform development and unallocated expenses</w:t>
            </w:r>
          </w:p>
        </w:tc>
        <w:tc>
          <w:tcPr>
            <w:tcW w:w="19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6,499</w:t>
            </w:r>
          </w:p>
        </w:tc>
        <w:tc>
          <w:tcPr>
            <w:tcW w:w="107"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230" w:type="dxa"/>
            <w:tcBorders/>
            <w:shd w:fill="CCEEFF" w:val="clear"/>
            <w:vAlign w:val="bottom"/>
          </w:tcPr>
          <w:p>
            <w:pPr>
              <w:pStyle w:val="TableContents"/>
              <w:bidi w:val="0"/>
              <w:spacing w:before="0" w:after="283"/>
              <w:jc w:val="right"/>
              <w:rPr/>
            </w:pPr>
            <w:r>
              <w:rPr/>
              <w:t>5,802</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697</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12</w:t>
            </w:r>
          </w:p>
        </w:tc>
        <w:tc>
          <w:tcPr>
            <w:tcW w:w="362" w:type="dxa"/>
            <w:tcBorders/>
            <w:shd w:fill="CCEEFF" w:val="clear"/>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227" w:type="dxa"/>
            <w:tcBorders/>
            <w:vAlign w:val="bottom"/>
          </w:tcPr>
          <w:p>
            <w:pPr>
              <w:pStyle w:val="TableContents"/>
              <w:pBdr>
                <w:top w:val="single" w:sz="2" w:space="1" w:color="000000"/>
              </w:pBdr>
              <w:bidi w:val="0"/>
              <w:spacing w:before="0" w:after="0"/>
              <w:jc w:val="left"/>
              <w:rPr/>
            </w:pPr>
            <w:r>
              <w:rPr/>
              <w:t> </w:t>
            </w:r>
          </w:p>
        </w:tc>
        <w:tc>
          <w:tcPr>
            <w:tcW w:w="107"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2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r>
        <w:trPr/>
        <w:tc>
          <w:tcPr>
            <w:tcW w:w="2778" w:type="dxa"/>
            <w:tcBorders/>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9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227" w:type="dxa"/>
            <w:tcBorders/>
            <w:vAlign w:val="bottom"/>
          </w:tcPr>
          <w:p>
            <w:pPr>
              <w:pStyle w:val="TableContents"/>
              <w:bidi w:val="0"/>
              <w:spacing w:before="0" w:after="283"/>
              <w:jc w:val="right"/>
              <w:rPr/>
            </w:pPr>
            <w:r>
              <w:rPr/>
              <w:t>13,036</w:t>
            </w:r>
          </w:p>
        </w:tc>
        <w:tc>
          <w:tcPr>
            <w:tcW w:w="107"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230" w:type="dxa"/>
            <w:tcBorders/>
            <w:vAlign w:val="bottom"/>
          </w:tcPr>
          <w:p>
            <w:pPr>
              <w:pStyle w:val="TableContents"/>
              <w:bidi w:val="0"/>
              <w:spacing w:before="0" w:after="283"/>
              <w:jc w:val="right"/>
              <w:rPr/>
            </w:pPr>
            <w:r>
              <w:rPr/>
              <w:t>10,818</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02" w:type="dxa"/>
            <w:tcBorders/>
            <w:vAlign w:val="bottom"/>
          </w:tcPr>
          <w:p>
            <w:pPr>
              <w:pStyle w:val="TableContents"/>
              <w:bidi w:val="0"/>
              <w:spacing w:before="0" w:after="283"/>
              <w:jc w:val="right"/>
              <w:rPr/>
            </w:pPr>
            <w:r>
              <w:rPr/>
              <w:t>2,218</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21</w:t>
            </w:r>
          </w:p>
        </w:tc>
        <w:tc>
          <w:tcPr>
            <w:tcW w:w="362" w:type="dxa"/>
            <w:tcBorders/>
            <w:vAlign w:val="bottom"/>
          </w:tcPr>
          <w:p>
            <w:pPr>
              <w:pStyle w:val="TableContents"/>
              <w:bidi w:val="0"/>
              <w:spacing w:before="0" w:after="283"/>
              <w:jc w:val="left"/>
              <w:rPr/>
            </w:pPr>
            <w:r>
              <w:rPr/>
              <w:t>% </w:t>
            </w:r>
          </w:p>
        </w:tc>
      </w:tr>
      <w:tr>
        <w:trPr/>
        <w:tc>
          <w:tcPr>
            <w:tcW w:w="2778" w:type="dxa"/>
            <w:tcBorders/>
            <w:vAlign w:val="bottom"/>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227" w:type="dxa"/>
            <w:tcBorders/>
            <w:vAlign w:val="bottom"/>
          </w:tcPr>
          <w:p>
            <w:pPr>
              <w:pStyle w:val="TableContents"/>
              <w:pBdr>
                <w:top w:val="double" w:sz="6" w:space="1" w:color="000000"/>
              </w:pBdr>
              <w:bidi w:val="0"/>
              <w:spacing w:before="0" w:after="0"/>
              <w:jc w:val="left"/>
              <w:rPr/>
            </w:pPr>
            <w:r>
              <w:rPr/>
              <w:t> </w:t>
            </w:r>
          </w:p>
        </w:tc>
        <w:tc>
          <w:tcPr>
            <w:tcW w:w="107"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2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3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Total research and development expenses increased $2.2 million for the three months ended March 31, 2025, compared to the three months ended March 31, 2024. The increase in research and development expense was primarily the result of increased CRO and CDMO costs related to the discovery and development of TX2100.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general and administrative expenses for the three months ended March 31, 2025 and 2024: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30"/>
        <w:gridCol w:w="223"/>
        <w:gridCol w:w="288"/>
        <w:gridCol w:w="1155"/>
        <w:gridCol w:w="123"/>
        <w:gridCol w:w="345"/>
        <w:gridCol w:w="288"/>
        <w:gridCol w:w="1159"/>
        <w:gridCol w:w="60"/>
        <w:gridCol w:w="223"/>
        <w:gridCol w:w="199"/>
        <w:gridCol w:w="809"/>
        <w:gridCol w:w="60"/>
        <w:gridCol w:w="223"/>
        <w:gridCol w:w="152"/>
        <w:gridCol w:w="970"/>
        <w:gridCol w:w="281"/>
      </w:tblGrid>
      <w:tr>
        <w:trPr/>
        <w:tc>
          <w:tcPr>
            <w:tcW w:w="283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83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3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March 31,</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0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left"/>
              <w:rPr/>
            </w:pPr>
            <w:r>
              <w:rPr/>
              <w:t> </w:t>
            </w:r>
          </w:p>
        </w:tc>
        <w:tc>
          <w:tcPr>
            <w:tcW w:w="281" w:type="dxa"/>
            <w:tcBorders/>
            <w:vAlign w:val="bottom"/>
          </w:tcPr>
          <w:p>
            <w:pPr>
              <w:pStyle w:val="TableContents"/>
              <w:bidi w:val="0"/>
              <w:spacing w:before="0" w:after="283"/>
              <w:jc w:val="left"/>
              <w:rPr/>
            </w:pPr>
            <w:r>
              <w:rPr/>
              <w:t> </w:t>
            </w:r>
          </w:p>
        </w:tc>
      </w:tr>
      <w:tr>
        <w:trPr/>
        <w:tc>
          <w:tcPr>
            <w:tcW w:w="283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2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Change</w:t>
            </w:r>
          </w:p>
        </w:tc>
        <w:tc>
          <w:tcPr>
            <w:tcW w:w="281" w:type="dxa"/>
            <w:tcBorders/>
            <w:vAlign w:val="bottom"/>
          </w:tcPr>
          <w:p>
            <w:pPr>
              <w:pStyle w:val="TableContents"/>
              <w:bidi w:val="0"/>
              <w:spacing w:before="0" w:after="283"/>
              <w:jc w:val="left"/>
              <w:rPr/>
            </w:pPr>
            <w:r>
              <w:rPr/>
              <w:t> </w:t>
            </w:r>
          </w:p>
        </w:tc>
      </w:tr>
      <w:tr>
        <w:trPr/>
        <w:tc>
          <w:tcPr>
            <w:tcW w:w="283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054" w:type="dxa"/>
            <w:gridSpan w:val="14"/>
            <w:tcBorders/>
            <w:vAlign w:val="bottom"/>
          </w:tcPr>
          <w:p>
            <w:pPr>
              <w:pStyle w:val="TableContents"/>
              <w:bidi w:val="0"/>
              <w:spacing w:before="0" w:after="283"/>
              <w:jc w:val="center"/>
              <w:rPr>
                <w:b/>
              </w:rPr>
            </w:pPr>
            <w:r>
              <w:rPr>
                <w:b/>
              </w:rPr>
              <w:t>(dollars in thousands)</w:t>
            </w:r>
          </w:p>
        </w:tc>
        <w:tc>
          <w:tcPr>
            <w:tcW w:w="281" w:type="dxa"/>
            <w:tcBorders/>
            <w:vAlign w:val="bottom"/>
          </w:tcPr>
          <w:p>
            <w:pPr>
              <w:pStyle w:val="TableContents"/>
              <w:bidi w:val="0"/>
              <w:spacing w:before="0" w:after="283"/>
              <w:jc w:val="left"/>
              <w:rPr/>
            </w:pPr>
            <w:r>
              <w:rPr/>
              <w:t> </w:t>
            </w:r>
          </w:p>
        </w:tc>
      </w:tr>
      <w:tr>
        <w:trPr/>
        <w:tc>
          <w:tcPr>
            <w:tcW w:w="2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Employee-related expenses, including stock-based compensation</w:t>
            </w:r>
          </w:p>
        </w:tc>
        <w:tc>
          <w:tcPr>
            <w:tcW w:w="22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1155" w:type="dxa"/>
            <w:tcBorders/>
            <w:shd w:fill="CCEEFF" w:val="clear"/>
            <w:vAlign w:val="bottom"/>
          </w:tcPr>
          <w:p>
            <w:pPr>
              <w:pStyle w:val="TableContents"/>
              <w:bidi w:val="0"/>
              <w:spacing w:before="0" w:after="283"/>
              <w:jc w:val="right"/>
              <w:rPr/>
            </w:pPr>
            <w:r>
              <w:rPr/>
              <w:t>2,519</w:t>
            </w:r>
          </w:p>
        </w:tc>
        <w:tc>
          <w:tcPr>
            <w:tcW w:w="123"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w:t>
            </w:r>
          </w:p>
        </w:tc>
        <w:tc>
          <w:tcPr>
            <w:tcW w:w="1159" w:type="dxa"/>
            <w:tcBorders/>
            <w:shd w:fill="CCEEFF" w:val="clear"/>
            <w:vAlign w:val="bottom"/>
          </w:tcPr>
          <w:p>
            <w:pPr>
              <w:pStyle w:val="TableContents"/>
              <w:bidi w:val="0"/>
              <w:spacing w:before="0" w:after="283"/>
              <w:jc w:val="right"/>
              <w:rPr/>
            </w:pPr>
            <w:r>
              <w:rPr/>
              <w:t>1,246</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1,273</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102</w:t>
            </w:r>
          </w:p>
        </w:tc>
        <w:tc>
          <w:tcPr>
            <w:tcW w:w="281" w:type="dxa"/>
            <w:tcBorders/>
            <w:shd w:fill="CCEEFF" w:val="clear"/>
            <w:vAlign w:val="bottom"/>
          </w:tcPr>
          <w:p>
            <w:pPr>
              <w:pStyle w:val="TableContents"/>
              <w:bidi w:val="0"/>
              <w:spacing w:before="0" w:after="283"/>
              <w:jc w:val="left"/>
              <w:rPr/>
            </w:pPr>
            <w:r>
              <w:rPr/>
              <w:t>% </w:t>
            </w:r>
          </w:p>
        </w:tc>
      </w:tr>
      <w:tr>
        <w:trPr/>
        <w:tc>
          <w:tcPr>
            <w:tcW w:w="2830" w:type="dxa"/>
            <w:tcBorders/>
          </w:tcPr>
          <w:p>
            <w:pPr>
              <w:pStyle w:val="TableContents"/>
              <w:bidi w:val="0"/>
              <w:spacing w:before="0" w:after="0"/>
              <w:jc w:val="left"/>
              <w:rPr>
                <w:rFonts w:ascii="Times New Roman" w:hAnsi="Times New Roman"/>
                <w:sz w:val="20"/>
              </w:rPr>
            </w:pPr>
            <w:r>
              <w:rPr>
                <w:rFonts w:ascii="Times New Roman" w:hAnsi="Times New Roman"/>
                <w:sz w:val="20"/>
              </w:rPr>
              <w:t>Professional and consulting expenses</w:t>
            </w:r>
          </w:p>
        </w:tc>
        <w:tc>
          <w:tcPr>
            <w:tcW w:w="22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2,129</w:t>
            </w:r>
          </w:p>
        </w:tc>
        <w:tc>
          <w:tcPr>
            <w:tcW w:w="12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159" w:type="dxa"/>
            <w:tcBorders/>
            <w:vAlign w:val="bottom"/>
          </w:tcPr>
          <w:p>
            <w:pPr>
              <w:pStyle w:val="TableContents"/>
              <w:bidi w:val="0"/>
              <w:spacing w:before="0" w:after="283"/>
              <w:jc w:val="right"/>
              <w:rPr/>
            </w:pPr>
            <w:r>
              <w:rPr/>
              <w:t>582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1,547</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266</w:t>
            </w:r>
          </w:p>
        </w:tc>
        <w:tc>
          <w:tcPr>
            <w:tcW w:w="281" w:type="dxa"/>
            <w:tcBorders/>
            <w:vAlign w:val="bottom"/>
          </w:tcPr>
          <w:p>
            <w:pPr>
              <w:pStyle w:val="TableContents"/>
              <w:bidi w:val="0"/>
              <w:spacing w:before="0" w:after="283"/>
              <w:jc w:val="left"/>
              <w:rPr/>
            </w:pPr>
            <w:r>
              <w:rPr/>
              <w:t>% </w:t>
            </w:r>
          </w:p>
        </w:tc>
      </w:tr>
      <w:tr>
        <w:trPr/>
        <w:tc>
          <w:tcPr>
            <w:tcW w:w="2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Facility related and other expenses, including depreciation</w:t>
            </w:r>
          </w:p>
        </w:tc>
        <w:tc>
          <w:tcPr>
            <w:tcW w:w="223"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155" w:type="dxa"/>
            <w:tcBorders/>
            <w:shd w:fill="CCEEFF" w:val="clear"/>
            <w:vAlign w:val="bottom"/>
          </w:tcPr>
          <w:p>
            <w:pPr>
              <w:pStyle w:val="TableContents"/>
              <w:bidi w:val="0"/>
              <w:spacing w:before="0" w:after="283"/>
              <w:jc w:val="right"/>
              <w:rPr/>
            </w:pPr>
            <w:r>
              <w:rPr/>
              <w:t>614</w:t>
            </w:r>
          </w:p>
        </w:tc>
        <w:tc>
          <w:tcPr>
            <w:tcW w:w="123"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159" w:type="dxa"/>
            <w:tcBorders/>
            <w:shd w:fill="CCEEFF" w:val="clear"/>
            <w:vAlign w:val="bottom"/>
          </w:tcPr>
          <w:p>
            <w:pPr>
              <w:pStyle w:val="TableContents"/>
              <w:bidi w:val="0"/>
              <w:spacing w:before="0" w:after="283"/>
              <w:jc w:val="right"/>
              <w:rPr/>
            </w:pPr>
            <w:r>
              <w:rPr/>
              <w:t>322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292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91</w:t>
            </w:r>
          </w:p>
        </w:tc>
        <w:tc>
          <w:tcPr>
            <w:tcW w:w="281" w:type="dxa"/>
            <w:tcBorders/>
            <w:shd w:fill="CCEEFF" w:val="clear"/>
            <w:vAlign w:val="bottom"/>
          </w:tcPr>
          <w:p>
            <w:pPr>
              <w:pStyle w:val="TableContents"/>
              <w:bidi w:val="0"/>
              <w:spacing w:before="0" w:after="283"/>
              <w:jc w:val="left"/>
              <w:rPr/>
            </w:pPr>
            <w:r>
              <w:rPr/>
              <w:t>% </w:t>
            </w:r>
          </w:p>
        </w:tc>
      </w:tr>
      <w:tr>
        <w:trPr/>
        <w:tc>
          <w:tcPr>
            <w:tcW w:w="283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1155" w:type="dxa"/>
            <w:tcBorders/>
            <w:vAlign w:val="bottom"/>
          </w:tcPr>
          <w:p>
            <w:pPr>
              <w:pStyle w:val="TableContents"/>
              <w:pBdr>
                <w:top w:val="single" w:sz="2" w:space="1" w:color="000000"/>
              </w:pBdr>
              <w:bidi w:val="0"/>
              <w:spacing w:before="0" w:after="0"/>
              <w:jc w:val="left"/>
              <w:rPr/>
            </w:pPr>
            <w:r>
              <w:rPr/>
              <w:t> </w:t>
            </w:r>
          </w:p>
        </w:tc>
        <w:tc>
          <w:tcPr>
            <w:tcW w:w="123"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single" w:sz="2" w:space="1" w:color="000000"/>
              </w:pBdr>
              <w:bidi w:val="0"/>
              <w:spacing w:before="0" w:after="0"/>
              <w:jc w:val="left"/>
              <w:rPr/>
            </w:pPr>
            <w:r>
              <w:rPr/>
              <w:t> </w:t>
            </w:r>
          </w:p>
        </w:tc>
        <w:tc>
          <w:tcPr>
            <w:tcW w:w="11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97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r>
        <w:trPr/>
        <w:tc>
          <w:tcPr>
            <w:tcW w:w="2830" w:type="dxa"/>
            <w:tcBorders/>
          </w:tcPr>
          <w:p>
            <w:pPr>
              <w:pStyle w:val="TableContents"/>
              <w:bidi w:val="0"/>
              <w:spacing w:before="0" w:after="0"/>
              <w:jc w:val="left"/>
              <w:rPr>
                <w:rFonts w:ascii="Times New Roman" w:hAnsi="Times New Roman"/>
                <w:sz w:val="20"/>
              </w:rPr>
            </w:pPr>
            <w:r>
              <w:rPr>
                <w:rFonts w:ascii="Times New Roman" w:hAnsi="Times New Roman"/>
                <w:sz w:val="20"/>
              </w:rPr>
              <w:t>Total general and administrative expenses</w:t>
            </w:r>
          </w:p>
        </w:tc>
        <w:tc>
          <w:tcPr>
            <w:tcW w:w="22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1155" w:type="dxa"/>
            <w:tcBorders/>
            <w:vAlign w:val="bottom"/>
          </w:tcPr>
          <w:p>
            <w:pPr>
              <w:pStyle w:val="TableContents"/>
              <w:bidi w:val="0"/>
              <w:spacing w:before="0" w:after="283"/>
              <w:jc w:val="right"/>
              <w:rPr/>
            </w:pPr>
            <w:r>
              <w:rPr/>
              <w:t>5,262</w:t>
            </w:r>
          </w:p>
        </w:tc>
        <w:tc>
          <w:tcPr>
            <w:tcW w:w="12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w:t>
            </w:r>
          </w:p>
        </w:tc>
        <w:tc>
          <w:tcPr>
            <w:tcW w:w="1159" w:type="dxa"/>
            <w:tcBorders/>
            <w:vAlign w:val="bottom"/>
          </w:tcPr>
          <w:p>
            <w:pPr>
              <w:pStyle w:val="TableContents"/>
              <w:bidi w:val="0"/>
              <w:spacing w:before="0" w:after="283"/>
              <w:jc w:val="right"/>
              <w:rPr/>
            </w:pPr>
            <w:r>
              <w:rPr/>
              <w:t>2,150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3,112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283"/>
              <w:jc w:val="right"/>
              <w:rPr/>
            </w:pPr>
            <w:r>
              <w:rPr/>
              <w:t>145</w:t>
            </w:r>
          </w:p>
        </w:tc>
        <w:tc>
          <w:tcPr>
            <w:tcW w:w="281" w:type="dxa"/>
            <w:tcBorders/>
            <w:vAlign w:val="bottom"/>
          </w:tcPr>
          <w:p>
            <w:pPr>
              <w:pStyle w:val="TableContents"/>
              <w:bidi w:val="0"/>
              <w:spacing w:before="0" w:after="283"/>
              <w:jc w:val="left"/>
              <w:rPr/>
            </w:pPr>
            <w:r>
              <w:rPr/>
              <w:t>% </w:t>
            </w:r>
          </w:p>
        </w:tc>
      </w:tr>
      <w:tr>
        <w:trPr/>
        <w:tc>
          <w:tcPr>
            <w:tcW w:w="2830"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1155" w:type="dxa"/>
            <w:tcBorders/>
            <w:vAlign w:val="bottom"/>
          </w:tcPr>
          <w:p>
            <w:pPr>
              <w:pStyle w:val="TableContents"/>
              <w:pBdr>
                <w:top w:val="double" w:sz="6" w:space="1" w:color="000000"/>
              </w:pBdr>
              <w:bidi w:val="0"/>
              <w:spacing w:before="0" w:after="0"/>
              <w:jc w:val="left"/>
              <w:rPr/>
            </w:pPr>
            <w:r>
              <w:rPr/>
              <w:t> </w:t>
            </w:r>
          </w:p>
        </w:tc>
        <w:tc>
          <w:tcPr>
            <w:tcW w:w="123"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288" w:type="dxa"/>
            <w:tcBorders/>
            <w:vAlign w:val="bottom"/>
          </w:tcPr>
          <w:p>
            <w:pPr>
              <w:pStyle w:val="TableContents"/>
              <w:pBdr>
                <w:top w:val="double" w:sz="6" w:space="1" w:color="000000"/>
              </w:pBdr>
              <w:bidi w:val="0"/>
              <w:spacing w:before="0" w:after="0"/>
              <w:jc w:val="left"/>
              <w:rPr/>
            </w:pPr>
            <w:r>
              <w:rPr/>
              <w:t> </w:t>
            </w:r>
          </w:p>
        </w:tc>
        <w:tc>
          <w:tcPr>
            <w:tcW w:w="11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970"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increased $3.1 million for the three months ended March 31, 2025 compared to the three months ended March 31, 2024. Personnel-related expenses increased $1.3 million during the three months ended March 31, 2025 compared to the three months ended March 31, 2024. The increase in personnel-related expenses was primarily due to an increase in stock-based compensation for newly granted stock-based awards. Professional and consulting fees increased $1.5 million during the three months ended March 31, 2025 compared to the three months ended March 31, 2024 due to an increase in audit, legal and administrative services to support our operations as a public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Income, Net </w:t>
      </w:r>
    </w:p>
    <w:p>
      <w:pPr>
        <w:pStyle w:val="TextBody"/>
        <w:bidi w:val="0"/>
        <w:spacing w:before="12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$2.2 million for the three months ended March 31, 2025 compared to the three months ended March 31, 2024 primarily due to an increase in cash and cash equivalents as a result of the Merger and Private 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CDMOs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have any approved products and have never generated any revenue from product sales. We have funded our operations with proceeds from the sale of convertible preferred stock, the issuance of convertible promissory notes, the Merger, and sale of common stock. In February 2025, we sold shares of our common stock under a securities purchase agreement in exchange for gross proceeds of approximately $185.0 million. As of March 31, 2025, we had $306.2 million in cash and cash equivalents and an accumulated deficit of $164.5 million. Based on our current business plans, management believes that our cash, cash equivalents and marketable securities on hand at December 31, 2024 are sufficient to meet our operating requirements for at least the next 12 months from the issuance of the consolidated financial statements included in this Quarterly Report. We have based this estimate on assumptions that may prove to be wrong, and we could exhaust our capital resources sooner than we expect.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a summary of our cash flows for the three months ended March 31, 2025 and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09"/>
        <w:gridCol w:w="303"/>
        <w:gridCol w:w="140"/>
        <w:gridCol w:w="812"/>
        <w:gridCol w:w="159"/>
        <w:gridCol w:w="247"/>
        <w:gridCol w:w="140"/>
        <w:gridCol w:w="782"/>
        <w:gridCol w:w="163"/>
      </w:tblGrid>
      <w:tr>
        <w:trPr/>
        <w:tc>
          <w:tcPr>
            <w:tcW w:w="5009"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0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163" w:type="dxa"/>
            <w:tcBorders/>
            <w:vAlign w:val="bottom"/>
          </w:tcPr>
          <w:p>
            <w:pPr>
              <w:pStyle w:val="TableContents"/>
              <w:bidi w:val="0"/>
              <w:spacing w:before="0" w:after="283"/>
              <w:jc w:val="left"/>
              <w:rPr/>
            </w:pPr>
            <w:r>
              <w:rPr/>
              <w:t> </w:t>
            </w:r>
          </w:p>
        </w:tc>
      </w:tr>
      <w:tr>
        <w:trPr/>
        <w:tc>
          <w:tcPr>
            <w:tcW w:w="500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3" w:type="dxa"/>
            <w:tcBorders/>
            <w:vAlign w:val="bottom"/>
          </w:tcPr>
          <w:p>
            <w:pPr>
              <w:pStyle w:val="TableContents"/>
              <w:bidi w:val="0"/>
              <w:spacing w:before="0" w:after="283"/>
              <w:jc w:val="left"/>
              <w:rPr/>
            </w:pPr>
            <w:r>
              <w:rPr/>
              <w:t> </w:t>
            </w:r>
          </w:p>
        </w:tc>
      </w:tr>
      <w:tr>
        <w:trPr/>
        <w:tc>
          <w:tcPr>
            <w:tcW w:w="5009"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2280" w:type="dxa"/>
            <w:gridSpan w:val="6"/>
            <w:tcBorders/>
            <w:vAlign w:val="bottom"/>
          </w:tcPr>
          <w:p>
            <w:pPr>
              <w:pStyle w:val="TableContents"/>
              <w:bidi w:val="0"/>
              <w:spacing w:before="0" w:after="283"/>
              <w:jc w:val="center"/>
              <w:rPr>
                <w:b/>
              </w:rPr>
            </w:pPr>
            <w:r>
              <w:rPr>
                <w:b/>
              </w:rPr>
              <w:t>(in thousands)</w:t>
            </w:r>
          </w:p>
        </w:tc>
        <w:tc>
          <w:tcPr>
            <w:tcW w:w="163" w:type="dxa"/>
            <w:tcBorders/>
            <w:vAlign w:val="bottom"/>
          </w:tcPr>
          <w:p>
            <w:pPr>
              <w:pStyle w:val="TableContents"/>
              <w:bidi w:val="0"/>
              <w:spacing w:before="0" w:after="283"/>
              <w:jc w:val="left"/>
              <w:rPr/>
            </w:pPr>
            <w:r>
              <w:rPr/>
              <w:t> </w:t>
            </w:r>
          </w:p>
        </w:tc>
      </w:tr>
      <w:tr>
        <w:trPr/>
        <w:tc>
          <w:tcPr>
            <w:tcW w:w="50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(13,083</w:t>
            </w:r>
          </w:p>
        </w:tc>
        <w:tc>
          <w:tcPr>
            <w:tcW w:w="15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(9,273</w:t>
            </w:r>
          </w:p>
        </w:tc>
        <w:tc>
          <w:tcPr>
            <w:tcW w:w="163" w:type="dxa"/>
            <w:tcBorders/>
            <w:shd w:fill="CCEEFF" w:val="clear"/>
            <w:vAlign w:val="bottom"/>
          </w:tcPr>
          <w:p>
            <w:pPr>
              <w:pStyle w:val="TableContents"/>
              <w:bidi w:val="0"/>
              <w:spacing w:before="0" w:after="283"/>
              <w:jc w:val="left"/>
              <w:rPr/>
            </w:pPr>
            <w:r>
              <w:rPr/>
              <w:t>) </w:t>
            </w:r>
          </w:p>
        </w:tc>
      </w:tr>
      <w:tr>
        <w:trPr/>
        <w:tc>
          <w:tcPr>
            <w:tcW w:w="500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(27</w:t>
            </w:r>
          </w:p>
        </w:tc>
        <w:tc>
          <w:tcPr>
            <w:tcW w:w="15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(4</w:t>
            </w:r>
          </w:p>
        </w:tc>
        <w:tc>
          <w:tcPr>
            <w:tcW w:w="163" w:type="dxa"/>
            <w:tcBorders/>
            <w:vAlign w:val="bottom"/>
          </w:tcPr>
          <w:p>
            <w:pPr>
              <w:pStyle w:val="TableContents"/>
              <w:bidi w:val="0"/>
              <w:spacing w:before="0" w:after="283"/>
              <w:jc w:val="left"/>
              <w:rPr/>
            </w:pPr>
            <w:r>
              <w:rPr/>
              <w:t>) </w:t>
            </w:r>
          </w:p>
        </w:tc>
      </w:tr>
      <w:tr>
        <w:trPr/>
        <w:tc>
          <w:tcPr>
            <w:tcW w:w="50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pPr>
            <w:r>
              <w:rPr/>
              <w:t>178,122</w:t>
            </w:r>
          </w:p>
        </w:tc>
        <w:tc>
          <w:tcPr>
            <w:tcW w:w="15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(668</w:t>
            </w:r>
          </w:p>
        </w:tc>
        <w:tc>
          <w:tcPr>
            <w:tcW w:w="163" w:type="dxa"/>
            <w:tcBorders/>
            <w:shd w:fill="CCEEFF" w:val="clear"/>
            <w:vAlign w:val="bottom"/>
          </w:tcPr>
          <w:p>
            <w:pPr>
              <w:pStyle w:val="TableContents"/>
              <w:bidi w:val="0"/>
              <w:spacing w:before="0" w:after="283"/>
              <w:jc w:val="left"/>
              <w:rPr/>
            </w:pPr>
            <w:r>
              <w:rPr/>
              <w:t>) </w:t>
            </w:r>
          </w:p>
        </w:tc>
      </w:tr>
      <w:tr>
        <w:trPr/>
        <w:tc>
          <w:tcPr>
            <w:tcW w:w="5009"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and cash equivalents</w:t>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2" w:type="dxa"/>
            <w:tcBorders/>
            <w:vAlign w:val="bottom"/>
          </w:tcPr>
          <w:p>
            <w:pPr>
              <w:pStyle w:val="TableContents"/>
              <w:bidi w:val="0"/>
              <w:spacing w:before="0" w:after="283"/>
              <w:jc w:val="right"/>
              <w:rPr/>
            </w:pPr>
            <w:r>
              <w:rPr/>
              <w:t>(5</w:t>
            </w:r>
          </w:p>
        </w:tc>
        <w:tc>
          <w:tcPr>
            <w:tcW w:w="15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pPr>
            <w:r>
              <w:rPr/>
              <w:t>(76</w:t>
            </w:r>
          </w:p>
        </w:tc>
        <w:tc>
          <w:tcPr>
            <w:tcW w:w="163" w:type="dxa"/>
            <w:tcBorders/>
            <w:vAlign w:val="bottom"/>
          </w:tcPr>
          <w:p>
            <w:pPr>
              <w:pStyle w:val="TableContents"/>
              <w:bidi w:val="0"/>
              <w:spacing w:before="0" w:after="283"/>
              <w:jc w:val="left"/>
              <w:rPr/>
            </w:pPr>
            <w:r>
              <w:rPr/>
              <w:t>) </w:t>
            </w:r>
          </w:p>
        </w:tc>
      </w:tr>
      <w:tr>
        <w:trPr/>
        <w:tc>
          <w:tcPr>
            <w:tcW w:w="5009"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50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Net increase (decrease) in cash, cash equivalents and </w:t>
              <w:br/>
              <w:t>restricted cash</w:t>
            </w:r>
          </w:p>
        </w:tc>
        <w:tc>
          <w:tcPr>
            <w:tcW w:w="30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2" w:type="dxa"/>
            <w:tcBorders/>
            <w:shd w:fill="CCEEFF" w:val="clear"/>
            <w:vAlign w:val="bottom"/>
          </w:tcPr>
          <w:p>
            <w:pPr>
              <w:pStyle w:val="TableContents"/>
              <w:bidi w:val="0"/>
              <w:spacing w:before="0" w:after="283"/>
              <w:jc w:val="right"/>
              <w:rPr/>
            </w:pPr>
            <w:r>
              <w:rPr/>
              <w:t>165,007</w:t>
            </w:r>
          </w:p>
        </w:tc>
        <w:tc>
          <w:tcPr>
            <w:tcW w:w="15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(10,021</w:t>
            </w:r>
          </w:p>
        </w:tc>
        <w:tc>
          <w:tcPr>
            <w:tcW w:w="163" w:type="dxa"/>
            <w:tcBorders/>
            <w:shd w:fill="CCEEFF" w:val="clear"/>
            <w:vAlign w:val="bottom"/>
          </w:tcPr>
          <w:p>
            <w:pPr>
              <w:pStyle w:val="TableContents"/>
              <w:bidi w:val="0"/>
              <w:spacing w:before="0" w:after="283"/>
              <w:jc w:val="left"/>
              <w:rPr/>
            </w:pPr>
            <w:r>
              <w:rPr/>
              <w:t>) </w:t>
            </w:r>
          </w:p>
        </w:tc>
      </w:tr>
      <w:tr>
        <w:trPr/>
        <w:tc>
          <w:tcPr>
            <w:tcW w:w="5009"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2025, cash used in operating activities was $13.1 million. Cash used in operating activities was primarily used to fund our operations to develop our product candidates resulting in a net loss of $15.9 million partially offset by non-cash charges of $3.0 million related to stock-based compensation expense, depreciation and amortization expense and lease expense.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2024, cash used in operating activities was $9.3 million. Cash used in operating activities was primarily due to the use of funds in our operations to develop our product candidates resulting in a net loss of $15.2 million, and changes in our operating assets and liabilities of $2.9 million, partially offset by non-cash charges of $3.1 million related to the change in the fair value of the SAFE liabilities, depreciation and amortization expense, stock-based compensation expense, and lease expense. The increase in operating assets and liabilities relates to accrued expenses, timing of vendor payments, and timing of lease repayments.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2025 and 2024, net cash used in investing activities was nominal and related to purchases of property and equipment.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2025, net cash provided by financing activities was $178.1 million, primarily due to net proceeds of $177.3 million from the sale of shares pursuant to the Private Placement and $1.0 million in proceeds from the exercise of stock options. Net cash used in financing activities during the three months ended March 31, 2024 was primarily due to the payment of $0.6 million of deferred offering costs related to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Funding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expect our expenses to increase in connection with our ongoing activities, particularly as we continue the research and development of, continue or initiate clinical trials of, and seek marketing approval for, our product candidates including our lead product candidate TX45 and TX2100. In addition, if we obtain marketing approval for TX45, TX2100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We expect our existing cash and cash equivalents will enable us to fund our operating expenses and capital expenditure requirements for at least the next twelve months. Our future capital requirements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product discovery,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prioritization and number of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our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access sufficient additional capital on a timely basis and on favorable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timing of process development and manufacturing scale-up activities associated with our product candidates and other programs as we advance them through preclinical and clinical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establish and maintain collaborations on favorable terms,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achievement of milestones or occurrence of other developments that trigger payments under the license agreements and any other collaboration agreements we enter into;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are obligated to reimburse, or entitled to reimbursement of, clinical trial costs under collaboration agreements,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filing and prosecuting patent applications, maintaining and enforcing our intellectual property rights and defending intellectual property-related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we acquire or in-license other product candidates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securing manufacturing arrangements for commercial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operating as a publicly traded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establishing or contracting for sales and marketing capabilities if we obtain regulatory approvals to market our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macroeconomic environment, including inflation and interest rates.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120" w:after="0"/>
        <w:jc w:val="left"/>
        <w:rPr>
          <w:rFonts w:ascii="Times New Roman" w:hAnsi="Times New Roman"/>
          <w:sz w:val="20"/>
        </w:rPr>
      </w:pPr>
      <w:r>
        <w:rPr>
          <w:rFonts w:ascii="Times New Roman" w:hAnsi="Times New Roman"/>
          <w:sz w:val="20"/>
        </w:rPr>
        <w:t xml:space="preserve">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expect to incur additional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no ongoing material financing commitments, such as lines of credit or guarantees, that are expected to affect our liquidity over the next five years, other than our lease obligations.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&amp; Commitments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 For further details regarding our significant contracts, and the commitments and contractual obligations contained within each contract, please refer to Note 11, </w:t>
      </w:r>
      <w:r>
        <w:rPr>
          <w:rFonts w:ascii="Times New Roman" w:hAnsi="Times New Roman"/>
          <w:i/>
          <w:sz w:val="20"/>
        </w:rPr>
        <w:t>Commitments and Contingencies</w:t>
      </w:r>
      <w:r>
        <w:rPr>
          <w:rFonts w:ascii="Times New Roman" w:hAnsi="Times New Roman"/>
          <w:sz w:val="20"/>
        </w:rPr>
        <w:t xml:space="preserve">, and to our consolidated financial statements included in this Quarterly Report, which is incorporated herein by reference. </w:t>
      </w:r>
    </w:p>
    <w:p>
      <w:pPr>
        <w:pStyle w:val="TextBody"/>
        <w:bidi w:val="0"/>
        <w:spacing w:before="120" w:after="0"/>
        <w:jc w:val="left"/>
        <w:rPr>
          <w:rFonts w:ascii="Times New Roman" w:hAnsi="Times New Roman"/>
          <w:sz w:val="20"/>
        </w:rPr>
      </w:pPr>
      <w:r>
        <w:rPr>
          <w:rFonts w:ascii="Times New Roman" w:hAnsi="Times New Roman"/>
          <w:sz w:val="20"/>
        </w:rPr>
        <w:t xml:space="preserve">We have lease obligations including amounts due on leases of certain laboratory equipment and office and laboratory space under the terms of non-cancelable operating and finance leases. The leases expire at various times through 2027. Minimum lease payments as of March 31, 2025 are $2.2 million in 2025, $0.5 million in 2026, and $0.1 million in 2027. The commitment amounts are associated with contracts that are enforceable and legally binding and that specify all significant terms, including fixed or minimum services to be used, fixed, minimum or variable price provisions, and the approximate timing of the actions under the contracts. Such amounts do not include obligations under agreements that we can cancel without a significant penalty. </w:t>
      </w:r>
    </w:p>
    <w:p>
      <w:pPr>
        <w:pStyle w:val="TextBody"/>
        <w:bidi w:val="0"/>
        <w:spacing w:before="120" w:after="0"/>
        <w:jc w:val="left"/>
        <w:rPr>
          <w:rFonts w:ascii="Times New Roman" w:hAnsi="Times New Roman"/>
          <w:sz w:val="20"/>
        </w:rPr>
      </w:pPr>
      <w:r>
        <w:rPr>
          <w:rFonts w:ascii="Times New Roman" w:hAnsi="Times New Roman"/>
          <w:sz w:val="20"/>
        </w:rPr>
        <w:t xml:space="preserve">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1" w:name="q15014_9"/>
      <w:bookmarkEnd w:id="11"/>
      <w:r>
        <w:rPr>
          <w:rFonts w:ascii="Times New Roman" w:hAnsi="Times New Roman"/>
          <w:b/>
          <w:sz w:val="20"/>
        </w:rPr>
        <w:t xml:space="preserve">Item 3. Quantitative and Qualitative Disclosures About Market Risk. </w:t>
      </w:r>
    </w:p>
    <w:p>
      <w:pPr>
        <w:pStyle w:val="TextBody"/>
        <w:bidi w:val="0"/>
        <w:spacing w:before="120" w:after="0"/>
        <w:jc w:val="left"/>
        <w:rPr>
          <w:rFonts w:ascii="Times New Roman" w:hAnsi="Times New Roman"/>
          <w:b/>
          <w:sz w:val="20"/>
        </w:rPr>
      </w:pPr>
      <w:r>
        <w:rPr>
          <w:rFonts w:ascii="Times New Roman" w:hAnsi="Times New Roman"/>
          <w:b/>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Our primary exposure to market risk is to market risk related to interest rate sensitivity, which is affected by changes in the general level of U.S. interest rates. As of March 31, 2025, we had cash and cash equivalents of $306.2 million, which consisted of cash and interest-bearing money market funds. As of March 31, 2025, we had an operating lease liability and a finance lease liability of $1.9 million and $0.8 million, respectively. Interest income and expenses are sensitive to changes in the general level of interest rates. However, due to the nature of these investments, an immediate 10% change in market interest rates would not have a material effect on the fair market value of our investment portfolio. </w:t>
      </w:r>
    </w:p>
    <w:p>
      <w:pPr>
        <w:pStyle w:val="TextBody"/>
        <w:bidi w:val="0"/>
        <w:spacing w:before="360" w:after="0"/>
        <w:jc w:val="left"/>
        <w:rPr>
          <w:rFonts w:ascii="Times New Roman" w:hAnsi="Times New Roman"/>
          <w:b/>
          <w:sz w:val="20"/>
        </w:rPr>
      </w:pPr>
      <w:r>
        <w:rPr>
          <w:rFonts w:ascii="Times New Roman" w:hAnsi="Times New Roman"/>
          <w:b/>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2" w:name="q15014_10"/>
      <w:bookmarkEnd w:id="12"/>
      <w:r>
        <w:rPr>
          <w:rFonts w:ascii="Times New Roman" w:hAnsi="Times New Roman"/>
          <w:b/>
          <w:sz w:val="20"/>
        </w:rPr>
        <w:t xml:space="preserve">Item 4. Controls and Procedures. </w:t>
      </w:r>
    </w:p>
    <w:p>
      <w:pPr>
        <w:pStyle w:val="TextBody"/>
        <w:bidi w:val="0"/>
        <w:spacing w:before="120" w:after="0"/>
        <w:jc w:val="left"/>
        <w:rPr>
          <w:rFonts w:ascii="Times New Roman" w:hAnsi="Times New Roman"/>
          <w:b/>
          <w:sz w:val="20"/>
        </w:rPr>
      </w:pPr>
      <w:r>
        <w:rPr>
          <w:rFonts w:ascii="Times New Roman" w:hAnsi="Times New Roman"/>
          <w:b/>
          <w:sz w:val="20"/>
        </w:rPr>
        <w:t xml:space="preserve">Evaluation of 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with the participation of our Chief Executive Officer and our Chief Financial Officer, evaluated the effectiveness of our disclosure controls and procedures as of March 31, 2025, the end of the period covered by this Quarterly Report. Based on the evaluation of our disclosure controls and procedures as of March 31, 2025, our Chief Executive Officer and Chief Financial Officer concluded that, as of such date, our disclosure controls and procedures were effective at the reasonable assurance level.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There were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 </w:t>
      </w:r>
    </w:p>
    <w:p>
      <w:pPr>
        <w:pStyle w:val="TextBody"/>
        <w:bidi w:val="0"/>
        <w:spacing w:before="360" w:after="0"/>
        <w:jc w:val="left"/>
        <w:rPr>
          <w:rFonts w:ascii="Times New Roman" w:hAnsi="Times New Roman"/>
          <w:b/>
          <w:sz w:val="20"/>
        </w:rPr>
      </w:pPr>
      <w:r>
        <w:rPr>
          <w:rFonts w:ascii="Times New Roman" w:hAnsi="Times New Roman"/>
          <w:b/>
          <w:sz w:val="20"/>
        </w:rPr>
        <w:t xml:space="preserve">Inherent Limitations on Effectiveness of Controls </w:t>
      </w:r>
    </w:p>
    <w:p>
      <w:pPr>
        <w:pStyle w:val="TextBody"/>
        <w:bidi w:val="0"/>
        <w:spacing w:before="120" w:after="0"/>
        <w:jc w:val="left"/>
        <w:rPr>
          <w:rFonts w:ascii="Times New Roman" w:hAnsi="Times New Roman"/>
          <w:sz w:val="20"/>
        </w:rPr>
      </w:pPr>
      <w:r>
        <w:rPr>
          <w:rFonts w:ascii="Times New Roman" w:hAnsi="Times New Roman"/>
          <w:sz w:val="20"/>
        </w:rPr>
        <w:t xml:space="preserve">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q15014_11"/>
      <w:bookmarkEnd w:id="13"/>
      <w:r>
        <w:rPr>
          <w:rFonts w:ascii="Times New Roman" w:hAnsi="Times New Roman"/>
          <w:b/>
          <w:sz w:val="20"/>
        </w:rPr>
        <w:t xml:space="preserve">PART IIOTHER INFORMATION </w:t>
      </w:r>
    </w:p>
    <w:p>
      <w:pPr>
        <w:pStyle w:val="TextBody"/>
        <w:bidi w:val="0"/>
        <w:spacing w:before="240" w:after="0"/>
        <w:jc w:val="left"/>
        <w:rPr>
          <w:rFonts w:ascii="Times New Roman" w:hAnsi="Times New Roman"/>
          <w:b/>
          <w:sz w:val="20"/>
        </w:rPr>
      </w:pPr>
      <w:bookmarkStart w:id="14" w:name="q15014_12"/>
      <w:bookmarkEnd w:id="14"/>
      <w:r>
        <w:rPr>
          <w:rFonts w:ascii="Times New Roman" w:hAnsi="Times New Roman"/>
          <w:b/>
          <w:sz w:val="20"/>
        </w:rPr>
        <w:t xml:space="preserve">Item 1.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5" w:name="q15014_13"/>
      <w:bookmarkEnd w:id="15"/>
      <w:r>
        <w:rPr>
          <w:rFonts w:ascii="Times New Roman" w:hAnsi="Times New Roman"/>
          <w:b/>
          <w:sz w:val="20"/>
        </w:rPr>
        <w:t xml:space="preserve">Item 1A. Risk Factors. </w:t>
      </w:r>
    </w:p>
    <w:p>
      <w:pPr>
        <w:pStyle w:val="TextBody"/>
        <w:bidi w:val="0"/>
        <w:spacing w:before="120" w:after="0"/>
        <w:jc w:val="left"/>
        <w:rPr>
          <w:rFonts w:ascii="Times New Roman" w:hAnsi="Times New Roman"/>
          <w:sz w:val="20"/>
        </w:rPr>
      </w:pPr>
      <w:r>
        <w:rPr>
          <w:rFonts w:ascii="Times New Roman" w:hAnsi="Times New Roman"/>
          <w:sz w:val="20"/>
        </w:rPr>
        <w:t xml:space="preserve">Investing in the Companys common stock involves a high degree of risk. Careful consideration should be given to the following risk factors, in addition to the other information set forth in this Quarterly Report and in other documents that were filed and will be filed with the SEC, in evaluating the Company and its business. Additional risks and uncertainties not presently known to or that are currently seen as immaterial may also harm Companys business. If any of these risks occur, business, growth prospects, operating results and financial condition could be materially and adversely affected, the trading price of the Companys common stock could decline, and investors could lose part or all of their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 Factor Summary </w:t>
      </w:r>
    </w:p>
    <w:p>
      <w:pPr>
        <w:pStyle w:val="TextBody"/>
        <w:bidi w:val="0"/>
        <w:spacing w:before="120" w:after="0"/>
        <w:jc w:val="left"/>
        <w:rPr>
          <w:rFonts w:ascii="Times New Roman" w:hAnsi="Times New Roman"/>
          <w:sz w:val="20"/>
        </w:rPr>
      </w:pPr>
      <w:r>
        <w:rPr>
          <w:rFonts w:ascii="Times New Roman" w:hAnsi="Times New Roman"/>
          <w:sz w:val="20"/>
        </w:rPr>
        <w:t xml:space="preserve">The risk factors summarized below could materially and adversely affect our business, financial condition, operating results and prospects, and/or cause the price of our common stock to decline. These risks are discussed more fully below. Material risks that may affect our business, financial condition, results of operations, and trading price of our common stock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limited operating history, have incurred net losses in every year since our inception, and expect to continue to incur net losses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limited experience in therapeutic discovery and development and our GEODe platform may never result in the regulatory approval of a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clinical trials may fail to demonstrate substantial evidence of the safety, efficacy, purity and potency of our product candidates or any future product candidates, which would prevent or delay or limit the scope of regulatory approval and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successfully commercialize any product candidate for which we receive regulatory approval, or experience significant delays in doing so, our business will be materially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depends in part on our ability to protect our intellectual property. It is difficult and costly to protect our proprietary rights and technology, and we may not be able to ensure their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depend on intellectual property licensed from third parties and termination of any of these licenses could result in the loss of significant rights, which would harm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currently rely and expect to rely in the future on the use of manufacturing suites in third-party facilities or on third parties to manufacture TX45 and any other product candidates, and we may rely on third parties to produce and process our products,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could be adversely affected if we are unable to use third-party manufacturing suites or if the third-party manufacturers encounter difficulties in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significant competition from other biotechnology and pharmaceutical companies, and our operating results will suffer if we fail to compete effectively.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our common stock is expected to be volatile, and the market price of the common stock may drop.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attract and retain management and other key personnel, we may be unable to continue to successfully develop or commercialize our product candidates or otherwise implement our business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Our Financial Position and Cash Needs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a limited operating history and have incurred net losses in every year since our inception. We expect to continue to incur net losses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We are a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We also completed the Merger in June 2024 and have been operating under this structure for only a short time.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For the three months ended March 31, 2025 and 2024, we reported a net loss of $15.9 million and $15.2 million, respectively. As of March 31, 2025, we had an accumulated deficit of $164.5 million. We expect to continue to incur significant losses for the foreseeable future, and expect these losses to increase as we continue our research and development of, and seek regulatory approvals for, our lead product candidate, TX45, along with any future product candidates we may develop. </w:t>
      </w:r>
    </w:p>
    <w:p>
      <w:pPr>
        <w:pStyle w:val="TextBody"/>
        <w:bidi w:val="0"/>
        <w:spacing w:before="120" w:after="0"/>
        <w:jc w:val="left"/>
        <w:rPr>
          <w:rFonts w:ascii="Times New Roman" w:hAnsi="Times New Roman"/>
          <w:sz w:val="20"/>
        </w:rPr>
      </w:pPr>
      <w:r>
        <w:rPr>
          <w:rFonts w:ascii="Times New Roman" w:hAnsi="Times New Roman"/>
          <w:sz w:val="20"/>
        </w:rPr>
        <w:t xml:space="preserve">We anticipate that our expenses will increase substantially if, and 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the research and development of our clinical- and preclinical-stage product candidates and discovery-stage programs, including the continued development of our lead product candidate TX45;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the amount of research and development activities to identify and develop product candidates using our proprietary discovery approach;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milestone, royalty or other payments under in-license or collaboration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expand and protect our intellectual property portfolio;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our operational, financial and management systems and increase personnel, including personnel to support our clinical development, manufacturing and commercialization efforts and our operations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sales, marketing, medical affairs and distribution infrastructure to commercialize any products for which we may obtain marketing approval and intend to commercialize on our own or jointly with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 in or in-license other technologies;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 any delays or encounter any issues with any of the above, including but not limited to failed studies, complex results, manufacturing challenges, safety issues or other regulatory challenges.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p>
      <w:pPr>
        <w:pStyle w:val="TextBody"/>
        <w:bidi w:val="0"/>
        <w:spacing w:before="120" w:after="0"/>
        <w:jc w:val="left"/>
        <w:rPr>
          <w:rFonts w:ascii="Times New Roman" w:hAnsi="Times New Roman"/>
          <w:sz w:val="20"/>
        </w:rPr>
      </w:pPr>
      <w:r>
        <w:rPr>
          <w:rFonts w:ascii="Times New Roman" w:hAnsi="Times New Roman"/>
          <w:sz w:val="20"/>
        </w:rPr>
        <w:t xml:space="preserve">To date, we have financed our operations primarily through the sale and issuance of common stock, convertible preferred stock, convertible promissory notes and the issuance of SAFEs. We expect our expenses to increase in connection with our ongoing activities, particularly as we continue our Phase 1b and Phase 2 clinical trials of TX45, pursue manufacturing activities for our HHT product candidate, TX2100, and initiate health authority and/or IND enabling safety studies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As of March 31, 2025, we had $306.2 million in cash and cash equivalents. Although we believe that our available cash and cash equivalents will be sufficient to fund our planned operations for at least 12 months following the date of our consolidated financial statements included in this Quarterly Report, this belief is based on assumptions that may prove to be wrong, and we could use our available capital resources sooner than we currently expect. </w:t>
      </w:r>
    </w:p>
    <w:p>
      <w:pPr>
        <w:pStyle w:val="TextBody"/>
        <w:bidi w:val="0"/>
        <w:spacing w:before="120" w:after="0"/>
        <w:jc w:val="left"/>
        <w:rPr>
          <w:rFonts w:ascii="Times New Roman" w:hAnsi="Times New Roman"/>
          <w:sz w:val="20"/>
        </w:rPr>
      </w:pPr>
      <w:r>
        <w:rPr>
          <w:rFonts w:ascii="Times New Roman" w:hAnsi="Times New Roman"/>
          <w:sz w:val="20"/>
        </w:rPr>
        <w:t xml:space="preserve">Future capital requirements for TX45 or our preclinical programs will depend on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 of milestone and royalty payments we are required to make or are eligible to receive under our license agreements with Harvard and other license agreements,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potential new product candidates we identify and decide to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for additional or expanded pre-clinical studies and clinical trials beyond those that we plan to conduct with respect to our current and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growing the organization to the size needed to allow for the research, development and potential commercialization of our current or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filing patent applications, maintaining and enforcing patents or defending against infringement or other claims raised by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maintenance of our existing license and collaboration agreements and the entry into new license and collaboration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and costs involved in obtaining regulatory approval for our product candidates and any delays we may encounter as a result of evolving regulatory requirements or adverse results with respect to any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competing technological and market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and timing of completion of commercial-scale outsourced manufacturing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establishing sales, marketing and distribution capabilities for any product candidates for which we may receive regulatory approval in regions where we choose to commercialize our products on our 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revenues, if any, we may derive either directly or in the form of royalty payments from future sales of our product candidates, if approved;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acceptance of any approved product candidates.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or royalty financings, collaborations, strategic alliances, licensing arrangements and other marketing or distribution arrangements.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ability to raise additional funds will depend on financial, economic and market conditions and other factors, over which we may have no or limited control. Market volatility resulting from geopolitical and economic instability, including the conflicts between Russia and Ukraine and in the Middle East, current international trade and regulatory environment uncertainty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will cause dilution to our stockholders, and may restrict our operations, or require us to relinquish rights to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Until such time, if ever, as we can generate substantial product revenue, we expect to finance our cash needs through equity, debt or royalty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Discovery, Development and Regulatory Approval of Our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limited experience in therapeutic discovery and development and our GEODe platform may never result in the regulatory approval of a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very early in our development efforts. If we are unable to advance TX45 or any of our other product candidates through clinical development, obtain regulatory approval and ultimately commercialize TX45 or any of our other product candidates, or experience significant delays in doing so,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have no products approved for sale and our lead product candidate, TX45, will require clinical development, regulatory review and approval in each jurisdiction in which we intend to market it, access to sufficient commercial manufacturing capacity, and significant sales and marketing efforts before we can generate any revenue from product sales.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a Phase 1b clinical trial and recently initiated a Phase 2 clinical trial.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generate product revenues, which we do not expect will occur in the foreseeable future, if ever, will depend heavily on the successful development and eventual commercialization of TX45, TX2100, and any future product candidates we develop, which may never occur. TX45 and any future product candidates we develop will require additional preclinical and clinical development, management of clinical, preclinical and manufacturing activities, marketing approval in the United States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 and timely completion of preclinical studies and clinical trials for which the FDA, or any comparable foreign regulatory authority agree with the design, endpoints or implementation;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sufficiency of our financial and other resources to complete the necessary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receiving regulatory approvals or authorizations for conducting our planned clinical trials or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and successful patient enrollment in, and completion of, additional clinical trials on a timely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demonstrate to the satisfaction of the FDA or any comparable foreign regulatory authority that the applicable product candidate is safe, pure, and potent for its targeted indications;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demonstrate to the satisfaction of the FDA or any comparable foreign regulatory authority that the applicable product candidates risk-benefit ratio for its proposed indication is acceptable;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timely receipt of marketing approvals for our product candidates from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of any required post-marketing approval commitments to applicable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scaling up, either alone or with third-party manufacturers, manufacturing capabilities of clinical supply for our clinical trials and commercial manufacturing, if any of our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patent and proprietary information protection or regulatory exclusivity for our product candidates, both in the United States and internationally;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successfully scaling a sales and marketing organization and launching commercial sales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acceptance of our product candidates benefits and uses, if approved, by patients,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our product candidates following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companies developing and commercializing other therapies in the indications which our product candidates target;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and maintaining healthcare coverage and adequate reimbursement from third-party payors;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enforcing and defending intellectual property rights and claims.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 </w:t>
      </w:r>
    </w:p>
    <w:p>
      <w:pPr>
        <w:pStyle w:val="TextBody"/>
        <w:bidi w:val="0"/>
        <w:spacing w:before="120" w:after="0"/>
        <w:jc w:val="left"/>
        <w:rPr>
          <w:rFonts w:ascii="Times New Roman" w:hAnsi="Times New Roman"/>
          <w:sz w:val="20"/>
        </w:rPr>
      </w:pPr>
      <w:r>
        <w:rPr>
          <w:rFonts w:ascii="Times New Roman" w:hAnsi="Times New Roman"/>
          <w:sz w:val="20"/>
        </w:rPr>
        <w:t xml:space="preserve">To date, we have completed only one clinical trial (Phase 1a trial in normal healthy volunteer with TX45) required for the approval of any of our product candidates. Part A of our TX45 Phase1b trial in patients with Group 2 PH and HFpEF is complete and we are currently conducting a Part B trial in Group 2 PH patients with HFrEF. We are enrolling a TX45 Phase 2 clinical trial in Group 2 PH patients with HFpEF, and we may experience delays in our ongoing clinical trials or preclinical studies. Additionally, we do not know whether planned clinical trials will begin on time, need to be redesigned, enroll patients on time, have sufficient drug supply for our product candidates on a timely basis or be completed on schedule, if at all. Furthermore, our product candidate TX2100 is still in preclinical studies and the full results of such studies are not yet known.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or any future product candidates,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obtain regulatory authorizations to commence a trial;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 consensus with regulatory agencies as to the design or implementation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reach agreement on acceptable terms with prospective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obtain institutional review board (IRB) approval at each 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or failure to recruit a sufficient number of suitable patients to participate in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have patients complete a trial or return for post-treatment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sites deviating from trial protocol or dropping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adding new clinical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manufacture sufficient quantities of our product candidates for use in clinical trials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perform clinical trials in accordance with the FDAs or any other regulatory authoritys good clinical practices (GCP) requirements, or regulatory guidelines in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demonstrate to the satisfaction of the FDA or any comparable foreign regulatory authority that the applicable product candidates risk-benefit ratio for its proposed indication is acceptable;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requirements, policies and guidelines;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our third-party research contractors to comply with regulatory requirements or meet their contractual obligations to us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establishing the appropriate dosage levels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quality or stability of our product candidates falling below acceptable standards;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we could also encounter delays if a clinical trial is suspended or terminated by us,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120" w:after="0"/>
        <w:jc w:val="left"/>
        <w:rPr>
          <w:rFonts w:ascii="Times New Roman" w:hAnsi="Times New Roman"/>
          <w:sz w:val="20"/>
        </w:rPr>
      </w:pPr>
      <w:r>
        <w:rPr>
          <w:rFonts w:ascii="Times New Roman" w:hAnsi="Times New Roman"/>
          <w:sz w:val="20"/>
        </w:rPr>
        <w:t xml:space="preserve">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clinical trials may fail to demonstrate substantial evidence of the safety, efficacy, purity and potency of our product candidates or any future product candidates, which would prevent or delay or limit the scope of regulatory approval and commercialization. </w:t>
      </w:r>
    </w:p>
    <w:p>
      <w:pPr>
        <w:pStyle w:val="TextBody"/>
        <w:bidi w:val="0"/>
        <w:spacing w:before="120" w:after="0"/>
        <w:jc w:val="left"/>
        <w:rPr>
          <w:rFonts w:ascii="Times New Roman" w:hAnsi="Times New Roman"/>
          <w:sz w:val="20"/>
        </w:rPr>
      </w:pPr>
      <w:r>
        <w:rPr>
          <w:rFonts w:ascii="Times New Roman" w:hAnsi="Times New Roman"/>
          <w:sz w:val="20"/>
        </w:rPr>
        <w:t xml:space="preserve">To obtain the requisite regulatory approvals to market and sell any of our product candidates, including TX45 and any other future product candidates, we must demonstrate through extensive preclinical studies and clinical trials that our biologic products, including TX45, are safe and effective for use in each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w:t>
      </w:r>
    </w:p>
    <w:p>
      <w:pPr>
        <w:pStyle w:val="TextBody"/>
        <w:bidi w:val="0"/>
        <w:spacing w:before="120" w:after="0"/>
        <w:jc w:val="left"/>
        <w:rPr>
          <w:rFonts w:ascii="Times New Roman" w:hAnsi="Times New Roman"/>
          <w:sz w:val="20"/>
        </w:rPr>
      </w:pPr>
      <w:r>
        <w:rPr>
          <w:rFonts w:ascii="Times New Roman" w:hAnsi="Times New Roman"/>
          <w:sz w:val="20"/>
        </w:rPr>
        <w:t xml:space="preserve">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 </w:t>
      </w:r>
    </w:p>
    <w:p>
      <w:pPr>
        <w:pStyle w:val="TextBody"/>
        <w:bidi w:val="0"/>
        <w:spacing w:before="120" w:after="0"/>
        <w:jc w:val="left"/>
        <w:rPr>
          <w:rFonts w:ascii="Times New Roman" w:hAnsi="Times New Roman"/>
          <w:sz w:val="20"/>
        </w:rPr>
      </w:pPr>
      <w:r>
        <w:rPr>
          <w:rFonts w:ascii="Times New Roman" w:hAnsi="Times New Roman"/>
          <w:sz w:val="20"/>
        </w:rPr>
        <w:t xml:space="preserve">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our clinical development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lead product candidate, TX45, has been generally well tolerated in its preclinical studies, the Phase 1a healthy volunteer trial and our Phase 1b study in patients with Group 2 PH to date, the results from future preclinical studies and clinical trials, including of our other product candidates, may identify safety concerns or other undesirable properties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our ongoing Phase 1b clinical trial of TX45, the recently initiated Phase 2 clinical trial of TX45,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 </w:t>
      </w:r>
    </w:p>
    <w:p>
      <w:pPr>
        <w:pStyle w:val="TextBody"/>
        <w:bidi w:val="0"/>
        <w:spacing w:before="120" w:after="0"/>
        <w:jc w:val="left"/>
        <w:rPr>
          <w:rFonts w:ascii="Times New Roman" w:hAnsi="Times New Roman"/>
          <w:sz w:val="20"/>
        </w:rPr>
      </w:pPr>
      <w:r>
        <w:rPr>
          <w:rFonts w:ascii="Times New Roman" w:hAnsi="Times New Roman"/>
          <w:sz w:val="20"/>
        </w:rPr>
        <w:t xml:space="preserve">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t>
      </w:r>
    </w:p>
    <w:p>
      <w:pPr>
        <w:pStyle w:val="TextBody"/>
        <w:bidi w:val="0"/>
        <w:spacing w:before="120" w:after="0"/>
        <w:jc w:val="left"/>
        <w:rPr>
          <w:rFonts w:ascii="Times New Roman" w:hAnsi="Times New Roman"/>
          <w:sz w:val="20"/>
        </w:rPr>
      </w:pPr>
      <w:r>
        <w:rPr>
          <w:rFonts w:ascii="Times New Roman" w:hAnsi="Times New Roman"/>
          <w:sz w:val="20"/>
        </w:rPr>
        <w:t xml:space="preserve">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Additionally, if any of our product candidates receive marketing approval and we or others later identify undesirable or unacceptable side effects caused by such products, a number of potentially significant negative consequences could result,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withdraw approvals of such product and require us to take such approved product off the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the addition of labeling statements, specific warnings, a contraindication or field alerts to physicians and pharmacies;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required to change the way the product is administered, conduct additional clinical trials or change the labeling of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limitations on how we may promote the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the product may decrease significantly;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litigation or product liability claims;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reputation may suffer.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find it difficult to enroll patients in our clinical trials, which could delay or prevent us from proceeding with, or otherwise adversely affect, clinical trials of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location of trial sites in Eastern Europe for the Phase 1b and Phase II trials with their proximity to the conflict between Russia and the Ukraine;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obtaining, or the inability to obtain, required approvals from institutional review boards (IRBs) and ethics committees or other governing entities at clinical trial sites selected for participation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reaching agreement on acceptable terms with clinical trial sites on clinical budgets and/or clinical trial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deviations from the trial protocol by clinical trial sites and investigators, or failures to conduct the trial in accordance with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size and nature of the patient population and process for identifying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proximity and availability of clinical trial sites for prospective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eligibility and exclusion criteria for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 of the clinical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safety profile, to date, of the product candidate under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the product candidate under study;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perceived risks and benefits of our approach;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competing product candidates currently under investigation for the treatment of similar diseases or conditions, or competing clinical trials for similar product candidates or targeting patient populations meeting our patient eligibility criteria;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severity of the disease under investigation;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degree of progression of the patients disease at the time of enrollment;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obtain and maintain patient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 that enrolled patients will drop out before completion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 referral practices of physicians;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adequately monitor patients during and after treatment.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w:t>
      </w:r>
    </w:p>
    <w:p>
      <w:pPr>
        <w:pStyle w:val="TextBody"/>
        <w:bidi w:val="0"/>
        <w:spacing w:before="120" w:after="0"/>
        <w:jc w:val="left"/>
        <w:rPr>
          <w:rFonts w:ascii="Times New Roman" w:hAnsi="Times New Roman"/>
          <w:sz w:val="20"/>
        </w:rPr>
      </w:pPr>
      <w:r>
        <w:rPr>
          <w:rFonts w:ascii="Times New Roman" w:hAnsi="Times New Roman"/>
          <w:sz w:val="20"/>
        </w:rPr>
        <w:t xml:space="preserve">Delays in patient enrollment may result in increased costs or may affect the timing or outcome of our future clinical trials, which could prevent completion of these trials and adversely affect our ability to advance the development of our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Interim, topline and preliminary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 </w:t>
      </w:r>
    </w:p>
    <w:p>
      <w:pPr>
        <w:pStyle w:val="TextBody"/>
        <w:bidi w:val="0"/>
        <w:spacing w:before="120" w:after="0"/>
        <w:jc w:val="left"/>
        <w:rPr>
          <w:rFonts w:ascii="Times New Roman" w:hAnsi="Times New Roman"/>
          <w:sz w:val="20"/>
        </w:rPr>
      </w:pPr>
      <w:r>
        <w:rPr>
          <w:rFonts w:ascii="Times New Roman" w:hAnsi="Times New Roman"/>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Before we can commence clinical trials for any product candidate, we must complete extensive preclinical studies that support any future Investigational New Drug (IND) applications in the United States, or similar applications in other jurisdictions. In July 2024, we received clearance from the FDA for our IND application for our TX45 program.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a Phase 1b and the recently initiated Phase 2 clinical trials for TX45, including some trials which may be outside of the United States,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regulatory approval processes of the FDA and comparable foreign regulatory authorities are lengthy, time consuming and inherently unpredictable, and if we are ultimately unable to obtain regulatory approval for our product candidates, our business will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120" w:after="0"/>
        <w:jc w:val="left"/>
        <w:rPr>
          <w:rFonts w:ascii="Times New Roman" w:hAnsi="Times New Roman"/>
          <w:sz w:val="20"/>
        </w:rPr>
      </w:pPr>
      <w:r>
        <w:rPr>
          <w:rFonts w:ascii="Times New Roman" w:hAnsi="Times New Roman"/>
          <w:sz w:val="20"/>
        </w:rPr>
        <w:t xml:space="preserve">Our product candidates could fail to receive regulatory approval for many reasons,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the design or implementation of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to the satisfaction of the FDA or comparable foreign regulatory authorities that a product candidate is safe, pure and potent for its proposed indication;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population studied may not be sufficiently broad or representative to assure safety or efficacy in the population for which we seek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results of clinical trials may not meet the level of clinical significance required by the FDA or comparable foreign regulatory authorities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demonstrate that a product candidates clinical and other benefits outweigh its safety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disagree with our interpretation of data from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require additional preclinical studies or clinical trials beyond those that we currently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data collected from clinical trials of our product candidates may not be sufficient to support the submission of a Biologics License Application (BLA) as applicable, to the FDA or other submission or to obtain regulatory approval in the United States or elsewhere;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FDA or comparable foreign regulatory authorities may find deficiencies with or fail to approve the manufacturing processes or facilities of third-party manufacturers with which we contract for clinical and commercial supplies;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approval policies or regulations of the FDA or any comparable foreign regulatory authorities or the laws they enforce may significantly change in a manner rendering our clinical data insufficient for approval.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 </w:t>
      </w:r>
    </w:p>
    <w:p>
      <w:pPr>
        <w:pStyle w:val="TextBody"/>
        <w:bidi w:val="0"/>
        <w:spacing w:before="120" w:after="0"/>
        <w:jc w:val="left"/>
        <w:rPr>
          <w:rFonts w:ascii="Times New Roman" w:hAnsi="Times New Roman"/>
          <w:sz w:val="20"/>
        </w:rPr>
      </w:pPr>
      <w:r>
        <w:rPr>
          <w:rFonts w:ascii="Times New Roman" w:hAnsi="Times New Roman"/>
          <w:sz w:val="20"/>
        </w:rPr>
        <w:t xml:space="preserve">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FDA and any comparable foreign regulatory authorities may not accept data from trials conducted in locations outside of their jurisdiction. </w:t>
      </w:r>
    </w:p>
    <w:p>
      <w:pPr>
        <w:pStyle w:val="TextBody"/>
        <w:bidi w:val="0"/>
        <w:spacing w:before="120" w:after="0"/>
        <w:jc w:val="left"/>
        <w:rPr>
          <w:rFonts w:ascii="Times New Roman" w:hAnsi="Times New Roman"/>
          <w:sz w:val="20"/>
        </w:rPr>
      </w:pPr>
      <w:r>
        <w:rPr>
          <w:rFonts w:ascii="Times New Roman" w:hAnsi="Times New Roman"/>
          <w:sz w:val="20"/>
        </w:rPr>
        <w:t xml:space="preserve">We are presently conducting clinical development in the United States, Eastern Europe, the European Union, Australia, and New Zealand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CGMPs and GCP requirements for any clinical trials that we conduct post-approval.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120" w:after="0"/>
        <w:jc w:val="left"/>
        <w:rPr>
          <w:rFonts w:ascii="Times New Roman" w:hAnsi="Times New Roman"/>
          <w:sz w:val="20"/>
        </w:rPr>
      </w:pPr>
      <w:r>
        <w:rPr>
          <w:rFonts w:ascii="Times New Roman" w:hAnsi="Times New Roman"/>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 </w:t>
      </w:r>
    </w:p>
    <w:p>
      <w:pPr>
        <w:pStyle w:val="TextBody"/>
        <w:bidi w:val="0"/>
        <w:spacing w:before="120" w:after="0"/>
        <w:jc w:val="left"/>
        <w:rPr>
          <w:rFonts w:ascii="Times New Roman" w:hAnsi="Times New Roman"/>
          <w:sz w:val="20"/>
        </w:rPr>
      </w:pPr>
      <w:r>
        <w:rPr>
          <w:rFonts w:ascii="Times New Roman" w:hAnsi="Times New Roman"/>
          <w:sz w:val="20"/>
        </w:rPr>
        <w:t xml:space="preserve">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our products, withdrawal of the product from the market or voluntary or mandatory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refusal by the FDA to approve pending applications or supplements to approved applications filed by us or suspension or revocation of license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to permit the import or export of our product candidates;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 </w:t>
      </w:r>
    </w:p>
    <w:p>
      <w:pPr>
        <w:pStyle w:val="TextBody"/>
        <w:bidi w:val="0"/>
        <w:spacing w:before="120" w:after="0"/>
        <w:jc w:val="left"/>
        <w:rPr>
          <w:rFonts w:ascii="Times New Roman" w:hAnsi="Times New Roman"/>
          <w:sz w:val="20"/>
        </w:rPr>
      </w:pPr>
      <w:r>
        <w:rPr>
          <w:rFonts w:ascii="Times New Roman" w:hAnsi="Times New Roman"/>
          <w:sz w:val="20"/>
        </w:rPr>
        <w:t xml:space="preserve">The holder of a BLA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approved, our investigational products may face competition from biosimilars approved through an abbreviated regulatory pathway. </w:t>
      </w:r>
    </w:p>
    <w:p>
      <w:pPr>
        <w:pStyle w:val="TextBody"/>
        <w:bidi w:val="0"/>
        <w:spacing w:before="120" w:after="0"/>
        <w:jc w:val="left"/>
        <w:rPr>
          <w:rFonts w:ascii="Times New Roman" w:hAnsi="Times New Roman"/>
          <w:sz w:val="20"/>
        </w:rPr>
      </w:pPr>
      <w:r>
        <w:rPr>
          <w:rFonts w:ascii="Times New Roman" w:hAnsi="Times New Roman"/>
          <w:sz w:val="20"/>
        </w:rPr>
        <w:t xml:space="preserve">We are developing TX45 initially for the treatment of Group 2 Pulmonary Hypertension (PH) in HFpEF,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240" w:after="0"/>
        <w:jc w:val="left"/>
        <w:rPr>
          <w:rFonts w:ascii="Times New Roman" w:hAnsi="Times New Roman"/>
          <w:sz w:val="20"/>
        </w:rPr>
      </w:pPr>
      <w:r>
        <w:rPr>
          <w:rFonts w:ascii="Times New Roman" w:hAnsi="Times New Roman"/>
          <w:sz w:val="20"/>
        </w:rPr>
        <w:t xml:space="preserve">If competitors are able to obtain marketing approval for biosimilars referencing our products, our products may become subject to competition from such biosimilars, with the attendant competitive pressure and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exposed to costly and damaging liability claims, either when testing our product candidates in the clinic or at the commercial stage, and our product liability insurance may not cover all damages from such claims.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decreased demand for our products due to negative public perception;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injury to our reputation;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withdrawal of clinical trial participants or difficulties in recruiting new trial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initiation of investigations by regulators;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to defend or settle the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diversion of managements time and our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monetary awards to trial participants or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recalls, withdrawals or labeling, marketing or promotional restrictions;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revenues from product sales;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commercialize any of our product candidates, if approved.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Should any of the events described above occur, this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Due to our limited resources and access to capital, we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 TX45, TX2100, our business, financial condition and results of operations could be materially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seek orphan drug designation for product candidates we develop, and we may be unsuccessful or may be unable to maintain the benefits associated with orphan drug designation, including the potential for market exclusivity.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 </w:t>
      </w:r>
    </w:p>
    <w:p>
      <w:pPr>
        <w:pStyle w:val="TextBody"/>
        <w:bidi w:val="0"/>
        <w:spacing w:before="120" w:after="0"/>
        <w:jc w:val="left"/>
        <w:rPr>
          <w:rFonts w:ascii="Times New Roman" w:hAnsi="Times New Roman"/>
          <w:sz w:val="20"/>
        </w:rPr>
      </w:pPr>
      <w:r>
        <w:rPr>
          <w:rFonts w:ascii="Times New Roman" w:hAnsi="Times New Roman"/>
          <w:sz w:val="20"/>
        </w:rPr>
        <w:t xml:space="preserve">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 </w:t>
      </w:r>
    </w:p>
    <w:p>
      <w:pPr>
        <w:pStyle w:val="TextBody"/>
        <w:bidi w:val="0"/>
        <w:spacing w:before="120" w:after="0"/>
        <w:jc w:val="left"/>
        <w:rPr>
          <w:rFonts w:ascii="Times New Roman" w:hAnsi="Times New Roman"/>
          <w:sz w:val="20"/>
        </w:rPr>
      </w:pPr>
      <w:r>
        <w:rPr>
          <w:rFonts w:ascii="Times New Roman" w:hAnsi="Times New Roman"/>
          <w:sz w:val="20"/>
        </w:rPr>
        <w:t xml:space="preserve">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Commercialization of Our Product Candidates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unable to successfully commercialize any product candidate for which we receive regulatory approval, or experience significant delays in doing so, our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If we are successful in obtaining marketing approval from applicable regulatory authorities for TX45 or any other product candidate, our ability to generate revenues from any such products will depend on our success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launching commercial sales of such products,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receiving approved labels with claims that are necessary or desirable for successful marketing, and that do not contain safety or other limitations that would impede our ability to market such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market demand for such products through marketing, sales and promotion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hiring, training, and deploying a sales force or contracting with third parties to commercialize such products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strategic collaborations with, or offering licenses to, third parties to promote and sell such products in foreign markets where we receive marketing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manufacturing such products (i) in sufficient quantities, (ii) at acceptable quality and cost and (iii) in a presentation that is practical and compatible with the intended clinical use to meet commercial demand at launch and thereafter;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and maintaining agreements with wholesalers, distributors, and group purchasing organizations on commercially reasonable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patent and trade secret protection and regulatory exclusivity for such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achieving market acceptance of such products by patients, the medical community, and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achieving coverage and adequate reimbursement from third-party payors for such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patients willingness to pay out-of-pocket in the absence of such coverage and adequate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effectively competing with other therapies;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maintaining a continued acceptable safety profile of such products following launch.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we are not able to do any of the foregoing, our business, financial condition, results of operations, stock price and prospects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significant competition from other biotechnology and pharmaceutical companies, and our operating results will suffer if we fail to compete effectively.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compete in the segments of the biotechnology, pharmaceutical and other related industries that develop and market therapies for the treatment of Group 2 PH with HFpEF and Hereditary Hemorrhagic Telangiectasia (HHT) disorders. Although there are no other companies who have commercialized therapies for the same therapeutic areas that our product candidates target, there are many other companies, including large biotechnology and pharmaceutical companies, that are developing therapies for the same therapeutic areas. For example, AstraZeneca and Tenax Therapeutics for the treatment of Group 2 PH and Diagonal Therapeutics and Vaderis Therapeutics for the treatment of HHT. In addition, in January 2025, Eli Lilly terminated its Phase 2 trial of volenrelaxin, which has affected investor perception of relaxin product candidates in general.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 </w:t>
      </w:r>
    </w:p>
    <w:p>
      <w:pPr>
        <w:pStyle w:val="TextBody"/>
        <w:bidi w:val="0"/>
        <w:spacing w:before="120" w:after="0"/>
        <w:jc w:val="left"/>
        <w:rPr>
          <w:rFonts w:ascii="Times New Roman" w:hAnsi="Times New Roman"/>
          <w:sz w:val="20"/>
        </w:rPr>
      </w:pPr>
      <w:r>
        <w:rPr>
          <w:rFonts w:ascii="Times New Roman" w:hAnsi="Times New Roman"/>
          <w:sz w:val="20"/>
        </w:rPr>
        <w:t xml:space="preserve">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recruit, train and retain adequate numbers of effective sales and marketing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of sales personnel to obtain access to or educate adequate numbers of physicians on the benefits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lack of complementary products to be offered by sales personnel, which may put us at a competitive disadvantage relative to companies with more extensive product 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costs and expenses associated with creating an independent sales and marketing 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marketing and promotion above those anticipated by 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 </w:t>
      </w:r>
    </w:p>
    <w:p>
      <w:pPr>
        <w:pStyle w:val="TextBody"/>
        <w:bidi w:val="0"/>
        <w:spacing w:before="120" w:after="0"/>
        <w:jc w:val="left"/>
        <w:rPr>
          <w:rFonts w:ascii="Times New Roman" w:hAnsi="Times New Roman"/>
          <w:sz w:val="20"/>
        </w:rPr>
      </w:pPr>
      <w:r>
        <w:rPr>
          <w:rFonts w:ascii="Times New Roman" w:hAnsi="Times New Roman"/>
          <w:sz w:val="20"/>
        </w:rPr>
        <w:t xml:space="preserve">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 </w:t>
      </w:r>
    </w:p>
    <w:p>
      <w:pPr>
        <w:pStyle w:val="TextBody"/>
        <w:bidi w:val="0"/>
        <w:spacing w:before="120" w:after="0"/>
        <w:jc w:val="left"/>
        <w:rPr>
          <w:rFonts w:ascii="Times New Roman" w:hAnsi="Times New Roman"/>
          <w:sz w:val="20"/>
        </w:rPr>
      </w:pPr>
      <w:r>
        <w:rPr>
          <w:rFonts w:ascii="Times New Roman" w:hAnsi="Times New Roman"/>
          <w:sz w:val="20"/>
        </w:rPr>
        <w:t xml:space="preserve">We have never commercialized a product candidate for any indication. Even if our product candidates are approved by the appropriate regulatory authorities for marketing and sale, they may not gain acceptance among physicians, patients,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w:t>
      </w:r>
    </w:p>
    <w:p>
      <w:pPr>
        <w:pStyle w:val="TextBody"/>
        <w:bidi w:val="0"/>
        <w:spacing w:before="120" w:after="0"/>
        <w:jc w:val="left"/>
        <w:rPr>
          <w:rFonts w:ascii="Times New Roman" w:hAnsi="Times New Roman"/>
          <w:sz w:val="20"/>
        </w:rPr>
      </w:pPr>
      <w:r>
        <w:rPr>
          <w:rFonts w:ascii="Times New Roman" w:hAnsi="Times New Roman"/>
          <w:sz w:val="20"/>
        </w:rPr>
        <w:t xml:space="preserve">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clinical indications for which our product candidates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physicians, hospitals and patients considering our product candidates as a safe and effective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and perceived advantages of our product candidates over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prevalence and severity of any side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labeling or product insert requirements of the FDA or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or warnings contained in the labeling approved by the FDA or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market introduction of our product candidates in relation to other potentially competitive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our product candidates in relation to alternative treatments;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upfront costs or training required for physicians to administer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coverage and adequate reimbursement from third-party payors and government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patients to pay out-of-pocket in the absence of comprehensive coverage and reimbursement by third-party payors and government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convenience and ease of administration, including as compared to alternative treatments and competitive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sales and marketing efforts and distribution support;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presence or perceived risk of potential product liability claims.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may negatively impact our ability to profitably sell TX45 and any potential future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or any potential future product candidates, restrict or regulate post-approval activities and affect our ability to profitably sell any product for which we obtain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and amendments to certain aspects of the ACA. </w:t>
      </w:r>
    </w:p>
    <w:p>
      <w:pPr>
        <w:pStyle w:val="TextBody"/>
        <w:bidi w:val="0"/>
        <w:spacing w:before="120" w:after="0"/>
        <w:jc w:val="left"/>
        <w:rPr>
          <w:rFonts w:ascii="Times New Roman" w:hAnsi="Times New Roman"/>
          <w:sz w:val="20"/>
        </w:rPr>
      </w:pPr>
      <w:r>
        <w:rPr>
          <w:rFonts w:ascii="Times New Roman" w:hAnsi="Times New Roman"/>
          <w:sz w:val="20"/>
        </w:rPr>
        <w:t xml:space="preserve">For example, on August 16, 2022, the Inflation Reduction Act (the IRA), was signed into law, which among other things, (1) directs the Department of Health and Human Services (the HHS), to negotiate the price of certain high expenditure, single-source biologics that have been on the market for 11 years covered under Medicare (the Medicare Drug Price Negotiation Program)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 negotiation exemption to products with only one orphan drug designation, the IRA may decrease our interest in pursuing orphan drug designation for our product candidates in multiple indications. The IRA also, among other things, extends enhanced subsidies for individuals purchasing health insurance coverage in ACA marketplaces through plan year 2025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eliminates the donut hole under the Medicare Part D program beginning in 2025 by significantly lowering the beneficiary maximum out-of-pocket cost through a newly established manufacturer discount program. These provisions began to take effect progressively in fiscal year 2023. On August 15, 2024, HHS announced the agreed-upon reimbursement prices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The IRA permits HHS to implement many of these provisions through guidance, as opposed to regulation, for the initial years. HHS has and will continue to issue and update guidance as these programs are implemented. It is possible that the ACA and IRA may be subject to judicial or Congressional challenges in the future. It is unclear how any additional healthcare reform measures of the second Trump administration may impact the ACA or IRA, increase the pressure on drug pricing or limit the availability of coverage and adequate reimbursement for TX45 and any potential future product candidates, which would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w:t>
      </w:r>
    </w:p>
    <w:p>
      <w:pPr>
        <w:pStyle w:val="TextBody"/>
        <w:bidi w:val="0"/>
        <w:spacing w:before="120" w:after="0"/>
        <w:jc w:val="left"/>
        <w:rPr>
          <w:rFonts w:ascii="Times New Roman" w:hAnsi="Times New Roman"/>
          <w:sz w:val="20"/>
        </w:rPr>
      </w:pPr>
      <w:r>
        <w:rPr>
          <w:rFonts w:ascii="Times New Roman" w:hAnsi="Times New Roman"/>
          <w:sz w:val="20"/>
        </w:rPr>
        <w:t>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include, for example, directives to reduce agency workforce, program cuts,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w:t>
      </w:r>
      <w:r>
        <w:rPr>
          <w:rFonts w:ascii="Times New Roman" w:hAnsi="Times New Roman"/>
          <w:sz w:val="20"/>
          <w:u w:val="single"/>
        </w:rPr>
        <w:t>,</w:t>
      </w:r>
      <w:r>
        <w:rPr>
          <w:rFonts w:ascii="Times New Roman" w:hAnsi="Times New Roman"/>
          <w:sz w:val="20"/>
        </w:rPr>
        <w:t xml:space="preserve"> directing HHS and other agencies to lower prescription drug costs for Medicare through a variety of initiatives, including by improving upon the Medicare Drug Price Negotiation Program, and directing certain federal agencies to enforce existing law regarding hospital and plan price transparency and by standardizing prices across hospitals and health plans.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 </w:t>
      </w:r>
    </w:p>
    <w:p>
      <w:pPr>
        <w:pStyle w:val="TextBody"/>
        <w:bidi w:val="0"/>
        <w:spacing w:before="120" w:after="0"/>
        <w:jc w:val="left"/>
        <w:rPr>
          <w:rFonts w:ascii="Times New Roman" w:hAnsi="Times New Roman"/>
          <w:sz w:val="20"/>
        </w:rPr>
      </w:pPr>
      <w:r>
        <w:rPr>
          <w:rFonts w:ascii="Times New Roman" w:hAnsi="Times New Roman"/>
          <w:sz w:val="20"/>
        </w:rPr>
        <w:t xml:space="preserve">Such reforms could have an adverse effect on anticipated revenue from TX45 and any potential future product candidates that we may successfully develop and for which we may obtain regulatory approval and may affect our overall financial condition and ability to develop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 </w:t>
      </w:r>
    </w:p>
    <w:p>
      <w:pPr>
        <w:pStyle w:val="TextBody"/>
        <w:bidi w:val="0"/>
        <w:spacing w:before="120" w:after="0"/>
        <w:jc w:val="left"/>
        <w:rPr>
          <w:rFonts w:ascii="Times New Roman" w:hAnsi="Times New Roman"/>
          <w:sz w:val="20"/>
        </w:rPr>
      </w:pPr>
      <w:r>
        <w:rPr>
          <w:rFonts w:ascii="Times New Roman" w:hAnsi="Times New Roman"/>
          <w:sz w:val="20"/>
        </w:rPr>
        <w:t xml:space="preserve">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 </w:t>
      </w:r>
    </w:p>
    <w:p>
      <w:pPr>
        <w:pStyle w:val="TextBody"/>
        <w:bidi w:val="0"/>
        <w:spacing w:before="120" w:after="0"/>
        <w:jc w:val="left"/>
        <w:rPr>
          <w:rFonts w:ascii="Times New Roman" w:hAnsi="Times New Roman"/>
          <w:sz w:val="20"/>
        </w:rPr>
      </w:pPr>
      <w:r>
        <w:rPr>
          <w:rFonts w:ascii="Times New Roman" w:hAnsi="Times New Roman"/>
          <w:sz w:val="20"/>
        </w:rPr>
        <w:t xml:space="preserve">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120" w:after="0"/>
        <w:jc w:val="left"/>
        <w:rPr>
          <w:rFonts w:ascii="Times New Roman" w:hAnsi="Times New Roman"/>
          <w:sz w:val="20"/>
        </w:rPr>
      </w:pPr>
      <w:r>
        <w:rPr>
          <w:rFonts w:ascii="Times New Roman" w:hAnsi="Times New Roman"/>
          <w:sz w:val="20"/>
        </w:rPr>
        <w:t xml:space="preserve">Disruptions at the FDA and other agencies (including layoffs) may also slow the time necessary for new product candidates to be reviewed and/or approved by necessary government agencies, which would adversely affect our business. For example, many staff members from the FDA and other agencies have recently been laid off. If a prolonged government shutdown or disruption occurs, it could significantly impact the ability of the FDA to timely review and process our regulatory submissions, which could have a material adverse effect on our business. Further, future government shutdowns and/or disruptions could impact our ability to access the public markets and obtain necessary capital in order to properly capitalize and continue our operation.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 </w:t>
      </w:r>
    </w:p>
    <w:p>
      <w:pPr>
        <w:pStyle w:val="TextBody"/>
        <w:bidi w:val="0"/>
        <w:spacing w:before="120" w:after="0"/>
        <w:jc w:val="left"/>
        <w:rPr>
          <w:rFonts w:ascii="Times New Roman" w:hAnsi="Times New Roman"/>
          <w:sz w:val="20"/>
        </w:rPr>
      </w:pPr>
      <w:r>
        <w:rPr>
          <w:rFonts w:ascii="Times New Roman" w:hAnsi="Times New Roman"/>
          <w:sz w:val="20"/>
        </w:rPr>
        <w:t xml:space="preserve">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could be materially and adversely affected in the future by political unrest in China. </w:t>
      </w:r>
    </w:p>
    <w:p>
      <w:pPr>
        <w:pStyle w:val="TextBody"/>
        <w:bidi w:val="0"/>
        <w:spacing w:before="120" w:after="0"/>
        <w:jc w:val="left"/>
        <w:rPr>
          <w:rFonts w:ascii="Times New Roman" w:hAnsi="Times New Roman"/>
          <w:sz w:val="20"/>
        </w:rPr>
      </w:pPr>
      <w:r>
        <w:rPr>
          <w:rFonts w:ascii="Times New Roman" w:hAnsi="Times New Roman"/>
          <w:sz w:val="20"/>
        </w:rPr>
        <w:t>We are exposed to the possibility of product supply disruption and increased costs in the event of changes in the policies, laws, rules and regulations of the United States or Chinese governments, as well as political unrest or unstable economic conditions in China</w:t>
      </w:r>
      <w:r>
        <w:rPr>
          <w:rFonts w:ascii="Times New Roman" w:hAnsi="Times New Roman"/>
          <w:sz w:val="20"/>
          <w:u w:val="single"/>
        </w:rPr>
        <w:t xml:space="preserve">, </w:t>
      </w:r>
      <w:r>
        <w:rPr>
          <w:rFonts w:ascii="Times New Roman" w:hAnsi="Times New Roman"/>
          <w:sz w:val="20"/>
        </w:rPr>
        <w:t xml:space="preserve">because our key manufacturer and supplier for TX45 is located in China. For example, trade tensions between the United States and China have been escalating in recent years. The U.S. government has indicated its intent to adopt a new approach to trade policy and in some cases to renegotiate, or potentially terminate, certain existing bilateral or multi-lateral trade agreements. For example, in April 2025, the U.S. government announced a new universal baseline tariff of 10%, plus additional country-specific tariffs for select trading partners, on all U.S. imports. The ultimate impact of any tariffs will depend on various factors, including how long such tariffs remain in place, the ultimate levels and application of such tariffs and the extent to which other countries impose retaliatory tariffs. In addition, these newly proposed and imposed tariffs have resulted in threatened and actual retaliatory tariffs against U.S. goods.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House of Representatives of the prior Congress (the 118thCongress) passed the BIOSECURE Act, which proposed targeting U.S. government contracts, grants, and loans for entities that use biotechnology equipment or services from certain named Chinese biotechnology companies, and potentially additional Chinese biotechnology companies designated in the future. The language of the proposed BIOSECURE Act would, among other things, prohibit U.S. federal agencies from entering into or renewing any contract with any entity that uses biotechnology equipment or services produced or provided by a biotechnology company of concern. The version of the bill passed by the prior House of Representatives included a grandfathering provision allowing biotechnology equipment and services provided or produced by named biotechnology companies of concern under a contract or agreement entered into before the effective date until January 1, 2032. The BIOSECURE Act did not become law in the 118th Congress. It is unclear whether the current Congress (the 119th Congress) will introduce the BIOSECURE Act or similar legislation in this congressional session and, if so, how the scope, prohibitions, or designated biotechnology companies of concern may differ from the version of the BIOSECURE Act passed by the House in the prior 118th Congress. If these bills become law, or similar laws are passed, they could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International trade policies, including tariffs, sanctions and trade barriers may adversely affect our business, financial condition,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spacing w:before="120" w:after="0"/>
        <w:jc w:val="left"/>
        <w:rPr>
          <w:rFonts w:ascii="Times New Roman" w:hAnsi="Times New Roman"/>
          <w:sz w:val="20"/>
        </w:rPr>
      </w:pPr>
      <w:r>
        <w:rPr>
          <w:rFonts w:ascii="Times New Roman" w:hAnsi="Times New Roman"/>
          <w:sz w:val="20"/>
        </w:rPr>
        <w:t xml:space="preserve">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For example, WuXi Biologics manufactured TX45 for use in our Phase 1a, Phase 1b and the recently initiated Phase 2 clinical trials. We currently have a sole source relationship with WuXi Biologics for our supply of TX45. </w:t>
      </w:r>
    </w:p>
    <w:p>
      <w:pPr>
        <w:pStyle w:val="TextBody"/>
        <w:bidi w:val="0"/>
        <w:spacing w:before="120" w:after="0"/>
        <w:jc w:val="left"/>
        <w:rPr>
          <w:rFonts w:ascii="Times New Roman" w:hAnsi="Times New Roman"/>
          <w:sz w:val="20"/>
        </w:rPr>
      </w:pPr>
      <w:r>
        <w:rPr>
          <w:rFonts w:ascii="Times New Roman" w:hAnsi="Times New Roman"/>
          <w:sz w:val="20"/>
        </w:rPr>
        <w:t xml:space="preserve">Current or future tariffs will result in increased research and development expenses, including with respect to increased costs associated with active pharmaceutical ingredients,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 </w:t>
      </w:r>
    </w:p>
    <w:p>
      <w:pPr>
        <w:pStyle w:val="TextBody"/>
        <w:bidi w:val="0"/>
        <w:spacing w:before="120" w:after="0"/>
        <w:jc w:val="left"/>
        <w:rPr>
          <w:rFonts w:ascii="Times New Roman" w:hAnsi="Times New Roman"/>
          <w:sz w:val="20"/>
        </w:rPr>
      </w:pPr>
      <w:r>
        <w:rPr>
          <w:rFonts w:ascii="Times New Roman" w:hAnsi="Times New Roman"/>
          <w:sz w:val="20"/>
        </w:rPr>
        <w:t>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120" w:after="0"/>
        <w:jc w:val="left"/>
        <w:rPr>
          <w:rFonts w:ascii="Times New Roman" w:hAnsi="Times New Roman"/>
          <w:sz w:val="20"/>
        </w:rPr>
      </w:pPr>
      <w:r>
        <w:rPr>
          <w:rFonts w:ascii="Times New Roman" w:hAnsi="Times New Roman"/>
          <w:sz w:val="20"/>
        </w:rPr>
        <w:t xml:space="preserve">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supply chain issues may be exacerbated during disease outbreaks, epidemics and pandemics and may also impact the ability of our clinical trial sites to obtain basic medical supplies used in our trials in a timely fashion, if at all. </w:t>
      </w:r>
    </w:p>
    <w:p>
      <w:pPr>
        <w:pStyle w:val="TextBody"/>
        <w:bidi w:val="0"/>
        <w:spacing w:before="120" w:after="0"/>
        <w:jc w:val="left"/>
        <w:rPr>
          <w:rFonts w:ascii="Times New Roman" w:hAnsi="Times New Roman"/>
          <w:sz w:val="20"/>
        </w:rPr>
      </w:pPr>
      <w:r>
        <w:rPr>
          <w:rFonts w:ascii="Times New Roman" w:hAnsi="Times New Roman"/>
          <w:sz w:val="20"/>
        </w:rPr>
        <w:t xml:space="preserve">If our contract development and manufacturing organizations (CDMOs)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or TX2100 on our anticipated development timelines. Likewise, the operations of our third-party manufacturers may be requisitioned, diverted or allocated by U.S. or foreign government orders. If any of our CDMOs or raw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estimates of market opportunity and forecasts of market growth may prove to be inaccurate, and even if the markets in which we compete achieve the forecasted growth, our business may not grow at similar rates, or at all. </w:t>
      </w:r>
    </w:p>
    <w:p>
      <w:pPr>
        <w:pStyle w:val="TextBody"/>
        <w:bidi w:val="0"/>
        <w:spacing w:before="120" w:after="0"/>
        <w:jc w:val="left"/>
        <w:rPr>
          <w:rFonts w:ascii="Times New Roman" w:hAnsi="Times New Roman"/>
          <w:sz w:val="20"/>
        </w:rPr>
      </w:pPr>
      <w:r>
        <w:rPr>
          <w:rFonts w:ascii="Times New Roman" w:hAnsi="Times New Roman"/>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expects or the treatment population is narrowed by competition, physician choice or treatment guidelines, we may not generate significant revenue from sales of such products, even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we obtain approval to market TX45 or other potential future product candidates, these products may become subject to unfavorable pricing regulations, reimbursement practices from third-party payors or healthcare reform initiatives in the United States and abroad, which could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 </w:t>
      </w:r>
    </w:p>
    <w:p>
      <w:pPr>
        <w:pStyle w:val="TextBody"/>
        <w:bidi w:val="0"/>
        <w:spacing w:before="120" w:after="0"/>
        <w:jc w:val="left"/>
        <w:rPr>
          <w:rFonts w:ascii="Times New Roman" w:hAnsi="Times New Roman"/>
          <w:sz w:val="20"/>
        </w:rPr>
      </w:pPr>
      <w:r>
        <w:rPr>
          <w:rFonts w:ascii="Times New Roman" w:hAnsi="Times New Roman"/>
          <w:sz w:val="20"/>
        </w:rPr>
        <w:t xml:space="preserve">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success depends in part on our ability to protect our intellectual property. It is difficult and costly to protect our proprietary rights and technology, and we may not be able to ensure their protection.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will depend in large part on obtaining and maintaining patent, trademark and trade secret protection of our proprietary technologies and our product candidates, their respective components,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In addition, we cannot guarantee that patent applications or patents that we initially believe to be owned by the company will not be encumbered by third party ownership or other third party rights that may not have been evident to us at the time of preparation or filing. For instance, such rights could arise from the intellectual contributions of company employees who were previously employed by third parties, such as universities or other biopharmaceutical or pharmaceutical companies, including our competitors or potential competitors, or from the intellectual contributions of company consultants, advisors, or independent contractors with current or previous relationships with such third parties. Therefore, these patents and applications may not be prepared, filed, prosecuted or enforced in a manner consistent with the best interests of our business. Furthermore, licenses from such third parties may be required or desirable but may not be available on reasonable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w:t>
      </w:r>
    </w:p>
    <w:p>
      <w:pPr>
        <w:pStyle w:val="TextBody"/>
        <w:bidi w:val="0"/>
        <w:spacing w:before="120" w:after="0"/>
        <w:jc w:val="left"/>
        <w:rPr>
          <w:rFonts w:ascii="Times New Roman" w:hAnsi="Times New Roman"/>
          <w:sz w:val="20"/>
        </w:rPr>
      </w:pPr>
      <w:r>
        <w:rPr>
          <w:rFonts w:ascii="Times New Roman" w:hAnsi="Times New Roman"/>
          <w:sz w:val="20"/>
        </w:rPr>
        <w:t xml:space="preserve">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will/will not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has and will continue to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it is still developing its case law,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w:t>
      </w:r>
    </w:p>
    <w:p>
      <w:pPr>
        <w:pStyle w:val="TextBody"/>
        <w:bidi w:val="0"/>
        <w:spacing w:before="120" w:after="0"/>
        <w:jc w:val="left"/>
        <w:rPr>
          <w:rFonts w:ascii="Times New Roman" w:hAnsi="Times New Roman"/>
          <w:sz w:val="20"/>
        </w:rPr>
      </w:pPr>
      <w:r>
        <w:rPr>
          <w:rFonts w:ascii="Times New Roman" w:hAnsi="Times New Roman"/>
          <w:sz w:val="20"/>
        </w:rPr>
        <w:t xml:space="preserve">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be able to make or use compounds or cells that are similar to the biological compositions of our product candidates but that are not covered by the claims of our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active biological ingredients in our current product candidates will eventually become commercially available in biosimilar drug products, and no patent protection may be available with regard to formulation or method of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our licensors, as the case may be, may fail to meet our obligations to the U.S. government in regards to any in-licensed patents and patent applications funded by U.S. government grants, leading to the loss of patent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or our licensors, as the case may be, might not have been the first to file patent applications for these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others may independently develop similar or alternative technologies or duplicate any of our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our pending patent applications will not result in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prior public disclosures that could invalidate us or our licensors patents, as the case may be, or parts of ours or their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others may circumvent our owned or in-licensed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there are unpublished applications or patent applications maintained in secrecy that may later issue with claims covering our products or technology similar to our own;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laws of foreign countries may not protect ours or our licensors, as the case may be, proprietary rights to the same extent as the laws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claims of our owned or in-licensed issued patents or patent applications, if and when issued, may not cover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owned or in-licensed issued patents may not provide us with any competitive advantages, may be narrowed in scope, or be held invalid or unenforceable as a result of legal challenges by third parties;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inventors of our owned or in-licensed patents or patent applications may become involved with competitors, develop products or processes which design around our patents, or become hostile to us or the patents or patent applications on which they are named as inventors;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engaged in scientific collaborations in the past, and will continue to do so in the future. Such collaborators may develop adjacent or competing products to ours that are outside the scope of our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develop additional proprietary technologies for which we can obtain patent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possible that product candidates we develop may be covered by third parties patents or other exclusive rights;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patents of others may have an adverse effect on our business.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depend on intellectual property licensed from third parties and termination of any of these licenses could result in the loss of significant rights, which would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dependent on patents, know-how and proprietary technology, both our own and licensed from others including Harvard. Any termination of these licenses could result in the loss of significant rights and could harm our ability to commercialize our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Disputes may also arise between us and our licensors regarding intellectual property subject to a license agreement,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whether and the extent to which our technology and processes infringe on intellectual property of the licensor that is not subject to the licensing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to sublicense patent and other rights to third parties under collaborative development relationships;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diligence obligations with respect to the use of the licensed technology in relation to our development and commercialization of our product candidates, and what activities satisfy those diligence obligations;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inventorship or ownership of inventions and know-how resulting from the joint creation or use of intellectual property by our licensors and us and our partners.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comply with our obligations under our patent licenses with a third party, we could lose license rights that are important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a party license agreements pursuant to which we in-license key patent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 </w:t>
      </w:r>
    </w:p>
    <w:p>
      <w:pPr>
        <w:pStyle w:val="TextBody"/>
        <w:bidi w:val="0"/>
        <w:spacing w:before="120" w:after="0"/>
        <w:jc w:val="left"/>
        <w:rPr>
          <w:rFonts w:ascii="Times New Roman" w:hAnsi="Times New Roman"/>
          <w:sz w:val="20"/>
        </w:rPr>
      </w:pPr>
      <w:r>
        <w:rPr>
          <w:rFonts w:ascii="Times New Roman" w:hAnsi="Times New Roman"/>
          <w:sz w:val="20"/>
        </w:rPr>
        <w:t xml:space="preserve">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are unable to protect the confidentiality of our proprietary information, our business and competitive position would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 </w:t>
      </w:r>
    </w:p>
    <w:p>
      <w:pPr>
        <w:pStyle w:val="TextBody"/>
        <w:bidi w:val="0"/>
        <w:spacing w:before="120" w:after="0"/>
        <w:jc w:val="left"/>
        <w:rPr>
          <w:rFonts w:ascii="Times New Roman" w:hAnsi="Times New Roman"/>
          <w:sz w:val="20"/>
        </w:rPr>
      </w:pPr>
      <w:r>
        <w:rPr>
          <w:rFonts w:ascii="Times New Roman" w:hAnsi="Times New Roman"/>
          <w:sz w:val="20"/>
        </w:rPr>
        <w:t xml:space="preserve">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and techniques, including through contractual means with our employees and consultants, third parties may independently develop substantially equivalent proprietary information and techniques or otherwise gain access to, or disclose, our technology. </w:t>
      </w:r>
    </w:p>
    <w:p>
      <w:pPr>
        <w:pStyle w:val="TextBody"/>
        <w:bidi w:val="0"/>
        <w:spacing w:before="120" w:after="0"/>
        <w:jc w:val="left"/>
        <w:rPr>
          <w:rFonts w:ascii="Times New Roman" w:hAnsi="Times New Roman"/>
          <w:sz w:val="20"/>
        </w:rPr>
      </w:pPr>
      <w:r>
        <w:rPr>
          <w:rFonts w:ascii="Times New Roman" w:hAnsi="Times New Roman"/>
          <w:sz w:val="20"/>
        </w:rPr>
        <w:t xml:space="preserve">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Third-party claims of intellectual property infringement may prevent or delay our product discovery and development efforts. </w:t>
      </w:r>
    </w:p>
    <w:p>
      <w:pPr>
        <w:pStyle w:val="TextBody"/>
        <w:bidi w:val="0"/>
        <w:spacing w:before="120" w:after="0"/>
        <w:jc w:val="left"/>
        <w:rPr>
          <w:rFonts w:ascii="Times New Roman" w:hAnsi="Times New Roman"/>
          <w:sz w:val="20"/>
        </w:rPr>
      </w:pPr>
      <w:r>
        <w:rPr>
          <w:rFonts w:ascii="Times New Roman" w:hAnsi="Times New Roman"/>
          <w:sz w:val="20"/>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sz w:val="20"/>
        </w:rPr>
        <w:t xml:space="preserve">inter partes </w:t>
      </w:r>
      <w:r>
        <w:rPr>
          <w:rFonts w:ascii="Times New Roman" w:hAnsi="Times New Roman"/>
          <w:sz w:val="20"/>
        </w:rPr>
        <w:t xml:space="preserve">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 </w:t>
      </w:r>
    </w:p>
    <w:p>
      <w:pPr>
        <w:pStyle w:val="TextBody"/>
        <w:bidi w:val="0"/>
        <w:spacing w:before="120" w:after="0"/>
        <w:jc w:val="left"/>
        <w:rPr>
          <w:rFonts w:ascii="Times New Roman" w:hAnsi="Times New Roman"/>
          <w:sz w:val="20"/>
        </w:rPr>
      </w:pPr>
      <w:r>
        <w:rPr>
          <w:rFonts w:ascii="Times New Roman" w:hAnsi="Times New Roman"/>
          <w:sz w:val="20"/>
        </w:rPr>
        <w:t xml:space="preserve">If a third-party claims that we infringe its intellectual property rights, we may face a number of issues,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infringement and other intellectual property claims which, regardless of merit, may be expensive and time-consuming to litigate and may divert our managements attention from our core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prohibiting us from developing, manufacturing, marketing or selling our product candidates, or from using our proprietary technologies, unless the third party licenses its intellectual property rights to us, which it is not required to do;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license is available from a third party, we may have to pay substantial royalties, upfront fees and other amounts, and/or grant cross-licenses to intellectual property rights for its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redesigning our product candidates or processes so they do not infringe, which may not be possible or may require substantial monetary expenditures and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Third parties may assert that we are employing their proprietary technology without authorization. Generally, conducting clinical trials and other development activities in the United States is protected under the Safe Harbor exemption as set forth in 35 U.S.C. § 271. If and when TX45 or another one of our product candidates is approved by the FDA, certain third parties may seek to enforce their patents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Lastly, we may need to indemnify our customers and distributors against claims relating to the infringement of intellectual property rights of third parties related to our product candidates, including TX45.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Third parties may assert that our employees or consultants have wrongfully used or disclosed confidential information or misappropriated proprietary information. </w:t>
      </w:r>
    </w:p>
    <w:p>
      <w:pPr>
        <w:pStyle w:val="TextBody"/>
        <w:bidi w:val="0"/>
        <w:spacing w:before="120" w:after="0"/>
        <w:jc w:val="left"/>
        <w:rPr>
          <w:rFonts w:ascii="Times New Roman" w:hAnsi="Times New Roman"/>
          <w:sz w:val="20"/>
        </w:rPr>
      </w:pPr>
      <w:r>
        <w:rPr>
          <w:rFonts w:ascii="Times New Roman" w:hAnsi="Times New Roman"/>
          <w:sz w:val="20"/>
        </w:rPr>
        <w:t xml:space="preserve">As is common in the biotechnology and pharmaceutical industries, we employ individuals who were previously employed at universities or other biopharmaceutical or pharmaceutical companies, including our competitors or potential competitors. In addition, we have used and continue to use consultants, advisors, and/or independent contractors with relationships with third parties, including institutions and/or other companies. We try to ensure that our employees, consultants, advisors, and/or independent contractors have the right to assign to us intellectual property generated during their engagement with us, and that they do not use the proprietary information or know-how of others in their work for us. Although no claims against us are currently pending, there is no guarantee that in the future we may not be subject to claims that we or our employees, consultants, advisors, or independent contractors have inadvertently or otherwise used or disclosed intellectual property, including trade secrets or other proprietary information, of a former employer or other third parties, or improperly assign intellectual property rights to us.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w:t>
      </w:r>
    </w:p>
    <w:p>
      <w:pPr>
        <w:pStyle w:val="TextBody"/>
        <w:bidi w:val="0"/>
        <w:spacing w:before="120" w:after="0"/>
        <w:jc w:val="left"/>
        <w:rPr>
          <w:rFonts w:ascii="Times New Roman" w:hAnsi="Times New Roman"/>
          <w:sz w:val="20"/>
        </w:rPr>
      </w:pPr>
      <w:r>
        <w:rPr>
          <w:rFonts w:ascii="Times New Roman" w:hAnsi="Times New Roman"/>
          <w:sz w:val="20"/>
        </w:rPr>
        <w:t xml:space="preserve">Uncertainties resulting from the initiation and continuation of patent litigation or other intellectual property related proceedings could adversely affect our ability to compete in the marketplace.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successful in obtaining or maintaining necessary rights to develop any future product candidates on acceptable terms. </w:t>
      </w:r>
    </w:p>
    <w:p>
      <w:pPr>
        <w:pStyle w:val="TextBody"/>
        <w:bidi w:val="0"/>
        <w:spacing w:before="120" w:after="0"/>
        <w:jc w:val="left"/>
        <w:rPr>
          <w:rFonts w:ascii="Times New Roman" w:hAnsi="Times New Roman"/>
          <w:sz w:val="20"/>
        </w:rPr>
      </w:pPr>
      <w:r>
        <w:rPr>
          <w:rFonts w:ascii="Times New Roman" w:hAnsi="Times New Roman"/>
          <w:sz w:val="20"/>
        </w:rPr>
        <w:t xml:space="preserve">Because our programs may involve additional product candidates that may require the use of proprietary rights held by third parties, the growth of our business may depend in part on our ability to acquire, in-license or use these proprietary rights. </w:t>
      </w:r>
    </w:p>
    <w:p>
      <w:pPr>
        <w:pStyle w:val="TextBody"/>
        <w:bidi w:val="0"/>
        <w:spacing w:before="120" w:after="0"/>
        <w:jc w:val="left"/>
        <w:rPr>
          <w:rFonts w:ascii="Times New Roman" w:hAnsi="Times New Roman"/>
          <w:sz w:val="20"/>
        </w:rPr>
      </w:pPr>
      <w:r>
        <w:rPr>
          <w:rFonts w:ascii="Times New Roman" w:hAnsi="Times New Roman"/>
          <w:sz w:val="20"/>
        </w:rPr>
        <w:t xml:space="preserve">Our product candidates may also require specific formulations to work effectively and efficiently and these rights may be held by others. We may develop products containing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120" w:after="0"/>
        <w:jc w:val="left"/>
        <w:rPr>
          <w:rFonts w:ascii="Times New Roman" w:hAnsi="Times New Roman"/>
          <w:sz w:val="20"/>
        </w:rPr>
      </w:pPr>
      <w:r>
        <w:rPr>
          <w:rFonts w:ascii="Times New Roman" w:hAnsi="Times New Roman"/>
          <w:sz w:val="20"/>
        </w:rPr>
        <w:t xml:space="preserve">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 </w:t>
      </w:r>
    </w:p>
    <w:p>
      <w:pPr>
        <w:pStyle w:val="TextBody"/>
        <w:bidi w:val="0"/>
        <w:spacing w:before="120" w:after="0"/>
        <w:jc w:val="left"/>
        <w:rPr>
          <w:rFonts w:ascii="Times New Roman" w:hAnsi="Times New Roman"/>
          <w:sz w:val="20"/>
        </w:rPr>
      </w:pPr>
      <w:r>
        <w:rPr>
          <w:rFonts w:ascii="Times New Roman" w:hAnsi="Times New Roman"/>
          <w:sz w:val="20"/>
        </w:rPr>
        <w:t xml:space="preserve">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involved in lawsuits related to our patents or the patents of our licensors, which could be expensive, time-consuming and unsuccessful. </w:t>
      </w:r>
    </w:p>
    <w:p>
      <w:pPr>
        <w:pStyle w:val="TextBody"/>
        <w:bidi w:val="0"/>
        <w:spacing w:before="120" w:after="0"/>
        <w:jc w:val="left"/>
        <w:rPr>
          <w:rFonts w:ascii="Times New Roman" w:hAnsi="Times New Roman"/>
          <w:sz w:val="20"/>
        </w:rPr>
      </w:pPr>
      <w:r>
        <w:rPr>
          <w:rFonts w:ascii="Times New Roman" w:hAnsi="Times New Roman"/>
          <w:sz w:val="20"/>
        </w:rPr>
        <w:t xml:space="preserve">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120" w:after="0"/>
        <w:jc w:val="left"/>
        <w:rPr>
          <w:rFonts w:ascii="Times New Roman" w:hAnsi="Times New Roman"/>
          <w:sz w:val="20"/>
        </w:rPr>
      </w:pPr>
      <w:r>
        <w:rPr>
          <w:rFonts w:ascii="Times New Roman" w:hAnsi="Times New Roman"/>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 </w:t>
      </w:r>
    </w:p>
    <w:p>
      <w:pPr>
        <w:pStyle w:val="TextBody"/>
        <w:bidi w:val="0"/>
        <w:spacing w:before="120" w:after="0"/>
        <w:jc w:val="left"/>
        <w:rPr>
          <w:rFonts w:ascii="Times New Roman" w:hAnsi="Times New Roman"/>
          <w:sz w:val="20"/>
        </w:rPr>
      </w:pPr>
      <w:r>
        <w:rPr>
          <w:rFonts w:ascii="Times New Roman" w:hAnsi="Times New Roman"/>
          <w:sz w:val="20"/>
        </w:rPr>
        <w:t xml:space="preserve">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Issued patents covering our product candidates could be found invalid or unenforceable if challenged in court or the USPTO. </w:t>
      </w:r>
    </w:p>
    <w:p>
      <w:pPr>
        <w:pStyle w:val="TextBody"/>
        <w:bidi w:val="0"/>
        <w:spacing w:before="120" w:after="0"/>
        <w:jc w:val="left"/>
        <w:rPr>
          <w:rFonts w:ascii="Times New Roman" w:hAnsi="Times New Roman"/>
          <w:sz w:val="20"/>
        </w:rPr>
      </w:pPr>
      <w:r>
        <w:rPr>
          <w:rFonts w:ascii="Times New Roman" w:hAnsi="Times New Roman"/>
          <w:sz w:val="20"/>
        </w:rPr>
        <w:t xml:space="preserve">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or have exclusively in-licensed pending patent applications that relate to our proprietary technologies or our product candidates that if issued as patents are expected to expire from 2041 through 2044, without taking into account any possible patent term adjustments or extensions. However, we cannot be assured that the USPTO or relevant foreign patent offices will grant any of these patent applications.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patent law in the U.S. and in ex-U.S. jurisdictions could diminish the value of patents in general, thereby impairing our ability to protect our products. </w:t>
      </w:r>
    </w:p>
    <w:p>
      <w:pPr>
        <w:pStyle w:val="TextBody"/>
        <w:bidi w:val="0"/>
        <w:spacing w:before="120" w:after="0"/>
        <w:jc w:val="left"/>
        <w:rPr>
          <w:rFonts w:ascii="Times New Roman" w:hAnsi="Times New Roman"/>
          <w:sz w:val="20"/>
        </w:rPr>
      </w:pPr>
      <w:r>
        <w:rPr>
          <w:rFonts w:ascii="Times New Roman" w:hAnsi="Times New Roman"/>
          <w:sz w:val="20"/>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hAnsi="Times New Roman"/>
          <w:i/>
          <w:sz w:val="20"/>
        </w:rPr>
        <w:t xml:space="preserve">Amgen Inc. v. Sanofi, </w:t>
      </w:r>
      <w:r>
        <w:rPr>
          <w:rFonts w:ascii="Times New Roman" w:hAnsi="Times New Roman"/>
          <w:sz w:val="20"/>
        </w:rPr>
        <w:t xml:space="preserve">the Federal Circuit held that a well-characterized antigen is insufficient to satisfy the written description requirement of certain claims directed to a genus of antibodies that are solely defined by function; and in the case of </w:t>
      </w:r>
      <w:r>
        <w:rPr>
          <w:rFonts w:ascii="Times New Roman" w:hAnsi="Times New Roman"/>
          <w:i/>
          <w:sz w:val="20"/>
        </w:rPr>
        <w:t>Assoc. for Molecular</w:t>
      </w:r>
      <w:r>
        <w:rPr>
          <w:rFonts w:ascii="Times New Roman" w:hAnsi="Times New Roman"/>
          <w:sz w:val="20"/>
        </w:rPr>
        <w:t xml:space="preserve"> </w:t>
      </w:r>
      <w:r>
        <w:rPr>
          <w:rFonts w:ascii="Times New Roman" w:hAnsi="Times New Roman"/>
          <w:i/>
          <w:sz w:val="20"/>
        </w:rPr>
        <w:t xml:space="preserve">Pathology v. Myriad Genetics, Inc., </w:t>
      </w:r>
      <w:r>
        <w:rPr>
          <w:rFonts w:ascii="Times New Roman" w:hAnsi="Times New Roman"/>
          <w:sz w:val="20"/>
        </w:rPr>
        <w:t xml:space="preserve">the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protect our intellectual property rights throughout the world. </w:t>
      </w:r>
    </w:p>
    <w:p>
      <w:pPr>
        <w:pStyle w:val="TextBody"/>
        <w:bidi w:val="0"/>
        <w:spacing w:before="120" w:after="0"/>
        <w:jc w:val="left"/>
        <w:rPr>
          <w:rFonts w:ascii="Times New Roman" w:hAnsi="Times New Roman"/>
          <w:sz w:val="20"/>
        </w:rPr>
      </w:pPr>
      <w:r>
        <w:rPr>
          <w:rFonts w:ascii="Times New Roman" w:hAnsi="Times New Roman"/>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incur substantial costs as a result of litigation or other proceedings relating to patents, and we may be unable to protect our rights to our products and technology. </w:t>
      </w:r>
    </w:p>
    <w:p>
      <w:pPr>
        <w:pStyle w:val="TextBody"/>
        <w:bidi w:val="0"/>
        <w:spacing w:before="120" w:after="0"/>
        <w:jc w:val="left"/>
        <w:rPr>
          <w:rFonts w:ascii="Times New Roman" w:hAnsi="Times New Roman"/>
          <w:sz w:val="20"/>
        </w:rPr>
      </w:pPr>
      <w:r>
        <w:rPr>
          <w:rFonts w:ascii="Times New Roman" w:hAnsi="Times New Roman"/>
          <w:sz w:val="20"/>
        </w:rPr>
        <w:t xml:space="preserve">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 </w:t>
      </w:r>
    </w:p>
    <w:p>
      <w:pPr>
        <w:pStyle w:val="TextBody"/>
        <w:bidi w:val="0"/>
        <w:spacing w:before="120" w:after="0"/>
        <w:jc w:val="left"/>
        <w:rPr>
          <w:rFonts w:ascii="Times New Roman" w:hAnsi="Times New Roman"/>
          <w:sz w:val="20"/>
        </w:rPr>
      </w:pPr>
      <w:r>
        <w:rPr>
          <w:rFonts w:ascii="Times New Roman" w:hAnsi="Times New Roman"/>
          <w:sz w:val="20"/>
        </w:rPr>
        <w:t xml:space="preserve">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w:t>
      </w:r>
    </w:p>
    <w:p>
      <w:pPr>
        <w:pStyle w:val="TextBody"/>
        <w:bidi w:val="0"/>
        <w:spacing w:before="120" w:after="0"/>
        <w:jc w:val="left"/>
        <w:rPr>
          <w:rFonts w:ascii="Times New Roman" w:hAnsi="Times New Roman"/>
          <w:sz w:val="20"/>
        </w:rPr>
      </w:pPr>
      <w:r>
        <w:rPr>
          <w:rFonts w:ascii="Times New Roman" w:hAnsi="Times New Roman"/>
          <w:sz w:val="20"/>
        </w:rPr>
        <w:t xml:space="preserve">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w:t>
      </w:r>
    </w:p>
    <w:p>
      <w:pPr>
        <w:pStyle w:val="TextBody"/>
        <w:bidi w:val="0"/>
        <w:spacing w:before="120" w:after="0"/>
        <w:jc w:val="left"/>
        <w:rPr>
          <w:rFonts w:ascii="Times New Roman" w:hAnsi="Times New Roman"/>
          <w:sz w:val="20"/>
        </w:rPr>
      </w:pPr>
      <w:r>
        <w:rPr>
          <w:rFonts w:ascii="Times New Roman" w:hAnsi="Times New Roman"/>
          <w:sz w:val="20"/>
        </w:rPr>
        <w:t xml:space="preserve">If another party questions the patentability of any of our claims in our owned or in-licensed U.S. patents, the third-party can request that the USPTO review the patent claims such as in an </w:t>
      </w:r>
      <w:r>
        <w:rPr>
          <w:rFonts w:ascii="Times New Roman" w:hAnsi="Times New Roman"/>
          <w:i/>
          <w:sz w:val="20"/>
        </w:rPr>
        <w:t xml:space="preserve">inter partes </w:t>
      </w:r>
      <w:r>
        <w:rPr>
          <w:rFonts w:ascii="Times New Roman" w:hAnsi="Times New Roman"/>
          <w:sz w:val="20"/>
        </w:rPr>
        <w:t xml:space="preserve">review, </w:t>
      </w:r>
      <w:r>
        <w:rPr>
          <w:rFonts w:ascii="Times New Roman" w:hAnsi="Times New Roman"/>
          <w:i/>
          <w:sz w:val="20"/>
        </w:rPr>
        <w:t xml:space="preserve">ex parte </w:t>
      </w:r>
      <w:r>
        <w:rPr>
          <w:rFonts w:ascii="Times New Roman" w:hAnsi="Times New Roman"/>
          <w:sz w:val="20"/>
        </w:rPr>
        <w:t xml:space="preserve">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be involved in similar proceedings challenging the patent rights of others, and the outcome of such proceedings is highly uncertain. We may choose to challenge the patentability of claims in a third partys U.S. patent by requesting that the USPTO review the patent claims in an </w:t>
      </w:r>
      <w:r>
        <w:rPr>
          <w:rFonts w:ascii="Times New Roman" w:hAnsi="Times New Roman"/>
          <w:i/>
          <w:sz w:val="20"/>
        </w:rPr>
        <w:t xml:space="preserve">ex-parte </w:t>
      </w:r>
      <w:r>
        <w:rPr>
          <w:rFonts w:ascii="Times New Roman" w:hAnsi="Times New Roman"/>
          <w:sz w:val="20"/>
        </w:rPr>
        <w:t xml:space="preserve">re-exam, </w:t>
      </w:r>
      <w:r>
        <w:rPr>
          <w:rFonts w:ascii="Times New Roman" w:hAnsi="Times New Roman"/>
          <w:i/>
          <w:sz w:val="20"/>
        </w:rPr>
        <w:t xml:space="preserve">inter partes </w:t>
      </w:r>
      <w:r>
        <w:rPr>
          <w:rFonts w:ascii="Times New Roman" w:hAnsi="Times New Roman"/>
          <w:sz w:val="20"/>
        </w:rPr>
        <w:t xml:space="preserve">review or post-grant review proceedings. These proceedings are expensive and may consume our time or other 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Patent terms may be inadequate to protect our competitive position on our product candidates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obtain patent term extension and data exclusivity for any product candidates we may develop, our business may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trademarks and trade names are not adequately protected, then we may not be able to build name recognition in our markets of interest and our business may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currently rely and expect to rely in the future on the use of manufacturing suites in third-party facilities or on third parties to manufacture TX45, TX2100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lease or own any facility that may be used as our clinical-scale manufacturing and processing facility and currently rely on contract development and manufacturing organizations (CDMO), including WuXi Biologics (Hong Kong) Limited (WuXi Biologics), to manufacture TX45 for use in our Phase 1a, Phase 1b and the recently initiated Phase 2 clinical trials. We currently have a sole source relationship with WuXi Biologics for our supply of TX45. If there should be any disruption in such supply arrangement or the supply arrangement with our CDMO for TX2100, including any adverse events affecting our sole supplier for TX45, Wuxi Biologics, it could have a negative effect on the clinical development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product candidates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a product candidate. We perform periodic audits of each CDMO facility that supports our supply of TX45 and TX 2100 and reviews and approves all TX45 and TX2100 CGMP-related documentation. We also have quality agreements with our CDMOs that document our mutual agreement on compliance with CGMPs and expectations on quality-required communications to us. Beyond this, we have no control over the ability of our CDMOs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CDMOs,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 </w:t>
      </w:r>
    </w:p>
    <w:p>
      <w:pPr>
        <w:pStyle w:val="TextBody"/>
        <w:bidi w:val="0"/>
        <w:spacing w:before="120" w:after="0"/>
        <w:jc w:val="left"/>
        <w:rPr>
          <w:rFonts w:ascii="Times New Roman" w:hAnsi="Times New Roman"/>
          <w:sz w:val="20"/>
        </w:rPr>
      </w:pPr>
      <w:r>
        <w:rPr>
          <w:rFonts w:ascii="Times New Roman" w:hAnsi="Times New Roman"/>
          <w:sz w:val="20"/>
        </w:rPr>
        <w:t xml:space="preserve">Moreover, our CDMOs may experience manufacturing difficulties due to resource constraints, governmental restrictions or as a result of labor disputes or unstable political environments. Supply chain issues, including those resulting from the a health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the U.S. House of Representatives of the prior Congress (the 118th Congress) passed the BIOSECURE Act, which proposed targeting U.S. government contracts, loans, and grants to entities that use biotechnology equipment or services from certain Chinese biotechnology companies, including Wuxi Biologics, and would authorize the U.S. government to name other Chinese biotechnology companies of concern. The version of the BIOSECURE Act passed by the prior House of Representatives included a grandfathering provision allowing biotechnology equipment and services provided or produced by WuXi Biologics and other named biotechnology companies of concern under a contract or agreement entered into before the effective date until January 1, 2032. The BIOSECURE Act did not become law in the 118th Congress. It is unclear whether the current Congress (the 119th Congress) will introduce the BIOSECURE Act or similar legislation in this congressional session and, if so, how the scope, prohibitions, or designated biotechnology companies of concern may differ from the version of the BIOSECURE Act passed by the House in the prior 118th Congress. In addition to the BIOSECURE Act, any additional U.S. executive action, legislative action, or potential sanctions with China could materially impact our work with WuXi Biologics.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CDMO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CDMO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CDMO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 </w:t>
      </w:r>
    </w:p>
    <w:p>
      <w:pPr>
        <w:pStyle w:val="TextBody"/>
        <w:bidi w:val="0"/>
        <w:spacing w:before="120" w:after="0"/>
        <w:jc w:val="left"/>
        <w:rPr>
          <w:rFonts w:ascii="Times New Roman" w:hAnsi="Times New Roman"/>
          <w:sz w:val="20"/>
        </w:rPr>
      </w:pPr>
      <w:r>
        <w:rPr>
          <w:rFonts w:ascii="Times New Roman" w:hAnsi="Times New Roman"/>
          <w:sz w:val="20"/>
        </w:rPr>
        <w:t xml:space="preserve">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 </w:t>
      </w:r>
    </w:p>
    <w:p>
      <w:pPr>
        <w:pStyle w:val="TextBody"/>
        <w:bidi w:val="0"/>
        <w:spacing w:before="120" w:after="0"/>
        <w:jc w:val="left"/>
        <w:rPr>
          <w:rFonts w:ascii="Times New Roman" w:hAnsi="Times New Roman"/>
          <w:sz w:val="20"/>
        </w:rPr>
      </w:pPr>
      <w:r>
        <w:rPr>
          <w:rFonts w:ascii="Times New Roman" w:hAnsi="Times New Roman"/>
          <w:sz w:val="20"/>
        </w:rPr>
        <w:t xml:space="preserve">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w:t>
      </w:r>
    </w:p>
    <w:p>
      <w:pPr>
        <w:pStyle w:val="TextBody"/>
        <w:bidi w:val="0"/>
        <w:spacing w:before="120" w:after="0"/>
        <w:jc w:val="left"/>
        <w:rPr>
          <w:rFonts w:ascii="Times New Roman" w:hAnsi="Times New Roman"/>
          <w:sz w:val="20"/>
        </w:rPr>
      </w:pPr>
      <w:r>
        <w:rPr>
          <w:rFonts w:ascii="Times New Roman" w:hAnsi="Times New Roman"/>
          <w:sz w:val="20"/>
        </w:rPr>
        <w:t xml:space="preserve">Our CROs have the right to terminate their agreements with us in the event of an uncured material breach. In addition, some of our CROs have an ability to terminate their respective agreements with us if we can be reasonably demonstrated that the safety of the subjects participating in our clinical trials warrants such termination, if we make a general assignment for the benefit of our creditors or if we are liquidated. </w:t>
      </w:r>
    </w:p>
    <w:p>
      <w:pPr>
        <w:pStyle w:val="TextBody"/>
        <w:bidi w:val="0"/>
        <w:spacing w:before="120" w:after="0"/>
        <w:jc w:val="left"/>
        <w:rPr>
          <w:rFonts w:ascii="Times New Roman" w:hAnsi="Times New Roman"/>
          <w:sz w:val="20"/>
        </w:rPr>
      </w:pPr>
      <w:r>
        <w:rPr>
          <w:rFonts w:ascii="Times New Roman" w:hAnsi="Times New Roman"/>
          <w:sz w:val="20"/>
        </w:rPr>
        <w:t xml:space="preserve">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w:t>
      </w:r>
    </w:p>
    <w:p>
      <w:pPr>
        <w:pStyle w:val="TextBody"/>
        <w:bidi w:val="0"/>
        <w:spacing w:before="120" w:after="0"/>
        <w:jc w:val="left"/>
        <w:rPr>
          <w:rFonts w:ascii="Times New Roman" w:hAnsi="Times New Roman"/>
          <w:sz w:val="20"/>
        </w:rPr>
      </w:pPr>
      <w:r>
        <w:rPr>
          <w:rFonts w:ascii="Times New Roman" w:hAnsi="Times New Roman"/>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future collaborations will be important to our business. If we are unable to enter into new collaborations, or if these collaborations are not successful, our business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Any future collaborations we enter into may pose a number of risks, including, but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have significant discretion in determining the efforts and resources that they will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perform their obligations as expected;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candidates discovered in collaboration with ours may be viewed by our collaborators as competitive with their own product candidates or products, which may cause collaborators to cease to devote resources to the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fail to comply with applicable regulatory requirements regarding the development, manufacture, distribution or marketing of a product candidate or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with marketing and distribution rights to one or more of our product candidates that achieve regulatory approval may not commit sufficient resources to the marketing and distribution of such product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collaborators may infringe the intellectual property rights of third parties, which may expose us to litigation and potential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collaborator of ours is involved in a business combination, the collaborator might deemphasize or terminate the development or commercialization of any product candidate licensed to it by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collaborations may be terminated by the collaborator, and, if terminated, we could be required to raise additional capital to pursue further development or commercialization of the applicable product candidates.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 </w:t>
      </w:r>
    </w:p>
    <w:p>
      <w:pPr>
        <w:pStyle w:val="TextBody"/>
        <w:bidi w:val="0"/>
        <w:spacing w:before="120" w:after="0"/>
        <w:jc w:val="left"/>
        <w:rPr>
          <w:rFonts w:ascii="Times New Roman" w:hAnsi="Times New Roman"/>
          <w:sz w:val="20"/>
        </w:rPr>
      </w:pPr>
      <w:r>
        <w:rPr>
          <w:rFonts w:ascii="Times New Roman" w:hAnsi="Times New Roman"/>
          <w:sz w:val="20"/>
        </w:rPr>
        <w:t xml:space="preserve">Additionally, if one of our collaborators terminates its agreement with us, we may find it more difficult to attract new collaborators and our perception in the business and financial communities could be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w:t>
      </w:r>
    </w:p>
    <w:p>
      <w:pPr>
        <w:pStyle w:val="TextBody"/>
        <w:bidi w:val="0"/>
        <w:spacing w:before="120" w:after="0"/>
        <w:jc w:val="left"/>
        <w:rPr>
          <w:rFonts w:ascii="Times New Roman" w:hAnsi="Times New Roman"/>
          <w:sz w:val="20"/>
        </w:rPr>
      </w:pPr>
      <w:r>
        <w:rPr>
          <w:rFonts w:ascii="Times New Roman" w:hAnsi="Times New Roman"/>
          <w:sz w:val="20"/>
        </w:rPr>
        <w:t xml:space="preserve">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Nonclinical research requires the use of Non-Human Primates (NHP), the supply of which could delay or prevent development of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Business Operations, Employee Matters and Managing Growth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future success depends on our ability to retain key executives and to attract, retain and motivate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 </w:t>
      </w:r>
    </w:p>
    <w:p>
      <w:pPr>
        <w:pStyle w:val="TextBody"/>
        <w:bidi w:val="0"/>
        <w:spacing w:before="120" w:after="0"/>
        <w:jc w:val="left"/>
        <w:rPr>
          <w:rFonts w:ascii="Times New Roman" w:hAnsi="Times New Roman"/>
          <w:sz w:val="20"/>
        </w:rPr>
      </w:pPr>
      <w:r>
        <w:rPr>
          <w:rFonts w:ascii="Times New Roman" w:hAnsi="Times New Roman"/>
          <w:sz w:val="20"/>
        </w:rPr>
        <w:t xml:space="preserve">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estimates of market opportunity and forecasts of market growth may prove to be inaccurate, and even if the markets in which we compete achieve the forecasted growth, our business may not grow at similar rates, or at all. </w:t>
      </w:r>
    </w:p>
    <w:p>
      <w:pPr>
        <w:pStyle w:val="TextBody"/>
        <w:bidi w:val="0"/>
        <w:spacing w:before="120" w:after="0"/>
        <w:jc w:val="left"/>
        <w:rPr>
          <w:rFonts w:ascii="Times New Roman" w:hAnsi="Times New Roman"/>
          <w:sz w:val="20"/>
        </w:rPr>
      </w:pPr>
      <w:r>
        <w:rPr>
          <w:rFonts w:ascii="Times New Roman" w:hAnsi="Times New Roman"/>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become exposed to costly and damaging liability claims, either when testing a product candidate in the clinical or at the commercial stage, and our product liability insurance may not cover all damages from such claims.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Business disruptions could seriously harm our future revenue and financial condition and increase our costs and expenses.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and those of our CROs, CDMOs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comply with health-related data protection laws and regulations could lead to government enforcement actions, including civil or criminal penalties, private litigation, and adverse publicity and could negatively affect our operating results and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any current and future collaborators are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employees, principal investigators, consultants, and commercial partners may engage in misconduct or other improper activities, including non-compliance with regulatory standards and requirements and insider trading.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information technology systems, or the information technology systems of our CROs, our CDMOs, service providers, our current and potential future partners or other third parties with whom we work fail or suffer security breaches, we could experience adverse consequences, including but not limited to material disruptions to our business operations and product development programs, regulatory investigations or actions, litigation, fines and penalties, reputational harm, loss of revenue or profits, or other adverse consequences. </w:t>
      </w:r>
    </w:p>
    <w:p>
      <w:pPr>
        <w:pStyle w:val="TextBody"/>
        <w:bidi w:val="0"/>
        <w:spacing w:before="120" w:after="0"/>
        <w:jc w:val="left"/>
        <w:rPr>
          <w:rFonts w:ascii="Times New Roman" w:hAnsi="Times New Roman"/>
          <w:sz w:val="20"/>
        </w:rPr>
      </w:pPr>
      <w:r>
        <w:rPr>
          <w:rFonts w:ascii="Times New Roman" w:hAnsi="Times New Roman"/>
          <w:sz w:val="20"/>
        </w:rPr>
        <w:t xml:space="preserve">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with whom we work process certain of that information on our behalf. </w:t>
      </w:r>
    </w:p>
    <w:p>
      <w:pPr>
        <w:pStyle w:val="TextBody"/>
        <w:bidi w:val="0"/>
        <w:spacing w:before="120" w:after="0"/>
        <w:jc w:val="left"/>
        <w:rPr>
          <w:rFonts w:ascii="Times New Roman" w:hAnsi="Times New Roman"/>
          <w:sz w:val="20"/>
        </w:rPr>
      </w:pPr>
      <w:r>
        <w:rPr>
          <w:rFonts w:ascii="Times New Roman" w:hAnsi="Times New Roman"/>
          <w:sz w:val="20"/>
        </w:rPr>
        <w:t xml:space="preserve">Our internal computer systems and those of our current and any future collaborators and other contractors or consultants are vulnerable to damage from cyber-attacks, malicious internet-based activity, online and offline fraud, and other similar activities that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Security incidents may result from the actions of a wide variety of actors with a wide range of motives and expertise, including traditional hackers, our personnel or the personnel of the third parties with whom we work,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conduct our clinical trials. </w:t>
      </w:r>
    </w:p>
    <w:p>
      <w:pPr>
        <w:pStyle w:val="TextBody"/>
        <w:bidi w:val="0"/>
        <w:spacing w:before="120" w:after="0"/>
        <w:jc w:val="left"/>
        <w:rPr>
          <w:rFonts w:ascii="Times New Roman" w:hAnsi="Times New Roman"/>
          <w:sz w:val="20"/>
        </w:rPr>
      </w:pPr>
      <w:r>
        <w:rPr>
          <w:rFonts w:ascii="Times New Roman" w:hAnsi="Times New Roman"/>
          <w:sz w:val="20"/>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20" w:after="0"/>
        <w:jc w:val="left"/>
        <w:rPr>
          <w:rFonts w:ascii="Times New Roman" w:hAnsi="Times New Roman"/>
          <w:sz w:val="20"/>
        </w:rPr>
      </w:pPr>
      <w:r>
        <w:rPr>
          <w:rFonts w:ascii="Times New Roman" w:hAnsi="Times New Roman"/>
          <w:sz w:val="20"/>
        </w:rPr>
        <w:t xml:space="preserve">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 </w:t>
      </w:r>
    </w:p>
    <w:p>
      <w:pPr>
        <w:pStyle w:val="TextBody"/>
        <w:bidi w:val="0"/>
        <w:spacing w:before="120" w:after="0"/>
        <w:jc w:val="left"/>
        <w:rPr>
          <w:rFonts w:ascii="Times New Roman" w:hAnsi="Times New Roman"/>
          <w:sz w:val="20"/>
        </w:rPr>
      </w:pPr>
      <w:r>
        <w:rPr>
          <w:rFonts w:ascii="Times New Roman" w:hAnsi="Times New Roman"/>
          <w:sz w:val="20"/>
        </w:rPr>
        <w:t xml:space="preserve">Certain functional areas of our workforce work remotely on a full- or part-time basis or otherwise utilize network connections, computers and devices outside of our premises or network, which imposes additional risks to our business. </w:t>
      </w:r>
    </w:p>
    <w:p>
      <w:pPr>
        <w:pStyle w:val="TextBody"/>
        <w:bidi w:val="0"/>
        <w:spacing w:before="120" w:after="0"/>
        <w:jc w:val="left"/>
        <w:rPr>
          <w:rFonts w:ascii="Times New Roman" w:hAnsi="Times New Roman"/>
          <w:sz w:val="20"/>
        </w:rPr>
      </w:pPr>
      <w:r>
        <w:rPr>
          <w:rFonts w:ascii="Times New Roman" w:hAnsi="Times New Roman"/>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In the future we may be required to or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 or industry-standard or reasonable security measures to protect our information technology systems and sensitive information. </w:t>
      </w:r>
    </w:p>
    <w:p>
      <w:pPr>
        <w:pStyle w:val="TextBody"/>
        <w:bidi w:val="0"/>
        <w:spacing w:before="120" w:after="0"/>
        <w:jc w:val="left"/>
        <w:rPr>
          <w:rFonts w:ascii="Times New Roman" w:hAnsi="Times New Roman"/>
          <w:sz w:val="20"/>
        </w:rPr>
      </w:pPr>
      <w:r>
        <w:rPr>
          <w:rFonts w:ascii="Times New Roman" w:hAnsi="Times New Roman"/>
          <w:sz w:val="20"/>
        </w:rPr>
        <w:t xml:space="preserve">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If our information systems or data, or that of the third parties on which we rely, are compromised, it could interrupt our operations, disrupt our development programs and have a material adverse effect on our business, financial condition and results of operations, whether due to a loss of our trade secrets or other proprietary information or similar disruptions. For example, the loss or corruption of clinical trial data from completed or future clinical trials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applicable federal and/or state breach notification laws and foreign law equivalents and otherwise subject us to liability under applicable laws and regulations that protect the privacy and security of personal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Likewise, we rely on third parties for the manufacture of TX45,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us or a third-party partner may result in negative publicity, harm to our reputation, or other adverse effects.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the third parties with whom we work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Outside the United States, an increasing number of laws, regulations, and industry standards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including personal information from clinical trial participants and other individuals located in the EEA, the United Kingdom (the UK), or Switzerland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Depending on how these laws are interpreted, we may have to make changes to our business practices and products to comply with such obligations. </w:t>
      </w:r>
    </w:p>
    <w:p>
      <w:pPr>
        <w:pStyle w:val="TextBody"/>
        <w:bidi w:val="0"/>
        <w:spacing w:before="120" w:after="0"/>
        <w:jc w:val="left"/>
        <w:rPr>
          <w:rFonts w:ascii="Times New Roman" w:hAnsi="Times New Roman"/>
          <w:sz w:val="20"/>
        </w:rPr>
      </w:pPr>
      <w:r>
        <w:rPr>
          <w:rFonts w:ascii="Times New Roman" w:hAnsi="Times New Roman"/>
          <w:sz w:val="20"/>
        </w:rPr>
        <w:t xml:space="preserve">Additionally, other countries have enacted or are considering enacting similar cross-border data transfer restrictions and laws requiring local data residency, which could increase the cost and complexity of delivering our services and operating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and other state privacy laws contain an exemption for certain personal information processed in connection with clinical trials, , these developments further complicate compliance efforts, and increase legal risk and compliance costs for us and the third parties with whom we work.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 </w:t>
      </w:r>
    </w:p>
    <w:p>
      <w:pPr>
        <w:pStyle w:val="TextBody"/>
        <w:bidi w:val="0"/>
        <w:spacing w:before="120" w:after="0"/>
        <w:jc w:val="left"/>
        <w:rPr>
          <w:rFonts w:ascii="Times New Roman" w:hAnsi="Times New Roman"/>
          <w:sz w:val="20"/>
        </w:rPr>
      </w:pPr>
      <w:r>
        <w:rPr>
          <w:rFonts w:ascii="Times New Roman" w:hAnsi="Times New Roman"/>
          <w:sz w:val="20"/>
        </w:rPr>
        <w:t xml:space="preserve">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 </w:t>
      </w:r>
    </w:p>
    <w:p>
      <w:pPr>
        <w:pStyle w:val="TextBody"/>
        <w:bidi w:val="0"/>
        <w:spacing w:before="120" w:after="0"/>
        <w:jc w:val="left"/>
        <w:rPr>
          <w:rFonts w:ascii="Times New Roman" w:hAnsi="Times New Roman"/>
          <w:sz w:val="20"/>
        </w:rPr>
      </w:pPr>
      <w:r>
        <w:rPr>
          <w:rFonts w:ascii="Times New Roman" w:hAnsi="Times New Roman"/>
          <w:sz w:val="20"/>
        </w:rPr>
        <w:t xml:space="preserve">We are bound by contractual obligations and our efforts to comply with such obligations may not be successful. We publish privacy policies, marketing materials and other statements, such as compliance with certain certifications or self-regulatory principles,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 </w:t>
      </w:r>
    </w:p>
    <w:p>
      <w:pPr>
        <w:pStyle w:val="TextBody"/>
        <w:bidi w:val="0"/>
        <w:spacing w:before="120" w:after="0"/>
        <w:jc w:val="left"/>
        <w:rPr>
          <w:rFonts w:ascii="Times New Roman" w:hAnsi="Times New Roman"/>
          <w:sz w:val="20"/>
        </w:rPr>
      </w:pPr>
      <w:r>
        <w:rPr>
          <w:rFonts w:ascii="Times New Roman" w:hAnsi="Times New Roman"/>
          <w:sz w:val="20"/>
        </w:rPr>
        <w:t xml:space="preserve">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subject to U.S. and certain foreign anti-corruption laws and regulations, export and import controls, sanctions and embargoes. We could face liability and other serious consequences for violations which can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anti-corruption laws and regulations, including the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We may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120" w:after="0"/>
        <w:jc w:val="left"/>
        <w:rPr>
          <w:rFonts w:ascii="Times New Roman" w:hAnsi="Times New Roman"/>
          <w:sz w:val="20"/>
        </w:rPr>
      </w:pPr>
      <w:r>
        <w:rPr>
          <w:rFonts w:ascii="Times New Roman" w:hAnsi="Times New Roman"/>
          <w:sz w:val="20"/>
        </w:rPr>
        <w:t xml:space="preserve">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 </w:t>
      </w:r>
    </w:p>
    <w:p>
      <w:pPr>
        <w:pStyle w:val="TextBody"/>
        <w:bidi w:val="0"/>
        <w:spacing w:before="120" w:after="0"/>
        <w:jc w:val="left"/>
        <w:rPr>
          <w:rFonts w:ascii="Times New Roman" w:hAnsi="Times New Roman"/>
          <w:sz w:val="20"/>
        </w:rPr>
      </w:pPr>
      <w:r>
        <w:rPr>
          <w:rFonts w:ascii="Times New Roman" w:hAnsi="Times New Roman"/>
          <w:sz w:val="20"/>
        </w:rPr>
        <w:t xml:space="preserve">There is no certainty that all of our employees, agents, suppliers, manufacturers, contractors or collaborators, or those of our affiliates,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or the third parties upon whom we depend may be adversely affected by earthquakes, fires or other natural disasters and our business continuity and disaster recovery plans may not adequately protect us from a serious disaster. </w:t>
      </w:r>
    </w:p>
    <w:p>
      <w:pPr>
        <w:pStyle w:val="TextBody"/>
        <w:bidi w:val="0"/>
        <w:spacing w:before="120" w:after="0"/>
        <w:jc w:val="left"/>
        <w:rPr>
          <w:rFonts w:ascii="Times New Roman" w:hAnsi="Times New Roman"/>
          <w:sz w:val="20"/>
        </w:rPr>
      </w:pPr>
      <w:r>
        <w:rPr>
          <w:rFonts w:ascii="Times New Roman" w:hAnsi="Times New Roman"/>
          <w:sz w:val="20"/>
        </w:rPr>
        <w:t xml:space="preserve">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Legislation or other changes in U.S. tax law could adversely affect our business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ability to use our U.S. net operating loss carryforwards and certain other U.S. tax attributes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2024, we had U.S. federal net operating loss carryforwards of $399.3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Code,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utilize our net operating loss carryforwards could be limited by an ownership change as described above, which could result in increased tax liability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Unstable market and economic conditions may have serious adverse consequences on our business, financial condition and stock price. </w:t>
      </w:r>
    </w:p>
    <w:p>
      <w:pPr>
        <w:pStyle w:val="TextBody"/>
        <w:bidi w:val="0"/>
        <w:spacing w:before="120" w:after="0"/>
        <w:jc w:val="left"/>
        <w:rPr>
          <w:rFonts w:ascii="Times New Roman" w:hAnsi="Times New Roman"/>
          <w:sz w:val="20"/>
        </w:rPr>
      </w:pPr>
      <w:r>
        <w:rPr>
          <w:rFonts w:ascii="Times New Roman" w:hAnsi="Times New Roman"/>
          <w:sz w:val="20"/>
        </w:rPr>
        <w:t xml:space="preserve">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w:t>
      </w:r>
    </w:p>
    <w:p>
      <w:pPr>
        <w:pStyle w:val="TextBody"/>
        <w:bidi w:val="0"/>
        <w:spacing w:before="120" w:after="0"/>
        <w:jc w:val="left"/>
        <w:rPr>
          <w:rFonts w:ascii="Times New Roman" w:hAnsi="Times New Roman"/>
          <w:sz w:val="20"/>
        </w:rPr>
      </w:pPr>
      <w:r>
        <w:rPr>
          <w:rFonts w:ascii="Times New Roman" w:hAnsi="Times New Roman"/>
          <w:sz w:val="20"/>
        </w:rPr>
        <w:t xml:space="preserve">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changes in financial accounting standards or practices may cause adverse and unexpected revenue fluctuations and adversely affect our reported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or any CDMOs and suppliers we engage fail to comply with environmental, health and safety laws and regulations, we could become subject to fines or penalties or incur costs that could have a material adverse effect on the success of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Failure to comply with these laws, regulations and permitting requirements also may result in substantial fines, penalties or other sanctions or business disruption, which could have a material adverse effect on our business, financial condition, results of operations and prospects. </w:t>
      </w:r>
    </w:p>
    <w:p>
      <w:pPr>
        <w:pStyle w:val="TextBody"/>
        <w:bidi w:val="0"/>
        <w:spacing w:before="120" w:after="0"/>
        <w:jc w:val="left"/>
        <w:rPr>
          <w:rFonts w:ascii="Times New Roman" w:hAnsi="Times New Roman"/>
          <w:sz w:val="20"/>
        </w:rPr>
      </w:pPr>
      <w:r>
        <w:rPr>
          <w:rFonts w:ascii="Times New Roman" w:hAnsi="Times New Roman"/>
          <w:sz w:val="20"/>
        </w:rPr>
        <w:t xml:space="preserve">Any third-party CDMOs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incur significantly increased costs as a result of operating as a public company, and our management will be required to devote substantial time to new compliance initiatives.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 example, we expect these rules and regulations to make it more difficult and more expensive for us to obtain director and officer liability insurance and we may be required to incur substantial costs to maintain our current levels of such coverage.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to build our finance infrastructure and improve our accounting systems and controls could impair our ability to comply with the financial reporting and internal controls requirements for publicly traded companies.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the Merger is completed, we must perform system and process evaluation and testing of our internal controls over financial reporting to allow management to report on the effectiveness of our internal controls over financial reporting in our Annual Report on Form 10-K filing for that year, as required by Section 404 of the Sarbanes-Oxley Act. Prior to the closing of the Merger, we were never required to test our internal controls within a specified period and, as a result, we may experience difficulty in meeting these reporting requirements in a timely manner.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disclosure controls and procedures may not prevent or detect all errors or acts of fraud. </w:t>
      </w:r>
    </w:p>
    <w:p>
      <w:pPr>
        <w:pStyle w:val="TextBody"/>
        <w:bidi w:val="0"/>
        <w:spacing w:before="120" w:after="0"/>
        <w:jc w:val="left"/>
        <w:rPr>
          <w:rFonts w:ascii="Times New Roman" w:hAnsi="Times New Roman"/>
          <w:sz w:val="20"/>
        </w:rPr>
      </w:pPr>
      <w:r>
        <w:rPr>
          <w:rFonts w:ascii="Times New Roman" w:hAnsi="Times New Roman"/>
          <w:sz w:val="20"/>
        </w:rPr>
        <w:t xml:space="preserve">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0"/>
        <w:jc w:val="left"/>
        <w:rPr>
          <w:rFonts w:ascii="Times New Roman" w:hAnsi="Times New Roman"/>
          <w:sz w:val="20"/>
        </w:rPr>
      </w:pPr>
      <w:r>
        <w:rPr>
          <w:rFonts w:ascii="Times New Roman" w:hAnsi="Times New Roman"/>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previously filed lawsuits, which were subsequently dismissed, relating to the Merger; however, additional lawsuits could be filed.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three actions were filed by purported stockholders of AVROBIO in connection with the Merger. One action has been filed in the United States District Court for the Southern District of New York captioned </w:t>
      </w:r>
      <w:r>
        <w:rPr>
          <w:rFonts w:ascii="Times New Roman" w:hAnsi="Times New Roman"/>
          <w:i/>
          <w:sz w:val="20"/>
        </w:rPr>
        <w:t>Garofalo v. Avrobio, Inc. et al.</w:t>
      </w:r>
      <w:r>
        <w:rPr>
          <w:rFonts w:ascii="Times New Roman" w:hAnsi="Times New Roman"/>
          <w:sz w:val="20"/>
        </w:rPr>
        <w:t xml:space="preserve">, 24-cv-1493 (filed February 27, 2024). Two actions have been filed in the Supreme Court of New York, captioned </w:t>
      </w:r>
      <w:r>
        <w:rPr>
          <w:rFonts w:ascii="Times New Roman" w:hAnsi="Times New Roman"/>
          <w:i/>
          <w:sz w:val="20"/>
        </w:rPr>
        <w:t>Price v. Avrobio, Inc., et al.</w:t>
      </w:r>
      <w:r>
        <w:rPr>
          <w:rFonts w:ascii="Times New Roman" w:hAnsi="Times New Roman"/>
          <w:sz w:val="20"/>
        </w:rPr>
        <w:t xml:space="preserve">, No. 652555/2024 (filed May 17, 2024) and </w:t>
      </w:r>
      <w:r>
        <w:rPr>
          <w:rFonts w:ascii="Times New Roman" w:hAnsi="Times New Roman"/>
          <w:i/>
          <w:sz w:val="20"/>
        </w:rPr>
        <w:t>Keller v. Avrobio, Inc., et al.</w:t>
      </w:r>
      <w:r>
        <w:rPr>
          <w:rFonts w:ascii="Times New Roman" w:hAnsi="Times New Roman"/>
          <w:sz w:val="20"/>
        </w:rPr>
        <w:t xml:space="preserve">, No. 652597/2024 (filed May 21, 2024). The foregoing actions are referred to as the Merger Actions. </w:t>
      </w:r>
    </w:p>
    <w:p>
      <w:pPr>
        <w:pStyle w:val="TextBody"/>
        <w:bidi w:val="0"/>
        <w:spacing w:before="120" w:after="0"/>
        <w:jc w:val="left"/>
        <w:rPr>
          <w:rFonts w:ascii="Times New Roman" w:hAnsi="Times New Roman"/>
          <w:sz w:val="20"/>
        </w:rPr>
      </w:pPr>
      <w:r>
        <w:rPr>
          <w:rFonts w:ascii="Times New Roman" w:hAnsi="Times New Roman"/>
          <w:sz w:val="20"/>
        </w:rPr>
        <w:t xml:space="preserve">The Merger Actions generally allege that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hAnsi="Times New Roman"/>
          <w:i/>
          <w:sz w:val="20"/>
        </w:rPr>
        <w:t>Price</w:t>
      </w:r>
      <w:r>
        <w:rPr>
          <w:rFonts w:ascii="Times New Roman" w:hAnsi="Times New Roman"/>
          <w:sz w:val="20"/>
        </w:rPr>
        <w:t xml:space="preserve"> and </w:t>
      </w:r>
      <w:r>
        <w:rPr>
          <w:rFonts w:ascii="Times New Roman" w:hAnsi="Times New Roman"/>
          <w:i/>
          <w:sz w:val="20"/>
        </w:rPr>
        <w:t>Keller</w:t>
      </w:r>
      <w:r>
        <w:rPr>
          <w:rFonts w:ascii="Times New Roman" w:hAnsi="Times New Roman"/>
          <w:sz w:val="20"/>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 </w:t>
      </w:r>
    </w:p>
    <w:p>
      <w:pPr>
        <w:pStyle w:val="TextBody"/>
        <w:bidi w:val="0"/>
        <w:spacing w:before="120" w:after="0"/>
        <w:jc w:val="left"/>
        <w:rPr>
          <w:rFonts w:ascii="Times New Roman" w:hAnsi="Times New Roman"/>
          <w:sz w:val="20"/>
        </w:rPr>
      </w:pPr>
      <w:r>
        <w:rPr>
          <w:rFonts w:ascii="Times New Roman" w:hAnsi="Times New Roman"/>
          <w:sz w:val="20"/>
        </w:rPr>
        <w:t xml:space="preserve">AVROBIO also received demand letters from eleven purported AVROBIO stockholders (the Demands). The Demands generally assert that the Registration Statement misrepresents and/or omits certain purportedly material information relating to the Merger. </w:t>
      </w:r>
    </w:p>
    <w:p>
      <w:pPr>
        <w:pStyle w:val="TextBody"/>
        <w:bidi w:val="0"/>
        <w:spacing w:before="120" w:after="0"/>
        <w:jc w:val="left"/>
        <w:rPr>
          <w:rFonts w:ascii="Times New Roman" w:hAnsi="Times New Roman"/>
          <w:sz w:val="20"/>
        </w:rPr>
      </w:pPr>
      <w:r>
        <w:rPr>
          <w:rFonts w:ascii="Times New Roman" w:hAnsi="Times New Roman"/>
          <w:sz w:val="20"/>
        </w:rPr>
        <w:t xml:space="preserve">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Securities and Exchange Commission. Following the issuance of the Supplemental Disclosures, each of the Merger Actions was voluntarily dismissed and each of the Demands were withdrawn. </w:t>
      </w:r>
    </w:p>
    <w:p>
      <w:pPr>
        <w:pStyle w:val="TextBody"/>
        <w:bidi w:val="0"/>
        <w:spacing w:before="120" w:after="0"/>
        <w:jc w:val="left"/>
        <w:rPr>
          <w:rFonts w:ascii="Times New Roman" w:hAnsi="Times New Roman"/>
          <w:sz w:val="20"/>
        </w:rPr>
      </w:pPr>
      <w:r>
        <w:rPr>
          <w:rFonts w:ascii="Times New Roman" w:hAnsi="Times New Roman"/>
          <w:sz w:val="20"/>
        </w:rPr>
        <w:t xml:space="preserve">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 material and adverse impact on us because of defense and settlement costs, diversion of management resources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Ownership of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of our common stock has been and is likely to continue to be volatile and fluctuate substantially.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clinical trials and preclinical studies of our product candidates, or those of our competitors or existing or future collaborators;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we may provide to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do not achieve the perceived benefits of the Merger as rapidly or to the extent anticipated by financial or industry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regulatory agencies with respect to our product candidates, clinical studies, manufacturing process or sales and marketing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our ability to obtain patent protection for our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our business, or if they issue adverse or misleading opinions regarding our business and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or macroeconomic conditions or market conditions in the pharmaceutical and biotechnology sectors;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securities by us, the selling stockholders or other securityholders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raise an adequate amount of capital to fund our operations or continued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precision medicine product candidates, including with respect to other products in such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our financial results;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other factors described in this Risk Factors section.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Sales of our common stock or the perception of such sales, by us or selling stockholders, in the public market or otherwise, could cause the market price for our securities to decline, even though selling stockholders would still realize a profit on sales at lower prices. Resales of the securities offered may cause the market price of such securities to drop significantly, even if our business is doing well. </w:t>
      </w:r>
    </w:p>
    <w:p>
      <w:pPr>
        <w:pStyle w:val="TextBody"/>
        <w:bidi w:val="0"/>
        <w:spacing w:before="120" w:after="0"/>
        <w:jc w:val="left"/>
        <w:rPr>
          <w:rFonts w:ascii="Times New Roman" w:hAnsi="Times New Roman"/>
          <w:sz w:val="20"/>
        </w:rPr>
      </w:pPr>
      <w:r>
        <w:rPr>
          <w:rFonts w:ascii="Times New Roman" w:hAnsi="Times New Roman"/>
          <w:sz w:val="20"/>
        </w:rPr>
        <w:t xml:space="preserve">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 </w:t>
      </w:r>
    </w:p>
    <w:p>
      <w:pPr>
        <w:pStyle w:val="TextBody"/>
        <w:bidi w:val="0"/>
        <w:spacing w:before="120" w:after="0"/>
        <w:jc w:val="left"/>
        <w:rPr>
          <w:rFonts w:ascii="Times New Roman" w:hAnsi="Times New Roman"/>
          <w:sz w:val="20"/>
        </w:rPr>
      </w:pPr>
      <w:r>
        <w:rPr>
          <w:rFonts w:ascii="Times New Roman" w:hAnsi="Times New Roman"/>
          <w:sz w:val="20"/>
        </w:rPr>
        <w:t xml:space="preserve">Certain selling stockholders acquired securities at prices that are significantly less than the current trading price of our common stock. Accordingly, certain selling stockholders could still realize a profit on sales at lower prices. Even if the trading price of our common stock falls to or significantly below the current trading price, selling stockholders may still have an incentive to sell and profit due to the nominal purchase prices paid by such selling stockholders, which are significantly lower than the purchase prices paid by the public stockholders.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Subscription Agreement, we filed a resale shelf registration statement covering the resale of up to an aggregate of 2,969,583 shares of our common stock, which was declared effective on July 30, 2024. In addition, in connection with the private placement we completed in February 2025 (the Private Placement), we intend to file a resale shelf registration statement covering the resale of up to an aggregate of 3,689,465 shares of our common stock. Given the substantial number of shares available for resale, the sale of shares by such stockholders, or the perception in the market that the stockholders of a large number of shares intend to sell shares, could increase the volatility of the market price of our common stock or result in a significant decline in the public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addition, certain of our shares are subject to lock-up agreements in connection with the Private Placement. Following the expiration of these lock-up agreements, the relevant stockholders will not be restricted from selling shares our common stock held by them, other than by applicable securities laws. Stockholders not subject to these lock-up agreements will not be restricted from selling shares of our common stock held by them, other than by applicable securities laws. Common stock that is issued in connection with stock options and restricted stock units will also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executive officers, directors and principal stockholders have the ability to control or significantly influence all matters submitted to our stockholders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Based on the number of shares outstanding as of March 31, 2025, our executive officers, directors and principal stockholders, in the aggregate, beneficially own approximately 63%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us, our business or our market, our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have broad discretion in the use of our cash and cash equivalents and may invest or spend the proceeds in ways with which you do not agree and in ways that may not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our cash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do not anticipate paying any cash dividends on our share capital in the foreseeable future, capital appreciation, if any, will be your sole source of gain. </w:t>
      </w:r>
    </w:p>
    <w:p>
      <w:pPr>
        <w:pStyle w:val="TextBody"/>
        <w:bidi w:val="0"/>
        <w:spacing w:before="120" w:after="0"/>
        <w:jc w:val="left"/>
        <w:rPr>
          <w:rFonts w:ascii="Times New Roman" w:hAnsi="Times New Roman"/>
          <w:sz w:val="20"/>
        </w:rPr>
      </w:pPr>
      <w:r>
        <w:rPr>
          <w:rFonts w:ascii="Times New Roman" w:hAnsi="Times New Roman"/>
          <w:sz w:val="20"/>
        </w:rPr>
        <w:t xml:space="preserve">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Provisions in our charter and bylaws, as well as provisions of Delaware law, could make it more difficult for a third party to acquire us or increase the cost of acquiring us, even if doing so would benefit our stockholders or remove our current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charter and bylaws and Delaware law contain provisions that may have the effect of delaying or preventing a change in control of the Company or changes in our management. Our charter and bylaws, include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blank check preferred stock, which could be issued by the Board without stockholder approval and may contain voting, liquidation, dividend and other rights superior to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a classified board of directors whose members serve staggered three-year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special meetings of our stockholders can be called only by the Board, the chairperson of the Board, our Chief Executive Officer or our President;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prohibit stockholder action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an advance notice procedure for stockholder approvals to be brought before an annual meeting of our stockholders, including proposed nominations of persons for election to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our directors may be removed only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vacancies on the Board may be filled only by a majority of directors then in office, even though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that no stockholder is permitted to cumulate votes at any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expressly authorize the Board to modify, alter or repeal our amended and restated by-laws;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supermajority votes of the holders of our common stock to amend specified provisions of our charter and bylaws.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provisions, alone or together, could delay or prevent hostile takeovers and changes in control or changes in our management. </w:t>
      </w:r>
    </w:p>
    <w:p>
      <w:pPr>
        <w:pStyle w:val="TextBody"/>
        <w:bidi w:val="0"/>
        <w:spacing w:before="120" w:after="0"/>
        <w:jc w:val="left"/>
        <w:rPr>
          <w:rFonts w:ascii="Times New Roman" w:hAnsi="Times New Roman"/>
          <w:sz w:val="20"/>
        </w:rPr>
      </w:pPr>
      <w:r>
        <w:rPr>
          <w:rFonts w:ascii="Times New Roman" w:hAnsi="Times New Roman"/>
          <w:sz w:val="20"/>
        </w:rPr>
        <w:t xml:space="preserve">In addition, because we are incorporated in Delaware, we are governed by the provisions of Section 203 of the DGCL, which limits the ability of stockholders owning in excess of 15% of our outstanding voting stock to merge or combine with us. </w:t>
      </w:r>
    </w:p>
    <w:p>
      <w:pPr>
        <w:pStyle w:val="TextBody"/>
        <w:bidi w:val="0"/>
        <w:spacing w:before="120" w:after="0"/>
        <w:jc w:val="left"/>
        <w:rPr>
          <w:rFonts w:ascii="Times New Roman" w:hAnsi="Times New Roman"/>
          <w:sz w:val="20"/>
        </w:rPr>
      </w:pPr>
      <w:r>
        <w:rPr>
          <w:rFonts w:ascii="Times New Roman" w:hAnsi="Times New Roman"/>
          <w:sz w:val="20"/>
        </w:rPr>
        <w:t xml:space="preserve">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bylaws contain exclusive forum provisions, which may limit a stockholders ability to bring a claim in a judicial forum it finds favorable and may discourage lawsuits with respect to such claims.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 </w:t>
      </w:r>
    </w:p>
    <w:p>
      <w:pPr>
        <w:pStyle w:val="TextBody"/>
        <w:bidi w:val="0"/>
        <w:spacing w:before="120" w:after="0"/>
        <w:jc w:val="left"/>
        <w:rPr>
          <w:rFonts w:ascii="Times New Roman" w:hAnsi="Times New Roman"/>
          <w:sz w:val="20"/>
        </w:rPr>
      </w:pPr>
      <w:r>
        <w:rPr>
          <w:rFonts w:ascii="Times New Roman" w:hAnsi="Times New Roman"/>
          <w:sz w:val="20"/>
        </w:rPr>
        <w:t xml:space="preserve">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360" w:after="0"/>
        <w:jc w:val="left"/>
        <w:rPr>
          <w:rFonts w:ascii="Times New Roman" w:hAnsi="Times New Roman"/>
          <w:b/>
          <w:sz w:val="20"/>
        </w:rPr>
      </w:pPr>
      <w:bookmarkStart w:id="16" w:name="q15014_14"/>
      <w:bookmarkEnd w:id="16"/>
      <w:r>
        <w:rPr>
          <w:rFonts w:ascii="Times New Roman" w:hAnsi="Times New Roman"/>
          <w:b/>
          <w:sz w:val="20"/>
        </w:rPr>
        <w:t xml:space="preserve">Item 2. Unregistered Sales of Equity Securities and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17" w:name="q15014_15"/>
      <w:bookmarkEnd w:id="17"/>
      <w:r>
        <w:rPr>
          <w:rFonts w:ascii="Times New Roman" w:hAnsi="Times New Roman"/>
          <w:b/>
          <w:sz w:val="20"/>
        </w:rPr>
        <w:t xml:space="preserve">Item 3. Defaults Upon Senior Securities.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bookmarkStart w:id="18" w:name="q15014_16"/>
      <w:bookmarkEnd w:id="18"/>
      <w:r>
        <w:rPr>
          <w:rFonts w:ascii="Times New Roman" w:hAnsi="Times New Roman"/>
          <w:b/>
          <w:sz w:val="20"/>
        </w:rPr>
        <w:t xml:space="preserve">Item 4. Mine Safety Disclosures.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bookmarkStart w:id="19" w:name="q15014_17"/>
      <w:bookmarkEnd w:id="19"/>
      <w:r>
        <w:rPr>
          <w:rFonts w:ascii="Times New Roman" w:hAnsi="Times New Roman"/>
          <w:b/>
          <w:sz w:val="20"/>
        </w:rPr>
        <w:t xml:space="preserve">Item 5. Other Information. </w:t>
      </w:r>
    </w:p>
    <w:p>
      <w:pPr>
        <w:pStyle w:val="TextBody"/>
        <w:bidi w:val="0"/>
        <w:spacing w:before="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Rule 10b5-1 Trading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three months ended March 31, 2025, the following officers of the Company adopted a Rule 10b5-1 trading arrangement as that term is defined in Item 408(a) of Regulation S-K, all of which were entered into during an open trading window in accordance with the Companys Insider Trading Policy and all of which were intended to satisfy Rule 10b5-1(c):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February 18, 2025, Peter McNamara, our Chief Scientific Officer, adopted a Rule 10b5-1 trading plan that provides for the sale of up to 24,188 shares of common stock vested under outstanding stock options and RSUs. The plan will expire on December 31, 2025, subject to early termination for certain specified events set forth in the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set forth above, no director or officer of the Company adopted or terminated a Rule 10b5-1 trading arrangement or non-rule 10b5-1 trading arrangement, as each term is defined in item 408(a) of Regulation S-K, during the three months ended March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0" w:name="q15014_18"/>
      <w:bookmarkEnd w:id="20"/>
      <w:r>
        <w:rPr>
          <w:rFonts w:ascii="Times New Roman" w:hAnsi="Times New Roman"/>
          <w:b/>
          <w:sz w:val="20"/>
        </w:rPr>
        <w:t xml:space="preserve">Item 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89"/>
        <w:gridCol w:w="149"/>
        <w:gridCol w:w="5030"/>
        <w:gridCol w:w="149"/>
        <w:gridCol w:w="89"/>
        <w:gridCol w:w="501"/>
        <w:gridCol w:w="60"/>
        <w:gridCol w:w="149"/>
        <w:gridCol w:w="60"/>
        <w:gridCol w:w="823"/>
        <w:gridCol w:w="60"/>
        <w:gridCol w:w="148"/>
        <w:gridCol w:w="121"/>
        <w:gridCol w:w="673"/>
        <w:gridCol w:w="60"/>
        <w:gridCol w:w="149"/>
        <w:gridCol w:w="60"/>
        <w:gridCol w:w="765"/>
        <w:gridCol w:w="70"/>
      </w:tblGrid>
      <w:tr>
        <w:trPr/>
        <w:tc>
          <w:tcPr>
            <w:tcW w:w="1089"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108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03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371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Incorporation by Reference</w:t>
            </w:r>
          </w:p>
        </w:tc>
        <w:tc>
          <w:tcPr>
            <w:tcW w:w="70" w:type="dxa"/>
            <w:tcBorders/>
            <w:vAlign w:val="bottom"/>
          </w:tcPr>
          <w:p>
            <w:pPr>
              <w:pStyle w:val="TableContents"/>
              <w:bidi w:val="0"/>
              <w:spacing w:before="0" w:after="283"/>
              <w:jc w:val="left"/>
              <w:rPr/>
            </w:pPr>
            <w:r>
              <w:rPr/>
              <w:t> </w:t>
            </w:r>
          </w:p>
        </w:tc>
      </w:tr>
      <w:tr>
        <w:trPr/>
        <w:tc>
          <w:tcPr>
            <w:tcW w:w="1089"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Number</w:t>
            </w:r>
          </w:p>
        </w:tc>
        <w:tc>
          <w:tcPr>
            <w:tcW w:w="149" w:type="dxa"/>
            <w:tcBorders/>
            <w:vAlign w:val="bottom"/>
          </w:tcPr>
          <w:p>
            <w:pPr>
              <w:pStyle w:val="TableContents"/>
              <w:bidi w:val="0"/>
              <w:spacing w:before="0" w:after="283"/>
              <w:jc w:val="left"/>
              <w:rPr/>
            </w:pPr>
            <w:r>
              <w:rPr/>
              <w:t>  </w:t>
            </w:r>
          </w:p>
        </w:tc>
        <w:tc>
          <w:tcPr>
            <w:tcW w:w="50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149"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Form</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 No</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70" w:type="dxa"/>
            <w:tcBorders/>
            <w:vAlign w:val="bottom"/>
          </w:tcPr>
          <w:p>
            <w:pPr>
              <w:pStyle w:val="TableContents"/>
              <w:bidi w:val="0"/>
              <w:spacing w:before="0" w:after="283"/>
              <w:jc w:val="left"/>
              <w:rPr/>
            </w:pPr>
            <w:r>
              <w:rPr/>
              <w:t> </w:t>
            </w:r>
          </w:p>
        </w:tc>
      </w:tr>
      <w:tr>
        <w:trPr>
          <w:trHeight w:val="120" w:hRule="atLeast"/>
        </w:trPr>
        <w:tc>
          <w:tcPr>
            <w:tcW w:w="1089" w:type="dxa"/>
            <w:tcBorders/>
            <w:vAlign w:val="center"/>
          </w:tcPr>
          <w:p>
            <w:pPr>
              <w:pStyle w:val="TableContents"/>
              <w:bidi w:val="0"/>
              <w:spacing w:before="0" w:after="283"/>
              <w:jc w:val="left"/>
              <w:rPr>
                <w:sz w:val="4"/>
                <w:szCs w:val="4"/>
              </w:rPr>
            </w:pPr>
            <w:r>
              <w:rPr>
                <w:sz w:val="4"/>
                <w:szCs w:val="4"/>
              </w:rPr>
            </w:r>
          </w:p>
        </w:tc>
        <w:tc>
          <w:tcPr>
            <w:tcW w:w="5179"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02"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r>
      <w:tr>
        <w:trPr/>
        <w:tc>
          <w:tcPr>
            <w:tcW w:w="1089" w:type="dxa"/>
            <w:tcBorders/>
          </w:tcPr>
          <w:p>
            <w:pPr>
              <w:pStyle w:val="TableContents"/>
              <w:bidi w:val="0"/>
              <w:spacing w:before="0" w:after="283"/>
              <w:jc w:val="left"/>
              <w:rPr/>
            </w:pPr>
            <w:r>
              <w:rPr/>
              <w:t>  </w:t>
            </w:r>
            <w:r>
              <w:rPr/>
              <w:t>3.1</w:t>
            </w:r>
          </w:p>
        </w:tc>
        <w:tc>
          <w:tcPr>
            <w:tcW w:w="149"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hyperlink r:id="rId3">
              <w:r>
                <w:rPr>
                  <w:rStyle w:val="InternetLink"/>
                </w:rPr>
                <w:t xml:space="preserve">Fourth Amended and Restated Certificate of Incorporation, as amended through June 20, 2024. </w:t>
              </w:r>
            </w:hyperlink>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10-Q</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001-38537</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3.1</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8/14/2024</w:t>
            </w:r>
          </w:p>
        </w:tc>
        <w:tc>
          <w:tcPr>
            <w:tcW w:w="70" w:type="dxa"/>
            <w:tcBorders/>
            <w:vAlign w:val="bottom"/>
          </w:tcPr>
          <w:p>
            <w:pPr>
              <w:pStyle w:val="TableContents"/>
              <w:bidi w:val="0"/>
              <w:spacing w:before="0" w:after="283"/>
              <w:jc w:val="left"/>
              <w:rPr/>
            </w:pPr>
            <w:r>
              <w:rPr/>
              <w:t> </w:t>
            </w:r>
          </w:p>
        </w:tc>
      </w:tr>
      <w:tr>
        <w:trPr>
          <w:trHeight w:val="120" w:hRule="atLeast"/>
        </w:trPr>
        <w:tc>
          <w:tcPr>
            <w:tcW w:w="1089" w:type="dxa"/>
            <w:tcBorders/>
            <w:vAlign w:val="center"/>
          </w:tcPr>
          <w:p>
            <w:pPr>
              <w:pStyle w:val="TableContents"/>
              <w:bidi w:val="0"/>
              <w:spacing w:before="0" w:after="283"/>
              <w:jc w:val="left"/>
              <w:rPr>
                <w:sz w:val="4"/>
                <w:szCs w:val="4"/>
              </w:rPr>
            </w:pPr>
            <w:r>
              <w:rPr>
                <w:sz w:val="4"/>
                <w:szCs w:val="4"/>
              </w:rPr>
            </w:r>
          </w:p>
        </w:tc>
        <w:tc>
          <w:tcPr>
            <w:tcW w:w="5179"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02"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r>
      <w:tr>
        <w:trPr/>
        <w:tc>
          <w:tcPr>
            <w:tcW w:w="1089" w:type="dxa"/>
            <w:tcBorders/>
          </w:tcPr>
          <w:p>
            <w:pPr>
              <w:pStyle w:val="TableContents"/>
              <w:bidi w:val="0"/>
              <w:spacing w:before="0" w:after="283"/>
              <w:jc w:val="left"/>
              <w:rPr/>
            </w:pPr>
            <w:r>
              <w:rPr/>
              <w:t>  </w:t>
            </w:r>
            <w:r>
              <w:rPr/>
              <w:t>3.2</w:t>
            </w:r>
          </w:p>
        </w:tc>
        <w:tc>
          <w:tcPr>
            <w:tcW w:w="149"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hyperlink r:id="rId4">
              <w:r>
                <w:rPr>
                  <w:rStyle w:val="InternetLink"/>
                </w:rPr>
                <w:t>Amended and Restated Bylaws, as currently in effect.</w:t>
              </w:r>
            </w:hyperlink>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501" w:type="dxa"/>
            <w:tcBorders/>
            <w:vAlign w:val="bottom"/>
          </w:tcPr>
          <w:p>
            <w:pPr>
              <w:pStyle w:val="TableContents"/>
              <w:bidi w:val="0"/>
              <w:spacing w:before="0" w:after="283"/>
              <w:jc w:val="right"/>
              <w:rPr/>
            </w:pPr>
            <w:r>
              <w:rPr/>
              <w:t>8-K</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001-38537</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6/25/2018</w:t>
            </w:r>
          </w:p>
        </w:tc>
        <w:tc>
          <w:tcPr>
            <w:tcW w:w="70" w:type="dxa"/>
            <w:tcBorders/>
            <w:vAlign w:val="bottom"/>
          </w:tcPr>
          <w:p>
            <w:pPr>
              <w:pStyle w:val="TableContents"/>
              <w:bidi w:val="0"/>
              <w:spacing w:before="0" w:after="283"/>
              <w:jc w:val="left"/>
              <w:rPr/>
            </w:pPr>
            <w:r>
              <w:rPr/>
              <w:t> </w:t>
            </w:r>
          </w:p>
        </w:tc>
      </w:tr>
      <w:tr>
        <w:trPr>
          <w:trHeight w:val="120" w:hRule="atLeast"/>
        </w:trPr>
        <w:tc>
          <w:tcPr>
            <w:tcW w:w="1089" w:type="dxa"/>
            <w:tcBorders/>
            <w:vAlign w:val="center"/>
          </w:tcPr>
          <w:p>
            <w:pPr>
              <w:pStyle w:val="TableContents"/>
              <w:bidi w:val="0"/>
              <w:spacing w:before="0" w:after="283"/>
              <w:jc w:val="left"/>
              <w:rPr>
                <w:sz w:val="4"/>
                <w:szCs w:val="4"/>
              </w:rPr>
            </w:pPr>
            <w:r>
              <w:rPr>
                <w:sz w:val="4"/>
                <w:szCs w:val="4"/>
              </w:rPr>
            </w:r>
          </w:p>
        </w:tc>
        <w:tc>
          <w:tcPr>
            <w:tcW w:w="5179"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02"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r>
      <w:tr>
        <w:trPr/>
        <w:tc>
          <w:tcPr>
            <w:tcW w:w="1089" w:type="dxa"/>
            <w:tcBorders/>
          </w:tcPr>
          <w:p>
            <w:pPr>
              <w:pStyle w:val="TableContents"/>
              <w:bidi w:val="0"/>
              <w:spacing w:before="0" w:after="283"/>
              <w:jc w:val="left"/>
              <w:rPr/>
            </w:pPr>
            <w:r>
              <w:rPr/>
              <w:t> </w:t>
            </w:r>
            <w:r>
              <w:rPr/>
              <w:t>31.1*</w:t>
            </w:r>
          </w:p>
        </w:tc>
        <w:tc>
          <w:tcPr>
            <w:tcW w:w="149"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r>
              <w:rPr/>
              <w:t>Certification of Principal Executive Officer Pursuant to Rules 13a-14(a) and 15d-14(a) under the Securities Exchange Act of 1934, as Adopted Pursuant to Section 302 of the Sarbanes-Oxley Act of 2002.</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89" w:type="dxa"/>
            <w:tcBorders/>
            <w:vAlign w:val="center"/>
          </w:tcPr>
          <w:p>
            <w:pPr>
              <w:pStyle w:val="TableContents"/>
              <w:bidi w:val="0"/>
              <w:spacing w:before="0" w:after="283"/>
              <w:jc w:val="left"/>
              <w:rPr>
                <w:sz w:val="4"/>
                <w:szCs w:val="4"/>
              </w:rPr>
            </w:pPr>
            <w:r>
              <w:rPr>
                <w:sz w:val="4"/>
                <w:szCs w:val="4"/>
              </w:rPr>
            </w:r>
          </w:p>
        </w:tc>
        <w:tc>
          <w:tcPr>
            <w:tcW w:w="5179"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02"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r>
      <w:tr>
        <w:trPr/>
        <w:tc>
          <w:tcPr>
            <w:tcW w:w="1089" w:type="dxa"/>
            <w:tcBorders/>
          </w:tcPr>
          <w:p>
            <w:pPr>
              <w:pStyle w:val="TableContents"/>
              <w:bidi w:val="0"/>
              <w:spacing w:before="0" w:after="283"/>
              <w:jc w:val="left"/>
              <w:rPr/>
            </w:pPr>
            <w:r>
              <w:rPr/>
              <w:t> </w:t>
            </w:r>
            <w:r>
              <w:rPr/>
              <w:t>31.2*</w:t>
            </w:r>
          </w:p>
        </w:tc>
        <w:tc>
          <w:tcPr>
            <w:tcW w:w="149"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r>
              <w:rPr/>
              <w:t>Certification of Principal Financial Officer Pursuant to Rules 13a-14(a) and 15d-14(a) under the Securities Exchange Act of 1934, as Adopted Pursuant to Section 302 of the Sarbanes-Oxley Act of 2002.</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89" w:type="dxa"/>
            <w:tcBorders/>
            <w:vAlign w:val="center"/>
          </w:tcPr>
          <w:p>
            <w:pPr>
              <w:pStyle w:val="TableContents"/>
              <w:bidi w:val="0"/>
              <w:spacing w:before="0" w:after="283"/>
              <w:jc w:val="left"/>
              <w:rPr>
                <w:sz w:val="4"/>
                <w:szCs w:val="4"/>
              </w:rPr>
            </w:pPr>
            <w:r>
              <w:rPr>
                <w:sz w:val="4"/>
                <w:szCs w:val="4"/>
              </w:rPr>
            </w:r>
          </w:p>
        </w:tc>
        <w:tc>
          <w:tcPr>
            <w:tcW w:w="5179"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02"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r>
      <w:tr>
        <w:trPr/>
        <w:tc>
          <w:tcPr>
            <w:tcW w:w="1089" w:type="dxa"/>
            <w:tcBorders/>
          </w:tcPr>
          <w:p>
            <w:pPr>
              <w:pStyle w:val="TableContents"/>
              <w:bidi w:val="0"/>
              <w:spacing w:before="0" w:after="283"/>
              <w:jc w:val="left"/>
              <w:rPr/>
            </w:pPr>
            <w:r>
              <w:rPr/>
              <w:t> </w:t>
            </w:r>
            <w:r>
              <w:rPr/>
              <w:t>32.1*^</w:t>
            </w:r>
          </w:p>
        </w:tc>
        <w:tc>
          <w:tcPr>
            <w:tcW w:w="149"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r>
              <w:rPr/>
              <w:t>Certification of Principal Executive Officer and Principal Financial Officer, Pursuant to 18 U.S.C. Section 1350, as Adopted Pursuant to Section 906 of the Sarbanes-Oxley Act of 2002.</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89" w:type="dxa"/>
            <w:tcBorders/>
            <w:vAlign w:val="center"/>
          </w:tcPr>
          <w:p>
            <w:pPr>
              <w:pStyle w:val="TableContents"/>
              <w:bidi w:val="0"/>
              <w:spacing w:before="0" w:after="283"/>
              <w:jc w:val="left"/>
              <w:rPr>
                <w:sz w:val="4"/>
                <w:szCs w:val="4"/>
              </w:rPr>
            </w:pPr>
            <w:r>
              <w:rPr>
                <w:sz w:val="4"/>
                <w:szCs w:val="4"/>
              </w:rPr>
            </w:r>
          </w:p>
        </w:tc>
        <w:tc>
          <w:tcPr>
            <w:tcW w:w="5179"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02"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r>
      <w:tr>
        <w:trPr/>
        <w:tc>
          <w:tcPr>
            <w:tcW w:w="1089" w:type="dxa"/>
            <w:tcBorders/>
          </w:tcPr>
          <w:p>
            <w:pPr>
              <w:pStyle w:val="TableContents"/>
              <w:bidi w:val="0"/>
              <w:spacing w:before="0" w:after="283"/>
              <w:jc w:val="left"/>
              <w:rPr/>
            </w:pPr>
            <w:r>
              <w:rPr/>
              <w:t>101.INS*</w:t>
            </w:r>
          </w:p>
        </w:tc>
        <w:tc>
          <w:tcPr>
            <w:tcW w:w="149"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r>
              <w:rPr/>
              <w:t>Inline XBRL Instance Document  the instance document does not appear in the Interactive Data File as its XBRL tags are embedded within the Inline XBRL document</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89" w:type="dxa"/>
            <w:tcBorders/>
            <w:vAlign w:val="center"/>
          </w:tcPr>
          <w:p>
            <w:pPr>
              <w:pStyle w:val="TableContents"/>
              <w:bidi w:val="0"/>
              <w:spacing w:before="0" w:after="283"/>
              <w:jc w:val="left"/>
              <w:rPr>
                <w:sz w:val="4"/>
                <w:szCs w:val="4"/>
              </w:rPr>
            </w:pPr>
            <w:r>
              <w:rPr>
                <w:sz w:val="4"/>
                <w:szCs w:val="4"/>
              </w:rPr>
            </w:r>
          </w:p>
        </w:tc>
        <w:tc>
          <w:tcPr>
            <w:tcW w:w="5179"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02"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r>
      <w:tr>
        <w:trPr/>
        <w:tc>
          <w:tcPr>
            <w:tcW w:w="1089" w:type="dxa"/>
            <w:tcBorders/>
          </w:tcPr>
          <w:p>
            <w:pPr>
              <w:pStyle w:val="TableContents"/>
              <w:bidi w:val="0"/>
              <w:spacing w:before="0" w:after="283"/>
              <w:jc w:val="left"/>
              <w:rPr/>
            </w:pPr>
            <w:r>
              <w:rPr/>
              <w:t>101.SCH*</w:t>
            </w:r>
          </w:p>
        </w:tc>
        <w:tc>
          <w:tcPr>
            <w:tcW w:w="149"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r>
              <w:rPr/>
              <w:t>XBRL Taxonomy Extension Schema Document with Embedded Linkbase Documents</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089" w:type="dxa"/>
            <w:tcBorders/>
            <w:vAlign w:val="center"/>
          </w:tcPr>
          <w:p>
            <w:pPr>
              <w:pStyle w:val="TableContents"/>
              <w:bidi w:val="0"/>
              <w:spacing w:before="0" w:after="283"/>
              <w:jc w:val="left"/>
              <w:rPr>
                <w:sz w:val="4"/>
                <w:szCs w:val="4"/>
              </w:rPr>
            </w:pPr>
            <w:r>
              <w:rPr>
                <w:sz w:val="4"/>
                <w:szCs w:val="4"/>
              </w:rPr>
            </w:r>
          </w:p>
        </w:tc>
        <w:tc>
          <w:tcPr>
            <w:tcW w:w="5179" w:type="dxa"/>
            <w:gridSpan w:val="2"/>
            <w:tcBorders/>
            <w:vAlign w:val="center"/>
          </w:tcPr>
          <w:p>
            <w:pPr>
              <w:pStyle w:val="TableContents"/>
              <w:bidi w:val="0"/>
              <w:spacing w:before="0" w:after="283"/>
              <w:jc w:val="left"/>
              <w:rPr>
                <w:sz w:val="4"/>
                <w:szCs w:val="4"/>
              </w:rPr>
            </w:pPr>
            <w:r>
              <w:rPr>
                <w:sz w:val="4"/>
                <w:szCs w:val="4"/>
              </w:rPr>
            </w:r>
          </w:p>
        </w:tc>
        <w:tc>
          <w:tcPr>
            <w:tcW w:w="799" w:type="dxa"/>
            <w:gridSpan w:val="4"/>
            <w:tcBorders/>
            <w:vAlign w:val="center"/>
          </w:tcPr>
          <w:p>
            <w:pPr>
              <w:pStyle w:val="TableContents"/>
              <w:bidi w:val="0"/>
              <w:spacing w:before="0" w:after="283"/>
              <w:jc w:val="left"/>
              <w:rPr>
                <w:sz w:val="4"/>
                <w:szCs w:val="4"/>
              </w:rPr>
            </w:pPr>
            <w:r>
              <w:rPr>
                <w:sz w:val="4"/>
                <w:szCs w:val="4"/>
              </w:rPr>
            </w:r>
          </w:p>
        </w:tc>
        <w:tc>
          <w:tcPr>
            <w:tcW w:w="1092" w:type="dxa"/>
            <w:gridSpan w:val="4"/>
            <w:tcBorders/>
            <w:vAlign w:val="center"/>
          </w:tcPr>
          <w:p>
            <w:pPr>
              <w:pStyle w:val="TableContents"/>
              <w:bidi w:val="0"/>
              <w:spacing w:before="0" w:after="283"/>
              <w:jc w:val="left"/>
              <w:rPr>
                <w:sz w:val="4"/>
                <w:szCs w:val="4"/>
              </w:rPr>
            </w:pPr>
            <w:r>
              <w:rPr>
                <w:sz w:val="4"/>
                <w:szCs w:val="4"/>
              </w:rPr>
            </w:r>
          </w:p>
        </w:tc>
        <w:tc>
          <w:tcPr>
            <w:tcW w:w="1002" w:type="dxa"/>
            <w:gridSpan w:val="4"/>
            <w:tcBorders/>
            <w:vAlign w:val="center"/>
          </w:tcPr>
          <w:p>
            <w:pPr>
              <w:pStyle w:val="TableContents"/>
              <w:bidi w:val="0"/>
              <w:spacing w:before="0" w:after="283"/>
              <w:jc w:val="left"/>
              <w:rPr>
                <w:sz w:val="4"/>
                <w:szCs w:val="4"/>
              </w:rPr>
            </w:pPr>
            <w:r>
              <w:rPr>
                <w:sz w:val="4"/>
                <w:szCs w:val="4"/>
              </w:rPr>
            </w:r>
          </w:p>
        </w:tc>
        <w:tc>
          <w:tcPr>
            <w:tcW w:w="1044" w:type="dxa"/>
            <w:gridSpan w:val="4"/>
            <w:tcBorders/>
            <w:vAlign w:val="center"/>
          </w:tcPr>
          <w:p>
            <w:pPr>
              <w:pStyle w:val="TableContents"/>
              <w:bidi w:val="0"/>
              <w:spacing w:before="0" w:after="283"/>
              <w:jc w:val="left"/>
              <w:rPr>
                <w:sz w:val="4"/>
                <w:szCs w:val="4"/>
              </w:rPr>
            </w:pPr>
            <w:r>
              <w:rPr>
                <w:sz w:val="4"/>
                <w:szCs w:val="4"/>
              </w:rPr>
            </w:r>
          </w:p>
        </w:tc>
      </w:tr>
      <w:tr>
        <w:trPr/>
        <w:tc>
          <w:tcPr>
            <w:tcW w:w="1089" w:type="dxa"/>
            <w:tcBorders/>
          </w:tcPr>
          <w:p>
            <w:pPr>
              <w:pStyle w:val="TableContents"/>
              <w:bidi w:val="0"/>
              <w:spacing w:before="0" w:after="283"/>
              <w:jc w:val="left"/>
              <w:rPr/>
            </w:pPr>
            <w:r>
              <w:rPr/>
              <w:t>104*</w:t>
            </w:r>
          </w:p>
        </w:tc>
        <w:tc>
          <w:tcPr>
            <w:tcW w:w="149" w:type="dxa"/>
            <w:tcBorders/>
            <w:vAlign w:val="bottom"/>
          </w:tcPr>
          <w:p>
            <w:pPr>
              <w:pStyle w:val="TableContents"/>
              <w:bidi w:val="0"/>
              <w:spacing w:before="0" w:after="283"/>
              <w:jc w:val="left"/>
              <w:rPr/>
            </w:pPr>
            <w:r>
              <w:rPr/>
              <w:t>  </w:t>
            </w:r>
          </w:p>
        </w:tc>
        <w:tc>
          <w:tcPr>
            <w:tcW w:w="5030" w:type="dxa"/>
            <w:tcBorders/>
          </w:tcPr>
          <w:p>
            <w:pPr>
              <w:pStyle w:val="TableContents"/>
              <w:bidi w:val="0"/>
              <w:spacing w:before="0" w:after="283"/>
              <w:jc w:val="left"/>
              <w:rPr/>
            </w:pPr>
            <w:r>
              <w:rPr/>
              <w:t>Cover page formatted as Inline XBRL and contained in Exhibit 101</w:t>
            </w:r>
          </w:p>
        </w:tc>
        <w:tc>
          <w:tcPr>
            <w:tcW w:w="14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50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6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certification is deemed not filed for purposes of Section 18 of the Securities Exchange Act of 1934, as amended, or otherwise subject to the liability of that section, nor shall it be deemed incorporated by reference into any filing by the registrant under the Securities Act of 1933, as amended, or the Securities Exchange Act of 1934, as amended, whether made before or after the date hereof, regardless of any general incorporation language in such filing.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q15014_19"/>
      <w:bookmarkEnd w:id="21"/>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46"/>
        <w:gridCol w:w="60"/>
        <w:gridCol w:w="23"/>
        <w:gridCol w:w="110"/>
        <w:gridCol w:w="377"/>
        <w:gridCol w:w="110"/>
        <w:gridCol w:w="4879"/>
      </w:tblGrid>
      <w:tr>
        <w:trPr/>
        <w:tc>
          <w:tcPr>
            <w:tcW w:w="46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4879" w:type="dxa"/>
            <w:tcBorders/>
            <w:vAlign w:val="center"/>
          </w:tcPr>
          <w:p>
            <w:pPr>
              <w:pStyle w:val="TableContents"/>
              <w:bidi w:val="0"/>
              <w:spacing w:before="0" w:after="283"/>
              <w:jc w:val="left"/>
              <w:rPr>
                <w:sz w:val="4"/>
                <w:szCs w:val="4"/>
              </w:rPr>
            </w:pPr>
            <w:r>
              <w:rPr>
                <w:sz w:val="4"/>
                <w:szCs w:val="4"/>
              </w:rPr>
            </w:r>
          </w:p>
        </w:tc>
      </w:tr>
      <w:tr>
        <w:trPr/>
        <w:tc>
          <w:tcPr>
            <w:tcW w:w="4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5366" w:type="dxa"/>
            <w:gridSpan w:val="3"/>
            <w:tcBorders/>
            <w:vAlign w:val="bottom"/>
          </w:tcPr>
          <w:p>
            <w:pPr>
              <w:pStyle w:val="TableContents"/>
              <w:bidi w:val="0"/>
              <w:spacing w:before="0" w:after="283"/>
              <w:jc w:val="left"/>
              <w:rPr>
                <w:b/>
              </w:rPr>
            </w:pPr>
            <w:r>
              <w:rPr>
                <w:b/>
              </w:rPr>
              <w:t>TECTONIC THERAPEUTIC, INC.</w:t>
            </w:r>
          </w:p>
        </w:tc>
      </w:tr>
      <w:tr>
        <w:trPr>
          <w:trHeight w:val="240" w:hRule="atLeast"/>
        </w:trPr>
        <w:tc>
          <w:tcPr>
            <w:tcW w:w="4646"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7" w:type="dxa"/>
            <w:gridSpan w:val="2"/>
            <w:tcBorders/>
            <w:vAlign w:val="center"/>
          </w:tcPr>
          <w:p>
            <w:pPr>
              <w:pStyle w:val="TableContents"/>
              <w:bidi w:val="0"/>
              <w:spacing w:before="0" w:after="283"/>
              <w:jc w:val="left"/>
              <w:rPr>
                <w:sz w:val="4"/>
                <w:szCs w:val="4"/>
              </w:rPr>
            </w:pPr>
            <w:r>
              <w:rPr>
                <w:sz w:val="4"/>
                <w:szCs w:val="4"/>
              </w:rPr>
            </w:r>
          </w:p>
        </w:tc>
        <w:tc>
          <w:tcPr>
            <w:tcW w:w="4989" w:type="dxa"/>
            <w:gridSpan w:val="2"/>
            <w:tcBorders/>
            <w:vAlign w:val="center"/>
          </w:tcPr>
          <w:p>
            <w:pPr>
              <w:pStyle w:val="TableContents"/>
              <w:bidi w:val="0"/>
              <w:spacing w:before="0" w:after="283"/>
              <w:jc w:val="left"/>
              <w:rPr>
                <w:sz w:val="4"/>
                <w:szCs w:val="4"/>
              </w:rPr>
            </w:pPr>
            <w:r>
              <w:rPr>
                <w:sz w:val="4"/>
                <w:szCs w:val="4"/>
              </w:rPr>
            </w:r>
          </w:p>
        </w:tc>
      </w:tr>
      <w:tr>
        <w:trPr/>
        <w:tc>
          <w:tcPr>
            <w:tcW w:w="4646" w:type="dxa"/>
            <w:tcBorders/>
            <w:vAlign w:val="bottom"/>
          </w:tcPr>
          <w:p>
            <w:pPr>
              <w:pStyle w:val="TableContents"/>
              <w:bidi w:val="0"/>
              <w:spacing w:before="0" w:after="283"/>
              <w:jc w:val="left"/>
              <w:rPr/>
            </w:pPr>
            <w:r>
              <w:rPr/>
              <w:t>Date: May 8, 2025</w:t>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4879" w:type="dxa"/>
            <w:tcBorders>
              <w:bottom w:val="single" w:sz="2" w:space="0" w:color="000000"/>
            </w:tcBorders>
            <w:tcMar>
              <w:bottom w:w="28" w:type="dxa"/>
            </w:tcMar>
            <w:vAlign w:val="bottom"/>
          </w:tcPr>
          <w:p>
            <w:pPr>
              <w:pStyle w:val="TableContents"/>
              <w:bidi w:val="0"/>
              <w:spacing w:before="0" w:after="283"/>
              <w:jc w:val="center"/>
              <w:rPr/>
            </w:pPr>
            <w:r>
              <w:rPr/>
              <w:t>/s/ Alise Reicin, M.D.</w:t>
            </w:r>
          </w:p>
        </w:tc>
      </w:tr>
      <w:tr>
        <w:trPr/>
        <w:tc>
          <w:tcPr>
            <w:tcW w:w="4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879" w:type="dxa"/>
            <w:tcBorders/>
            <w:vAlign w:val="bottom"/>
          </w:tcPr>
          <w:p>
            <w:pPr>
              <w:pStyle w:val="TableContents"/>
              <w:bidi w:val="0"/>
              <w:spacing w:before="0" w:after="283"/>
              <w:jc w:val="center"/>
              <w:rPr/>
            </w:pPr>
            <w:r>
              <w:rPr/>
              <w:t>Alise Reicin, M.D.</w:t>
            </w:r>
          </w:p>
        </w:tc>
      </w:tr>
      <w:tr>
        <w:trPr/>
        <w:tc>
          <w:tcPr>
            <w:tcW w:w="4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879" w:type="dxa"/>
            <w:tcBorders/>
            <w:vAlign w:val="bottom"/>
          </w:tcPr>
          <w:p>
            <w:pPr>
              <w:pStyle w:val="TableContents"/>
              <w:bidi w:val="0"/>
              <w:spacing w:before="0" w:after="283"/>
              <w:jc w:val="center"/>
              <w:rPr/>
            </w:pPr>
            <w:r>
              <w:rPr/>
              <w:t>President and Chief Executive Officer</w:t>
            </w:r>
          </w:p>
        </w:tc>
      </w:tr>
      <w:tr>
        <w:trPr/>
        <w:tc>
          <w:tcPr>
            <w:tcW w:w="4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879" w:type="dxa"/>
            <w:tcBorders/>
            <w:vAlign w:val="bottom"/>
          </w:tcPr>
          <w:p>
            <w:pPr>
              <w:pStyle w:val="TableContents"/>
              <w:bidi w:val="0"/>
              <w:spacing w:before="0" w:after="283"/>
              <w:jc w:val="center"/>
              <w:rPr>
                <w:i/>
              </w:rPr>
            </w:pPr>
            <w:r>
              <w:rPr>
                <w:i/>
              </w:rPr>
              <w:t>(Principal Executive Officer)</w:t>
            </w:r>
          </w:p>
        </w:tc>
      </w:tr>
      <w:tr>
        <w:trPr>
          <w:trHeight w:val="240" w:hRule="atLeast"/>
        </w:trPr>
        <w:tc>
          <w:tcPr>
            <w:tcW w:w="4646"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87" w:type="dxa"/>
            <w:gridSpan w:val="2"/>
            <w:tcBorders/>
            <w:vAlign w:val="center"/>
          </w:tcPr>
          <w:p>
            <w:pPr>
              <w:pStyle w:val="TableContents"/>
              <w:bidi w:val="0"/>
              <w:spacing w:before="0" w:after="283"/>
              <w:jc w:val="left"/>
              <w:rPr>
                <w:sz w:val="4"/>
                <w:szCs w:val="4"/>
              </w:rPr>
            </w:pPr>
            <w:r>
              <w:rPr>
                <w:sz w:val="4"/>
                <w:szCs w:val="4"/>
              </w:rPr>
            </w:r>
          </w:p>
        </w:tc>
        <w:tc>
          <w:tcPr>
            <w:tcW w:w="4989" w:type="dxa"/>
            <w:gridSpan w:val="2"/>
            <w:tcBorders/>
            <w:vAlign w:val="center"/>
          </w:tcPr>
          <w:p>
            <w:pPr>
              <w:pStyle w:val="TableContents"/>
              <w:bidi w:val="0"/>
              <w:spacing w:before="0" w:after="283"/>
              <w:jc w:val="left"/>
              <w:rPr>
                <w:sz w:val="4"/>
                <w:szCs w:val="4"/>
              </w:rPr>
            </w:pPr>
            <w:r>
              <w:rPr>
                <w:sz w:val="4"/>
                <w:szCs w:val="4"/>
              </w:rPr>
            </w:r>
          </w:p>
        </w:tc>
      </w:tr>
      <w:tr>
        <w:trPr/>
        <w:tc>
          <w:tcPr>
            <w:tcW w:w="4646" w:type="dxa"/>
            <w:tcBorders/>
            <w:vAlign w:val="bottom"/>
          </w:tcPr>
          <w:p>
            <w:pPr>
              <w:pStyle w:val="TableContents"/>
              <w:bidi w:val="0"/>
              <w:spacing w:before="0" w:after="283"/>
              <w:jc w:val="left"/>
              <w:rPr/>
            </w:pPr>
            <w:r>
              <w:rPr/>
              <w:t>Date: May 8, 2025</w:t>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By:</w:t>
            </w:r>
          </w:p>
        </w:tc>
        <w:tc>
          <w:tcPr>
            <w:tcW w:w="110" w:type="dxa"/>
            <w:tcBorders>
              <w:bottom w:val="single" w:sz="2" w:space="0" w:color="000000"/>
            </w:tcBorders>
            <w:tcMar>
              <w:bottom w:w="28" w:type="dxa"/>
            </w:tcMar>
            <w:vAlign w:val="bottom"/>
          </w:tcPr>
          <w:p>
            <w:pPr>
              <w:pStyle w:val="TableContents"/>
              <w:bidi w:val="0"/>
              <w:spacing w:before="0" w:after="283"/>
              <w:jc w:val="left"/>
              <w:rPr/>
            </w:pPr>
            <w:r>
              <w:rPr/>
              <w:t> </w:t>
            </w:r>
          </w:p>
        </w:tc>
        <w:tc>
          <w:tcPr>
            <w:tcW w:w="4879" w:type="dxa"/>
            <w:tcBorders>
              <w:bottom w:val="single" w:sz="2" w:space="0" w:color="000000"/>
            </w:tcBorders>
            <w:tcMar>
              <w:bottom w:w="28" w:type="dxa"/>
            </w:tcMar>
            <w:vAlign w:val="bottom"/>
          </w:tcPr>
          <w:p>
            <w:pPr>
              <w:pStyle w:val="TableContents"/>
              <w:bidi w:val="0"/>
              <w:spacing w:before="0" w:after="283"/>
              <w:jc w:val="center"/>
              <w:rPr/>
            </w:pPr>
            <w:r>
              <w:rPr/>
              <w:t>/s/ Daniel Lochner</w:t>
            </w:r>
          </w:p>
        </w:tc>
      </w:tr>
      <w:tr>
        <w:trPr/>
        <w:tc>
          <w:tcPr>
            <w:tcW w:w="4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879" w:type="dxa"/>
            <w:tcBorders/>
            <w:vAlign w:val="bottom"/>
          </w:tcPr>
          <w:p>
            <w:pPr>
              <w:pStyle w:val="TableContents"/>
              <w:bidi w:val="0"/>
              <w:spacing w:before="0" w:after="283"/>
              <w:jc w:val="center"/>
              <w:rPr/>
            </w:pPr>
            <w:r>
              <w:rPr/>
              <w:t>Daniel Lochner</w:t>
            </w:r>
          </w:p>
        </w:tc>
      </w:tr>
      <w:tr>
        <w:trPr/>
        <w:tc>
          <w:tcPr>
            <w:tcW w:w="4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879" w:type="dxa"/>
            <w:tcBorders/>
            <w:vAlign w:val="bottom"/>
          </w:tcPr>
          <w:p>
            <w:pPr>
              <w:pStyle w:val="TableContents"/>
              <w:bidi w:val="0"/>
              <w:spacing w:before="0" w:after="283"/>
              <w:jc w:val="center"/>
              <w:rPr/>
            </w:pPr>
            <w:r>
              <w:rPr/>
              <w:t>Chief Financial Officer</w:t>
            </w:r>
          </w:p>
        </w:tc>
      </w:tr>
      <w:tr>
        <w:trPr/>
        <w:tc>
          <w:tcPr>
            <w:tcW w:w="46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4879" w:type="dxa"/>
            <w:tcBorders/>
            <w:vAlign w:val="bottom"/>
          </w:tcPr>
          <w:p>
            <w:pPr>
              <w:pStyle w:val="TableContents"/>
              <w:bidi w:val="0"/>
              <w:spacing w:before="0" w:after="0"/>
              <w:jc w:val="center"/>
              <w:rPr>
                <w:rFonts w:ascii="Times New Roman" w:hAnsi="Times New Roman"/>
                <w:i/>
                <w:sz w:val="20"/>
              </w:rPr>
            </w:pPr>
            <w:r>
              <w:rPr>
                <w:rFonts w:ascii="Times New Roman" w:hAnsi="Times New Roman"/>
                <w:i/>
                <w:sz w:val="20"/>
              </w:rPr>
              <w:t>(Principal Financial Officer and Principal</w:t>
            </w:r>
          </w:p>
          <w:p>
            <w:pPr>
              <w:pStyle w:val="TableContents"/>
              <w:bidi w:val="0"/>
              <w:spacing w:before="0" w:after="20"/>
              <w:jc w:val="center"/>
              <w:rPr>
                <w:rFonts w:ascii="Times New Roman" w:hAnsi="Times New Roman"/>
                <w:i/>
                <w:sz w:val="20"/>
              </w:rPr>
            </w:pPr>
            <w:r>
              <w:rPr>
                <w:rFonts w:ascii="Times New Roman" w:hAnsi="Times New Roman"/>
                <w:i/>
                <w:sz w:val="20"/>
              </w:rPr>
              <w:t>Accounting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31.1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CERTIFICATION </w:t>
      </w:r>
    </w:p>
    <w:p>
      <w:pPr>
        <w:pStyle w:val="TextBody"/>
        <w:bidi w:val="0"/>
        <w:spacing w:before="240" w:after="0"/>
        <w:jc w:val="left"/>
        <w:rPr>
          <w:rFonts w:ascii="Times New Roman" w:hAnsi="Times New Roman"/>
          <w:sz w:val="20"/>
        </w:rPr>
      </w:pPr>
      <w:r>
        <w:rPr>
          <w:rFonts w:ascii="Times New Roman" w:hAnsi="Times New Roman"/>
          <w:sz w:val="20"/>
        </w:rPr>
        <w:t xml:space="preserve">I, Alise Reicin,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Form 10-Q of Tectonic Therapeutic,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8,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Alise Reicin, M.D.</w:t>
            </w:r>
          </w:p>
        </w:tc>
      </w:tr>
      <w:tr>
        <w:trPr/>
        <w:tc>
          <w:tcPr>
            <w:tcW w:w="4082" w:type="dxa"/>
            <w:tcBorders/>
          </w:tcPr>
          <w:p>
            <w:pPr>
              <w:pStyle w:val="TableContents"/>
              <w:bidi w:val="0"/>
              <w:spacing w:before="0" w:after="283"/>
              <w:jc w:val="left"/>
              <w:rPr/>
            </w:pPr>
            <w:r>
              <w:rPr/>
              <w:t>Alise Reicin, M.D.</w:t>
            </w:r>
          </w:p>
        </w:tc>
      </w:tr>
      <w:tr>
        <w:trPr/>
        <w:tc>
          <w:tcPr>
            <w:tcW w:w="4082" w:type="dxa"/>
            <w:tcBorders/>
          </w:tcPr>
          <w:p>
            <w:pPr>
              <w:pStyle w:val="TableContents"/>
              <w:bidi w:val="0"/>
              <w:spacing w:before="0" w:after="283"/>
              <w:jc w:val="left"/>
              <w:rPr/>
            </w:pPr>
            <w:r>
              <w:rPr/>
              <w:t>President and Chief Executive Officer</w:t>
            </w:r>
          </w:p>
        </w:tc>
      </w:tr>
      <w:tr>
        <w:trPr/>
        <w:tc>
          <w:tcPr>
            <w:tcW w:w="4082" w:type="dxa"/>
            <w:tcBorders/>
          </w:tcPr>
          <w:p>
            <w:pPr>
              <w:pStyle w:val="TableContents"/>
              <w:bidi w:val="0"/>
              <w:spacing w:before="0" w:after="283"/>
              <w:jc w:val="left"/>
              <w:rPr>
                <w:i/>
              </w:rPr>
            </w:pPr>
            <w:r>
              <w:rPr>
                <w:i/>
              </w:rPr>
              <w:t>(Principal Executive Officer)</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31.2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CERTIFICATION </w:t>
      </w:r>
    </w:p>
    <w:p>
      <w:pPr>
        <w:pStyle w:val="TextBody"/>
        <w:bidi w:val="0"/>
        <w:spacing w:before="240" w:after="0"/>
        <w:jc w:val="left"/>
        <w:rPr>
          <w:rFonts w:ascii="Times New Roman" w:hAnsi="Times New Roman"/>
          <w:sz w:val="20"/>
        </w:rPr>
      </w:pPr>
      <w:r>
        <w:rPr>
          <w:rFonts w:ascii="Times New Roman" w:hAnsi="Times New Roman"/>
          <w:sz w:val="20"/>
        </w:rPr>
        <w:t xml:space="preserve">I, Daniel Lochner,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Form 10-Q of Tectonic Therapeutic,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8,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Lochner</w:t>
            </w:r>
          </w:p>
        </w:tc>
      </w:tr>
      <w:tr>
        <w:trPr/>
        <w:tc>
          <w:tcPr>
            <w:tcW w:w="4082" w:type="dxa"/>
            <w:tcBorders/>
          </w:tcPr>
          <w:p>
            <w:pPr>
              <w:pStyle w:val="TableContents"/>
              <w:bidi w:val="0"/>
              <w:spacing w:before="0" w:after="283"/>
              <w:jc w:val="left"/>
              <w:rPr/>
            </w:pPr>
            <w:r>
              <w:rPr/>
              <w:t>Daniel Lochner</w:t>
            </w:r>
          </w:p>
        </w:tc>
      </w:tr>
      <w:tr>
        <w:trPr/>
        <w:tc>
          <w:tcPr>
            <w:tcW w:w="4082" w:type="dxa"/>
            <w:tcBorders/>
          </w:tcPr>
          <w:p>
            <w:pPr>
              <w:pStyle w:val="TableContents"/>
              <w:bidi w:val="0"/>
              <w:spacing w:before="0" w:after="283"/>
              <w:jc w:val="left"/>
              <w:rPr/>
            </w:pPr>
            <w:r>
              <w:rPr/>
              <w:t>Chief Financial Officer</w:t>
            </w:r>
          </w:p>
        </w:tc>
      </w:tr>
      <w:tr>
        <w:trPr/>
        <w:tc>
          <w:tcPr>
            <w:tcW w:w="4082" w:type="dxa"/>
            <w:tcBorders/>
          </w:tcPr>
          <w:p>
            <w:pPr>
              <w:pStyle w:val="TableContents"/>
              <w:bidi w:val="0"/>
              <w:spacing w:before="0" w:after="283"/>
              <w:jc w:val="left"/>
              <w:rPr>
                <w:i/>
              </w:rPr>
            </w:pPr>
            <w:r>
              <w:rPr>
                <w:i/>
              </w:rPr>
              <w:t>(Principal Financial Officer)</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32.1 </w:t>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 set forth in Rule 13a-14(b) of the Securities Exchange Act of 1934, as amended, (the Exchange Act) and Section 1350 of Chapter 63 of Title 18 of the United States Code (18 U.S.C. §1350), Alise Reicin, President and Chief Executive Officer of Tectonic Therapeutic, Inc. (the Company), and Daniel Lochner, Chief Financial Officer of the Company, each hereby certifies that, to the best of his or her knowledge: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Quarterly Report on Form 10-Q for the period ended March 31, 2025, to which this Certification is attached as Exhibit 32.1 (the Periodic Report), fully complies with the requirements of Section 13(a) or Section 15(d) of the Exchange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contained in the Periodic Report fairly presents, in all material respects, the financial condition and results of operations of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May 8, 2025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have set their hands hereto as of the 8th day of May,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25"/>
        <w:gridCol w:w="109"/>
        <w:gridCol w:w="1134"/>
        <w:gridCol w:w="120"/>
        <w:gridCol w:w="4317"/>
      </w:tblGrid>
      <w:tr>
        <w:trPr/>
        <w:tc>
          <w:tcPr>
            <w:tcW w:w="452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17" w:type="dxa"/>
            <w:tcBorders/>
            <w:vAlign w:val="center"/>
          </w:tcPr>
          <w:p>
            <w:pPr>
              <w:pStyle w:val="TableContents"/>
              <w:bidi w:val="0"/>
              <w:spacing w:before="0" w:after="283"/>
              <w:jc w:val="left"/>
              <w:rPr>
                <w:sz w:val="4"/>
                <w:szCs w:val="4"/>
              </w:rPr>
            </w:pPr>
            <w:r>
              <w:rPr>
                <w:sz w:val="4"/>
                <w:szCs w:val="4"/>
              </w:rPr>
            </w:r>
          </w:p>
        </w:tc>
      </w:tr>
      <w:tr>
        <w:trPr/>
        <w:tc>
          <w:tcPr>
            <w:tcW w:w="45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Alise Reicin, M.D.</w:t>
            </w:r>
          </w:p>
        </w:tc>
        <w:tc>
          <w:tcPr>
            <w:tcW w:w="109" w:type="dxa"/>
            <w:tcBorders/>
            <w:vAlign w:val="bottom"/>
          </w:tcPr>
          <w:p>
            <w:pPr>
              <w:pStyle w:val="TableContents"/>
              <w:bidi w:val="0"/>
              <w:spacing w:before="0" w:after="283"/>
              <w:jc w:val="left"/>
              <w:rPr/>
            </w:pPr>
            <w:r>
              <w:rPr/>
              <w:t> </w:t>
            </w:r>
          </w:p>
        </w:tc>
        <w:tc>
          <w:tcPr>
            <w:tcW w:w="1134"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31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Lochner</w:t>
            </w:r>
          </w:p>
        </w:tc>
      </w:tr>
      <w:tr>
        <w:trPr/>
        <w:tc>
          <w:tcPr>
            <w:tcW w:w="4525" w:type="dxa"/>
            <w:tcBorders/>
          </w:tcPr>
          <w:p>
            <w:pPr>
              <w:pStyle w:val="TableContents"/>
              <w:bidi w:val="0"/>
              <w:spacing w:before="0" w:after="283"/>
              <w:jc w:val="left"/>
              <w:rPr/>
            </w:pPr>
            <w:r>
              <w:rPr/>
              <w:t>Alise Reicin, M.D.</w:t>
            </w:r>
          </w:p>
        </w:tc>
        <w:tc>
          <w:tcPr>
            <w:tcW w:w="109" w:type="dxa"/>
            <w:tcBorders/>
            <w:vAlign w:val="bottom"/>
          </w:tcPr>
          <w:p>
            <w:pPr>
              <w:pStyle w:val="TableContents"/>
              <w:bidi w:val="0"/>
              <w:spacing w:before="0" w:after="283"/>
              <w:jc w:val="left"/>
              <w:rPr/>
            </w:pPr>
            <w:r>
              <w:rPr/>
              <w:t> </w:t>
            </w:r>
          </w:p>
        </w:tc>
        <w:tc>
          <w:tcPr>
            <w:tcW w:w="11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17" w:type="dxa"/>
            <w:tcBorders/>
          </w:tcPr>
          <w:p>
            <w:pPr>
              <w:pStyle w:val="TableContents"/>
              <w:bidi w:val="0"/>
              <w:spacing w:before="0" w:after="283"/>
              <w:jc w:val="left"/>
              <w:rPr/>
            </w:pPr>
            <w:r>
              <w:rPr/>
              <w:t>Daniel Lochner</w:t>
            </w:r>
          </w:p>
        </w:tc>
      </w:tr>
      <w:tr>
        <w:trPr/>
        <w:tc>
          <w:tcPr>
            <w:tcW w:w="4525" w:type="dxa"/>
            <w:tcBorders/>
          </w:tcPr>
          <w:p>
            <w:pPr>
              <w:pStyle w:val="TableContents"/>
              <w:bidi w:val="0"/>
              <w:spacing w:before="0" w:after="283"/>
              <w:jc w:val="left"/>
              <w:rPr/>
            </w:pPr>
            <w:r>
              <w:rPr/>
              <w:t>President and Chief Executive Officer</w:t>
            </w:r>
          </w:p>
        </w:tc>
        <w:tc>
          <w:tcPr>
            <w:tcW w:w="109" w:type="dxa"/>
            <w:tcBorders/>
            <w:vAlign w:val="bottom"/>
          </w:tcPr>
          <w:p>
            <w:pPr>
              <w:pStyle w:val="TableContents"/>
              <w:bidi w:val="0"/>
              <w:spacing w:before="0" w:after="283"/>
              <w:jc w:val="left"/>
              <w:rPr/>
            </w:pPr>
            <w:r>
              <w:rPr/>
              <w:t> </w:t>
            </w:r>
          </w:p>
        </w:tc>
        <w:tc>
          <w:tcPr>
            <w:tcW w:w="11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17"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certification accompanies the Form 10-Q to which it relates, is not deemed filed with the Securities and Exchange Commission and is not to be incorporated by reference into any filing of Tectonic Therapeutic, Inc. under the Securities Act of 1933, as amended, or the Securities Exchange Act of 1934, as amended (whether made before or after the date of the Form 10-Q), irrespective of any general incorporation language contained in such filing.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681087/000119312524200609/d878693dex31.htm" TargetMode="External"/><Relationship Id="rId4" Type="http://schemas.openxmlformats.org/officeDocument/2006/relationships/hyperlink" Target="http://www.sec.gov/Archives/edgar/data/1681087/000119312518202460/d153924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83</Pages>
  <Words>57878</Words>
  <Characters>320042</Characters>
  <CharactersWithSpaces>380284</CharactersWithSpaces>
  <Paragraphs>6176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