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72180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721804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0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Leonard Braden Michael</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(Last)</w:t>
            </w:r>
          </w:p>
        </w:tc>
        <w:tc>
          <w:tcPr>
            <w:tcW w:w="960" w:type="dxa"/>
            <w:vAlign w:val="bottom"/>
          </w:tcPr>
          <w:p>
            <w:pPr>
              <w:ind w:left="100"/>
              <w:spacing w:after="0"/>
              <w:rPr>
                <w:sz w:val="20"/>
                <w:szCs w:val="20"/>
                <w:color w:val="auto"/>
              </w:rPr>
            </w:pPr>
            <w:r>
              <w:rPr>
                <w:rFonts w:ascii="Arial" w:cs="Arial" w:eastAsia="Arial" w:hAnsi="Arial"/>
                <w:sz w:val="13"/>
                <w:szCs w:val="13"/>
                <w:color w:val="auto"/>
              </w:rPr>
              <w:t>(First)</w:t>
            </w:r>
          </w:p>
        </w:tc>
        <w:tc>
          <w:tcPr>
            <w:tcW w:w="1560" w:type="dxa"/>
            <w:vAlign w:val="bottom"/>
          </w:tcPr>
          <w:p>
            <w:pPr>
              <w:ind w:left="36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65 E CEDAR - SUITE 2</w:t>
            </w:r>
          </w:p>
        </w:tc>
        <w:tc>
          <w:tcPr>
            <w:tcW w:w="156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r>
      <w:tr>
        <w:trPr>
          <w:trHeight w:val="269"/>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ZIONSVILLE</w:t>
            </w:r>
          </w:p>
        </w:tc>
        <w:tc>
          <w:tcPr>
            <w:tcW w:w="9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IN</w:t>
            </w:r>
          </w:p>
        </w:tc>
        <w:tc>
          <w:tcPr>
            <w:tcW w:w="156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46077</w:t>
            </w:r>
          </w:p>
        </w:tc>
      </w:tr>
      <w:tr>
        <w:trPr>
          <w:trHeight w:val="155"/>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00"/>
              <w:spacing w:after="0"/>
              <w:rPr>
                <w:sz w:val="20"/>
                <w:szCs w:val="20"/>
                <w:color w:val="auto"/>
              </w:rPr>
            </w:pPr>
            <w:r>
              <w:rPr>
                <w:rFonts w:ascii="Arial" w:cs="Arial" w:eastAsia="Arial" w:hAnsi="Arial"/>
                <w:sz w:val="13"/>
                <w:szCs w:val="13"/>
                <w:color w:val="auto"/>
              </w:rPr>
              <w:t>(State)</w:t>
            </w:r>
          </w:p>
        </w:tc>
        <w:tc>
          <w:tcPr>
            <w:tcW w:w="1560" w:type="dxa"/>
            <w:vAlign w:val="bottom"/>
          </w:tcPr>
          <w:p>
            <w:pPr>
              <w:ind w:left="36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AVROBIO,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AVRO</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238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240" w:type="dxa"/>
            <w:vAlign w:val="bottom"/>
            <w:tcBorders>
              <w:bottom w:val="single" w:sz="8" w:color="0000EE"/>
            </w:tcBorders>
          </w:tcPr>
          <w:p>
            <w:pPr>
              <w:spacing w:after="0"/>
              <w:rPr>
                <w:sz w:val="3"/>
                <w:szCs w:val="3"/>
                <w:color w:val="auto"/>
              </w:rPr>
            </w:pPr>
          </w:p>
        </w:tc>
        <w:tc>
          <w:tcPr>
            <w:tcW w:w="2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600" w:type="dxa"/>
            <w:vAlign w:val="bottom"/>
            <w:vMerge w:val="restart"/>
          </w:tcPr>
          <w:p>
            <w:pPr>
              <w:ind w:left="14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24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500" w:type="dxa"/>
            <w:vAlign w:val="bottom"/>
            <w:vMerge w:val="continue"/>
          </w:tcPr>
          <w:p>
            <w:pPr>
              <w:spacing w:after="0"/>
              <w:rPr>
                <w:sz w:val="11"/>
                <w:szCs w:val="11"/>
                <w:color w:val="auto"/>
              </w:rPr>
            </w:pPr>
          </w:p>
        </w:tc>
        <w:tc>
          <w:tcPr>
            <w:tcW w:w="1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600" w:type="dxa"/>
            <w:vAlign w:val="bottom"/>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14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05/13/2024</w:t>
            </w:r>
          </w:p>
        </w:tc>
        <w:tc>
          <w:tcPr>
            <w:tcW w:w="2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below)</w:t>
            </w:r>
          </w:p>
        </w:tc>
        <w:tc>
          <w:tcPr>
            <w:tcW w:w="1600" w:type="dxa"/>
            <w:vAlign w:val="bottom"/>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240" w:type="dxa"/>
            <w:vAlign w:val="bottom"/>
            <w:tcBorders>
              <w:bottom w:val="single" w:sz="8" w:color="2C2C2C"/>
            </w:tcBorders>
          </w:tcPr>
          <w:p>
            <w:pPr>
              <w:spacing w:after="0"/>
              <w:rPr>
                <w:sz w:val="8"/>
                <w:szCs w:val="8"/>
                <w:color w:val="auto"/>
              </w:rPr>
            </w:pPr>
          </w:p>
        </w:tc>
        <w:tc>
          <w:tcPr>
            <w:tcW w:w="23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0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2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Holding of</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BML</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0000FF"/>
              </w:rPr>
              <w:t>05/13/2024</w:t>
            </w: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P</w:t>
            </w: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253,700</w:t>
            </w:r>
          </w:p>
        </w:tc>
        <w:tc>
          <w:tcPr>
            <w:tcW w:w="42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gridSpan w:val="2"/>
          </w:tcPr>
          <w:p>
            <w:pPr>
              <w:jc w:val="center"/>
              <w:ind w:left="5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1.235</w:t>
            </w:r>
          </w:p>
        </w:tc>
        <w:tc>
          <w:tcPr>
            <w:tcW w:w="126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4,255,327</w:t>
            </w:r>
          </w:p>
        </w:tc>
        <w:tc>
          <w:tcPr>
            <w:tcW w:w="300" w:type="dxa"/>
            <w:vAlign w:val="bottom"/>
          </w:tcPr>
          <w:p>
            <w:pPr>
              <w:spacing w:after="0"/>
              <w:rPr>
                <w:sz w:val="18"/>
                <w:szCs w:val="18"/>
                <w:color w:val="auto"/>
              </w:rPr>
            </w:pPr>
          </w:p>
        </w:tc>
        <w:tc>
          <w:tcPr>
            <w:tcW w:w="560" w:type="dxa"/>
            <w:vAlign w:val="bottom"/>
          </w:tcPr>
          <w:p>
            <w:pPr>
              <w:jc w:val="center"/>
              <w:ind w:right="309"/>
              <w:spacing w:after="0"/>
              <w:rPr>
                <w:sz w:val="20"/>
                <w:szCs w:val="20"/>
                <w:color w:val="auto"/>
              </w:rPr>
            </w:pPr>
            <w:r>
              <w:rPr>
                <w:rFonts w:ascii="Times New Roman" w:cs="Times New Roman" w:eastAsia="Times New Roman" w:hAnsi="Times New Roman"/>
                <w:sz w:val="17"/>
                <w:szCs w:val="17"/>
                <w:color w:val="0000FF"/>
              </w:rPr>
              <w:t>I</w:t>
            </w: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Investment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Partners,</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L.P.</w:t>
            </w:r>
            <w:r>
              <w:rPr>
                <w:rFonts w:ascii="Times New Roman" w:cs="Times New Roman" w:eastAsia="Times New Roman" w:hAnsi="Times New Roman"/>
                <w:sz w:val="22"/>
                <w:szCs w:val="22"/>
                <w:color w:val="008000"/>
                <w:vertAlign w:val="superscript"/>
              </w:rPr>
              <w:t>(1)</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Holding of</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BML</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0000FF"/>
              </w:rPr>
              <w:t>05/13/2024</w:t>
            </w: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P</w:t>
            </w: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216,053</w:t>
            </w:r>
          </w:p>
        </w:tc>
        <w:tc>
          <w:tcPr>
            <w:tcW w:w="42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gridSpan w:val="2"/>
          </w:tcPr>
          <w:p>
            <w:pPr>
              <w:jc w:val="center"/>
              <w:ind w:left="51"/>
              <w:spacing w:after="0" w:line="213" w:lineRule="exact"/>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1.26</w:t>
            </w:r>
            <w:r>
              <w:rPr>
                <w:rFonts w:ascii="Times New Roman" w:cs="Times New Roman" w:eastAsia="Times New Roman" w:hAnsi="Times New Roman"/>
                <w:sz w:val="22"/>
                <w:szCs w:val="22"/>
                <w:color w:val="008000"/>
                <w:w w:val="95"/>
                <w:vertAlign w:val="superscript"/>
              </w:rPr>
              <w:t>(2)</w:t>
            </w:r>
          </w:p>
        </w:tc>
        <w:tc>
          <w:tcPr>
            <w:tcW w:w="126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4,471,380</w:t>
            </w:r>
          </w:p>
        </w:tc>
        <w:tc>
          <w:tcPr>
            <w:tcW w:w="300" w:type="dxa"/>
            <w:vAlign w:val="bottom"/>
          </w:tcPr>
          <w:p>
            <w:pPr>
              <w:spacing w:after="0"/>
              <w:rPr>
                <w:sz w:val="18"/>
                <w:szCs w:val="18"/>
                <w:color w:val="auto"/>
              </w:rPr>
            </w:pPr>
          </w:p>
        </w:tc>
        <w:tc>
          <w:tcPr>
            <w:tcW w:w="560" w:type="dxa"/>
            <w:vAlign w:val="bottom"/>
          </w:tcPr>
          <w:p>
            <w:pPr>
              <w:jc w:val="center"/>
              <w:ind w:right="309"/>
              <w:spacing w:after="0"/>
              <w:rPr>
                <w:sz w:val="20"/>
                <w:szCs w:val="20"/>
                <w:color w:val="auto"/>
              </w:rPr>
            </w:pPr>
            <w:r>
              <w:rPr>
                <w:rFonts w:ascii="Times New Roman" w:cs="Times New Roman" w:eastAsia="Times New Roman" w:hAnsi="Times New Roman"/>
                <w:sz w:val="17"/>
                <w:szCs w:val="17"/>
                <w:color w:val="0000FF"/>
              </w:rPr>
              <w:t>I</w:t>
            </w: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Investment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Partners,</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L.P.</w:t>
            </w:r>
            <w:r>
              <w:rPr>
                <w:rFonts w:ascii="Times New Roman" w:cs="Times New Roman" w:eastAsia="Times New Roman" w:hAnsi="Times New Roman"/>
                <w:sz w:val="22"/>
                <w:szCs w:val="22"/>
                <w:color w:val="008000"/>
                <w:vertAlign w:val="superscript"/>
              </w:rPr>
              <w:t>(1)</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Holding of</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BML</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0000FF"/>
              </w:rPr>
              <w:t>05/14/2024</w:t>
            </w: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P</w:t>
            </w: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296,882</w:t>
            </w:r>
          </w:p>
        </w:tc>
        <w:tc>
          <w:tcPr>
            <w:tcW w:w="42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gridSpan w:val="2"/>
          </w:tcPr>
          <w:p>
            <w:pPr>
              <w:jc w:val="center"/>
              <w:ind w:left="31"/>
              <w:spacing w:after="0" w:line="213" w:lineRule="exact"/>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1.3</w:t>
            </w:r>
            <w:r>
              <w:rPr>
                <w:rFonts w:ascii="Times New Roman" w:cs="Times New Roman" w:eastAsia="Times New Roman" w:hAnsi="Times New Roman"/>
                <w:sz w:val="22"/>
                <w:szCs w:val="22"/>
                <w:color w:val="008000"/>
                <w:w w:val="91"/>
                <w:vertAlign w:val="superscript"/>
              </w:rPr>
              <w:t>(3)</w:t>
            </w:r>
          </w:p>
        </w:tc>
        <w:tc>
          <w:tcPr>
            <w:tcW w:w="126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4,768,262</w:t>
            </w:r>
          </w:p>
        </w:tc>
        <w:tc>
          <w:tcPr>
            <w:tcW w:w="300" w:type="dxa"/>
            <w:vAlign w:val="bottom"/>
          </w:tcPr>
          <w:p>
            <w:pPr>
              <w:spacing w:after="0"/>
              <w:rPr>
                <w:sz w:val="18"/>
                <w:szCs w:val="18"/>
                <w:color w:val="auto"/>
              </w:rPr>
            </w:pPr>
          </w:p>
        </w:tc>
        <w:tc>
          <w:tcPr>
            <w:tcW w:w="560" w:type="dxa"/>
            <w:vAlign w:val="bottom"/>
          </w:tcPr>
          <w:p>
            <w:pPr>
              <w:jc w:val="center"/>
              <w:ind w:right="309"/>
              <w:spacing w:after="0"/>
              <w:rPr>
                <w:sz w:val="20"/>
                <w:szCs w:val="20"/>
                <w:color w:val="auto"/>
              </w:rPr>
            </w:pPr>
            <w:r>
              <w:rPr>
                <w:rFonts w:ascii="Times New Roman" w:cs="Times New Roman" w:eastAsia="Times New Roman" w:hAnsi="Times New Roman"/>
                <w:sz w:val="17"/>
                <w:szCs w:val="17"/>
                <w:color w:val="0000FF"/>
              </w:rPr>
              <w:t>I</w:t>
            </w: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Investment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Partners,</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L.P.</w:t>
            </w:r>
            <w:r>
              <w:rPr>
                <w:rFonts w:ascii="Times New Roman" w:cs="Times New Roman" w:eastAsia="Times New Roman" w:hAnsi="Times New Roman"/>
                <w:sz w:val="22"/>
                <w:szCs w:val="22"/>
                <w:color w:val="008000"/>
                <w:vertAlign w:val="superscript"/>
              </w:rPr>
              <w:t>(1)</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tcBorders>
              <w:top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tcBorders>
          </w:tcPr>
          <w:p>
            <w:pPr>
              <w:spacing w:after="0"/>
              <w:rPr>
                <w:sz w:val="23"/>
                <w:szCs w:val="23"/>
                <w:color w:val="auto"/>
              </w:rPr>
            </w:pPr>
          </w:p>
        </w:tc>
        <w:tc>
          <w:tcPr>
            <w:tcW w:w="1120" w:type="dxa"/>
            <w:vAlign w:val="bottom"/>
            <w:tcBorders>
              <w:top w:val="single" w:sz="8" w:color="2C2C2C"/>
            </w:tcBorders>
          </w:tcPr>
          <w:p>
            <w:pPr>
              <w:spacing w:after="0"/>
              <w:rPr>
                <w:sz w:val="23"/>
                <w:szCs w:val="23"/>
                <w:color w:val="auto"/>
              </w:rPr>
            </w:pPr>
          </w:p>
        </w:tc>
        <w:tc>
          <w:tcPr>
            <w:tcW w:w="38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640" w:type="dxa"/>
            <w:vAlign w:val="bottom"/>
            <w:tcBorders>
              <w:top w:val="single" w:sz="8" w:color="2C2C2C"/>
            </w:tcBorders>
          </w:tcPr>
          <w:p>
            <w:pPr>
              <w:spacing w:after="0"/>
              <w:rPr>
                <w:sz w:val="23"/>
                <w:szCs w:val="23"/>
                <w:color w:val="auto"/>
              </w:rPr>
            </w:pPr>
          </w:p>
        </w:tc>
        <w:tc>
          <w:tcPr>
            <w:tcW w:w="40" w:type="dxa"/>
            <w:vAlign w:val="bottom"/>
            <w:tcBorders>
              <w:top w:val="single" w:sz="8" w:color="2C2C2C"/>
            </w:tcBorders>
          </w:tcPr>
          <w:p>
            <w:pPr>
              <w:spacing w:after="0"/>
              <w:rPr>
                <w:sz w:val="23"/>
                <w:szCs w:val="23"/>
                <w:color w:val="auto"/>
              </w:rPr>
            </w:pPr>
          </w:p>
        </w:tc>
        <w:tc>
          <w:tcPr>
            <w:tcW w:w="800" w:type="dxa"/>
            <w:vAlign w:val="bottom"/>
            <w:tcBorders>
              <w:top w:val="single" w:sz="8" w:color="2C2C2C"/>
            </w:tcBorders>
          </w:tcPr>
          <w:p>
            <w:pPr>
              <w:spacing w:after="0"/>
              <w:rPr>
                <w:sz w:val="23"/>
                <w:szCs w:val="23"/>
                <w:color w:val="auto"/>
              </w:rPr>
            </w:pPr>
          </w:p>
        </w:tc>
        <w:tc>
          <w:tcPr>
            <w:tcW w:w="780" w:type="dxa"/>
            <w:vAlign w:val="bottom"/>
            <w:tcBorders>
              <w:top w:val="single" w:sz="8" w:color="2C2C2C"/>
            </w:tcBorders>
          </w:tcPr>
          <w:p>
            <w:pPr>
              <w:spacing w:after="0"/>
              <w:rPr>
                <w:sz w:val="23"/>
                <w:szCs w:val="23"/>
                <w:color w:val="auto"/>
              </w:rPr>
            </w:pPr>
          </w:p>
        </w:tc>
        <w:tc>
          <w:tcPr>
            <w:tcW w:w="420" w:type="dxa"/>
            <w:vAlign w:val="bottom"/>
            <w:tcBorders>
              <w:top w:val="single" w:sz="8" w:color="2C2C2C"/>
            </w:tcBorders>
          </w:tcPr>
          <w:p>
            <w:pPr>
              <w:spacing w:after="0"/>
              <w:rPr>
                <w:sz w:val="23"/>
                <w:szCs w:val="23"/>
                <w:color w:val="auto"/>
              </w:rPr>
            </w:pPr>
          </w:p>
        </w:tc>
        <w:tc>
          <w:tcPr>
            <w:tcW w:w="58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1260" w:type="dxa"/>
            <w:vAlign w:val="bottom"/>
            <w:tcBorders>
              <w:top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400,000</w:t>
            </w:r>
          </w:p>
        </w:tc>
        <w:tc>
          <w:tcPr>
            <w:tcW w:w="300" w:type="dxa"/>
            <w:vAlign w:val="bottom"/>
            <w:tcBorders>
              <w:top w:val="single" w:sz="8" w:color="2C2C2C"/>
            </w:tcBorders>
          </w:tcPr>
          <w:p>
            <w:pPr>
              <w:spacing w:after="0"/>
              <w:rPr>
                <w:sz w:val="23"/>
                <w:szCs w:val="23"/>
                <w:color w:val="auto"/>
              </w:rPr>
            </w:pPr>
          </w:p>
        </w:tc>
        <w:tc>
          <w:tcPr>
            <w:tcW w:w="560" w:type="dxa"/>
            <w:vAlign w:val="bottom"/>
            <w:tcBorders>
              <w:top w:val="single" w:sz="8" w:color="2C2C2C"/>
            </w:tcBorders>
          </w:tcPr>
          <w:p>
            <w:pPr>
              <w:jc w:val="center"/>
              <w:ind w:right="289"/>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top w:val="single" w:sz="8" w:color="2C2C2C"/>
            </w:tcBorders>
          </w:tcPr>
          <w:p>
            <w:pPr>
              <w:spacing w:after="0"/>
              <w:rPr>
                <w:sz w:val="23"/>
                <w:szCs w:val="23"/>
                <w:color w:val="auto"/>
              </w:rPr>
            </w:pPr>
          </w:p>
        </w:tc>
        <w:tc>
          <w:tcPr>
            <w:tcW w:w="66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700" w:type="dxa"/>
            <w:vAlign w:val="bottom"/>
            <w:tcBorders>
              <w:bottom w:val="single" w:sz="8" w:color="2C2C2C"/>
            </w:tcBorders>
            <w:gridSpan w:val="5"/>
          </w:tcPr>
          <w:p>
            <w:pPr>
              <w:spacing w:after="0"/>
              <w:rPr>
                <w:sz w:val="8"/>
                <w:szCs w:val="8"/>
                <w:color w:val="auto"/>
              </w:rPr>
            </w:pPr>
          </w:p>
        </w:tc>
        <w:tc>
          <w:tcPr>
            <w:tcW w:w="2620" w:type="dxa"/>
            <w:vAlign w:val="bottom"/>
            <w:tcBorders>
              <w:bottom w:val="single" w:sz="8" w:color="2C2C2C"/>
            </w:tcBorders>
            <w:gridSpan w:val="5"/>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66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4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Reported</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Transaction(s)</w:t>
            </w: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BML Capital Management, LLC ("BML Capital") serves as the general partner of BML Investment Partners, L.P., a Delaware limited partnership (the "Fund"), which is the direct owner of the subject shares. Mr. Leonard is the managing member of BML Capital, and exercises investment and voting control over the subject shares. Accordingly, shares owned directly by the Fund may be regarded as being beneficially owned by Mr. Leonard. Notwithstanding, Mr. Leonard disclaims beneficial ownership of such shares, except to the extent of his pecuniary interest therein.</w:t>
      </w:r>
    </w:p>
    <w:p>
      <w:pPr>
        <w:spacing w:after="0" w:line="20" w:lineRule="exact"/>
        <w:rPr>
          <w:rFonts w:ascii="Times New Roman" w:cs="Times New Roman" w:eastAsia="Times New Roman" w:hAnsi="Times New Roman"/>
          <w:sz w:val="13"/>
          <w:szCs w:val="13"/>
          <w:color w:val="008000"/>
        </w:rPr>
      </w:pPr>
    </w:p>
    <w:p>
      <w:pPr>
        <w:ind w:left="40" w:right="7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Purchased in multiple transactions with an weighted average price of $1.26. The reporting person will provide, upon request by the SEC staff, the Issuer or a security holder of the Issuer, full information regarding the number of shares sold at each separate price within the range.</w:t>
      </w:r>
    </w:p>
    <w:p>
      <w:pPr>
        <w:spacing w:after="0" w:line="7" w:lineRule="exact"/>
        <w:rPr>
          <w:rFonts w:ascii="Times New Roman" w:cs="Times New Roman" w:eastAsia="Times New Roman" w:hAnsi="Times New Roman"/>
          <w:sz w:val="13"/>
          <w:szCs w:val="13"/>
          <w:color w:val="008000"/>
        </w:rPr>
      </w:pPr>
    </w:p>
    <w:p>
      <w:pPr>
        <w:ind w:left="40" w:right="1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Purchased in multiple transactions with a weighted average price of $1.30. The reporting person will provide, upon request by the SEC staff, the Issuer or a security holder of the Issuer, full information regarding the number of shares sold at each separate price within the range.</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Braden Michael Leonard</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05/15/2024</w:t>
            </w:r>
          </w:p>
        </w:tc>
      </w:tr>
      <w:tr>
        <w:trPr>
          <w:trHeight w:val="20"/>
        </w:trPr>
        <w:tc>
          <w:tcPr>
            <w:tcW w:w="1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0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73603" TargetMode="External"/><Relationship Id="rId13" Type="http://schemas.openxmlformats.org/officeDocument/2006/relationships/hyperlink" Target="http://www.sec.gov/cgi-bin/browse-edgar?action=getcompany&amp;CIK=00016810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2024-05-15T10:28:35Z</dcterms:created>
  <dcterms:modified xsi:type="dcterms:W3CDTF">2024-05-15T10:28:35Z</dcterms:modified>
</cp:coreProperties>
</file>