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8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r>
      <w:tr>
        <w:trPr>
          <w:trHeight w:val="453"/>
        </w:trPr>
        <w:tc>
          <w:tcPr>
            <w:tcW w:w="4420" w:type="dxa"/>
            <w:vAlign w:val="bottom"/>
            <w:gridSpan w:val="4"/>
          </w:tcPr>
          <w:p>
            <w:pPr>
              <w:ind w:left="780"/>
              <w:spacing w:after="0"/>
              <w:rPr>
                <w:sz w:val="20"/>
                <w:szCs w:val="20"/>
                <w:color w:val="auto"/>
              </w:rPr>
            </w:pPr>
            <w:r>
              <w:rPr>
                <w:rFonts w:ascii="Arial" w:cs="Arial" w:eastAsia="Arial" w:hAnsi="Arial"/>
                <w:sz w:val="18"/>
                <w:szCs w:val="18"/>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00" w:type="dxa"/>
        <w:tblCellMar>
          <w:top w:w="0" w:type="dxa"/>
          <w:left w:w="0" w:type="dxa"/>
          <w:bottom w:w="0" w:type="dxa"/>
          <w:right w:w="0" w:type="dxa"/>
        </w:tblCellMar>
      </w:tblPr>
      <w:tr>
        <w:trPr>
          <w:trHeight w:val="212"/>
        </w:trPr>
        <w:tc>
          <w:tcPr>
            <w:tcW w:w="4280" w:type="dxa"/>
            <w:vAlign w:val="bottom"/>
          </w:tcPr>
          <w:p>
            <w:pPr>
              <w:jc w:val="center"/>
              <w:ind w:right="1838"/>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61"/>
              <w:spacing w:after="0"/>
              <w:rPr>
                <w:sz w:val="20"/>
                <w:szCs w:val="20"/>
                <w:color w:val="auto"/>
              </w:rPr>
            </w:pPr>
            <w:r>
              <w:rPr>
                <w:rFonts w:ascii="Arial" w:cs="Arial" w:eastAsia="Arial" w:hAnsi="Arial"/>
                <w:sz w:val="18"/>
                <w:szCs w:val="18"/>
                <w:b w:val="1"/>
                <w:bCs w:val="1"/>
                <w:color w:val="auto"/>
              </w:rPr>
              <w:t>81-0710585</w:t>
            </w:r>
          </w:p>
        </w:tc>
      </w:tr>
      <w:tr>
        <w:trPr>
          <w:trHeight w:val="149"/>
        </w:trPr>
        <w:tc>
          <w:tcPr>
            <w:tcW w:w="4280" w:type="dxa"/>
            <w:vAlign w:val="bottom"/>
          </w:tcPr>
          <w:p>
            <w:pPr>
              <w:jc w:val="center"/>
              <w:ind w:right="18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280" w:type="dxa"/>
            <w:vAlign w:val="bottom"/>
          </w:tcPr>
          <w:p>
            <w:pPr>
              <w:jc w:val="center"/>
              <w:ind w:right="1838"/>
              <w:spacing w:after="0"/>
              <w:rPr>
                <w:sz w:val="20"/>
                <w:szCs w:val="20"/>
                <w:color w:val="auto"/>
              </w:rPr>
            </w:pPr>
            <w:r>
              <w:rPr>
                <w:rFonts w:ascii="Arial" w:cs="Arial" w:eastAsia="Arial" w:hAnsi="Arial"/>
                <w:sz w:val="14"/>
                <w:szCs w:val="14"/>
                <w:b w:val="1"/>
                <w:bCs w:val="1"/>
                <w:color w:val="auto"/>
                <w:w w:val="94"/>
              </w:rPr>
              <w:t>incorporation or organization)</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280" w:type="dxa"/>
            <w:vAlign w:val="bottom"/>
          </w:tcPr>
          <w:p>
            <w:pPr>
              <w:jc w:val="center"/>
              <w:ind w:right="1838"/>
              <w:spacing w:after="0"/>
              <w:rPr>
                <w:sz w:val="20"/>
                <w:szCs w:val="20"/>
                <w:color w:val="auto"/>
              </w:rPr>
            </w:pPr>
            <w:r>
              <w:rPr>
                <w:rFonts w:ascii="Arial" w:cs="Arial" w:eastAsia="Arial" w:hAnsi="Arial"/>
                <w:sz w:val="18"/>
                <w:szCs w:val="18"/>
                <w:b w:val="1"/>
                <w:bCs w:val="1"/>
                <w:color w:val="auto"/>
                <w:w w:val="91"/>
              </w:rPr>
              <w:t>One Kendall Square</w:t>
            </w:r>
          </w:p>
        </w:tc>
        <w:tc>
          <w:tcPr>
            <w:tcW w:w="3040" w:type="dxa"/>
            <w:vAlign w:val="bottom"/>
          </w:tcPr>
          <w:p>
            <w:pPr>
              <w:spacing w:after="0"/>
              <w:rPr>
                <w:sz w:val="24"/>
                <w:szCs w:val="24"/>
                <w:color w:val="auto"/>
              </w:rPr>
            </w:pPr>
          </w:p>
        </w:tc>
      </w:tr>
      <w:tr>
        <w:trPr>
          <w:trHeight w:val="216"/>
        </w:trPr>
        <w:tc>
          <w:tcPr>
            <w:tcW w:w="4280" w:type="dxa"/>
            <w:vAlign w:val="bottom"/>
          </w:tcPr>
          <w:p>
            <w:pPr>
              <w:jc w:val="center"/>
              <w:ind w:right="1818"/>
              <w:spacing w:after="0"/>
              <w:rPr>
                <w:sz w:val="20"/>
                <w:szCs w:val="20"/>
                <w:color w:val="auto"/>
              </w:rPr>
            </w:pPr>
            <w:r>
              <w:rPr>
                <w:rFonts w:ascii="Arial" w:cs="Arial" w:eastAsia="Arial" w:hAnsi="Arial"/>
                <w:sz w:val="18"/>
                <w:szCs w:val="18"/>
                <w:b w:val="1"/>
                <w:bCs w:val="1"/>
                <w:color w:val="auto"/>
                <w:w w:val="90"/>
              </w:rPr>
              <w:t>Building 300, Suite 201</w:t>
            </w:r>
          </w:p>
        </w:tc>
        <w:tc>
          <w:tcPr>
            <w:tcW w:w="3040" w:type="dxa"/>
            <w:vAlign w:val="bottom"/>
          </w:tcPr>
          <w:p>
            <w:pPr>
              <w:spacing w:after="0"/>
              <w:rPr>
                <w:sz w:val="18"/>
                <w:szCs w:val="18"/>
                <w:color w:val="auto"/>
              </w:rPr>
            </w:pPr>
          </w:p>
        </w:tc>
      </w:tr>
      <w:tr>
        <w:trPr>
          <w:trHeight w:val="225"/>
        </w:trPr>
        <w:tc>
          <w:tcPr>
            <w:tcW w:w="4280" w:type="dxa"/>
            <w:vAlign w:val="bottom"/>
          </w:tcPr>
          <w:p>
            <w:pPr>
              <w:jc w:val="center"/>
              <w:ind w:right="1818"/>
              <w:spacing w:after="0"/>
              <w:rPr>
                <w:sz w:val="20"/>
                <w:szCs w:val="20"/>
                <w:color w:val="auto"/>
              </w:rPr>
            </w:pPr>
            <w:r>
              <w:rPr>
                <w:rFonts w:ascii="Arial" w:cs="Arial" w:eastAsia="Arial" w:hAnsi="Arial"/>
                <w:sz w:val="18"/>
                <w:szCs w:val="18"/>
                <w:b w:val="1"/>
                <w:bCs w:val="1"/>
                <w:color w:val="auto"/>
                <w:w w:val="95"/>
              </w:rPr>
              <w:t>Cambridge, MA</w:t>
            </w:r>
          </w:p>
        </w:tc>
        <w:tc>
          <w:tcPr>
            <w:tcW w:w="304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4280" w:type="dxa"/>
            <w:vAlign w:val="bottom"/>
          </w:tcPr>
          <w:p>
            <w:pPr>
              <w:jc w:val="center"/>
              <w:ind w:right="18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20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200" w:right="3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200" w:right="1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40"/>
        <w:spacing w:after="0" w:line="207" w:lineRule="exact"/>
        <w:tabs>
          <w:tab w:leader="none" w:pos="8980" w:val="left"/>
          <w:tab w:leader="none" w:pos="96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As of November 8, 2018, the registrant had 23,955,870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186690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229235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81"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81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60" w:type="dxa"/>
            <w:vAlign w:val="bottom"/>
            <w:gridSpan w:val="2"/>
            <w:vMerge w:val="continue"/>
          </w:tcPr>
          <w:p>
            <w:pPr>
              <w:spacing w:after="0"/>
              <w:rPr>
                <w:sz w:val="13"/>
                <w:szCs w:val="13"/>
                <w:color w:val="auto"/>
              </w:rPr>
            </w:pPr>
          </w:p>
        </w:tc>
        <w:tc>
          <w:tcPr>
            <w:tcW w:w="8140" w:type="dxa"/>
            <w:vAlign w:val="bottom"/>
            <w:gridSpan w:val="15"/>
            <w:vMerge w:val="continue"/>
          </w:tcPr>
          <w:p>
            <w:pPr>
              <w:spacing w:after="0"/>
              <w:rPr>
                <w:sz w:val="13"/>
                <w:szCs w:val="13"/>
                <w:color w:val="auto"/>
              </w:rPr>
            </w:pPr>
          </w:p>
        </w:tc>
        <w:tc>
          <w:tcPr>
            <w:tcW w:w="16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814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4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Loss</w:t>
              </w:r>
            </w:hyperlink>
          </w:p>
        </w:tc>
        <w:tc>
          <w:tcPr>
            <w:tcW w:w="2600" w:type="dxa"/>
            <w:vAlign w:val="bottom"/>
            <w:gridSpan w:val="2"/>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4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3340" w:type="dxa"/>
            <w:vAlign w:val="bottom"/>
            <w:gridSpan w:val="3"/>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14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1680" w:type="dxa"/>
            <w:vAlign w:val="bottom"/>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6360" w:type="dxa"/>
            <w:vAlign w:val="bottom"/>
            <w:gridSpan w:val="10"/>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8140" w:type="dxa"/>
            <w:vAlign w:val="bottom"/>
            <w:gridSpan w:val="15"/>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OTHER INFORMATION</w:t>
              </w:r>
            </w:hyperlink>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6120" w:type="dxa"/>
            <w:vAlign w:val="bottom"/>
            <w:gridSpan w:val="9"/>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6800" w:type="dxa"/>
            <w:vAlign w:val="bottom"/>
            <w:gridSpan w:val="11"/>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Unregistered Sales of Equity Securities and Use of Proceeds</w:t>
              </w:r>
            </w:hyperlink>
          </w:p>
        </w:tc>
        <w:tc>
          <w:tcPr>
            <w:tcW w:w="3780" w:type="dxa"/>
            <w:vAlign w:val="bottom"/>
            <w:gridSpan w:val="5"/>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Defaults Upon Senior Securities</w:t>
              </w:r>
            </w:hyperlink>
          </w:p>
        </w:tc>
        <w:tc>
          <w:tcPr>
            <w:tcW w:w="5760" w:type="dxa"/>
            <w:vAlign w:val="bottom"/>
            <w:gridSpan w:val="8"/>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Mine Safety Disclosures</w:t>
              </w:r>
            </w:hyperlink>
          </w:p>
        </w:tc>
        <w:tc>
          <w:tcPr>
            <w:tcW w:w="6360" w:type="dxa"/>
            <w:vAlign w:val="bottom"/>
            <w:gridSpan w:val="10"/>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140" w:type="dxa"/>
            <w:vAlign w:val="bottom"/>
            <w:gridSpan w:val="1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6820" w:type="dxa"/>
            <w:vAlign w:val="bottom"/>
            <w:gridSpan w:val="12"/>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54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7180" w:type="dxa"/>
            <w:vAlign w:val="bottom"/>
          </w:tcPr>
          <w:p>
            <w:pPr>
              <w:jc w:val="center"/>
              <w:ind w:left="1450"/>
              <w:spacing w:after="0"/>
              <w:rPr>
                <w:sz w:val="20"/>
                <w:szCs w:val="20"/>
                <w:color w:val="auto"/>
              </w:rPr>
            </w:pPr>
            <w:r>
              <w:rPr>
                <w:rFonts w:ascii="Arial" w:cs="Arial" w:eastAsia="Arial" w:hAnsi="Arial"/>
                <w:sz w:val="18"/>
                <w:szCs w:val="18"/>
                <w:b w:val="1"/>
                <w:bCs w:val="1"/>
                <w:color w:val="auto"/>
              </w:rPr>
              <w:t>PART I—FINANCIAL INFORMATION</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40" w:type="dxa"/>
            <w:vAlign w:val="bottom"/>
            <w:gridSpan w:val="2"/>
          </w:tcPr>
          <w:p>
            <w:pPr>
              <w:ind w:left="200"/>
              <w:spacing w:after="0"/>
              <w:rPr>
                <w:sz w:val="20"/>
                <w:szCs w:val="20"/>
                <w:color w:val="auto"/>
              </w:rPr>
            </w:pPr>
            <w:r>
              <w:rPr>
                <w:rFonts w:ascii="Arial" w:cs="Arial" w:eastAsia="Arial" w:hAnsi="Arial"/>
                <w:sz w:val="18"/>
                <w:szCs w:val="18"/>
                <w:b w:val="1"/>
                <w:bCs w:val="1"/>
                <w:color w:val="auto"/>
                <w:w w:val="91"/>
              </w:rPr>
              <w:t>Item 1.</w:t>
            </w:r>
          </w:p>
        </w:tc>
        <w:tc>
          <w:tcPr>
            <w:tcW w:w="7800" w:type="dxa"/>
            <w:vAlign w:val="bottom"/>
            <w:gridSpan w:val="2"/>
          </w:tcPr>
          <w:p>
            <w:pPr>
              <w:ind w:left="34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18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AVROBIO, INC.</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8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8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180" w:type="dxa"/>
            <w:vAlign w:val="bottom"/>
          </w:tcPr>
          <w:p>
            <w:pPr>
              <w:jc w:val="center"/>
              <w:ind w:left="1430"/>
              <w:spacing w:after="0"/>
              <w:rPr>
                <w:sz w:val="20"/>
                <w:szCs w:val="20"/>
                <w:color w:val="auto"/>
              </w:rPr>
            </w:pPr>
            <w:r>
              <w:rPr>
                <w:rFonts w:ascii="Arial" w:cs="Arial" w:eastAsia="Arial" w:hAnsi="Arial"/>
                <w:sz w:val="18"/>
                <w:szCs w:val="18"/>
                <w:b w:val="1"/>
                <w:bCs w:val="1"/>
                <w:color w:val="auto"/>
                <w:w w:val="88"/>
              </w:rPr>
              <w:t>(amounts in thousands, except share and per share data)</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46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196"/>
        </w:trPr>
        <w:tc>
          <w:tcPr>
            <w:tcW w:w="220" w:type="dxa"/>
            <w:vAlign w:val="bottom"/>
          </w:tcPr>
          <w:p>
            <w:pPr>
              <w:spacing w:after="0"/>
              <w:rPr>
                <w:sz w:val="17"/>
                <w:szCs w:val="17"/>
                <w:color w:val="auto"/>
              </w:rPr>
            </w:pPr>
          </w:p>
        </w:tc>
        <w:tc>
          <w:tcPr>
            <w:tcW w:w="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4"/>
              </w:rPr>
              <w:t>Assets</w:t>
            </w:r>
          </w:p>
        </w:tc>
        <w:tc>
          <w:tcPr>
            <w:tcW w:w="62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138,577</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832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143,272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8320" w:type="dxa"/>
            <w:vAlign w:val="bottom"/>
            <w:gridSpan w:val="3"/>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tcPr>
          <w:p>
            <w:pPr>
              <w:ind w:left="340"/>
              <w:spacing w:after="0"/>
              <w:rPr>
                <w:sz w:val="20"/>
                <w:szCs w:val="20"/>
                <w:color w:val="auto"/>
              </w:rPr>
            </w:pPr>
            <w:r>
              <w:rPr>
                <w:rFonts w:ascii="Arial" w:cs="Arial" w:eastAsia="Arial" w:hAnsi="Arial"/>
                <w:sz w:val="18"/>
                <w:szCs w:val="18"/>
                <w:color w:val="auto"/>
              </w:rPr>
              <w:t>Deferred rent, net of current portion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long-term liability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r>
      <w:tr>
        <w:trPr>
          <w:trHeight w:val="230"/>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20"/>
                <w:szCs w:val="20"/>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Redeemable convertible preferred stock (Note 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26,500</w:t>
            </w: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10"/>
        </w:trPr>
        <w:tc>
          <w:tcPr>
            <w:tcW w:w="220" w:type="dxa"/>
            <w:vAlign w:val="bottom"/>
          </w:tcPr>
          <w:p>
            <w:pPr>
              <w:spacing w:after="0"/>
              <w:rPr>
                <w:sz w:val="24"/>
                <w:szCs w:val="24"/>
                <w:color w:val="auto"/>
              </w:rPr>
            </w:pPr>
          </w:p>
        </w:tc>
        <w:tc>
          <w:tcPr>
            <w:tcW w:w="8320" w:type="dxa"/>
            <w:vAlign w:val="bottom"/>
            <w:gridSpan w:val="3"/>
          </w:tcPr>
          <w:p>
            <w:pPr>
              <w:ind w:left="340"/>
              <w:spacing w:after="0"/>
              <w:rPr>
                <w:sz w:val="20"/>
                <w:szCs w:val="20"/>
                <w:color w:val="auto"/>
              </w:rPr>
            </w:pPr>
            <w:r>
              <w:rPr>
                <w:rFonts w:ascii="Arial" w:cs="Arial" w:eastAsia="Arial" w:hAnsi="Arial"/>
                <w:sz w:val="18"/>
                <w:szCs w:val="18"/>
                <w:color w:val="auto"/>
                <w:w w:val="91"/>
              </w:rPr>
              <w:t>Preferred stock, $0.0001 par value; 10,000,000 shares authorized and no shares issued as of September 30,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2018</w:t>
            </w:r>
          </w:p>
        </w:tc>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20" w:type="dxa"/>
            <w:vAlign w:val="bottom"/>
          </w:tcPr>
          <w:p>
            <w:pPr>
              <w:spacing w:after="0"/>
              <w:rPr>
                <w:sz w:val="17"/>
                <w:szCs w:val="17"/>
                <w:color w:val="auto"/>
              </w:rPr>
            </w:pPr>
          </w:p>
        </w:tc>
        <w:tc>
          <w:tcPr>
            <w:tcW w:w="83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$0.0001 par value; 150,000,000 and 51,000,000 shares authorized as of September 30,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2018 and December 31, 2017, respectively; 23,942,929 and 2,581,474 shares issued as of September 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and December 31, 2017, respectively; 23,758,898 and 2,305,173 shares outstanding as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2018 and December 31, 2017, respectively</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324"/>
        </w:trPr>
        <w:tc>
          <w:tcPr>
            <w:tcW w:w="220" w:type="dxa"/>
            <w:vAlign w:val="bottom"/>
          </w:tcPr>
          <w:p>
            <w:pPr>
              <w:spacing w:after="0"/>
              <w:rPr>
                <w:sz w:val="24"/>
                <w:szCs w:val="24"/>
                <w:color w:val="auto"/>
              </w:rPr>
            </w:pPr>
          </w:p>
        </w:tc>
        <w:tc>
          <w:tcPr>
            <w:tcW w:w="832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192,825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8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(23,474)</w:t>
            </w:r>
          </w:p>
        </w:tc>
      </w:tr>
      <w:tr>
        <w:trPr>
          <w:trHeight w:val="230"/>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 (deficit)</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137,109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(23,135)</w:t>
            </w:r>
          </w:p>
        </w:tc>
        <w:tc>
          <w:tcPr>
            <w:tcW w:w="120" w:type="dxa"/>
            <w:vAlign w:val="bottom"/>
          </w:tcPr>
          <w:p>
            <w:pPr>
              <w:spacing w:after="0"/>
              <w:rPr>
                <w:sz w:val="20"/>
                <w:szCs w:val="20"/>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143,272</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20" w:type="dxa"/>
            <w:vAlign w:val="bottom"/>
            <w:shd w:val="clear" w:color="auto" w:fill="CCEEFF"/>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46"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9,232</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5,411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22,286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(11,591</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(Note 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1"/>
              </w:rPr>
              <w:t>Weighted-average number of common shares used in computing net loss per share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stockholders—basic and diluted</w:t>
            </w:r>
          </w:p>
        </w:tc>
        <w:tc>
          <w:tcPr>
            <w:tcW w:w="2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23,747,141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2,263,195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9,945,538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2,216,180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42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(30,340)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(11,052)</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Impairment loss of property and equipment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Deferred rent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Other long-term liability</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(26,214)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(7,556)</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Payment of dilution liability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Payments of issuance costs on debt facility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Proceeds from issuance of common shares upon completion of initial public offering, net of offering costs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104,168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160,426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20" w:type="dxa"/>
            <w:vAlign w:val="bottom"/>
            <w:shd w:val="clear" w:color="auto" w:fill="CCEEFF"/>
          </w:tcPr>
          <w:p>
            <w:pPr>
              <w:spacing w:after="0"/>
              <w:rPr>
                <w:sz w:val="18"/>
                <w:szCs w:val="18"/>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132,614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(4,454)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20" w:type="dxa"/>
            <w:vAlign w:val="bottom"/>
            <w:shd w:val="clear" w:color="auto" w:fill="CCEEFF"/>
          </w:tcPr>
          <w:p>
            <w:pPr>
              <w:spacing w:after="0"/>
              <w:rPr>
                <w:sz w:val="18"/>
                <w:szCs w:val="18"/>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138,577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 and accrued expense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paid for by landlord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IPO issuance costs included in accrued expenses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Issuance of warrants associated with debt facility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held for sale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Three and Nine Months Ended September 30, 2018 and 2017</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unaudited condensed consolidated interim financial statements have been prepared on the same basis as the audited annual consolidated financial statements as of and for the year ended December 31, 2017, and, in the opinion of management, reflect all adjustments, consisting of normal recurring adjustments, necessary for the fair presentation of the Company’s financial position as of September 30, 2018, and the results of its operations and its cash flows for the three and nine months ended September 30, 2018 and 2017.</w:t>
      </w:r>
    </w:p>
    <w:p>
      <w:pPr>
        <w:spacing w:after="0" w:line="17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The results for the nine months ended September 30, 2018 are not necessarily indicative of the results to be expected for the year ending December 31, 2018, any other interim periods, or any future year or period. These interim financial statements should be read in conjunction with the audited financial statements as of and for the year ended December 31, 2017, and the notes thereto, which are included in the Company’s final prospectus for its initial public offering (“IPO”), filed with the Securities and Exchange Commission (“SEC”) pursuant to Rule 424(b)(4) under the Securities Act of 1933, as amended, on June 21, 2018 (the “Prospectus”).</w:t>
      </w:r>
    </w:p>
    <w:p>
      <w:pPr>
        <w:spacing w:after="0" w:line="18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accompanying condensed financial statements reflect the application of certain significant accounting policies as described below and elsewhere in these notes to the financial statements. As of September 30, 2018, the Company’s significant accounting policies and estimates, which are detailed in the Company’s Prospectus, have not changed.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On June 1, 2018, the Board approved a 1-for-4.312 reverse stock split of the Company’s common stock. The reverse stock split was approved by the stockholders on June 7, 2018 and became effective on June 7, 2018. Stockholders entitled to fractional shares as a result of the reverse stock split will receive a cash payment in lieu of receiving fractional shares. All share and per share data shown in the accompanying unaudited condensed consolidated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 and Basis of Presentation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On June 20, 2018, the Company’s registration statement on Form S-1 relating to its IPO was declared effective by the SEC. The IPO closed on June 25, 2018 and the Company issued and sold 5,247,958 common shares at a public offering price of $19.00 per share for net proceeds of $90,103 after deducting underwriting discounts and commissions of $6,980 and other offering expenses of approximately $2,628. Simultaneously, on June 25, 2018, the Company issued and sold 787,193 additional common shares, pursuant to the full exercise of the underwriters’ option to purchase additional shares, for net proceeds of $13,910 after deducting underwriting discounts and commissions of $1,047. Thus, the aggregate net proceeds to the Company from the IPO, after deducting underwriting discounts and commissions and other offering costs, were $104,013. Upon the closing of the IPO, series Seed redeemable convertible preferred stock (the “Series Seed Preferred Stock”), series A redeemable convertible preferred stock (the “Series A Preferred Stock”) and series B redeemable convertible preferred stock (the “Series B Preferred Stock”), (the Series Seed Preferred Stock, the Series A Preferred Stock and the Series B Preferred Stock are collectively referred to as the “Preferred Stock”) then outstanding converted into an aggregate of 15,320,213 shares of common stock.</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15.</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interest-bearing money market accounts. Cash equivalents are carried at cost, which approximates their fair market value.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Certain assets and liabilities of the Company are carried at fair value under GAAP (see Note 3).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1060" w:right="500" w:hanging="424"/>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78"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The Company has entered into various research and development related contracts with parties both inside and outside of the United States. The payments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3"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Stock-based awards issued to non-employees are recorded at their fair values, and are periodically revalued as the awards vest and are recognized as expense over the related service period. For stock-based awards granted to non-employees subject to graded vesting that only contain service conditions, the Company has elected to recognize stock-based compensation expense using the straight-line recognition method.</w:t>
      </w:r>
    </w:p>
    <w:p>
      <w:pPr>
        <w:spacing w:after="0" w:line="166"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Given the absence of an active market for the Company’s common stock prior to the IPO,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 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September 30, 2018,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67" w:lineRule="exact"/>
        <w:rPr>
          <w:sz w:val="20"/>
          <w:szCs w:val="20"/>
          <w:color w:val="auto"/>
        </w:rPr>
      </w:pPr>
    </w:p>
    <w:p>
      <w:pPr>
        <w:jc w:val="both"/>
        <w:ind w:left="200" w:right="560" w:firstLine="441"/>
        <w:spacing w:after="0" w:line="342" w:lineRule="auto"/>
        <w:rPr>
          <w:sz w:val="20"/>
          <w:szCs w:val="20"/>
          <w:color w:val="auto"/>
        </w:rPr>
      </w:pPr>
      <w:r>
        <w:rPr>
          <w:rFonts w:ascii="Arial" w:cs="Arial" w:eastAsia="Arial" w:hAnsi="Arial"/>
          <w:sz w:val="16"/>
          <w:szCs w:val="16"/>
          <w:color w:val="auto"/>
        </w:rPr>
        <w:t>See Note 10 for the assumptions used by the Company in determining the grant date fair value of stock-based awards granted, as well as a summary of the stock-based award activity under the Company’s stock-based compensation plan for the nine months ended September 30, 2018.</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Warrant to Purchase Preferred Stock</w:t>
      </w:r>
    </w:p>
    <w:p>
      <w:pPr>
        <w:spacing w:after="0" w:line="11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Prior to the IPO, the Company classified the warrant for the purchase of shares of its redeemable convertible preferred stock (see Note 7) as a liability on its consolidated balance sheets as the warrant is a free-standing financial instrument that may require the Company to transfer assets upon exercise. The preferred stock warrant liability was initially recorded at fair value upon the date of issuance and was subsequently remeasured to fair value at each reporting date. Changes in the fair value of the warrant to purchase preferred stock were recognized as a component of other income (expense), net in the consolidated statements of operations and comprehensive loss.</w:t>
      </w:r>
    </w:p>
    <w:p>
      <w:pPr>
        <w:spacing w:after="0" w:line="173"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The Company utilized the Black-Scholes option-pricing model, which incorporates assumptions and estimates, to value the warrant. The Company assessed these assumptions and estimates on a quarterly basis as additional information impacting the assumptions was obtained. Estimates and assumptions impacting the fair value measurement included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Upon the IPO, the warrant to purchase preferred stock was converted to a warrant to purchase common stock. The carrying amount of warrant to purchase preferred stock as of the date of IPO was transferred to additional paid in capital.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Comprehensive income (loss) is defined as the change in stockholders’ equity (deficit) of a business enterprise during a period from transactions and other events and circumstances from non-owner sources. Comprehensive income (loss) includes net income (loss) as well as other changes in stockholders’ equity (deficit) which includes certain changes in equity that are excluded from net income (loss). Comprehensive loss has been disclosed in the accompanying statements of operations and comprehensive loss and equals the Company’s net loss for all periods presented.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and other accrued expenses and other current liabilities in the accompanying consolidated balance sheets. Additionally, incentives received are treated as a reduction of costs over the term of the agreement, as they are considered an inseparable part of the lease agreement.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Net income (loss) per share attributable to common stockholders is determined using the two-class method, which includes the weighted-average number of shares of common stock outstanding during the period and other securities that participate in dividends (a participating security). In periods of income, the redeemable convertible preferred stock would be considered participating securities because the shares include rights to participate in dividends with the common stock; however, the redeemable convertible preferred stock is not considered a participating security in periods of loss as they do not have an obligation to share in the Company’s net losses.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the two-class method, basic net income (loss) per share attributable to common stockholders is computed by dividing the net income (loss)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the holders of Preferred Stock based on dividend rights under the Company’s certificate of incorporation and then to preferred and common stockholders based on ownership interests.</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 xml:space="preserve">“Compensation—Stock Compensation (Topic 718): Improvements to Nonemployee Share-Based Payment Accounting” </w:t>
      </w:r>
      <w:r>
        <w:rPr>
          <w:rFonts w:ascii="Arial" w:cs="Arial" w:eastAsia="Arial" w:hAnsi="Arial"/>
          <w:sz w:val="16"/>
          <w:szCs w:val="16"/>
          <w:color w:val="auto"/>
        </w:rPr>
        <w:t>which addresses accounting for issuance of all share-based payments on the same accounting model.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share-based payments to employees was covered by ASC Topic 718 while accounting for such payments to non-employees was covered by ASC Subtopic 505-50. As it considered recently issued updates to ASC 718, the FASB, as part of its simplification initiatives, decided to replace ASC Subtopic 505-50 with Topic 718 as the guidance for non-employee share-based awards. Under this new guidance, both sets of awards, for employees and non-employees, will essentially follow the same model, with small variations related to determining the term assumption when valuing a non-employee award as well as a different expense attribution model for non-employee awards as opposed to employee awards. The ASU is effective for public business entities beginning in 2019 calendar years and one year later for non-public business entities. The Company is currently evaluating the impact that the adoption of ASU 2018-07 will have on its consolidated financial statements.</w:t>
      </w:r>
    </w:p>
    <w:p>
      <w:pPr>
        <w:spacing w:after="0" w:line="16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Part I applies to entities that issue financial instruments such as warrants, convertible debt or convertible preferred stock that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8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 standard is effective for annual periods beginning after December 15, 2017, including interim periods within those fiscal years. For all other entities, the standard is effective for annual periods beginning after December 15, 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640" w:right="6300" w:hanging="436"/>
        <w:spacing w:after="0" w:line="510" w:lineRule="auto"/>
        <w:tabs>
          <w:tab w:leader="none" w:pos="379"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(continued) </w:t>
      </w:r>
      <w:r>
        <w:rPr>
          <w:rFonts w:ascii="Arial" w:cs="Arial" w:eastAsia="Arial" w:hAnsi="Arial"/>
          <w:sz w:val="15"/>
          <w:szCs w:val="15"/>
          <w:b w:val="1"/>
          <w:bCs w:val="1"/>
          <w:i w:val="1"/>
          <w:iCs w:val="1"/>
          <w:color w:val="auto"/>
        </w:rPr>
        <w:t>Recently Issued Accounting Pronouncements (continued)</w:t>
      </w:r>
    </w:p>
    <w:p>
      <w:pPr>
        <w:ind w:left="200" w:right="180" w:firstLine="441"/>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ASU 2016-02 supersedes the previous leases standard, ASC 840, </w:t>
      </w:r>
      <w:r>
        <w:rPr>
          <w:rFonts w:ascii="Arial" w:cs="Arial" w:eastAsia="Arial" w:hAnsi="Arial"/>
          <w:sz w:val="16"/>
          <w:szCs w:val="16"/>
          <w:i w:val="1"/>
          <w:iCs w:val="1"/>
          <w:color w:val="auto"/>
        </w:rPr>
        <w:t>Leases</w:t>
      </w:r>
      <w:r>
        <w:rPr>
          <w:rFonts w:ascii="Arial" w:cs="Arial" w:eastAsia="Arial" w:hAnsi="Arial"/>
          <w:sz w:val="16"/>
          <w:szCs w:val="16"/>
          <w:color w:val="auto"/>
        </w:rPr>
        <w:t>. For public entities, certain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In September 2017, the FASB issued ASU No. 2017-13, </w:t>
      </w:r>
      <w:r>
        <w:rPr>
          <w:rFonts w:ascii="Arial" w:cs="Arial" w:eastAsia="Arial" w:hAnsi="Arial"/>
          <w:sz w:val="18"/>
          <w:szCs w:val="18"/>
          <w:i w:val="1"/>
          <w:iCs w:val="1"/>
          <w:color w:val="auto"/>
        </w:rPr>
        <w:t>Revenue Recognition (Topic 605), 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Leases (Topic 840), and Leases (Topic 842)</w:t>
      </w:r>
      <w:r>
        <w:rPr>
          <w:rFonts w:ascii="Arial" w:cs="Arial" w:eastAsia="Arial" w:hAnsi="Arial"/>
          <w:sz w:val="18"/>
          <w:szCs w:val="18"/>
          <w:color w:val="auto"/>
        </w:rPr>
        <w:t>, which provides additional clarification and implementation guidance related to ASU 2016-02 and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effective date and transition requirements as ASU 2016-02. The Company is currently evaluating the impact that the adoption of ASU 2016-02 will have on its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jc w:val="both"/>
        <w:ind w:left="200" w:right="440" w:firstLine="441"/>
        <w:spacing w:after="0" w:line="342" w:lineRule="auto"/>
        <w:rPr>
          <w:sz w:val="20"/>
          <w:szCs w:val="20"/>
          <w:color w:val="auto"/>
        </w:rPr>
      </w:pPr>
      <w:r>
        <w:rPr>
          <w:rFonts w:ascii="Arial" w:cs="Arial" w:eastAsia="Arial" w:hAnsi="Arial"/>
          <w:sz w:val="16"/>
          <w:szCs w:val="16"/>
          <w:color w:val="auto"/>
        </w:rPr>
        <w:t>The following table presents information about the Company’s financial assets and liabilities measured at fair value on a recurring basis and indicates the level of the fair value hierarchy utilized to determine such fair values as of September 30, 2018 and December 31, 2017, respectively:</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September 30, 2018 Using:</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2"/>
              </w:rPr>
              <w:t>Level 1</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2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138,183</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138,183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 – long term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138,675</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138,675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December 31, 2017 Using:</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2"/>
              </w:rPr>
              <w:t>Level 1</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2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5,684</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5,684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$ 371</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$ 406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the nine months ended September 30, 2018 and 2017, there were no transfers between Level 1, Level 2 and Level 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the Warrant to Purchase Preferred Stock</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warrant to purchase preferred stock liability in the table above is composed of the fair value of a warrant to purchase shares of Series A Preferred Stock that was issued to a lender in connection with a loan and security agreement in 2017. The fair value of the warrant to purchase preferred stock was determined based on significant inputs not observable in the market, which represents a Level 3 measurement within the fair value hierarchy.</w:t>
      </w:r>
    </w:p>
    <w:p>
      <w:pPr>
        <w:spacing w:after="0" w:line="147"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In order to determine the fair value of the warrant to purchase preferred stock, the Company utilized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 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 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 Upon the IPO, the warrant to purchase preferred stock was converted to a warrant to purchase common stock. The carrying amount of warrant to purchase preferred stock as of the date of the IPO was transferred to the account of additional paid in capital.</w:t>
      </w:r>
    </w:p>
    <w:p>
      <w:pPr>
        <w:spacing w:after="0" w:line="16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was determined by Level 3 inputs:</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Warrant</w:t>
            </w:r>
          </w:p>
        </w:tc>
      </w:tr>
      <w:tr>
        <w:trPr>
          <w:trHeight w:val="171"/>
        </w:trPr>
        <w:tc>
          <w:tcPr>
            <w:tcW w:w="6820" w:type="dxa"/>
            <w:vAlign w:val="bottom"/>
          </w:tcPr>
          <w:p>
            <w:pPr>
              <w:spacing w:after="0"/>
              <w:rPr>
                <w:sz w:val="14"/>
                <w:szCs w:val="14"/>
                <w:color w:val="auto"/>
              </w:rPr>
            </w:pP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preferred stock warrant to common stock warrant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(197)</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Balance as of September 30, 2018</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Derivative</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89"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On September 30, 2017, the Company remeasured the fair value of the derivative, using current assumptions, resulting in an increase in fair value of $58 and $93, which was recorded in other expense in the accompanying condensed consolidated statements of operations and comprehensive loss for the three months and nine months ended September 30, 2017, respectively.</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June 21, 2018, in connection with the Company’s IPO, the Company remeasured the fair value of the derivative to $2,000 as the Company was required to pay the dilution payment as mentioned above, which the Company paid in July 2018. An increase in fair value of $1,629 was recorded in other expense in the accompanying condensed consolidated statements of operations and comprehensive loss for the nine months ended September 30, 2018. There was no fair value change during the three months ended September 30, 2018.</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a summary of changes in the fair value of the Company’s derivative liability for which fair value is determined by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7"/>
          </w:tcPr>
          <w:p>
            <w:pPr>
              <w:jc w:val="center"/>
              <w:ind w:left="208"/>
              <w:spacing w:after="0"/>
              <w:rPr>
                <w:sz w:val="20"/>
                <w:szCs w:val="20"/>
                <w:color w:val="auto"/>
              </w:rPr>
            </w:pPr>
            <w:r>
              <w:rPr>
                <w:rFonts w:ascii="Arial" w:cs="Arial" w:eastAsia="Arial" w:hAnsi="Arial"/>
                <w:sz w:val="14"/>
                <w:szCs w:val="14"/>
                <w:b w:val="1"/>
                <w:bCs w:val="1"/>
                <w:color w:val="auto"/>
                <w:w w:val="95"/>
              </w:rPr>
              <w:t>Derivative</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8"/>
              </w:rPr>
              <w:t>Liability</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4"/>
              </w:rPr>
              <w:t>(2,000)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720" w:type="dxa"/>
            <w:vAlign w:val="bottom"/>
            <w:gridSpan w:val="2"/>
          </w:tcPr>
          <w:p>
            <w:pPr>
              <w:ind w:left="440"/>
              <w:spacing w:after="0"/>
              <w:rPr>
                <w:sz w:val="20"/>
                <w:szCs w:val="20"/>
                <w:color w:val="auto"/>
              </w:rPr>
            </w:pPr>
            <w:r>
              <w:rPr>
                <w:rFonts w:ascii="Arial" w:cs="Arial" w:eastAsia="Arial" w:hAnsi="Arial"/>
                <w:sz w:val="18"/>
                <w:szCs w:val="18"/>
                <w:color w:val="auto"/>
              </w:rPr>
              <w:t>Balance as of September 30, 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3"/>
          </w:tcPr>
          <w:p>
            <w:pPr>
              <w:ind w:left="44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w w:val="89"/>
              </w:rPr>
              <w:t>September 30,</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7"/>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development costs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Prepaid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3"/>
          </w:tcPr>
          <w:p>
            <w:pPr>
              <w:ind w:left="44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center"/>
              <w:ind w:right="23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240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center"/>
              <w:ind w:right="23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Depreciation and amortization expense for the three months ended September 30, 2018 and 2017 was $130 and $13, respectively. Depreciation and amortization expense for the nine months ended September 30, 2018 and 2017 was $196 and $28, respectively.</w:t>
      </w:r>
    </w:p>
    <w:p>
      <w:pPr>
        <w:spacing w:after="0" w:line="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5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Short-term deferred rent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Offering cost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2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w:t>
      </w:r>
    </w:p>
    <w:p>
      <w:pPr>
        <w:spacing w:after="0" w:line="14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September 30, 2018, the Company had not drawn down from the facility and $10,000 was available to the Company.</w:t>
      </w:r>
    </w:p>
    <w:p>
      <w:pPr>
        <w:spacing w:after="0" w:line="17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September 30, 2018.</w:t>
      </w:r>
    </w:p>
    <w:p>
      <w:pPr>
        <w:spacing w:after="0" w:line="18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Upon closing of the IPO, the carrying amount of the warrant to purchase preferred stock as of the date of the IPO was transferred to the account of additional paid in capital (Note 3).</w:t>
      </w:r>
    </w:p>
    <w:p>
      <w:pPr>
        <w:spacing w:after="0" w:line="18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Company recognized a loss of $0 and $162 in the condensed consolidated statements of operations and comprehensive loss for the three and nine months ended September 30, 2018, respectively, related to the change in fair value of the warrant.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Prior to the IPO, the authorized capital stock of the Company included 63,491,857 shares of $0.0001 par value preferred stock, of</w:t>
      </w:r>
    </w:p>
    <w:p>
      <w:pPr>
        <w:spacing w:after="0" w:line="23" w:lineRule="exact"/>
        <w:rPr>
          <w:sz w:val="20"/>
          <w:szCs w:val="20"/>
          <w:color w:val="auto"/>
        </w:rPr>
      </w:pPr>
    </w:p>
    <w:p>
      <w:pPr>
        <w:ind w:left="200" w:right="200"/>
        <w:spacing w:after="0" w:line="261" w:lineRule="auto"/>
        <w:rPr>
          <w:sz w:val="20"/>
          <w:szCs w:val="20"/>
          <w:color w:val="auto"/>
        </w:rPr>
      </w:pPr>
      <w:r>
        <w:rPr>
          <w:rFonts w:ascii="Arial" w:cs="Arial" w:eastAsia="Arial" w:hAnsi="Arial"/>
          <w:sz w:val="18"/>
          <w:szCs w:val="18"/>
          <w:color w:val="auto"/>
        </w:rPr>
        <w:t>which 3,333,333 shares have been designated as Series Seed Preferred Stock, 31,639,202 shares have been designated as Series A Preferred Stock and 28,519,322 shares have been designated as Series B Preferred Stock.</w:t>
      </w:r>
    </w:p>
    <w:p>
      <w:pPr>
        <w:spacing w:after="0" w:line="18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January 2018, the Company issued and sold 28,519,322 shares of Series B Preferred Stock, at a price of $2.1389 per share, for total proceeds of $58,757, net of issuance costs of $2,243.</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3"/>
              </w:rPr>
              <w:t>December 31, 2017</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gridSpan w:val="3"/>
            <w:vMerge w:val="restart"/>
          </w:tcPr>
          <w:p>
            <w:pPr>
              <w:jc w:val="center"/>
              <w:ind w:left="119"/>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Liquidation</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Preference</w:t>
            </w:r>
          </w:p>
        </w:tc>
        <w:tc>
          <w:tcPr>
            <w:tcW w:w="2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1,500,000</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31,639,202</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31,450,499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25,000,000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25,000,000</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34,972,535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34,783,832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26,500,000</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26,500,000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Upon closing of the IPO, the Preferred Stock as of December 31, 2017, together with Series B Preferred Stock issued in January 2018, were converted to 15,320,213 shares of common stock. The holders of the Company’s Preferred Stock had certain voting, dividend, and redemption rights, as well as liquidation preferences and conversion privileges. All rights, preferences, and privileges associated with the preferred stock were terminated at the time of the Company’s IPO in conjunction with the conversion of all outstanding shares of Preferred Stock into shares of common stock.</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As of September 30, 2018, the authorized capital stock of the Company included 150,000,000 shares of common stock, $0.0001 par value,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 September 30, 2018 and December 31, 2017, the Company has reserved the following shares of common stock for future issuance:</w:t>
      </w:r>
    </w:p>
    <w:p>
      <w:pPr>
        <w:spacing w:after="0" w:line="24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ind w:left="4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13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reserved for Series Seed Preferred Stock outstanding</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7,611,438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87"/>
              </w:rPr>
              <w:t>Shares reserved for issuance under the 2018</w:t>
            </w: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and Incentive Plan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447,211</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87"/>
              </w:rPr>
              <w:t>Shares reserved for issuance under the 2018</w:t>
            </w:r>
          </w:p>
        </w:tc>
        <w:tc>
          <w:tcPr>
            <w:tcW w:w="26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223,200</w:t>
            </w:r>
          </w:p>
        </w:tc>
        <w:tc>
          <w:tcPr>
            <w:tcW w:w="4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1,957,839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1,034,961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87"/>
              </w:rPr>
              <w:t>Shares reserved for issuance under the 2015</w:t>
            </w: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and Grant Plan</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gridSpan w:val="3"/>
          </w:tcPr>
          <w:p>
            <w:pPr>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2,812,281</w:t>
            </w:r>
          </w:p>
        </w:tc>
        <w:tc>
          <w:tcPr>
            <w:tcW w:w="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9,873,128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60" w:type="dxa"/>
            <w:vAlign w:val="bottom"/>
            <w:vMerge w:val="restart"/>
          </w:tcPr>
          <w:p>
            <w:pPr>
              <w:jc w:val="right"/>
              <w:ind w:right="149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jc w:val="both"/>
        <w:ind w:left="200" w:right="24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2,008,564 shares. Following the IPO, no further grants will be made under 2015 plan.</w:t>
      </w:r>
    </w:p>
    <w:p>
      <w:pPr>
        <w:spacing w:after="0" w:line="170"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Company’s 2018 Stock Option and Incentive Plan (the “2018 Plan”) was adopted by the Board on June 1, 2018 and approved by stockholders on June 7, 2018 and became effective upon the effectiveness of the Company’s Registration Statement on Form S-1. The 2018 Plan replaced the 2015 Plan as the Board determined not to make additional awards under the 2015 Plan following the pricing of the Company’s IPO. The 2018 Plan allows the compensation committee to make equity-based and cash-based incentive awards to its officers, employees, directors and other key persons (including consultants).</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compensation committee. This number is subject to adjustment in the event of a stock split, stock dividend or other change in its capitalization.</w:t>
      </w:r>
    </w:p>
    <w:p>
      <w:pPr>
        <w:spacing w:after="0" w:line="18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2018 Plan was 616,300 shares as of September 30, 2018, of which 447,211 shares remained available for future grant.</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During the nine months ended September 30, 2018 and 2017, the Company granted options to purchase 922,878 and 375,892 shares of common stock to employees and members of the Board,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Company’s 2018 Employee Stock Purchase Plan (the “ESPP”) was adopted by the Board on June 1, 2018 and approved by stockholders on June 7, 2018 and became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 (i) 1% of the outstanding number of shares of our common stock on the immediately preceding December 31; (ii) 1,115,700 shares or (iii) such number of shares as determined by the ESPP administrator. The number shares reserved under the ESPP is subject to any stock split, stock dividend or other change in our capitalization.</w:t>
      </w:r>
    </w:p>
    <w:p>
      <w:pPr>
        <w:spacing w:after="0" w:line="17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ESPP was 223,200 shares as of September 30, 2018, of which 223,200 shares remained available for future grant.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2018, the initial purchase period under the ESPP has not yet commenced.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2.81%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79.15%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83.42%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84.73%</w:t>
            </w: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summarizes the Company’s stock option activity for the nine months ended September 30, 2018:</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100" w:type="dxa"/>
            <w:vAlign w:val="bottom"/>
            <w:gridSpan w:val="4"/>
            <w:vMerge w:val="restart"/>
          </w:tcPr>
          <w:p>
            <w:pPr>
              <w:jc w:val="center"/>
              <w:ind w:left="27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4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42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1,034,961</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922,878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Cancelled or 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1,957,839</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92,454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September 30, 2018</w:t>
            </w:r>
          </w:p>
        </w:tc>
        <w:tc>
          <w:tcPr>
            <w:tcW w:w="780" w:type="dxa"/>
            <w:vAlign w:val="bottom"/>
            <w:tcBorders>
              <w:bottom w:val="single" w:sz="8" w:color="auto"/>
            </w:tcBorders>
          </w:tcPr>
          <w:p>
            <w:pPr>
              <w:spacing w:after="0" w:line="20" w:lineRule="exact"/>
              <w:rPr>
                <w:sz w:val="1"/>
                <w:szCs w:val="1"/>
                <w:color w:val="auto"/>
              </w:rPr>
            </w:pPr>
          </w:p>
        </w:tc>
        <w:tc>
          <w:tcPr>
            <w:tcW w:w="540" w:type="dxa"/>
            <w:vAlign w:val="bottom"/>
            <w:gridSpan w:val="2"/>
            <w:vMerge w:val="restart"/>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0.82</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8.07</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0"/>
              </w:rPr>
              <w:t>19,941</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390,636</w:t>
            </w:r>
          </w:p>
        </w:tc>
        <w:tc>
          <w:tcPr>
            <w:tcW w:w="5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September 30,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1,564,783</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72,513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September 30, 2018.</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nine months ended September 30, 2018 and 2017 was $9.05 and $1.14, respectively.</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240" w:top="459" w:right="6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restricted common stock activity for the nine months ended September 30, 2018:</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15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of Shares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276,301</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(92,268)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Forfeited, canceled or expired</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Issued an unvested as of September 30, 2018</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184,033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total fair value of restricted common stock vested during the nine months ended September 30, 2018 and 2017 was $39 and $43, respectively.</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230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320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550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As of September 30, 2018, total unrecognized compensation cost related to the unvested stock-based awards was $8,245, which is expected to be recognized over a weighted-average period of 3.42 years.</w:t>
      </w:r>
    </w:p>
    <w:p>
      <w:pPr>
        <w:spacing w:after="0" w:line="275" w:lineRule="exact"/>
        <w:rPr>
          <w:sz w:val="20"/>
          <w:szCs w:val="20"/>
          <w:color w:val="auto"/>
        </w:rPr>
      </w:pPr>
    </w:p>
    <w:p>
      <w:pPr>
        <w:ind w:left="640" w:right="8520" w:hanging="436"/>
        <w:spacing w:after="0" w:line="424" w:lineRule="auto"/>
        <w:tabs>
          <w:tab w:leader="none" w:pos="4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Agreements </w:t>
      </w:r>
      <w:r>
        <w:rPr>
          <w:rFonts w:ascii="Arial" w:cs="Arial" w:eastAsia="Arial" w:hAnsi="Arial"/>
          <w:sz w:val="16"/>
          <w:szCs w:val="16"/>
          <w:b w:val="1"/>
          <w:bCs w:val="1"/>
          <w:i w:val="1"/>
          <w:iCs w:val="1"/>
          <w:color w:val="auto"/>
        </w:rPr>
        <w:t xml:space="preserve">Agreements with UHN </w:t>
      </w:r>
      <w:r>
        <w:rPr>
          <w:rFonts w:ascii="Arial" w:cs="Arial" w:eastAsia="Arial" w:hAnsi="Arial"/>
          <w:sz w:val="16"/>
          <w:szCs w:val="16"/>
          <w:i w:val="1"/>
          <w:iCs w:val="1"/>
          <w:color w:val="auto"/>
        </w:rPr>
        <w:t>Fabry License Agreement—</w:t>
      </w:r>
    </w:p>
    <w:p>
      <w:pPr>
        <w:spacing w:after="0" w:line="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 digit percentage of annual net sales of licensed products and a lower single-digit royalty percentage in certain circumstances. Additionally, the Company has agreed to pay a low double-digit royalty percentage of all sublicensing revenue. The agreement requires the Company to meet certain performance milestones within specified timeframes.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640" w:right="7980" w:hanging="436"/>
        <w:spacing w:after="0" w:line="478" w:lineRule="auto"/>
        <w:tabs>
          <w:tab w:leader="none" w:pos="4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Agreements (continued) </w:t>
      </w:r>
      <w:r>
        <w:rPr>
          <w:rFonts w:ascii="Arial" w:cs="Arial" w:eastAsia="Arial" w:hAnsi="Arial"/>
          <w:sz w:val="16"/>
          <w:szCs w:val="16"/>
          <w:b w:val="1"/>
          <w:bCs w:val="1"/>
          <w:i w:val="1"/>
          <w:iCs w:val="1"/>
          <w:color w:val="auto"/>
        </w:rPr>
        <w:t>Agreements with UHN (continued)</w:t>
      </w:r>
    </w:p>
    <w:p>
      <w:pPr>
        <w:ind w:left="200" w:right="100" w:firstLine="441"/>
        <w:spacing w:after="0" w:line="257" w:lineRule="auto"/>
        <w:rPr>
          <w:sz w:val="20"/>
          <w:szCs w:val="20"/>
          <w:color w:val="auto"/>
        </w:rPr>
      </w:pPr>
      <w:r>
        <w:rPr>
          <w:rFonts w:ascii="Arial" w:cs="Arial" w:eastAsia="Arial" w:hAnsi="Arial"/>
          <w:sz w:val="18"/>
          <w:szCs w:val="18"/>
          <w:color w:val="auto"/>
        </w:rPr>
        <w:t>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nine months ended September 30, 2018 and 2017, no upfront fee and maintenance fees were incurred related to Fabry license agreement.</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 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agreement requires the Company to meet certain due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For the nine months ended September 30, 2018 and 2017, the Company recorded research and development expense related to this agreement with UHN of $41 and $151 (nil for the three months ended September 30, 2018 and 2017), respectively, which consists of upfront fees and license maintenance fees and development milestone payments.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The Company recorded research and development expense related to this agreement with BioMarin of $1,000 related to the license for the nine months ended September 30, 2017.</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62"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upfront fees related to the license were recorded for the nine months ended September 30, 2018.</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225" w:lineRule="exact"/>
        <w:rPr>
          <w:sz w:val="20"/>
          <w:szCs w:val="20"/>
          <w:color w:val="auto"/>
        </w:rPr>
      </w:pPr>
    </w:p>
    <w:p>
      <w:pPr>
        <w:ind w:left="200" w:right="100" w:firstLine="441"/>
        <w:spacing w:after="0" w:line="284" w:lineRule="auto"/>
        <w:rPr>
          <w:sz w:val="20"/>
          <w:szCs w:val="20"/>
          <w:color w:val="auto"/>
        </w:rPr>
      </w:pPr>
      <w:r>
        <w:rPr>
          <w:rFonts w:ascii="Arial" w:cs="Arial" w:eastAsia="Arial" w:hAnsi="Arial"/>
          <w:sz w:val="16"/>
          <w:szCs w:val="16"/>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w:t>
      </w:r>
    </w:p>
    <w:p>
      <w:pPr>
        <w:spacing w:after="0" w:line="5" w:lineRule="exact"/>
        <w:rPr>
          <w:sz w:val="20"/>
          <w:szCs w:val="20"/>
          <w:color w:val="auto"/>
        </w:rPr>
      </w:pPr>
    </w:p>
    <w:p>
      <w:pPr>
        <w:ind w:left="200" w:right="80" w:firstLine="4"/>
        <w:spacing w:after="0" w:line="253" w:lineRule="auto"/>
        <w:tabs>
          <w:tab w:leader="none" w:pos="5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upfront fees related to the license were recorded for the nine months ended September 30, 2018 and 2017.</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the warrant to purchase shares of Series A Preferred Stock and Preferred Stock were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200"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Nine Months Ended</w:t>
      </w:r>
    </w:p>
    <w:p>
      <w:pPr>
        <w:jc w:val="center"/>
        <w:ind w:left="64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1,957,839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975,331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rPr>
              <w:t>184,033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307,055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4,155,742</w:t>
            </w: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1" w:lineRule="exact"/>
              <w:rPr>
                <w:sz w:val="20"/>
                <w:szCs w:val="20"/>
                <w:color w:val="auto"/>
              </w:rPr>
            </w:pPr>
            <w:r>
              <w:rPr>
                <w:rFonts w:ascii="Arial" w:cs="Arial" w:eastAsia="Arial" w:hAnsi="Arial"/>
                <w:sz w:val="18"/>
                <w:szCs w:val="18"/>
                <w:color w:val="auto"/>
              </w:rPr>
              <w:t>Warrants to purchase redeemable convertible preferred stock (as converted to</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6,850</w:t>
            </w:r>
          </w:p>
        </w:tc>
        <w:tc>
          <w:tcPr>
            <w:tcW w:w="40" w:type="dxa"/>
            <w:vAlign w:val="bottom"/>
          </w:tcPr>
          <w:p>
            <w:pPr>
              <w:spacing w:after="0"/>
              <w:rPr>
                <w:sz w:val="20"/>
                <w:szCs w:val="20"/>
                <w:color w:val="auto"/>
              </w:rPr>
            </w:pPr>
          </w:p>
        </w:tc>
      </w:tr>
    </w:tbl>
    <w:p>
      <w:pPr>
        <w:spacing w:after="0" w:line="198" w:lineRule="exact"/>
        <w:rPr>
          <w:sz w:val="20"/>
          <w:szCs w:val="20"/>
          <w:color w:val="auto"/>
        </w:rPr>
      </w:pPr>
    </w:p>
    <w:p>
      <w:pPr>
        <w:ind w:left="640" w:right="8180" w:hanging="436"/>
        <w:spacing w:after="0" w:line="425" w:lineRule="auto"/>
        <w:tabs>
          <w:tab w:leader="none" w:pos="46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Agreements</w:t>
      </w:r>
    </w:p>
    <w:p>
      <w:pPr>
        <w:spacing w:after="0" w:line="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On January 12, 2018, the Company entered into a lease agreement for office space located in Cambridge, Massachusetts. The lease agreement expires in January 2023, with a landlord who is an affiliate of the landlord of the Company’s prior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$842 in 2018. Such incentive allowance is being amortized as a reduction of rent expense on a straight-line basis over the lease period. In accordance with the lease agreement, the Company is required to maintain a security deposit of $209, which was recorded in other assets. In contemplation of this agreement, the Company terminated its prior lease agreement.</w:t>
      </w:r>
    </w:p>
    <w:p>
      <w:pPr>
        <w:spacing w:after="0" w:line="165"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On August 31, 2018, the Company entered into a sub-lease agreement for lab space located in Cambridge Massachusetts, United States, which expires in October 2020. The annual lease payments are subject to a 3% increase each year. In accordance with the lease agreement, the Company is required to maintain a security deposit of $283, which was recorded in other assets as of September 30, 2018.</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nine months ended September 30, 2018 and 2017,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September 30, 2018 and December 31, 2017, or royalties on future sales of specified products. No milestone or royalty payments under these agreements are expected to be payable in the immediate future.</w:t>
      </w:r>
    </w:p>
    <w:p>
      <w:pPr>
        <w:spacing w:after="0" w:line="18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480" w:hanging="276"/>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connection with the Company’s entry into a license agreement with UHN on January 27, 2016, the Company issued UHN 1,161,665 shares of its common stock. As a result of the issuance of common stock, UHN owned 4.49% and 9.65% of the Company’s fully diluted equity as of September 30, 2018 and December 31, 2017, respectively. Upon the closing of the IPO, as UHN’s fully-diluted percentage ownership of the Company was reduced within a range of specified percentages, the Company is obligated to pay UHN an amount up to $2,000, which was paid in July 2018. See Note 3 for further discussion on the accounting treatment for this provision.</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During the nine months ended September 30, 2018 and 2017, the Company recognized $41 and $151 (nil for three months ended September 30, 2018 and 2017), respectively, of research and development expense related to the license agreements with UHN.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 nine months ended September 30, 2018 and 2017 the Company recorded expenses of $42 and $72 ($2 and $24 for the three months ended September 30, 2018 and 2017, respectively), respectively, related to consulting services provided by an entity affiliated with an officer of the Company and a member of the Board. The entity is also a shareholder of the Company and owned 0.47% and 0% of the Company’s fully diluted equity as of September 30, 2018 and December 31, 2017, respectively.</w:t>
      </w:r>
    </w:p>
    <w:p>
      <w:pPr>
        <w:spacing w:after="0" w:line="18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For the three and nine months ended September 30, 2017, the Company recorded expenses of nil and $15, respectively, related to services provided by an entity affiliated with a member of the Board and the use of office space. The lease was terminated in February 2017 and the services were no longer being provided as of June 30, 2017.</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footnotes for the year ended December 31, 2017 included in the final prospectus for our initial public offering dated June 20, 2018.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Item 1A of Part II of this report, as supplemented by our subsequent filings with the SEC.</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 xml:space="preserve">We are a Phase 2 clinical stage gene therapy company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seek to develop promising gene therapy programs by applying our expertise in gene and cellular therapies and clinical and regulatory strategy and execution to efficiently bring these potentially curative therapies to patients. In our initial programs, we leverage years of extensive preclinical and early clinical research by leading researchers, as well as our internal research efforts, to advance potential therapies. We plan to identify and develop future product candidates through our own internal research efforts as well as through collaborations with leading academics.</w:t>
      </w:r>
    </w:p>
    <w:p>
      <w:pPr>
        <w:spacing w:after="0" w:line="154"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and our initial public offering of common stock, or our initial public offering (the “IPO”). Through September 30, 2018, we had received gross proceeds of $87.5 million from the sales of our preferred stock and $114.7 million from the sales of common stock through our IPO. 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$30.3 million and $11.1 million for the nine months ended September 30, 2018 and 2017, respectively. As of September 30, 2018 we had an accumulated deficit of $55.7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incur additional costs associated with operating as a public company, including significant legal, accounting, investor relations and other expenses that we did not incur as a private company.</w:t>
      </w:r>
    </w:p>
    <w:p>
      <w:pPr>
        <w:spacing w:after="0" w:line="18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IPO. We also plan to pursue additional funding from outside sources, including our expansion of, or our entry into, new borrowing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8"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As of September 30, 2018, we had cash and cash equivalents of $138.6 million. We believe that our existing cash and cash equivalents as of September 30, 2018 will enable us to fund our operating expenses and capital expenditure requirements into 2020.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154"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dosed the first patient in our ongoing Phase 2 clinical trial of AVR-RD-01 for Fabry disease. We held a pre-IND meeting with the FDA to discuss the requirements to commence clinical trials in the United States. We expect to open a U.S. site for our ongoing Phase 2 clinical trial of AVR-RD-01 in 2019. In addition, on July 11, 2018, a third patient was dosed in the ongoing investigator-sponsored Phase 1 clinical trial of AVR-RD-01 for Fabry disease. On October 1, 2018, we released clinical data from the investigator-sponsored Phase 1 clinical trial and our Phase 2 clinical trial of AVR-RD-01 for Fabry disease.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include:</w:t>
      </w:r>
    </w:p>
    <w:p>
      <w:pPr>
        <w:spacing w:after="0" w:line="76" w:lineRule="exact"/>
        <w:rPr>
          <w:sz w:val="20"/>
          <w:szCs w:val="20"/>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30"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60" w:right="58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75"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ectPr>
          <w:pgSz w:w="11900" w:h="16838" w:orient="portrait"/>
          <w:cols w:equalWidth="0" w:num="1">
            <w:col w:w="11180"/>
          </w:cols>
          <w:pgMar w:left="240" w:top="459" w:right="479" w:bottom="1440" w:gutter="0" w:footer="0" w:header="0"/>
        </w:sectPr>
      </w:pP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80"/>
          </w:cols>
          <w:pgMar w:left="240" w:top="459" w:right="4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our research and development expenses incurred by program:</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0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Nine Months</w:t>
            </w: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6"/>
              </w:rPr>
              <w:t>Ended September 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Ended September 30,</w:t>
            </w: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jc w:val="right"/>
              <w:ind w:right="275"/>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Fabry</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$ 2,272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Gaucher</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2,488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4,922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1,814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AML</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Cystinosis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Pompe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16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9,373</w:t>
            </w:r>
          </w:p>
        </w:tc>
        <w:tc>
          <w:tcPr>
            <w:tcW w:w="3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research and development expenses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$ 9,232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$ 8,726</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7" w:lineRule="exact"/>
        <w:rPr>
          <w:sz w:val="20"/>
          <w:szCs w:val="20"/>
          <w:color w:val="auto"/>
        </w:rPr>
      </w:pPr>
    </w:p>
    <w:p>
      <w:pPr>
        <w:ind w:left="1060" w:right="72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development and timely delivery of commercial-grade drug formulations that can be used in our clinical trials and for commercial launch;</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consists of interest earned on money market funds and other bank deposits.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consists of foreign exchange gain or loss.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 connection with entering into our loan agreement, we agreed to issue a warrant to purchase shares of our preferred stock to the lender. Prior to the completion of our IPO, we classified the warrant as a liability on our consolidated balance sheet and we were required to remeasure to fair value at each reporting date. We recognized changes in the fair value of the warrant liability as a component of other income (expense), net in our consolidated statements of operations and comprehensive loss. Upon the closing of our IPO, the warrant to purchase preferred stock was converted to a warrant to purchase common stock. The carrying amount of the warrant to purchase preferred stock as of the date of our IPO was transferred to additional paid in capital. No further revaluation is needed for the warrant to purchase common stock.</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stock purchase agreement with University Health Network, or UHN, provides for a payment to UHN upon completion of an initial public offering, which included our IPO, if UHN’s fully-diluted percentage ownership of our company is reduced within a range of specified percentages. We classify the IPO dilution payment obligation as a liability on our consolidated balance sheet and we are required to remeasure to fair value at each reporting date. We recognize changes in the fair value of the derivative liability as a component of other income (expense), net in our consolidated statements of operations and comprehensive loss. On June 21, 2018, in connection with our IPO, we remeasured the fair value of the derivative liability to $2.0 million as we were required to pay the dilution payment as mentioned above, which was paid in July 2018.</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three months ended September 30, 2018 and 2017:</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6"/>
          </w:tcPr>
          <w:p>
            <w:pPr>
              <w:ind w:left="140"/>
              <w:spacing w:after="0"/>
              <w:rPr>
                <w:sz w:val="20"/>
                <w:szCs w:val="20"/>
                <w:color w:val="auto"/>
              </w:rPr>
            </w:pPr>
            <w:r>
              <w:rPr>
                <w:rFonts w:ascii="Arial" w:cs="Arial" w:eastAsia="Arial" w:hAnsi="Arial"/>
                <w:sz w:val="14"/>
                <w:szCs w:val="14"/>
                <w:b w:val="1"/>
                <w:bCs w:val="1"/>
                <w:color w:val="auto"/>
                <w:w w:val="98"/>
              </w:rPr>
              <w:t>Three Months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20" w:type="dxa"/>
            <w:vAlign w:val="bottom"/>
            <w:gridSpan w:val="11"/>
          </w:tcPr>
          <w:p>
            <w:pPr>
              <w:ind w:left="18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4"/>
                <w:szCs w:val="14"/>
                <w:color w:val="auto"/>
              </w:rPr>
            </w:pPr>
          </w:p>
        </w:tc>
        <w:tc>
          <w:tcPr>
            <w:tcW w:w="6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6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4"/>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6"/>
          </w:tcPr>
          <w:p>
            <w:pPr>
              <w:jc w:val="right"/>
              <w:ind w:right="2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  9,232</w:t>
            </w:r>
          </w:p>
        </w:tc>
        <w:tc>
          <w:tcPr>
            <w:tcW w:w="20" w:type="dxa"/>
            <w:vAlign w:val="bottom"/>
          </w:tcPr>
          <w:p>
            <w:pPr>
              <w:spacing w:after="0"/>
              <w:rPr>
                <w:sz w:val="18"/>
                <w:szCs w:val="18"/>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$ 5,411</w:t>
            </w:r>
          </w:p>
        </w:tc>
        <w:tc>
          <w:tcPr>
            <w:tcW w:w="2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$ 3,821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4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12,232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6,370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(12,232)</w:t>
            </w:r>
          </w:p>
        </w:tc>
        <w:tc>
          <w:tcPr>
            <w:tcW w:w="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2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Change in fair value of preferred stock warrant liability</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derivative liability</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3"/>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(11,591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(6,441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(5,150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w w:val="98"/>
              </w:rPr>
              <w:t>Ended September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56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Fabry</w:t>
            </w: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$ 2,272</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1,897</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  375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AML</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Gaucher</w:t>
            </w: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2,488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1,549</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Cystinosis</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Pompe</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Personnel related (including stock-based compensation)</w:t>
            </w: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2,397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845</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46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$ 9,232</w:t>
            </w:r>
          </w:p>
        </w:tc>
        <w:tc>
          <w:tcPr>
            <w:tcW w:w="20" w:type="dxa"/>
            <w:vAlign w:val="bottom"/>
            <w:tcBorders>
              <w:bottom w:val="single" w:sz="8" w:color="auto"/>
            </w:tcBorders>
          </w:tcPr>
          <w:p>
            <w:pPr>
              <w:spacing w:after="0"/>
              <w:rPr>
                <w:sz w:val="19"/>
                <w:szCs w:val="19"/>
                <w:color w:val="auto"/>
              </w:rPr>
            </w:pPr>
          </w:p>
        </w:tc>
        <w:tc>
          <w:tcPr>
            <w:tcW w:w="3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5,411</w:t>
            </w:r>
          </w:p>
        </w:tc>
        <w:tc>
          <w:tcPr>
            <w:tcW w:w="2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Research and development expenses were $9.2 million for the three months ended September 30, 2018, compared to $5.4 million for the three months ended September 30, 2017. The increase of $3.8 million was primarily due to increases of $0.4 million in direct costs for our Fabry program, $0.9 million in direct costs connected with our Gaucher program, $0.6 million in direct costs related to our Cystinosis program and $2.9 million in research and discovery and unallocated costs, which primarily consisted of personnel-related costs due to the increase in research and development employee headcount, all partially offset by a decrease of $1.0 million in direct costs for our Pompe program as we did not pay any upfront license fee during three months ended September 30, 2018.</w:t>
      </w:r>
    </w:p>
    <w:p>
      <w:pPr>
        <w:spacing w:after="0" w:line="19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process development cost of $0.8 million and CRO fees of $0.1 million, all partially offset by CMO fees of $0.6 million.</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increase in direct costs for our Gaucher program was primarily due to process development cost of $1.2 million and CRO fees of $0.1 million, all partially offset by CMO fees of $0.4 million.</w:t>
      </w:r>
    </w:p>
    <w:p>
      <w:pPr>
        <w:spacing w:after="0" w:line="17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increase in direct costs for our Cystinosis program was primarily due to process development cost of $0.2 million and consulting fees of $0.3 million.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decrease in direct costs for our Pompe program was primarily due to decrease in license costs of $1.0 million.</w:t>
      </w:r>
    </w:p>
    <w:p>
      <w:pPr>
        <w:spacing w:after="0" w:line="22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increase in unallocated research and development expenses was primarily due to an increase of $1.6 million in personnel-related costs, including stock-based compensation, as a result of hiring additional personnel in our research and development department, an increase of $0.8 million in unallocated research, development costs and consulting expense and an increase of $0.5 million in unallocated facility costs and rent expense. Personnel-related costs for the three months ended September 30, 2018 and 2017 included stock-based compensation expense of $0.2 million and less than $0.1 million, respectively.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General and administrative expenses were $3.0 million for the three months ended September 30, 2018, compared to $1.0 million for the three months ended September 30, 2017. The increase of $2.0 million was primarily due to increases of $1.0 million in personnel-related costs, including stock-based compensation, $0.3 million in legal expense, $0.2 million in professional expense, $0.1 million in consulting expense, $0.1 million in depreciation expense and $0.1 million in facility expense. The increase in personnel-related costs was due to the hiring of additional personnel in our general and administrative functions, including the hiring of our Chief Financial Officer (“CFO”) in late 2017. Professional fees increased due to costs associated with the preparation of our financial statements, preparing to become a publicly traded company, as well as ongoing business operations. The increase in facility expense was primarily due to the addition of increased office space as a result of the continued increase in the employee headcount.</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Other income (expense), net was income of $0.6 million for the three months ended September 30, 2018, compared to a loss of less than</w:t>
      </w:r>
    </w:p>
    <w:p>
      <w:pPr>
        <w:spacing w:after="0" w:line="35"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$0.1 million for the three months ended September 30, 2017. The increase in other income of $0.7 million was primarily due to an increase in interest income of $0.6 million.</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nine months ended September 30, 2018 and 2017:</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Nine Months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September 30,</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2680" w:type="dxa"/>
            <w:vAlign w:val="bottom"/>
            <w:gridSpan w:val="3"/>
          </w:tcPr>
          <w:p>
            <w:pPr>
              <w:jc w:val="right"/>
              <w:ind w:right="120"/>
              <w:spacing w:after="0"/>
              <w:rPr>
                <w:sz w:val="20"/>
                <w:szCs w:val="20"/>
                <w:color w:val="auto"/>
              </w:rPr>
            </w:pPr>
            <w:r>
              <w:rPr>
                <w:rFonts w:ascii="Arial" w:cs="Arial" w:eastAsia="Arial" w:hAnsi="Arial"/>
                <w:sz w:val="18"/>
                <w:szCs w:val="18"/>
                <w:color w:val="auto"/>
              </w:rPr>
              <w:t>$ 22,286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8,726</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$ 13,560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2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18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10,956</w:t>
            </w:r>
          </w:p>
        </w:tc>
        <w:tc>
          <w:tcPr>
            <w:tcW w:w="4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(29,567)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(10,956)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income (expense):</w:t>
            </w:r>
          </w:p>
        </w:tc>
        <w:tc>
          <w:tcPr>
            <w:tcW w:w="1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95"/>
              </w:rPr>
              <w:t>Change in fair value of preferred stock warrant liability</w:t>
            </w:r>
          </w:p>
        </w:tc>
        <w:tc>
          <w:tcPr>
            <w:tcW w:w="2680" w:type="dxa"/>
            <w:vAlign w:val="bottom"/>
            <w:gridSpan w:val="3"/>
          </w:tcPr>
          <w:p>
            <w:pPr>
              <w:jc w:val="right"/>
              <w:ind w:right="6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expenses</w:t>
            </w:r>
          </w:p>
        </w:tc>
        <w:tc>
          <w:tcPr>
            <w:tcW w:w="18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1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(30,340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(11,052</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(19,288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20" w:type="dxa"/>
            <w:vAlign w:val="bottom"/>
            <w:vMerge w:val="restart"/>
          </w:tcPr>
          <w:p>
            <w:pPr>
              <w:jc w:val="right"/>
              <w:ind w:right="1470"/>
              <w:spacing w:after="0"/>
              <w:rPr>
                <w:sz w:val="20"/>
                <w:szCs w:val="20"/>
                <w:color w:val="auto"/>
              </w:rPr>
            </w:pPr>
            <w:r>
              <w:rPr>
                <w:rFonts w:ascii="Arial" w:cs="Arial" w:eastAsia="Arial" w:hAnsi="Arial"/>
                <w:sz w:val="18"/>
                <w:szCs w:val="18"/>
                <w:color w:val="auto"/>
              </w:rPr>
              <w:t>27</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Ended September 30,</w:t>
            </w:r>
          </w:p>
        </w:tc>
        <w:tc>
          <w:tcPr>
            <w:tcW w:w="12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Fabry</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6,679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$ 3,148</w:t>
            </w:r>
          </w:p>
        </w:tc>
        <w:tc>
          <w:tcPr>
            <w:tcW w:w="2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Gaucher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AML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Cystinosis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Pompe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Personnel related (including 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6,140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2,126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23"/>
        </w:trPr>
        <w:tc>
          <w:tcPr>
            <w:tcW w:w="660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22,286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$ 8,726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Research and development expenses were $22.3 million for the nine months ended September 30, 2018, compared to $8.7 million for the nine months ended September 30, 2017. The increase of $13.6 million was primarily due to increases of $3.5 million in direct costs for our Fabry program, $3.1 million in direct costs connected with our Gaucher program, $0.9 million in direct costs related to our Cystinosis program and $6.8 million in research and discovery and unallocated costs, all partially offset by a decrease of $0.6 million in direct costs related to our Pompe program and $0.1 million in direct costs for our AML program as we shifted our focus onto developing our other programs.</w:t>
      </w:r>
    </w:p>
    <w:p>
      <w:pPr>
        <w:spacing w:after="0" w:line="173"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pre-clinical, clinical and process development costs of $2.2 million, consulting fees of $0.4 million, CMO fees of $0.2 million, as well as CRO and consulting fees of $0.7 million.</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increase in direct costs for our Gaucher program was primarily due to CMO fees of $0.4 million, process development costs of $2.1 million, as well as CRO and consulting fees of $0.5 million.</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increase in direct costs for our Cystinosis program was primarily due to consulting fees of $0.6 million and process development costs of $0.2 million.</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decrease in direct costs for our Pompe program was primarily due to an upfront license fee of $1.0 million offset by process development costs of $0.2 million, as well as CRO and CMO fees of $0.2 million.</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increase in unallocated research and development expenses was primarily due to an increase of $4.0 million in personnel-related costs, including stock-based compensation, as a result of hiring additional personnel in our research and development department, an increase of $1.3 million in unallocated research, development costs and consulting expenses, and an increase of $1.3 million in unallocated facility costs and rent expense. Personnel-related costs for the nine months ended September 30, 2018 and 2017 included stock-based compensation expense of $0.4 million and $0.1 million, respectively.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General and administrative expenses were $7.3 million for the nine months ended September 30, 2018, compared to $2.2 million for the nine months ended September 30, 2017. The increase of $5.1 million was primarily due to increases of $2.5 million in personnel-related costs, including stock-based compensation, $1.0 million in consulting expense, $0.6 million in professional fees, $0.3 million in legal expenses, $0.4 million in facility expense and $0.1 million in depreciation expense. The increase in personnel-related costs was due to the hiring of additional personnel in our general and administrative functions, including the hiring of our CFO in late 2017. Professional fees increased due to costs associated with the preparation of our consolidated financial statements, preparing to become a publicly traded company, as well as ongoing business operations.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200" w:right="660" w:firstLine="441"/>
        <w:spacing w:after="0" w:line="291" w:lineRule="auto"/>
        <w:rPr>
          <w:sz w:val="20"/>
          <w:szCs w:val="20"/>
          <w:color w:val="auto"/>
        </w:rPr>
      </w:pPr>
      <w:r>
        <w:rPr>
          <w:rFonts w:ascii="Arial" w:cs="Arial" w:eastAsia="Arial" w:hAnsi="Arial"/>
          <w:sz w:val="16"/>
          <w:szCs w:val="16"/>
          <w:color w:val="auto"/>
        </w:rPr>
        <w:t>Other income (expense), net was an expense of $0.8 million for the nine months ended September 30, 2018, compared to an expense of $0.1 million for the nine months ended September 30, 2017. The increase in other expense of $0.7 million was primarily due to an increase of</w:t>
      </w:r>
    </w:p>
    <w:p>
      <w:pPr>
        <w:ind w:left="200" w:right="140"/>
        <w:spacing w:after="0" w:line="261" w:lineRule="auto"/>
        <w:rPr>
          <w:sz w:val="20"/>
          <w:szCs w:val="20"/>
          <w:color w:val="auto"/>
        </w:rPr>
      </w:pPr>
      <w:r>
        <w:rPr>
          <w:rFonts w:ascii="Arial" w:cs="Arial" w:eastAsia="Arial" w:hAnsi="Arial"/>
          <w:sz w:val="18"/>
          <w:szCs w:val="18"/>
          <w:color w:val="auto"/>
        </w:rPr>
        <w:t>$1.6 million in the change in fair value of derivative liability and an increase of $0.2 million in the change in fair value of the preferred stock warrant liability, partially offset by a $1.0 million increase in interest income.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240" w:top="459" w:right="5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Through September 30, 2018, we had received gross cash proceeds of $87.5 and $114.7 million from sales of our preferred stock and IPO, respectively.</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(26,214)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$(7,556)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(1,598)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160,426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132,614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(4,454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nine months ended September 30, 2018, operating activities used $26.2 million of cash and cash equivalents, resulting from our net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loss of $30.3 million, partially offset by non-cash charges of $3.3 million and net cash provided by changes in our operating assets and liabilities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$0.8 million. The non-cash charges primarily included $1.1 million of stock-based compensation expense, $0.2 million of depreciation expense,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$1.6 million of change in fair value of the derivative liability and $0.2 million of change in fair value of the preferred stock warrant liability. The net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changes in our operating assets and liabilities was primarily due to increases in liabilities of $2.3 million due to ongoing research, development,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clinical trial efforts and partially offset by increases in assets of $1.5 million, including a $1.1 million increase in prepaid expense and a $0.4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increase in other assets due to a $0.2 million security deposit for a new lease that was executed in 2018.</w:t>
      </w:r>
    </w:p>
    <w:p>
      <w:pPr>
        <w:spacing w:after="0" w:line="21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the nine months ended September 30, 2017, operating activities used $7.6 million of cash and cash equivalents, resulting from our net loss of $11.1 million, primarily offset by net cash provided by changes in our operating assets and liabilities of $3.1 million and non-cash charges of $0.4 million.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nine months ended September 30, 2018, we used $1.6 million of cash and cash equivalents in investing activities consisting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$1.3 million of purchases of property and equipment and $0.3 million increase in restricted cash due to new lease signed in August 2018. During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nine months ended September 30, 2017, we used $0.3 million of cash and cash equivalents in purchases of property and equipment.</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During the nine months ended September 30, 2018, net cash provided by financing activities was $160.4 million, primarily consisting of net cash proceeds of $104.1 million from our IPO in June 2018 and net cash proceeds of $58.3 million from our issuance of Series B preferred stock in January 2018, and all partially offset by a $2.0 million payment to UHN.</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During the nine months ended September 30, 2017, net cash provided by financing activities was $3.4 million, consisting primarily of net cash proceeds from our issuance of Series A preferred stock in March 2017.</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11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In June 2017, we entered into a Loan and Security Agreement, which we refer to as the Loan Agreement, with Silicon Valley Bank, or SVB, providing a senior secured non-revolving loan facility of up to an aggregate principal amount of $10.0 million, available for us to draw down in three tranches until October 31, 2018, subject to the satisfaction of certain milestones for each tranche. As of September 30, 2018, we had not drawn down from the facility and the $3.5 million first tranche was available. Subsequent to September 30, 2018 and prior to the end of the drawdown period on October 31, 2018, we had not drawn down from the facility.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first tranche of $3.5 million was made available upon entry into the Loan Agreement as we satisfied the borrowing conditions at such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time. The second tranche of $3.5 million will be made available after the funding of the first tranche amounts and upon confirmation by SVB that either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met certain clinical and developmental milestones, or we have subsequently obtained at least $7.5 million in cash proceeds from the sale of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equity securities from investors reasonably acceptable to SVB. The third tranche of $3.0 million will be made available after the funding of the first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second tranche amounts and upon confirmation by SVB that we have subsequently obtained at least an additional $6.5 million in cash proceeds from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sale of our equity securities to investors reasonably acceptable to SVB, and we have received a signed and enforceable term sheet from investors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acceptable to SVB committing to provide financing on or before March 31, 2018 in an amount equal to at least 12 months of operating expenses.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January 2018, we received gross cash proceeds of $60.5 million from the sale of our Series B preferred stock.</w:t>
      </w:r>
    </w:p>
    <w:p>
      <w:pPr>
        <w:spacing w:after="0" w:line="21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Any outstanding principal amounts under the Loan Agreement will accrue interest at a floating per annum rate equal to the greater of 1% and the “prime rate,” as published in the Wall Street Journal,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w:t>
      </w:r>
    </w:p>
    <w:p>
      <w:pPr>
        <w:spacing w:after="0" w:line="188"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Pursuant to the Loan Agreement, we provided a first priority security interest in all existing and after-acquired assets, excluding intellectual property and certain other assets owned by us. The Loan Agreement contains a negative pledge on our intellectual property.</w:t>
      </w:r>
    </w:p>
    <w:p>
      <w:pPr>
        <w:spacing w:after="0" w:line="14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connection with the Loan Agreement, we issued a warrant to SVB to purchase shares of our Series A preferred stock at an exercise price of $0.7949 per share. This warrant was initially exercisable for 28,305 shares of Series A preferred stock. Up to an additional 160,397 shares of Series A preferred stock may become subject to this warrant, with the proportion of such additional shares equal to the percentage of the full $10.0 million aggregate principal amount under the Loan Agreement that we draw down thereunder. Following the completion of our IPO, this warrant was initially exercisable for 6,850 shares of common stock, and up to an additional 38,818 shares of common stock may become subject to this warrant. In July 2018, the initially exercisable warrant of 6,850 shares was net exercised for 6,091 shares of common stock.</w:t>
      </w:r>
    </w:p>
    <w:p>
      <w:pPr>
        <w:spacing w:after="0" w:line="17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Loan Agreement allows us to voluntarily prepay all but not less than all the outstanding amounts thereunder. A scaling prepayment fee of 1% or 0.5% would be assessed if we prepay the amounts within the first anniversary of funding, or between the first and second anniversary of funding, respectively. No prepayment fee would be assessed if we prepay the amounts after the second anniversary of funding. A final payment fee of 6.75% multiplied by the original principal amount of each tranche drawn is due upon the earliest to occur of the maturity date of the Loan Agreement, the termination of the Loan Agreement, the acceleration of the Loan Agreement or repayment or prepayment of such borrowings.</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Loan Agreement contains customary indemnification obligations and customary events of default, including, among other things, our failure to fulfill certain of our obligations under the Loan Agreement and the occurrence of a material adverse change in our business, operations or condition, a material impairment of the prospect of repayment of any portion of the loan, or a material impairment in the perfection or priority of the SVB’s lien in the collateral or in the value of such collateral. In the event of default by us under the Loan Agreement, SVB would be entitled to exercise its remedies thereunder, including the right to accelerate the debt, upon which we may be required to repay all amounts then outstanding under the Loan Agreement or SVB may take possession of the collateral securing the Loan Agreement.</w:t>
      </w:r>
    </w:p>
    <w:p>
      <w:pPr>
        <w:spacing w:after="0" w:line="178"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Loan Agreement includes certain restrictions on, among other things, our ability to incur additional indebtedness, change the name or location of our business, merge with or acquire other entities, pay dividends or make other distributions to holders of our capital stock, make certain investments, engage in transactions with affiliates, create liens, open new deposit accounts, sell assets or pay subordinated debt.</w:t>
      </w:r>
    </w:p>
    <w:p>
      <w:pPr>
        <w:spacing w:after="0" w:line="166"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October 2018, we amended the Loan Agreement with our lender to, among other things, permit us to create a Massachusetts securities corporation. In addition, we are required at all times to have on deposit in operating, depository and securities accounts in our name maintained with our lender, cash in an amount equal to 105% of the then-outstanding loan amount.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we expect to continue to incur additional costs associated with operating as a public company that we had not incurred as a private company. Our expenses will also increase as we:</w:t>
      </w:r>
    </w:p>
    <w:p>
      <w:pPr>
        <w:spacing w:after="0" w:line="87" w:lineRule="exact"/>
        <w:rPr>
          <w:sz w:val="20"/>
          <w:szCs w:val="20"/>
          <w:color w:val="auto"/>
        </w:rPr>
      </w:pPr>
    </w:p>
    <w:p>
      <w:pPr>
        <w:ind w:left="1060" w:right="4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recently initiated Phase 2 clinical trial for AVR-RD-01;</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transition our organization to operating as a public company.</w:t>
      </w:r>
    </w:p>
    <w:p>
      <w:pPr>
        <w:spacing w:after="0" w:line="225"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believe our cash and cash equivalents as of September 30, 2018 will enable us to fund our operating expenses and capital expenditure requirements into 2020. We have based these estimates on assumptions that may prove to be wrong, and we could utilize our available capital resources sooner than we expect. If we receive regulatory approval for AVR-RD-01 or our other product candidates, we expect to incur significant commercialization expenses related to product manufacturing, sales, marketing and distribution, depending on where we choose to commercialize.</w:t>
      </w:r>
    </w:p>
    <w:p>
      <w:pPr>
        <w:spacing w:after="0" w:line="154" w:lineRule="exact"/>
        <w:rPr>
          <w:sz w:val="20"/>
          <w:szCs w:val="20"/>
          <w:color w:val="auto"/>
        </w:rPr>
      </w:pPr>
    </w:p>
    <w:p>
      <w:pPr>
        <w:ind w:left="200" w:right="180" w:firstLine="441"/>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The disclosure of our contractual obligations and commitments is set forth under the heading “Management’s Discussion and Analysis of Financial Condition and Results of Operations—Contractual Obligations and Commitments” in our final prospectus filed with the SEC on June 21, 2018.</w:t>
      </w:r>
    </w:p>
    <w:p>
      <w:pPr>
        <w:spacing w:after="0" w:line="181"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There have been no significant changes to the table except for the new leases signed on January 12, 2018 and August 31, 2018. The lease agreement signed on January 12, 2018 expires in January 2023, with a landlord who is an affiliate of the landlord of our prior lease facility. The annual lease payments are subject to a 3% increase each year. In accordance with the lease agreement, we received a tenant incentive allowance of</w:t>
      </w:r>
    </w:p>
    <w:p>
      <w:pPr>
        <w:ind w:left="200" w:right="720"/>
        <w:spacing w:after="0" w:line="261" w:lineRule="auto"/>
        <w:rPr>
          <w:sz w:val="20"/>
          <w:szCs w:val="20"/>
          <w:color w:val="auto"/>
        </w:rPr>
      </w:pPr>
      <w:r>
        <w:rPr>
          <w:rFonts w:ascii="Arial" w:cs="Arial" w:eastAsia="Arial" w:hAnsi="Arial"/>
          <w:sz w:val="18"/>
          <w:szCs w:val="18"/>
          <w:color w:val="auto"/>
        </w:rPr>
        <w:t>$842 thousand and maintained a security deposit of $209 thousand during the nine months ended September 30, 2018. In contemplation of this agreement, we terminated our prior lease agreement.</w:t>
      </w:r>
    </w:p>
    <w:p>
      <w:pPr>
        <w:spacing w:after="0" w:line="184"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The lease agreement signed on August 31, 2018 expires in October 2020. The annual lease payments are subject to a 3% increase each year. In accordance with the lease agreement, we are required to maintain a security deposit of $283, which was recorded in other assets as of September 30, 2019.</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200" w:right="700" w:firstLine="441"/>
        <w:spacing w:after="0" w:line="308"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w:t>
      </w:r>
    </w:p>
    <w:p>
      <w:pPr>
        <w:sectPr>
          <w:pgSz w:w="11900" w:h="16838" w:orient="portrait"/>
          <w:cols w:equalWidth="0" w:num="1">
            <w:col w:w="11220"/>
          </w:cols>
          <w:pgMar w:left="240" w:top="459" w:right="439" w:bottom="1440" w:gutter="0" w:footer="0" w:header="0"/>
        </w:sectPr>
      </w:pP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20"/>
          </w:cols>
          <w:pgMar w:left="24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that affect the reported amounts of assets, liabilities, revenue, costs and expenses, and the disclosure of contingent assets and liabilities in our financial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statements. We base our estimates on historical experience, known trends and events and various other factors that we believe are reasonable under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circumstances, the results of which form the basis for making judgments about the carrying values of assets and liabilities that are not readily apparent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from other sources. We evaluate our estimates and assumptions on an ongoing basis. Our actual results may differ from these estimates under different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assumptions or conditions. During the nine months ended September 30, 2018, there were no material changes to our critical accounting policies.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critical accounting policies are described under the heading “Management’s Discussion and Analysis of Financial Condition and Results of Operations</w:t>
      </w:r>
    </w:p>
    <w:p>
      <w:pPr>
        <w:spacing w:after="0" w:line="32"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 Critical Accounting Policies and Significant Judgments and Estimates” in our final prospectus dated June 20, 2018 for the IPO, which was filed with the SEC on June 21, 2018 and the notes to the consolidated financial statements included in Item 1, “Condensed Consolidated Unaudited Financial Statements,” of this Quarterly Report on Form 10-Q.</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advantage of certain exemptions from various reporting requirements that are applicable to other public companies that are not emerging growth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companies. We may take advantage of these exemptions until we are no longer an emerging growth company. Section 107 of the JOBS Act provides that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 emerging growth company can take advantage of the extended transition period afforded by the JOBS Act for the implementation of new or revised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accounting standards. We have elected to use the extended transition period for complying with new or revised accounting standards and, as a result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election, our financial statements may not be comparable to companies that comply with public company effective dates. We may take advantage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these exemptions up until the last day of the fiscal year following the fifth anniversary of our IPO or such earlier time that we are no longer an emerging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growth company. We would cease to be an emerging growth company if we have more than $1.07 billion in annual revenue, we have more than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$700.0 million in market value of our stock held by non-affiliates (and we have been a public company for at least 12 months and have filed one annual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report on Form 10-K) or we issue more than $1.0 billion of non-convertible debt securities over a three-year period.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disclosed in Note 2 to our consolidated financial statements appearing at the beginning of this Quarterly Report on Form 10-Q.</w:t>
      </w:r>
    </w:p>
    <w:p>
      <w:pPr>
        <w:spacing w:after="0" w:line="268"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As of September 30, 2018, we had cash and cash equivalents of $138.6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nine months ended September 30, 2018 and 2017, we recognized foreign currency transaction losses of $20 thousand and $19 thousand, respectively. During each of the three months ended September 30, 2018 and 2017, we recognized foreign currency transaction losses of $5 thousand and $14 thousand,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32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September 30, 2018.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2018, our Chief Executive Officer and Chief Financial Officer concluded that, as a result of the material weaknesses in our internal control over financial reporting as previously disclosed in our final prospectus for our initial public offering, dated June 20, 2018, filed with the SEC and as described in Part II, Item 1A. of this report, our disclosure controls and procedures were not effective as of September 30, 2018. Notwithstanding the material weaknesses, our management has concluded that the financial statements included elsewhere in this report present fairly, in all material respects, our financial position, results of operations and cash flows in conformity with GAAP.</w:t>
      </w:r>
    </w:p>
    <w:p>
      <w:pPr>
        <w:spacing w:after="0" w:line="18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We are implementing measures, including those described in Part II, Item 1A. of this report, designed to improve our internal control over financial reporting to remediate these material weaknesses. The measures we are implementing are subject to continued management review supported by confirmation and testing, as well as audit committee oversight. We will continue to implement measures to remedy our internal control deficiencies, though there can be no assurance that our efforts will be successful or avoid potential future material weaknesses. In addition, until the above remediation steps have been completed and are operated for a sufficient period of time, and subsequent evaluation of their effectiveness is completed, the material weaknesses previously disclosed, and as described above, will continue to exist.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Other than the changes intended to remediate the material weaknesses noted above, no change in our internal control over financial reporting (as defined in Rules 13a-15(f) and 15d-15(f) under the Exchange Act) occurred during the three months ended September 30, 2018 that has materially affected, or is reasonably likely to materially affect, our internal control over financial reporting.</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September 30, 2018,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33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and uncertainties, together with all other information in this report,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Since inception, we have incurred net losses. We incurred net losses of $4.7 million and $18.6 million for the years ended December 31, 2016 and 2017, and $11.6 million and $30.3 million for the three months and nine months ended September 30, 2018, respectively. We historically have financed our operations primarily through private placements of our preferred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84" w:lineRule="exact"/>
        <w:rPr>
          <w:sz w:val="20"/>
          <w:szCs w:val="20"/>
          <w:color w:val="auto"/>
        </w:rPr>
      </w:pPr>
    </w:p>
    <w:p>
      <w:pPr>
        <w:ind w:left="1060" w:right="48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recently initiated Phase 2 clinical trial for AVR-RD-01;</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transition our organization to operating as public company.</w:t>
      </w:r>
    </w:p>
    <w:p>
      <w:pPr>
        <w:spacing w:after="0" w:line="225"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92" w:lineRule="exact"/>
        <w:rPr>
          <w:sz w:val="20"/>
          <w:szCs w:val="20"/>
          <w:color w:val="auto"/>
        </w:rPr>
      </w:pPr>
    </w:p>
    <w:p>
      <w:pPr>
        <w:ind w:left="1060" w:right="22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30" w:lineRule="exact"/>
        <w:rPr>
          <w:rFonts w:ascii="Arial" w:cs="Arial" w:eastAsia="Arial" w:hAnsi="Arial"/>
          <w:sz w:val="18"/>
          <w:szCs w:val="18"/>
          <w:color w:val="auto"/>
        </w:rPr>
      </w:pPr>
    </w:p>
    <w:p>
      <w:pPr>
        <w:ind w:left="1060" w:right="160" w:hanging="424"/>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54" w:lineRule="exact"/>
        <w:rPr>
          <w:sz w:val="20"/>
          <w:szCs w:val="20"/>
          <w:color w:val="auto"/>
        </w:rPr>
      </w:pPr>
    </w:p>
    <w:p>
      <w:pPr>
        <w:ind w:left="640" w:right="480"/>
        <w:spacing w:after="0" w:line="308" w:lineRule="auto"/>
        <w:rPr>
          <w:sz w:val="20"/>
          <w:szCs w:val="20"/>
          <w:color w:val="auto"/>
        </w:rPr>
      </w:pPr>
      <w:r>
        <w:rPr>
          <w:rFonts w:ascii="Arial" w:cs="Arial" w:eastAsia="Arial" w:hAnsi="Arial"/>
          <w:sz w:val="17"/>
          <w:szCs w:val="17"/>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60" w:right="18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1060" w:right="20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24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you to evaluate the success of our business to date and to assess our future viability.</w:t>
      </w:r>
    </w:p>
    <w:p>
      <w:pPr>
        <w:spacing w:after="0" w:line="26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are a development-stage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our product candidates and establishing research and development and manufacturing capabilities. Although we recently initiated our Phase 2 clinical trial for AVR-RD-01,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29"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our optimization efforts that we evaluate from time to time, such as those relating to conditioning, may result in delays or setbacks in our research and development activities.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the transition to LV2 or of our cell processing to an industrialized, automated closed system using all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or manufactured using this automated system will achieve the same favorable preliminary results observed to date in the Phase 1 clinical trial of AVR-RD-01.</w:t>
      </w:r>
    </w:p>
    <w:p>
      <w:pPr>
        <w:spacing w:after="0" w:line="1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number of gene therapies have received marketing authorization from the FDA or foreign regulatory authorities. It is difficult to determine how long it will take or how much it will cost to obtain regulatory approvals for our product candidates in either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8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potentially subject to review by the NIH Office of Science Policy’s Recombinant DNA Advisory Committee, or the RAC, in limited circumstances. Although the FDA decides whether individual gene therapy protocols may proceed, the RAC public review process, if undertaken, can delay the initiation of a clinical trial, even if the FDA has reviewed the trial design and details and authorized its initiation. Conversely, the FDA can put an investigational new drug application, or IND, on clinical hold even if the RAC has provided a favorable review or an exemption from in-depth, public review. If we were to engage an NIH-funded institution, to conduct a clinical trial, that institution’s institutional biosafety committee, or IBC, as well as its institutional review board, or IRB, would need to review the proposed clinical trial to assess the safety of the trial and may determine that RAC review is needed.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8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FDA released a series of draft guidances, which amongst other topics, regarded various aspects of gene therapy product development, review, and approval, including aspects relating to clinical and manufacturing issues related to gene therapy products. We cannot be certain whether such guidance will be relevant to or have an impact on our gene therapy candidates or the duration or expense of any applicable regulatory development and review processes</w:t>
      </w:r>
    </w:p>
    <w:p>
      <w:pPr>
        <w:spacing w:after="0" w:line="187"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8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AVR-RD-01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AVR-RD-01 or any other product candidate has side effects or causes serious or life-threatening side effects, the development of the product candidate may fail or be delayed, or, if the product candidate has received regulatory approval, such approval may be revoked or limited.</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have been several significant adverse side effects in gene therapy treatments in the past, including reported cases of leukemia and death seen in other clinical trials. Gene therapy is still a relatively new approach to disease treatment and additional</w:t>
      </w:r>
    </w:p>
    <w:p>
      <w:pPr>
        <w:sectPr>
          <w:pgSz w:w="11900" w:h="16838" w:orient="portrait"/>
          <w:cols w:equalWidth="0" w:num="1">
            <w:col w:w="11220"/>
          </w:cols>
          <w:pgMar w:left="240" w:top="459" w:right="439" w:bottom="1440" w:gutter="0" w:footer="0" w:header="0"/>
        </w:sectPr>
      </w:pP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24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after administration, there can be no assurance that patients would not create antibodies that may impair treatment. If any of our gene therapy product candidates demonstrates adverse side effects at unacceptable rates or degrees of severity, we may decide or be required to halt or delay clinical development of such product candidates.</w:t>
      </w:r>
    </w:p>
    <w:p>
      <w:pPr>
        <w:spacing w:after="0" w:line="165" w:lineRule="exact"/>
        <w:rPr>
          <w:sz w:val="20"/>
          <w:szCs w:val="20"/>
          <w:color w:val="auto"/>
        </w:rPr>
      </w:pPr>
    </w:p>
    <w:p>
      <w:pPr>
        <w:ind w:left="200" w:right="160" w:firstLine="441"/>
        <w:spacing w:after="0" w:line="269" w:lineRule="auto"/>
        <w:rPr>
          <w:sz w:val="20"/>
          <w:szCs w:val="20"/>
          <w:color w:val="auto"/>
        </w:rPr>
      </w:pPr>
      <w:r>
        <w:rPr>
          <w:rFonts w:ascii="Arial" w:cs="Arial" w:eastAsia="Arial" w:hAnsi="Arial"/>
          <w:sz w:val="17"/>
          <w:szCs w:val="17"/>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cytotoxic drugs to remove stem cells from the bone marrow to create sufficient space in the bone marrow for the modified stem cells to engraft and produce their progeny. This procedure compromises the patient’s immune system. While certain of our product candidates are designed to utilize outpatient, milder conditioning regimens that are intended to require only limited removal of a patient’s bone marrow cells, our conditioning regimens may not be successful or may nevertheless result in adverse side effects. For example, in the ongoing investigator-sponsored Phase 1 clinical trial and our ongoing company-sponsored Phase 2 clinical trial of AVR-RD-01, several adverse events, including suppression of white blood cell and platelet counts, nausea and/or vomiting following the conditioning process, were observed.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Even if we are able to demonstrate that adverse events are not product-related, such occurrences could affect patient recruitment or the ability of enrolled patients to complete the clinical trial.</w:t>
      </w:r>
    </w:p>
    <w:p>
      <w:pPr>
        <w:spacing w:after="0" w:line="18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or our other product candidates, several potentially significant negative consequences could result, including:</w:t>
      </w:r>
    </w:p>
    <w:p>
      <w:pPr>
        <w:spacing w:after="0" w:line="94"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distributed, dispensed, or administered or conduct additional clinical trials;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70" w:lineRule="exact"/>
        <w:rPr>
          <w:sz w:val="20"/>
          <w:szCs w:val="20"/>
          <w:color w:val="auto"/>
        </w:rPr>
      </w:pPr>
    </w:p>
    <w:p>
      <w:pPr>
        <w:ind w:left="640" w:right="200"/>
        <w:spacing w:after="0" w:line="312" w:lineRule="auto"/>
        <w:rPr>
          <w:sz w:val="20"/>
          <w:szCs w:val="20"/>
          <w:color w:val="auto"/>
        </w:rPr>
      </w:pPr>
      <w:r>
        <w:rPr>
          <w:rFonts w:ascii="Arial" w:cs="Arial" w:eastAsia="Arial" w:hAnsi="Arial"/>
          <w:sz w:val="16"/>
          <w:szCs w:val="16"/>
          <w:b w:val="1"/>
          <w:bCs w:val="1"/>
          <w:i w:val="1"/>
          <w:iCs w:val="1"/>
          <w:color w:val="auto"/>
        </w:rPr>
        <w:t>AVR-RD-01 is being investigated in an ongoing investigator-sponsored Phase 1 clinical trial and an ongoing company-sponsored Phase 2 clinical trial, and we have not commenced clinical trials for any of our other product candidates. We have never completed a pivotal clinical trial, and may be unable to do so for any product candidates we may develop, including AVR-RD-01.</w:t>
      </w:r>
    </w:p>
    <w:p>
      <w:pPr>
        <w:spacing w:after="0" w:line="14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are at a very early stage of development for all of our product candidates including AVR-RD-01. As of September 1, 2018, our product candidate AVR-RD-01 has been administered to only three patients in an ongoing Phase 1 clinical trial and to one patient in our ongoing Phase 2 clinical trial. The ongoing Phase 1 and Phase 2 clinical trials for AVR-RD-01 must be completed, as well as potentially additional pivotal clinical trials in order to obtain FDA approval to market AVR-RD-01. Carrying out later-stage clinical trials is a complicated process. We only recently dosed the first patient in our company-sponsored Phase 2 clinical trial in the second quarter of 2018. We have limited experience in preparing, submitting and prosecuting regulatory filings, and have not previously submitted a biologics license application, or BLA, for any product candidate.</w:t>
      </w:r>
    </w:p>
    <w:p>
      <w:pPr>
        <w:spacing w:after="0" w:line="178"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In addition, we have not yet conducted clinical trials of any our product candidates in the United States, our interactions with the FDA have been and are expected to be limited for the near future, and we cannot be certain how many additional clinical trials of AVR-RD-01 or any of our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We recently held a pre-IND meeting with the FDA to discuss the requirements to commence clinical trials in the United States, and we expect to open a U.S. site for our ongoing Phase 2 clinical trial of AVR-RD-01 in 2019. We intend to file an IND that will permit us to utilize LV2 in our Phase 2 clinical trial of AVR-RD-01. In order to do so, we will, among other things, be required to demonstrate that</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288" w:lineRule="auto"/>
        <w:rPr>
          <w:sz w:val="20"/>
          <w:szCs w:val="20"/>
          <w:color w:val="auto"/>
        </w:rPr>
      </w:pPr>
      <w:r>
        <w:rPr>
          <w:rFonts w:ascii="Arial" w:cs="Arial" w:eastAsia="Arial" w:hAnsi="Arial"/>
          <w:sz w:val="16"/>
          <w:szCs w:val="16"/>
          <w:color w:val="auto"/>
        </w:rPr>
        <w:t>analytical comparability of LV2 to LV1. However, there can be no assurance that we will be able to demonstrate analytical comparability, that our IND will be approved or that we will commence clinical trials in the United States on our expected timeframe or at all. We may also be required to conduct additional preclinical testing prior to filing an IND for any of our product candidates, and the results of any such testing may not be positive.</w:t>
      </w:r>
    </w:p>
    <w:p>
      <w:pPr>
        <w:ind w:left="200" w:right="160"/>
        <w:spacing w:after="0" w:line="254" w:lineRule="auto"/>
        <w:rPr>
          <w:sz w:val="20"/>
          <w:szCs w:val="20"/>
          <w:color w:val="auto"/>
        </w:rPr>
      </w:pPr>
      <w:r>
        <w:rPr>
          <w:rFonts w:ascii="Arial" w:cs="Arial" w:eastAsia="Arial" w:hAnsi="Arial"/>
          <w:sz w:val="18"/>
          <w:szCs w:val="18"/>
          <w:color w:val="auto"/>
        </w:rPr>
        <w:t>Consequently, we may be unable to successfully and efficiently execute and complete necessary clinical trials in a way that leads to a BLA submission and approval of AVR-RD-01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w:t>
      </w:r>
    </w:p>
    <w:p>
      <w:pPr>
        <w:spacing w:after="0" w:line="19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planned Phase 1/2 clinical trial of AVR-RD-04 will be conducted by our collaborators at the University of California, San Diego.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225"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Results from preclinical studies or early clinical trials are not necessarily predictive of future clinical trial results and are not necessarily indicative of final results. For example, there can be no assurance that prior results, such as signals of safety, activity or durability of effect, observed from preclinical studies or clinical trials will be replicated or will continue in ongoing or future studies or trials. Based on results observed from ongoing trials of AVR-RD-01, there can be no assurance that increased levels of AGA in patients treated with AVR-RD-01 will be maintained over time. In addition, while the first patient from the ongoing investigator-sponsored Phase 1 clinical trial of AVR-RD-01 was removed from ERT, there can be no assurance that this patient, or others who in the future may discontinue ERT, will remain off ERT.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AVR-RD-02, AVR-RD-03 and AVR-RD-04 product candidates have not yet been tested in humans. Any of our other product candidates may fail to show the desired safety and efficacy in clinical development despite positive results in preclinical studies. Any such failure would cause us to abandon the product candidate.</w:t>
      </w:r>
    </w:p>
    <w:p>
      <w:pPr>
        <w:spacing w:after="0" w:line="190"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7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Patient enrollment and trial completion is affected by factors including the:</w:t>
      </w:r>
    </w:p>
    <w:p>
      <w:pPr>
        <w:spacing w:after="0" w:line="92"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225"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including our recently initiated Phase 2 clinical trial for AVR-RD-01 for which enrollment is ongoing,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78"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24"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17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77"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while we are currently utilizing the LV1 version of the lentiviral vector in the ongoing Phase 1 and Phase 2 clinical trials of AVR-RD-01, we plan to transition our AVR-RD-01 lentiviral vectors to an LV2 version. While LV2 is intended to confer improvements in safety and efficiency in viral production, there is no guarantee that we can realize these intended benefits. In addition, the transition from LV1 to LV2 will require that we demonstrate analytical comparability between LV1 and LV2 and will likely require updates to our clinical trial applications and INDs with the relevant regulatory authorities, any of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w:t>
      </w:r>
    </w:p>
    <w:p>
      <w:pPr>
        <w:spacing w:after="0" w:line="116"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have regulatory authorities withdraw their approval of the product or impose restrictions on its distribution in the form of a REMS;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170" w:lineRule="exact"/>
        <w:rPr>
          <w:sz w:val="20"/>
          <w:szCs w:val="20"/>
          <w:color w:val="auto"/>
        </w:rPr>
      </w:pPr>
    </w:p>
    <w:p>
      <w:pPr>
        <w:ind w:left="640" w:right="76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14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w:t>
      </w:r>
    </w:p>
    <w:p>
      <w:pPr>
        <w:sectPr>
          <w:pgSz w:w="11900" w:h="16838" w:orient="portrait"/>
          <w:cols w:equalWidth="0" w:num="1">
            <w:col w:w="11220"/>
          </w:cols>
          <w:pgMar w:left="240" w:top="459" w:right="439" w:bottom="1440" w:gutter="0" w:footer="0" w:header="0"/>
        </w:sectPr>
      </w:pP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20"/>
          </w:cols>
          <w:pgMar w:left="24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81" w:lineRule="exact"/>
        <w:rPr>
          <w:sz w:val="20"/>
          <w:szCs w:val="20"/>
          <w:color w:val="auto"/>
        </w:rPr>
      </w:pPr>
    </w:p>
    <w:p>
      <w:pPr>
        <w:ind w:left="640" w:right="80"/>
        <w:spacing w:after="0" w:line="279" w:lineRule="auto"/>
        <w:rPr>
          <w:sz w:val="20"/>
          <w:szCs w:val="20"/>
          <w:color w:val="auto"/>
        </w:rPr>
      </w:pPr>
      <w:r>
        <w:rPr>
          <w:rFonts w:ascii="Arial" w:cs="Arial" w:eastAsia="Arial" w:hAnsi="Arial"/>
          <w:sz w:val="17"/>
          <w:szCs w:val="17"/>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17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6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8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8"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w:t>
      </w:r>
    </w:p>
    <w:p>
      <w:pPr>
        <w:spacing w:after="0" w:line="5" w:lineRule="exact"/>
        <w:rPr>
          <w:sz w:val="20"/>
          <w:szCs w:val="20"/>
          <w:color w:val="auto"/>
        </w:rPr>
      </w:pPr>
    </w:p>
    <w:p>
      <w:pPr>
        <w:ind w:left="200" w:firstLine="4"/>
        <w:spacing w:after="0" w:line="268" w:lineRule="auto"/>
        <w:tabs>
          <w:tab w:leader="none" w:pos="4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recently initiated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193" w:lineRule="exact"/>
        <w:rPr>
          <w:sz w:val="20"/>
          <w:szCs w:val="20"/>
          <w:color w:val="auto"/>
        </w:rPr>
      </w:pPr>
    </w:p>
    <w:p>
      <w:pPr>
        <w:ind w:left="640" w:right="14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2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we request orphan drug designation (or the foreign equivalent) for AVR-RD-01 or any of our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4" w:lineRule="exact"/>
        <w:rPr>
          <w:sz w:val="20"/>
          <w:szCs w:val="20"/>
          <w:color w:val="auto"/>
        </w:rPr>
      </w:pPr>
    </w:p>
    <w:p>
      <w:pPr>
        <w:ind w:left="1060" w:right="40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auto"/>
        </w:rPr>
      </w:pPr>
    </w:p>
    <w:p>
      <w:pPr>
        <w:ind w:left="1060" w:right="76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7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w:t>
      </w:r>
    </w:p>
    <w:p>
      <w:pPr>
        <w:spacing w:after="0" w:line="142"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78" w:lineRule="exact"/>
        <w:rPr>
          <w:sz w:val="20"/>
          <w:szCs w:val="20"/>
          <w:color w:val="auto"/>
        </w:rPr>
      </w:pPr>
    </w:p>
    <w:p>
      <w:pPr>
        <w:ind w:left="640" w:right="280"/>
        <w:spacing w:after="0" w:line="340" w:lineRule="auto"/>
        <w:rPr>
          <w:sz w:val="20"/>
          <w:szCs w:val="20"/>
          <w:color w:val="auto"/>
        </w:rPr>
      </w:pPr>
      <w:r>
        <w:rPr>
          <w:rFonts w:ascii="Arial" w:cs="Arial" w:eastAsia="Arial" w:hAnsi="Arial"/>
          <w:sz w:val="15"/>
          <w:szCs w:val="15"/>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13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anticipate competing with the largest pharmaceutical companies in the world. For example, Sanofi and Shire market the enzyme replacement therapies, or ERTs, that represent the standard of care for Fabry patients. Recently, Amicus secured regulatory approval in Europe for its oral therapy for Fabry disease. For Gaucher disease, we expect to compete with existing enzyme replacement therapies marketed by Sanofi, Shire, Protalix and Pfizer, as well as oral therapies marketed by Actelion and Sanofi. Sanofi also markets an enzyme replacement therapy for Pompe disease. Cystinosis is currently treated by therapies marketed by Horizon Orphan, Mylan and Sigma Tau Pharmaceuticals. In addition, we may compete with other gene therapy companies in our industry such as bluebird bio and Spark Therapeutics.</w:t>
      </w:r>
    </w:p>
    <w:p>
      <w:pPr>
        <w:spacing w:after="0" w:line="178"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66"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154" w:lineRule="exact"/>
        <w:rPr>
          <w:sz w:val="20"/>
          <w:szCs w:val="20"/>
          <w:color w:val="auto"/>
        </w:rPr>
      </w:pPr>
    </w:p>
    <w:p>
      <w:pPr>
        <w:ind w:left="640" w:right="48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part of our growth strategy, we intend to identify, develop and market additional product candidates beyond our existing product candidates for Fabry disease, Gaucher disease, Pompe disease and cystinosis.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AVR-RD-01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1"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For example, although we have evaluated AVR-RD-02, AVR-RD-03 and AVR-RD-04 in preclinical studies and have evaluated AVR-RD-01 in an early-stage clinical trial, we have not yet advanced AVR-RD-02, AVR-RD-03 and AVR-RD-04 into clinical trials or AVR-RD-01 into Phase 2 clinical development, nor have we obtained regulatory approval to sell any product based on our therapeutic approaches. Accordingly, our focus on treating these diseases may not result in the discovery and development of commercially viable products.</w:t>
      </w:r>
    </w:p>
    <w:p>
      <w:pPr>
        <w:spacing w:after="0" w:line="17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640" w:right="48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are moving our cell processing to an automated, closed system with a single third party supplier.</w:t>
      </w:r>
    </w:p>
    <w:p>
      <w:pPr>
        <w:spacing w:after="0" w:line="18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jc w:val="both"/>
        <w:ind w:left="200" w:right="100" w:firstLine="441"/>
        <w:spacing w:after="0" w:line="297"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w:t>
      </w:r>
    </w:p>
    <w:p>
      <w:pPr>
        <w:spacing w:after="0" w:line="158"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76"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42" w:lineRule="exact"/>
        <w:rPr>
          <w:rFonts w:ascii="Arial" w:cs="Arial" w:eastAsia="Arial" w:hAnsi="Arial"/>
          <w:sz w:val="17"/>
          <w:szCs w:val="17"/>
          <w:color w:val="auto"/>
        </w:rPr>
      </w:pPr>
    </w:p>
    <w:p>
      <w:pPr>
        <w:ind w:left="1060" w:right="42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81" w:lineRule="exact"/>
        <w:rPr>
          <w:sz w:val="20"/>
          <w:szCs w:val="20"/>
          <w:color w:val="auto"/>
        </w:rPr>
      </w:pPr>
    </w:p>
    <w:p>
      <w:pPr>
        <w:ind w:left="640" w:right="42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147"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66"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good manufacturing practices, or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8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w:t>
      </w:r>
    </w:p>
    <w:p>
      <w:pPr>
        <w:sectPr>
          <w:pgSz w:w="11900" w:h="16838" w:orient="portrait"/>
          <w:cols w:equalWidth="0" w:num="1">
            <w:col w:w="11220"/>
          </w:cols>
          <w:pgMar w:left="240" w:top="459" w:right="439" w:bottom="1440" w:gutter="0" w:footer="0" w:header="0"/>
        </w:sectPr>
      </w:pP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20"/>
          </w:cols>
          <w:pgMar w:left="240" w:top="459" w:right="4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00"/>
        <w:spacing w:after="0" w:line="279" w:lineRule="auto"/>
        <w:rPr>
          <w:sz w:val="20"/>
          <w:szCs w:val="20"/>
          <w:color w:val="auto"/>
        </w:rPr>
      </w:pPr>
      <w:r>
        <w:rPr>
          <w:rFonts w:ascii="Arial" w:cs="Arial" w:eastAsia="Arial" w:hAnsi="Arial"/>
          <w:sz w:val="17"/>
          <w:szCs w:val="17"/>
          <w:color w:val="auto"/>
        </w:rPr>
        <w:t>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7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23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6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76"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production delays related to the evaluation and testing of products from alternative suppliers, and corresponding regulatory qualifications;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 based upon defects in components produced by our suppliers;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7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7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AVR-RD-01 and our other product candidates, we will be unable to generate any product revenue.</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73"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170"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focus our research and product development on treatments for serious lysosomal storage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94"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product’s approved labeling;</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25"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173" w:lineRule="exact"/>
        <w:rPr>
          <w:sz w:val="20"/>
          <w:szCs w:val="20"/>
          <w:color w:val="auto"/>
        </w:rPr>
      </w:pPr>
    </w:p>
    <w:p>
      <w:pPr>
        <w:ind w:left="640" w:right="34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currently plan to conduct clinical trials for our product candidates outside of the United States, including in Canada, Australia,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92" w:lineRule="exact"/>
        <w:rPr>
          <w:sz w:val="20"/>
          <w:szCs w:val="20"/>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such as stem cell transplants.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67"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the CMS decides whether and to what extent a new medicine will be covered and reimbursed under Medicare. Private payors tend to follow the CMS to a substantial degree. It is difficult to predict what the CMS will decide with respect to reimbursement for fundamentally novel products such as ours, as there is no body of established practices and precedents for these new products.</w:t>
      </w:r>
    </w:p>
    <w:p>
      <w:pPr>
        <w:spacing w:after="0" w:line="19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2"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8"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173" w:lineRule="exact"/>
        <w:rPr>
          <w:sz w:val="20"/>
          <w:szCs w:val="20"/>
          <w:color w:val="auto"/>
        </w:rPr>
      </w:pPr>
    </w:p>
    <w:p>
      <w:pPr>
        <w:ind w:left="640" w:right="6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165"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170"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Third-party 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or ACA or PPACA, as amended by the Health Care and Education Reconciliation Act of 2010, or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Some of the provisions of the ACA have yet to be fully implemented, while certain provisions have been subject to judicial and Congressional challenges.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the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Congress may consider other legislation to replace elements of the ACA.</w:t>
      </w:r>
    </w:p>
    <w:p>
      <w:pPr>
        <w:spacing w:after="0" w:line="173" w:lineRule="exact"/>
        <w:rPr>
          <w:sz w:val="20"/>
          <w:szCs w:val="20"/>
          <w:color w:val="auto"/>
        </w:rPr>
      </w:pPr>
    </w:p>
    <w:p>
      <w:pPr>
        <w:ind w:left="200" w:right="20" w:firstLine="441"/>
        <w:spacing w:after="0" w:line="267" w:lineRule="auto"/>
        <w:rPr>
          <w:sz w:val="20"/>
          <w:szCs w:val="20"/>
          <w:color w:val="auto"/>
        </w:rPr>
      </w:pPr>
      <w:r>
        <w:rPr>
          <w:rFonts w:ascii="Arial" w:cs="Arial" w:eastAsia="Arial" w:hAnsi="Arial"/>
          <w:sz w:val="17"/>
          <w:szCs w:val="17"/>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also could consider subsequent legislation to replace elements of the ACA that are repealed. Thus, the full impact of the ACA, any law replacing elements of it, and the political uncertainty surrounding any repeal or replacement legislation on our business remains unclear.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2" w:lineRule="exact"/>
        <w:rPr>
          <w:sz w:val="20"/>
          <w:szCs w:val="20"/>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170"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64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131"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73"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are highly dependent on principal members of our executive team and key employees, including our Chief Executive Officer, Chief Financial Officer, Head of Operations, Chief Science Officer, Chief Business Officer, and Chief Medical Officer,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will need to expand our operations and we may experience difficulties in managing this growth, which could disrupt our operations.</w:t>
      </w:r>
    </w:p>
    <w:p>
      <w:pPr>
        <w:spacing w:after="0" w:line="24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As of September 30, 2018, we had 44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225"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92"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8" w:lineRule="exact"/>
        <w:rPr>
          <w:sz w:val="20"/>
          <w:szCs w:val="20"/>
          <w:color w:val="auto"/>
        </w:rPr>
      </w:pPr>
    </w:p>
    <w:p>
      <w:pPr>
        <w:ind w:left="640" w:right="6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United States Foreign Corrupt Practices Act’s accounting provisions.</w:t>
      </w:r>
    </w:p>
    <w:p>
      <w:pPr>
        <w:spacing w:after="0" w:line="189"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18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99" w:lineRule="exact"/>
        <w:rPr>
          <w:sz w:val="20"/>
          <w:szCs w:val="20"/>
          <w:color w:val="auto"/>
        </w:rPr>
      </w:pPr>
    </w:p>
    <w:p>
      <w:pPr>
        <w:ind w:left="1060" w:right="20" w:hanging="424"/>
        <w:spacing w:after="0" w:line="291" w:lineRule="auto"/>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72"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98" w:lineRule="exact"/>
        <w:rPr>
          <w:rFonts w:ascii="Arial" w:cs="Arial" w:eastAsia="Arial" w:hAnsi="Arial"/>
          <w:sz w:val="18"/>
          <w:szCs w:val="18"/>
          <w:color w:val="auto"/>
        </w:rPr>
      </w:pPr>
    </w:p>
    <w:p>
      <w:pPr>
        <w:ind w:left="1060" w:right="160" w:hanging="424"/>
        <w:spacing w:after="0" w:line="259"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92" w:lineRule="exact"/>
        <w:rPr>
          <w:rFonts w:ascii="Arial" w:cs="Arial" w:eastAsia="Arial" w:hAnsi="Arial"/>
          <w:sz w:val="18"/>
          <w:szCs w:val="18"/>
          <w:color w:val="auto"/>
        </w:rPr>
      </w:pPr>
    </w:p>
    <w:p>
      <w:pPr>
        <w:ind w:left="1060" w:hanging="424"/>
        <w:spacing w:after="0" w:line="291" w:lineRule="auto"/>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58" w:lineRule="exact"/>
        <w:rPr>
          <w:sz w:val="20"/>
          <w:szCs w:val="20"/>
          <w:color w:val="auto"/>
        </w:rPr>
      </w:pPr>
    </w:p>
    <w:p>
      <w:pPr>
        <w:ind w:left="640" w:right="200"/>
        <w:spacing w:after="0" w:line="259" w:lineRule="auto"/>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94" w:lineRule="exact"/>
        <w:rPr>
          <w:sz w:val="20"/>
          <w:szCs w:val="20"/>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We carry master product liability insurance of $5.0 million per occurrence and $5.0 million in the aggregate in the United States. For Canada, we carry product liability insurance of $5.0 million per occurrence and $10.0 million in the aggregate. For Australia we carry product liability insurance of $20.0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82"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w:t>
      </w:r>
    </w:p>
    <w:p>
      <w:pPr>
        <w:sectPr>
          <w:pgSz w:w="11900" w:h="16838" w:orient="portrait"/>
          <w:cols w:equalWidth="0" w:num="1">
            <w:col w:w="11220"/>
          </w:cols>
          <w:pgMar w:left="240" w:top="459" w:right="439" w:bottom="1440" w:gutter="0" w:footer="0" w:header="0"/>
        </w:sectPr>
      </w:pP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20"/>
          </w:cols>
          <w:pgMar w:left="240" w:top="459" w:right="4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78"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2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78"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70"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92"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70" w:lineRule="exact"/>
        <w:rPr>
          <w:sz w:val="20"/>
          <w:szCs w:val="20"/>
          <w:color w:val="auto"/>
        </w:rPr>
      </w:pPr>
    </w:p>
    <w:p>
      <w:pPr>
        <w:ind w:left="200" w:right="540" w:firstLine="441"/>
        <w:spacing w:after="0" w:line="308" w:lineRule="auto"/>
        <w:rPr>
          <w:sz w:val="20"/>
          <w:szCs w:val="20"/>
          <w:color w:val="auto"/>
        </w:rPr>
      </w:pPr>
      <w:r>
        <w:rPr>
          <w:rFonts w:ascii="Arial" w:cs="Arial" w:eastAsia="Arial" w:hAnsi="Arial"/>
          <w:sz w:val="17"/>
          <w:szCs w:val="17"/>
          <w:color w:val="auto"/>
        </w:rPr>
        <w:t>Despite our security measures, our internal computer systems and those of our current and any future collaborators and other contractors or consultants are vulnerable to damage from computer viruses, unauthorized access, natural disasters, terrorism, war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225"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On December 22, 2017, President Trump signed into law the TCJA that significantly reforms the Internal Revenue Code of 1986, as amended, or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182" w:lineRule="exact"/>
        <w:rPr>
          <w:sz w:val="20"/>
          <w:szCs w:val="20"/>
          <w:color w:val="auto"/>
        </w:rPr>
      </w:pPr>
    </w:p>
    <w:p>
      <w:pPr>
        <w:ind w:left="640" w:right="76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As of December 31, 2017, we had federal and state net operating loss carryforwards of $19.0 million and $18.9 million, respectively, and state research and development tax credit carryforwards of approximately $119,000. If not utilized, the net operating loss carryforwards and research and development credits will generally expire at various dates through 2037.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including our IPO,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The reduction of the corporate tax rate under the TCJA may cause a reduction in the economic benefit of our net operating loss carryforwards and other deferred tax assets available to us. Under the TCJA, net operating losses generated after December 31, 2017 will not be subject to expiration.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23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reexamination proceedings before the U.S. Patent and Trademark Office, or U.S. 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8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5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167"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170"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79"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178" w:lineRule="exact"/>
        <w:rPr>
          <w:sz w:val="20"/>
          <w:szCs w:val="20"/>
          <w:color w:val="auto"/>
        </w:rPr>
      </w:pPr>
    </w:p>
    <w:p>
      <w:pPr>
        <w:ind w:left="640" w:right="2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18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9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w:t>
      </w:r>
    </w:p>
    <w:p>
      <w:pPr>
        <w:sectPr>
          <w:pgSz w:w="11900" w:h="16838" w:orient="portrait"/>
          <w:cols w:equalWidth="0" w:num="1">
            <w:col w:w="11220"/>
          </w:cols>
          <w:pgMar w:left="240" w:top="459" w:right="439" w:bottom="1440" w:gutter="0" w:footer="0" w:header="0"/>
        </w:sectPr>
      </w:pP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20"/>
          </w:cols>
          <w:pgMar w:left="24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United States Patent and Trademark Office, or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7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69" w:lineRule="exact"/>
        <w:rPr>
          <w:sz w:val="20"/>
          <w:szCs w:val="20"/>
          <w:color w:val="auto"/>
        </w:rPr>
      </w:pPr>
    </w:p>
    <w:p>
      <w:pPr>
        <w:ind w:left="640" w:right="240"/>
        <w:spacing w:after="0" w:line="342" w:lineRule="auto"/>
        <w:rPr>
          <w:sz w:val="20"/>
          <w:szCs w:val="20"/>
          <w:color w:val="auto"/>
        </w:rPr>
      </w:pPr>
      <w:r>
        <w:rPr>
          <w:rFonts w:ascii="Arial" w:cs="Arial" w:eastAsia="Arial" w:hAnsi="Arial"/>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24"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the patents and other intellectual property that we own or license.</w:t>
      </w:r>
    </w:p>
    <w:p>
      <w:pPr>
        <w:spacing w:after="0" w:line="26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66" w:lineRule="exact"/>
        <w:rPr>
          <w:sz w:val="20"/>
          <w:szCs w:val="20"/>
          <w:color w:val="auto"/>
        </w:rPr>
      </w:pPr>
    </w:p>
    <w:p>
      <w:pPr>
        <w:ind w:left="640" w:right="160"/>
        <w:spacing w:after="0" w:line="312" w:lineRule="auto"/>
        <w:rPr>
          <w:sz w:val="20"/>
          <w:szCs w:val="20"/>
          <w:color w:val="auto"/>
        </w:rPr>
      </w:pPr>
      <w:r>
        <w:rPr>
          <w:rFonts w:ascii="Arial" w:cs="Arial" w:eastAsia="Arial" w:hAnsi="Arial"/>
          <w:sz w:val="16"/>
          <w:szCs w:val="16"/>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147"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384"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24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5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237" w:lineRule="exact"/>
        <w:rPr>
          <w:sz w:val="20"/>
          <w:szCs w:val="20"/>
          <w:color w:val="auto"/>
        </w:rPr>
      </w:pPr>
    </w:p>
    <w:p>
      <w:pPr>
        <w:ind w:left="200" w:right="120" w:firstLine="441"/>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currently do not have trademarks or trademark applications with the USPTO for the mark “AVRO” and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60" w:right="34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53" w:lineRule="exact"/>
        <w:rPr>
          <w:rFonts w:ascii="Arial" w:cs="Arial" w:eastAsia="Arial" w:hAnsi="Arial"/>
          <w:sz w:val="16"/>
          <w:szCs w:val="16"/>
          <w:color w:val="auto"/>
        </w:rPr>
      </w:pPr>
    </w:p>
    <w:p>
      <w:pPr>
        <w:ind w:left="1060" w:right="24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30" w:lineRule="exact"/>
        <w:rPr>
          <w:rFonts w:ascii="Arial" w:cs="Arial" w:eastAsia="Arial" w:hAnsi="Arial"/>
          <w:sz w:val="18"/>
          <w:szCs w:val="18"/>
          <w:color w:val="auto"/>
        </w:rPr>
      </w:pPr>
    </w:p>
    <w:p>
      <w:pPr>
        <w:ind w:left="1060" w:right="660" w:hanging="424"/>
        <w:spacing w:after="0" w:line="308"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initial public offering price.</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stock price is likely to be volatile. Since our IPO in June 2018, our stock price has ranged from $20.30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77"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ectPr>
          <w:pgSz w:w="11900" w:h="16838" w:orient="portrait"/>
          <w:cols w:equalWidth="0" w:num="1">
            <w:col w:w="11220"/>
          </w:cols>
          <w:pgMar w:left="240" w:top="459" w:right="439" w:bottom="1440" w:gutter="0" w:footer="0" w:header="0"/>
        </w:sectPr>
      </w:pP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20"/>
          </w:cols>
          <w:pgMar w:left="240" w:top="459"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Prior to our initial public offering in June 2018, there had been no public market for our common stock. Although our common stock is listed on The Nasdaq Global Select Market, an active trading market for our shares may never develop or be sustained. If an active market for our common stock is not sustained, it may be difficult for you to sell shares you purchase without depressing the market price for the shares, or at all.</w:t>
      </w:r>
    </w:p>
    <w:p>
      <w:pPr>
        <w:spacing w:after="0" w:line="16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170"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analysists,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ectPr>
          <w:pgSz w:w="11900" w:h="16838" w:orient="portrait"/>
          <w:cols w:equalWidth="0" w:num="1">
            <w:col w:w="11220"/>
          </w:cols>
          <w:pgMar w:left="240" w:top="459" w:right="439" w:bottom="1440" w:gutter="0" w:footer="0" w:header="0"/>
        </w:sectPr>
      </w:pP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20"/>
          </w:cols>
          <w:pgMar w:left="240" w:top="459" w:right="4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70"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Based on shares outstanding as of September 30, 2018, our executive officers, directors, five percent stockholders and their affiliates beneficially owned approximately 61% of our outstanding voting stock. As a result, if these stockholders were to act together, they would be able to control all matters submitted to our stockholders for approval, as well as our management and affair.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182"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initial public offering in June 2018;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3" w:lineRule="exact"/>
        <w:rPr>
          <w:sz w:val="20"/>
          <w:szCs w:val="20"/>
          <w:color w:val="auto"/>
        </w:rPr>
      </w:pPr>
    </w:p>
    <w:p>
      <w:pPr>
        <w:ind w:left="1060" w:hanging="424"/>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1060" w:right="360" w:hanging="424"/>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60" w:right="20" w:hanging="424"/>
        <w:spacing w:after="0" w:line="342"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report.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54"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4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and maintain director and officer liability insurance.</w:t>
      </w:r>
    </w:p>
    <w:p>
      <w:pPr>
        <w:spacing w:after="0" w:line="189"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and, once we are no longer an EGC, we will be required to furnish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8" w:lineRule="exact"/>
        <w:rPr>
          <w:sz w:val="20"/>
          <w:szCs w:val="20"/>
          <w:color w:val="auto"/>
        </w:rPr>
      </w:pPr>
    </w:p>
    <w:p>
      <w:pPr>
        <w:jc w:val="both"/>
        <w:ind w:left="640" w:right="2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 following the completion of our IPO. 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178" w:lineRule="exact"/>
        <w:rPr>
          <w:sz w:val="20"/>
          <w:szCs w:val="20"/>
          <w:color w:val="auto"/>
        </w:rPr>
      </w:pPr>
    </w:p>
    <w:p>
      <w:pPr>
        <w:ind w:left="640" w:right="160"/>
        <w:spacing w:after="0" w:line="279" w:lineRule="auto"/>
        <w:rPr>
          <w:sz w:val="20"/>
          <w:szCs w:val="20"/>
          <w:color w:val="auto"/>
        </w:rPr>
      </w:pPr>
      <w:r>
        <w:rPr>
          <w:rFonts w:ascii="Arial" w:cs="Arial" w:eastAsia="Arial" w:hAnsi="Arial"/>
          <w:sz w:val="17"/>
          <w:szCs w:val="17"/>
          <w:b w:val="1"/>
          <w:bCs w:val="1"/>
          <w:i w:val="1"/>
          <w:iCs w:val="1"/>
          <w:color w:val="auto"/>
        </w:rPr>
        <w:t>We and our independent registered public accounting firm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71"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are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w:t>
      </w:r>
    </w:p>
    <w:p>
      <w:pPr>
        <w:spacing w:after="0" w:line="173"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expect to incur additional costs to remediate these control deficiencies, though there can be no assurance that our efforts will be successful or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Securities and Exchange Commission, or SEC, or other regulatory authorities.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2"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Significant sales of our total outstanding shares sold into the market in the future could cause the market price of our common stock to drop significantly.</w:t>
      </w:r>
    </w:p>
    <w:p>
      <w:pPr>
        <w:spacing w:after="0" w:line="17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As of September 30, 2018, holders of an aggregate of approximately 15.3 million shares of our common stock will have rights, subject to certain conditions, to require us to file registration statements covering their shares or to include their shares in registration statements that we may file for ourselves or other stockholders. In addition, 1,957,839 shares reserved for issuance upon the exercise of existing stock options outstanding as of September 30, 2018 under our equity incentive plans will become eligible for sale in the public market in the future, subject to certain legal and contractual limitations. We have registered all shares of common stock that we may issue under our equity compensation plans, which can be freely sold in the public market upon issuance, subject to volume limitations applicable to affiliates.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loan and security agreement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158" w:lineRule="exact"/>
        <w:rPr>
          <w:sz w:val="20"/>
          <w:szCs w:val="20"/>
          <w:color w:val="auto"/>
        </w:rPr>
      </w:pPr>
    </w:p>
    <w:p>
      <w:pPr>
        <w:ind w:left="640" w:right="240"/>
        <w:spacing w:after="0" w:line="26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181"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87" w:lineRule="exact"/>
        <w:rPr>
          <w:sz w:val="20"/>
          <w:szCs w:val="20"/>
          <w:color w:val="auto"/>
        </w:rPr>
      </w:pPr>
    </w:p>
    <w:p>
      <w:pPr>
        <w:ind w:left="1060" w:right="34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30" w:lineRule="exact"/>
        <w:rPr>
          <w:rFonts w:ascii="Arial" w:cs="Arial" w:eastAsia="Arial" w:hAnsi="Arial"/>
          <w:sz w:val="18"/>
          <w:szCs w:val="18"/>
          <w:color w:val="auto"/>
        </w:rPr>
      </w:pPr>
    </w:p>
    <w:p>
      <w:pPr>
        <w:ind w:left="1060" w:right="44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ind w:left="640" w:right="180"/>
        <w:spacing w:after="0" w:line="342" w:lineRule="auto"/>
        <w:rPr>
          <w:sz w:val="20"/>
          <w:szCs w:val="20"/>
          <w:color w:val="auto"/>
        </w:rPr>
      </w:pPr>
      <w:r>
        <w:rPr>
          <w:rFonts w:ascii="Arial" w:cs="Arial" w:eastAsia="Arial" w:hAnsi="Arial"/>
          <w:sz w:val="16"/>
          <w:szCs w:val="16"/>
          <w:b w:val="1"/>
          <w:bCs w:val="1"/>
          <w:i w:val="1"/>
          <w:iCs w:val="1"/>
          <w:color w:val="auto"/>
        </w:rPr>
        <w:t>Our amended and restated bylaws limit the exclusive forum for certain litigation that may be initiated by our stockholders, which could limit our stockholders’ ability to obtain a favorable judicial forum for disputes with us or our directors, officers or employees.</w:t>
      </w:r>
    </w:p>
    <w:p>
      <w:pPr>
        <w:spacing w:after="0" w:line="124"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Our amended and restated bylaws provide that the Court of Chancery of the State of Delaware is the exclusive forum for (i) any derivative action or proceeding brought on our behalf, (ii) any action asserting a claim of breach of or based on a fiduciary duty owed by any of our current or former directors, officers or other employee to us or our stockholders, (iii) any action asserting a claim against us or any of our current or former directors, officers, employees or stockholders arising pursuant to any provision of the Delaware General Corporation Law, our certificate of incorporation or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an adverse effect on our business, financial condition or results of operations. In addition, our amended and restated bylaws contain a provision by virtue of which unless we consent in writing to the selection of an alternative forum, the United States District Court for the District of Massachusetts will be the exclusive forum for any complaint asserting a cause of action arising under the Securities Act. We have chosen the United States Court for the District of Massachusetts as the exclusive forum for such causes of action because our principal executive offices are located in Cambridge, Massachusetts.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In addition, some companies that have adopted similar federal district court forum selection provisions are currently subject to a suit in the Court of Chancery of the State of Delaware brought by stockholders who assert that the federal district court forum selection provision is not enforceable. We recognize that the federal district court forum selection clause may impose additional litigation costs on stockholders who assert the provision is not enforceable and may impose more general additional litigation costs in pursuing any such claims, particularly if the stockholders do not reside in or near the Commonwealth of Massachusetts.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On June 25, 2018, we completed our initial public offering of 6,035,151 shares of our common stock at a price of $19.00 per share for an aggregate offering price of approximately $114.7 million, including the full exercise of the underwriters’ option to purchase additional shares. Morgan Stanley &amp; Co. LLC, Cowen and Company, LLC, Wells Fargo Securities, LLC and Wedbush Securities Inc. served as the underwriters of the IPO. The offer and sale of all of the shares in the offering were registered under the Securities Act pursuant to a registration statement on Form S-1 (File Nos. 333-225213 and 333-225764), which became effective on June 20, 2018.</w:t>
      </w:r>
    </w:p>
    <w:p>
      <w:pPr>
        <w:spacing w:after="0" w:line="188"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We received aggregate net proceeds from the offering of approximately $104.2 million, after deducting underwriting discounts and commissions, as well as other offering expenses. There has been no material change in our planned use of the net proceeds from the offering as described in the final prospectus filed with the SEC pursuant to Rule 424(b) under the Securities Act.</w:t>
      </w:r>
    </w:p>
    <w:p>
      <w:pPr>
        <w:spacing w:after="0" w:line="32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0140" w:type="dxa"/>
            <w:vAlign w:val="bottom"/>
            <w:gridSpan w:val="12"/>
          </w:tcPr>
          <w:p>
            <w:pPr>
              <w:ind w:left="2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w w:val="92"/>
              </w:rPr>
              <w:t>None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1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4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3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0" w:type="dxa"/>
            <w:vAlign w:val="bottom"/>
          </w:tcPr>
          <w:p>
            <w:pPr>
              <w:spacing w:after="0"/>
              <w:rPr>
                <w:sz w:val="24"/>
                <w:szCs w:val="24"/>
                <w:color w:val="auto"/>
              </w:rPr>
            </w:pPr>
          </w:p>
        </w:tc>
        <w:tc>
          <w:tcPr>
            <w:tcW w:w="520" w:type="dxa"/>
            <w:vAlign w:val="bottom"/>
          </w:tcPr>
          <w:p>
            <w:pPr>
              <w:jc w:val="right"/>
              <w:ind w:right="176"/>
              <w:spacing w:after="0"/>
              <w:rPr>
                <w:sz w:val="20"/>
                <w:szCs w:val="20"/>
                <w:color w:val="auto"/>
              </w:rPr>
            </w:pPr>
            <w:r>
              <w:rPr>
                <w:rFonts w:ascii="Arial" w:cs="Arial" w:eastAsia="Arial" w:hAnsi="Arial"/>
                <w:sz w:val="18"/>
                <w:szCs w:val="18"/>
                <w:color w:val="auto"/>
                <w:w w:val="95"/>
              </w:rPr>
              <w:t>3.1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80" w:type="dxa"/>
            <w:vAlign w:val="bottom"/>
            <w:tcBorders>
              <w:bottom w:val="single" w:sz="8" w:color="0000EE"/>
            </w:tcBorders>
            <w:gridSpan w:val="11"/>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Fourth Amended and Restated Certificate of Incorporation of the Registrant (filed as Exhibit 3.1 to our Current Report on Form 8-K filed</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87">
              <w:r>
                <w:rPr>
                  <w:rFonts w:ascii="Arial" w:cs="Arial" w:eastAsia="Arial" w:hAnsi="Arial"/>
                  <w:sz w:val="18"/>
                  <w:szCs w:val="18"/>
                  <w:color w:val="0000EE"/>
                  <w:w w:val="88"/>
                </w:rPr>
                <w:t>on June 25, 2018 and incorporated herein by reference).</w:t>
              </w:r>
            </w:hyperlink>
          </w:p>
        </w:tc>
        <w:tc>
          <w:tcPr>
            <w:tcW w:w="58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Borders>
              <w:bottom w:val="single" w:sz="8" w:color="0000EE"/>
            </w:tcBorders>
            <w:gridSpan w:val="10"/>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Amended and Restated By-laws (filed as Exhibit 3.2 to our Current Report on Form 8-K filed on June 25, 2018 and incorporated herein</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by reference).</w:t>
              </w:r>
            </w:hyperlink>
          </w:p>
        </w:tc>
        <w:tc>
          <w:tcPr>
            <w:tcW w:w="88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80" w:type="dxa"/>
            <w:vAlign w:val="bottom"/>
            <w:gridSpan w:val="11"/>
          </w:tcPr>
          <w:p>
            <w:pPr>
              <w:spacing w:after="0"/>
              <w:rPr>
                <w:rFonts w:ascii="Arial" w:cs="Arial" w:eastAsia="Arial" w:hAnsi="Arial"/>
                <w:sz w:val="18"/>
                <w:szCs w:val="18"/>
                <w:color w:val="0000EE"/>
                <w:w w:val="93"/>
              </w:rPr>
            </w:pPr>
            <w:hyperlink w:anchor="page73">
              <w:r>
                <w:rPr>
                  <w:rFonts w:ascii="Arial" w:cs="Arial" w:eastAsia="Arial" w:hAnsi="Arial"/>
                  <w:sz w:val="18"/>
                  <w:szCs w:val="18"/>
                  <w:color w:val="0000EE"/>
                  <w:w w:val="93"/>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3"/>
          </w:tcPr>
          <w:p>
            <w:pPr>
              <w:spacing w:after="0"/>
              <w:rPr>
                <w:sz w:val="17"/>
                <w:szCs w:val="17"/>
                <w:color w:val="auto"/>
              </w:rPr>
            </w:pPr>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Adopted Pursuant to Section 302 of the Sarbanes-Oxley Act of 2002.</w:t>
              </w:r>
            </w:hyperlink>
          </w:p>
        </w:tc>
        <w:tc>
          <w:tcPr>
            <w:tcW w:w="49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76"/>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80" w:type="dxa"/>
            <w:vAlign w:val="bottom"/>
            <w:gridSpan w:val="11"/>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Section 906 of the Sarbanes-Oxley Act of 2002.</w:t>
              </w:r>
            </w:hyperlink>
          </w:p>
        </w:tc>
        <w:tc>
          <w:tcPr>
            <w:tcW w:w="6300" w:type="dxa"/>
            <w:vAlign w:val="bottom"/>
            <w:tcBorders>
              <w:top w:val="single" w:sz="8" w:color="0000EE"/>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Indicates the exhibit is being furnished, not filed, with this report.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200"/>
        <w:spacing w:after="0"/>
        <w:tabs>
          <w:tab w:leader="none" w:pos="5860" w:val="left"/>
          <w:tab w:leader="none" w:pos="8080" w:val="left"/>
        </w:tabs>
        <w:rPr>
          <w:sz w:val="20"/>
          <w:szCs w:val="20"/>
          <w:color w:val="auto"/>
        </w:rPr>
      </w:pPr>
      <w:r>
        <w:rPr>
          <w:rFonts w:ascii="Arial" w:cs="Arial" w:eastAsia="Arial" w:hAnsi="Arial"/>
          <w:sz w:val="18"/>
          <w:szCs w:val="18"/>
          <w:color w:val="auto"/>
        </w:rPr>
        <w:t>Date: November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7"/>
          <w:szCs w:val="17"/>
          <w:b w:val="1"/>
          <w:bCs w:val="1"/>
          <w:color w:val="auto"/>
        </w:rPr>
        <w:t>President, Chief Executive Officer, and Principal Executive</w:t>
      </w:r>
    </w:p>
    <w:p>
      <w:pPr>
        <w:spacing w:after="0" w:line="21"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Officer</w:t>
      </w:r>
    </w:p>
    <w:p>
      <w:pPr>
        <w:spacing w:after="0" w:line="211" w:lineRule="exact"/>
        <w:rPr>
          <w:sz w:val="20"/>
          <w:szCs w:val="20"/>
          <w:color w:val="auto"/>
        </w:rPr>
      </w:pPr>
    </w:p>
    <w:p>
      <w:pPr>
        <w:ind w:left="200"/>
        <w:spacing w:after="0"/>
        <w:tabs>
          <w:tab w:leader="none" w:pos="5860" w:val="left"/>
          <w:tab w:leader="none" w:pos="8100" w:val="left"/>
        </w:tabs>
        <w:rPr>
          <w:sz w:val="20"/>
          <w:szCs w:val="20"/>
          <w:color w:val="auto"/>
        </w:rPr>
      </w:pPr>
      <w:r>
        <w:rPr>
          <w:rFonts w:ascii="Arial" w:cs="Arial" w:eastAsia="Arial" w:hAnsi="Arial"/>
          <w:sz w:val="18"/>
          <w:szCs w:val="18"/>
          <w:color w:val="auto"/>
        </w:rPr>
        <w:t>Date: November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Katina Dorton</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Chief Financial Officer and Principal Financial and Accounting</w:t>
      </w:r>
    </w:p>
    <w:p>
      <w:pPr>
        <w:spacing w:after="0" w:line="32"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Officer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31" w:lineRule="exact"/>
        <w:rPr>
          <w:sz w:val="20"/>
          <w:szCs w:val="20"/>
          <w:color w:val="auto"/>
        </w:rPr>
      </w:pPr>
    </w:p>
    <w:p>
      <w:pPr>
        <w:ind w:left="440" w:hanging="436"/>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7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jc w:val="both"/>
        <w:ind w:left="860" w:right="100" w:hanging="424"/>
        <w:spacing w:after="0" w:line="264"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60" w:val="left"/>
          <w:tab w:leader="none" w:pos="7880" w:val="left"/>
        </w:tabs>
        <w:rPr>
          <w:sz w:val="20"/>
          <w:szCs w:val="20"/>
          <w:color w:val="auto"/>
        </w:rPr>
      </w:pPr>
      <w:r>
        <w:rPr>
          <w:rFonts w:ascii="Arial" w:cs="Arial" w:eastAsia="Arial" w:hAnsi="Arial"/>
          <w:sz w:val="18"/>
          <w:szCs w:val="18"/>
          <w:color w:val="auto"/>
        </w:rPr>
        <w:t>Date: November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020"/>
          </w:cols>
          <w:pgMar w:left="440" w:top="121" w:right="4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Katina Dorton, certify that:</w:t>
      </w:r>
    </w:p>
    <w:p>
      <w:pPr>
        <w:spacing w:after="0" w:line="131" w:lineRule="exact"/>
        <w:rPr>
          <w:sz w:val="20"/>
          <w:szCs w:val="20"/>
          <w:color w:val="auto"/>
        </w:rPr>
      </w:pPr>
    </w:p>
    <w:p>
      <w:pPr>
        <w:ind w:left="440" w:hanging="436"/>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77"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jc w:val="both"/>
        <w:ind w:left="860" w:right="100" w:hanging="424"/>
        <w:spacing w:after="0" w:line="264" w:lineRule="auto"/>
        <w:tabs>
          <w:tab w:leader="none" w:pos="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60" w:val="left"/>
          <w:tab w:leader="none" w:pos="7900" w:val="left"/>
        </w:tabs>
        <w:rPr>
          <w:sz w:val="20"/>
          <w:szCs w:val="20"/>
          <w:color w:val="auto"/>
        </w:rPr>
      </w:pPr>
      <w:r>
        <w:rPr>
          <w:rFonts w:ascii="Arial" w:cs="Arial" w:eastAsia="Arial" w:hAnsi="Arial"/>
          <w:sz w:val="18"/>
          <w:szCs w:val="18"/>
          <w:color w:val="auto"/>
        </w:rPr>
        <w:t>Date: November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Katina Dorton</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020"/>
          </w:cols>
          <w:pgMar w:left="440" w:top="121" w:right="4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In connection with the Quarterly Report of AVROBIO, Inc. (the “Company”) on Form 10-Q for the period ending September 30, 2018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71" w:lineRule="exact"/>
        <w:rPr>
          <w:sz w:val="20"/>
          <w:szCs w:val="20"/>
          <w:color w:val="auto"/>
        </w:rPr>
      </w:pPr>
    </w:p>
    <w:p>
      <w:pPr>
        <w:ind w:left="860" w:hanging="4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560" w:hanging="424"/>
        <w:spacing w:after="0" w:line="277"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60" w:val="left"/>
          <w:tab w:leader="none" w:pos="7880" w:val="left"/>
        </w:tabs>
        <w:rPr>
          <w:sz w:val="20"/>
          <w:szCs w:val="20"/>
          <w:color w:val="auto"/>
        </w:rPr>
      </w:pPr>
      <w:r>
        <w:rPr>
          <w:rFonts w:ascii="Arial" w:cs="Arial" w:eastAsia="Arial" w:hAnsi="Arial"/>
          <w:sz w:val="18"/>
          <w:szCs w:val="18"/>
          <w:color w:val="auto"/>
        </w:rPr>
        <w:t>Date: November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tabs>
          <w:tab w:leader="none" w:pos="5660" w:val="left"/>
          <w:tab w:leader="none" w:pos="7900" w:val="left"/>
        </w:tabs>
        <w:rPr>
          <w:sz w:val="20"/>
          <w:szCs w:val="20"/>
          <w:color w:val="auto"/>
        </w:rPr>
      </w:pPr>
      <w:r>
        <w:rPr>
          <w:rFonts w:ascii="Arial" w:cs="Arial" w:eastAsia="Arial" w:hAnsi="Arial"/>
          <w:sz w:val="18"/>
          <w:szCs w:val="18"/>
          <w:color w:val="auto"/>
        </w:rPr>
        <w:t>Date: November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Katina Dorton</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11"/>
    </w:lvl>
  </w:abstractNum>
  <w:abstractNum w:abstractNumId="5">
    <w:nsid w:val="79838CB2"/>
    <w:multiLevelType w:val="hybridMultilevel"/>
    <w:lvl w:ilvl="0">
      <w:lvlJc w:val="left"/>
      <w:lvlText w:val="%1."/>
      <w:numFmt w:val="decimal"/>
      <w:start w:val="11"/>
    </w:lvl>
  </w:abstractNum>
  <w:abstractNum w:abstractNumId="6">
    <w:nsid w:val="4353D0CD"/>
    <w:multiLevelType w:val="hybridMultilevel"/>
    <w:lvl w:ilvl="0">
      <w:lvlJc w:val="left"/>
      <w:lvlText w:val="(%1)"/>
      <w:numFmt w:val="lowerRoman"/>
      <w:start w:val="3"/>
    </w:lvl>
  </w:abstractNum>
  <w:abstractNum w:abstractNumId="7">
    <w:nsid w:val="B03E0C6"/>
    <w:multiLevelType w:val="hybridMultilevel"/>
    <w:lvl w:ilvl="0">
      <w:lvlJc w:val="left"/>
      <w:lvlText w:val="%1."/>
      <w:numFmt w:val="decimal"/>
      <w:start w:val="13"/>
    </w:lvl>
  </w:abstractNum>
  <w:abstractNum w:abstractNumId="8">
    <w:nsid w:val="189A769B"/>
    <w:multiLevelType w:val="hybridMultilevel"/>
    <w:lvl w:ilvl="0">
      <w:lvlJc w:val="left"/>
      <w:lvlText w:val="%1."/>
      <w:numFmt w:val="decimal"/>
      <w:start w:val="14"/>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emdash "/>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2"/>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87" Type="http://schemas.openxmlformats.org/officeDocument/2006/relationships/hyperlink" Target="http://www.sec.gov/Archives/edgar/data/1681087/000119312518202460/d153924dex31.htm" TargetMode="External"/><Relationship Id="rId88" Type="http://schemas.openxmlformats.org/officeDocument/2006/relationships/hyperlink" Target="http://www.sec.gov/Archives/edgar/data/1681087/000119312518202460/d1539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2019-12-28T17:57:50Z</dcterms:created>
  <dcterms:modified xsi:type="dcterms:W3CDTF">2019-12-28T17:57:50Z</dcterms:modified>
</cp:coreProperties>
</file>