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820" w:right="1580" w:hanging="3812"/>
        <w:spacing w:after="0" w:line="360" w:lineRule="auto"/>
        <w:tabs>
          <w:tab w:leader="none" w:pos="51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-375920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10"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-104140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43" w:lineRule="exact"/>
        <w:rPr>
          <w:sz w:val="24"/>
          <w:szCs w:val="24"/>
          <w:color w:val="auto"/>
        </w:rPr>
      </w:pPr>
    </w:p>
    <w:tbl>
      <w:tblPr>
        <w:tblLayout w:type="fixed"/>
        <w:tblInd w:w="360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72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720" w:type="dxa"/>
            <w:vAlign w:val="bottom"/>
            <w:tcBorders>
              <w:bottom w:val="single" w:sz="8" w:color="auto"/>
            </w:tcBorders>
          </w:tcPr>
          <w:p>
            <w:pPr>
              <w:spacing w:after="0"/>
              <w:rPr>
                <w:sz w:val="17"/>
                <w:szCs w:val="17"/>
                <w:color w:val="auto"/>
              </w:rPr>
            </w:pPr>
          </w:p>
        </w:tc>
      </w:tr>
      <w:tr>
        <w:trPr>
          <w:trHeight w:val="318"/>
        </w:trPr>
        <w:tc>
          <w:tcPr>
            <w:tcW w:w="4040" w:type="dxa"/>
            <w:vAlign w:val="bottom"/>
            <w:gridSpan w:val="4"/>
          </w:tcPr>
          <w:p>
            <w:pPr>
              <w:ind w:left="600"/>
              <w:spacing w:after="0"/>
              <w:rPr>
                <w:sz w:val="20"/>
                <w:szCs w:val="20"/>
                <w:color w:val="auto"/>
              </w:rPr>
            </w:pPr>
            <w:r>
              <w:rPr>
                <w:rFonts w:ascii="Arial" w:cs="Arial" w:eastAsia="Arial" w:hAnsi="Arial"/>
                <w:sz w:val="18"/>
                <w:szCs w:val="18"/>
                <w:b w:val="1"/>
                <w:bCs w:val="1"/>
                <w:color w:val="auto"/>
              </w:rPr>
              <w:t>Commission File Number: 001-38537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59690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tbl>
      <w:tblPr>
        <w:tblLayout w:type="fixed"/>
        <w:tblInd w:w="1600" w:type="dxa"/>
        <w:tblCellMar>
          <w:top w:w="0" w:type="dxa"/>
          <w:left w:w="0" w:type="dxa"/>
          <w:bottom w:w="0" w:type="dxa"/>
          <w:right w:w="0" w:type="dxa"/>
        </w:tblCellMar>
      </w:tblPr>
      <w:tr>
        <w:trPr>
          <w:trHeight w:val="212"/>
        </w:trPr>
        <w:tc>
          <w:tcPr>
            <w:tcW w:w="4340" w:type="dxa"/>
            <w:vAlign w:val="bottom"/>
          </w:tcPr>
          <w:p>
            <w:pPr>
              <w:jc w:val="center"/>
              <w:ind w:right="1898"/>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ind w:right="61"/>
              <w:spacing w:after="0"/>
              <w:rPr>
                <w:sz w:val="20"/>
                <w:szCs w:val="20"/>
                <w:color w:val="auto"/>
              </w:rPr>
            </w:pPr>
            <w:r>
              <w:rPr>
                <w:rFonts w:ascii="Arial" w:cs="Arial" w:eastAsia="Arial" w:hAnsi="Arial"/>
                <w:sz w:val="18"/>
                <w:szCs w:val="18"/>
                <w:b w:val="1"/>
                <w:bCs w:val="1"/>
                <w:color w:val="auto"/>
              </w:rPr>
              <w:t>81-0710585</w:t>
            </w:r>
          </w:p>
        </w:tc>
      </w:tr>
      <w:tr>
        <w:trPr>
          <w:trHeight w:val="148"/>
        </w:trPr>
        <w:tc>
          <w:tcPr>
            <w:tcW w:w="4340" w:type="dxa"/>
            <w:vAlign w:val="bottom"/>
          </w:tcPr>
          <w:p>
            <w:pPr>
              <w:jc w:val="center"/>
              <w:ind w:right="189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80" w:type="dxa"/>
            <w:vAlign w:val="bottom"/>
          </w:tcPr>
          <w:p>
            <w:pPr>
              <w:jc w:val="center"/>
              <w:ind w:left="18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40" w:type="dxa"/>
            <w:vAlign w:val="bottom"/>
          </w:tcPr>
          <w:p>
            <w:pPr>
              <w:jc w:val="center"/>
              <w:ind w:right="1898"/>
              <w:spacing w:after="0"/>
              <w:rPr>
                <w:sz w:val="20"/>
                <w:szCs w:val="20"/>
                <w:color w:val="auto"/>
              </w:rPr>
            </w:pPr>
            <w:r>
              <w:rPr>
                <w:rFonts w:ascii="Arial" w:cs="Arial" w:eastAsia="Arial" w:hAnsi="Arial"/>
                <w:sz w:val="14"/>
                <w:szCs w:val="14"/>
                <w:b w:val="1"/>
                <w:bCs w:val="1"/>
                <w:color w:val="auto"/>
                <w:w w:val="94"/>
              </w:rPr>
              <w:t>incorporation or organization)</w:t>
            </w:r>
          </w:p>
        </w:tc>
        <w:tc>
          <w:tcPr>
            <w:tcW w:w="3080" w:type="dxa"/>
            <w:vAlign w:val="bottom"/>
          </w:tcPr>
          <w:p>
            <w:pPr>
              <w:jc w:val="center"/>
              <w:ind w:left="1861"/>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4340" w:type="dxa"/>
            <w:vAlign w:val="bottom"/>
          </w:tcPr>
          <w:p>
            <w:pPr>
              <w:jc w:val="center"/>
              <w:ind w:right="1898"/>
              <w:spacing w:after="0"/>
              <w:rPr>
                <w:sz w:val="20"/>
                <w:szCs w:val="20"/>
                <w:color w:val="auto"/>
              </w:rPr>
            </w:pPr>
            <w:r>
              <w:rPr>
                <w:rFonts w:ascii="Arial" w:cs="Arial" w:eastAsia="Arial" w:hAnsi="Arial"/>
                <w:sz w:val="18"/>
                <w:szCs w:val="18"/>
                <w:b w:val="1"/>
                <w:bCs w:val="1"/>
                <w:color w:val="auto"/>
                <w:w w:val="91"/>
              </w:rPr>
              <w:t>One Kendall Square</w:t>
            </w:r>
          </w:p>
        </w:tc>
        <w:tc>
          <w:tcPr>
            <w:tcW w:w="3080" w:type="dxa"/>
            <w:vAlign w:val="bottom"/>
          </w:tcPr>
          <w:p>
            <w:pPr>
              <w:spacing w:after="0"/>
              <w:rPr>
                <w:sz w:val="22"/>
                <w:szCs w:val="22"/>
                <w:color w:val="auto"/>
              </w:rPr>
            </w:pPr>
          </w:p>
        </w:tc>
      </w:tr>
      <w:tr>
        <w:trPr>
          <w:trHeight w:val="216"/>
        </w:trPr>
        <w:tc>
          <w:tcPr>
            <w:tcW w:w="4340" w:type="dxa"/>
            <w:vAlign w:val="bottom"/>
          </w:tcPr>
          <w:p>
            <w:pPr>
              <w:jc w:val="center"/>
              <w:ind w:right="1898"/>
              <w:spacing w:after="0"/>
              <w:rPr>
                <w:sz w:val="20"/>
                <w:szCs w:val="20"/>
                <w:color w:val="auto"/>
              </w:rPr>
            </w:pPr>
            <w:r>
              <w:rPr>
                <w:rFonts w:ascii="Arial" w:cs="Arial" w:eastAsia="Arial" w:hAnsi="Arial"/>
                <w:sz w:val="18"/>
                <w:szCs w:val="18"/>
                <w:b w:val="1"/>
                <w:bCs w:val="1"/>
                <w:color w:val="auto"/>
                <w:w w:val="89"/>
              </w:rPr>
              <w:t>Building 300, Suite 201</w:t>
            </w:r>
          </w:p>
        </w:tc>
        <w:tc>
          <w:tcPr>
            <w:tcW w:w="3080" w:type="dxa"/>
            <w:vAlign w:val="bottom"/>
          </w:tcPr>
          <w:p>
            <w:pPr>
              <w:jc w:val="right"/>
              <w:ind w:right="261"/>
              <w:spacing w:after="0"/>
              <w:rPr>
                <w:sz w:val="20"/>
                <w:szCs w:val="20"/>
                <w:color w:val="auto"/>
              </w:rPr>
            </w:pPr>
            <w:r>
              <w:rPr>
                <w:rFonts w:ascii="Arial" w:cs="Arial" w:eastAsia="Arial" w:hAnsi="Arial"/>
                <w:sz w:val="18"/>
                <w:szCs w:val="18"/>
                <w:b w:val="1"/>
                <w:bCs w:val="1"/>
                <w:color w:val="auto"/>
              </w:rPr>
              <w:t>02139</w:t>
            </w:r>
          </w:p>
        </w:tc>
      </w:tr>
      <w:tr>
        <w:trPr>
          <w:trHeight w:val="212"/>
        </w:trPr>
        <w:tc>
          <w:tcPr>
            <w:tcW w:w="4340" w:type="dxa"/>
            <w:vAlign w:val="bottom"/>
          </w:tcPr>
          <w:p>
            <w:pPr>
              <w:jc w:val="center"/>
              <w:ind w:right="1878"/>
              <w:spacing w:after="0"/>
              <w:rPr>
                <w:sz w:val="20"/>
                <w:szCs w:val="20"/>
                <w:color w:val="auto"/>
              </w:rPr>
            </w:pPr>
            <w:r>
              <w:rPr>
                <w:rFonts w:ascii="Arial" w:cs="Arial" w:eastAsia="Arial" w:hAnsi="Arial"/>
                <w:sz w:val="18"/>
                <w:szCs w:val="18"/>
                <w:b w:val="1"/>
                <w:bCs w:val="1"/>
                <w:color w:val="auto"/>
                <w:w w:val="95"/>
              </w:rPr>
              <w:t>Cambridge, MA</w:t>
            </w:r>
          </w:p>
        </w:tc>
        <w:tc>
          <w:tcPr>
            <w:tcW w:w="3080" w:type="dxa"/>
            <w:vAlign w:val="bottom"/>
          </w:tcPr>
          <w:p>
            <w:pPr>
              <w:spacing w:after="0"/>
              <w:rPr>
                <w:sz w:val="18"/>
                <w:szCs w:val="18"/>
                <w:color w:val="auto"/>
              </w:rPr>
            </w:pPr>
          </w:p>
        </w:tc>
      </w:tr>
      <w:tr>
        <w:trPr>
          <w:trHeight w:val="186"/>
        </w:trPr>
        <w:tc>
          <w:tcPr>
            <w:tcW w:w="4340" w:type="dxa"/>
            <w:vAlign w:val="bottom"/>
          </w:tcPr>
          <w:p>
            <w:pPr>
              <w:jc w:val="center"/>
              <w:ind w:right="187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80" w:type="dxa"/>
            <w:vAlign w:val="bottom"/>
          </w:tcPr>
          <w:p>
            <w:pPr>
              <w:jc w:val="center"/>
              <w:ind w:left="1861"/>
              <w:spacing w:after="0"/>
              <w:rPr>
                <w:sz w:val="20"/>
                <w:szCs w:val="20"/>
                <w:color w:val="auto"/>
              </w:rPr>
            </w:pPr>
            <w:r>
              <w:rPr>
                <w:rFonts w:ascii="Arial" w:cs="Arial" w:eastAsia="Arial" w:hAnsi="Arial"/>
                <w:sz w:val="14"/>
                <w:szCs w:val="14"/>
                <w:b w:val="1"/>
                <w:bCs w:val="1"/>
                <w:color w:val="auto"/>
                <w:w w:val="95"/>
              </w:rPr>
              <w:t>(Zip Code)</w:t>
            </w:r>
          </w:p>
        </w:tc>
      </w:tr>
    </w:tbl>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914-8420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40" w:type="dxa"/>
            <w:vAlign w:val="bottom"/>
            <w:vMerge w:val="restart"/>
          </w:tcPr>
          <w:p>
            <w:pPr>
              <w:spacing w:after="0"/>
              <w:rPr>
                <w:sz w:val="14"/>
                <w:szCs w:val="14"/>
                <w:color w:val="auto"/>
              </w:rPr>
            </w:pPr>
          </w:p>
        </w:tc>
        <w:tc>
          <w:tcPr>
            <w:tcW w:w="3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Trading</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424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2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37"/>
        </w:trPr>
        <w:tc>
          <w:tcPr>
            <w:tcW w:w="4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AVRO</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67"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6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260"/>
              <w:spacing w:after="0"/>
              <w:rPr>
                <w:sz w:val="20"/>
                <w:szCs w:val="20"/>
                <w:color w:val="auto"/>
              </w:rPr>
            </w:pPr>
            <w:r>
              <w:rPr>
                <w:rFonts w:ascii="Arial" w:cs="Arial" w:eastAsia="Arial" w:hAnsi="Arial"/>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36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260"/>
              <w:spacing w:after="0"/>
              <w:rPr>
                <w:sz w:val="20"/>
                <w:szCs w:val="20"/>
                <w:color w:val="auto"/>
              </w:rPr>
            </w:pPr>
            <w:r>
              <w:rPr>
                <w:rFonts w:ascii="Arial" w:cs="Arial" w:eastAsia="Arial" w:hAnsi="Arial"/>
                <w:sz w:val="18"/>
                <w:szCs w:val="18"/>
                <w:color w:val="auto"/>
                <w:w w:val="97"/>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380" w:type="dxa"/>
            <w:vAlign w:val="bottom"/>
          </w:tcPr>
          <w:p>
            <w:pPr>
              <w:ind w:left="3260"/>
              <w:spacing w:after="0"/>
              <w:rPr>
                <w:sz w:val="20"/>
                <w:szCs w:val="20"/>
                <w:color w:val="auto"/>
              </w:rPr>
            </w:pPr>
            <w:r>
              <w:rPr>
                <w:rFonts w:ascii="Arial" w:cs="Arial" w:eastAsia="Arial" w:hAnsi="Arial"/>
                <w:sz w:val="18"/>
                <w:szCs w:val="18"/>
                <w:color w:val="auto"/>
                <w:w w:val="98"/>
              </w:rPr>
              <w:t>Emerging growth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3"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720"/>
        <w:spacing w:after="0" w:line="28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April 30, 2020, the registrant had 36,035,459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755015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 w:name="page2"/>
    <w:bookmarkEnd w:id="1"/>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Item 1A.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6.</w:t>
      </w:r>
    </w:p>
    <w:p>
      <w:pPr>
        <w:spacing w:after="0" w:line="20" w:lineRule="exact"/>
        <w:rPr>
          <w:sz w:val="20"/>
          <w:szCs w:val="20"/>
          <w:color w:val="auto"/>
        </w:rPr>
      </w:pPr>
      <w:r>
        <w:rPr>
          <w:sz w:val="20"/>
          <w:szCs w:val="20"/>
          <w:color w:val="auto"/>
        </w:rPr>
        <w:br w:type="column"/>
      </w:r>
    </w:p>
    <w:p>
      <w:pPr>
        <w:jc w:val="center"/>
        <w:ind w:left="-319"/>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FINANCIAL INFORMATION</w:t>
        </w:r>
      </w:hyperlink>
    </w:p>
    <w:p>
      <w:pPr>
        <w:spacing w:after="0" w:line="27"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Financial Statements (Unaudited)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Balance Sheets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Statements of Operations and Comprehensive Loss</w:t>
        </w:r>
      </w:hyperlink>
    </w:p>
    <w:p>
      <w:pPr>
        <w:spacing w:after="0" w:line="33" w:lineRule="exact"/>
        <w:rPr>
          <w:sz w:val="20"/>
          <w:szCs w:val="20"/>
          <w:color w:val="auto"/>
        </w:rPr>
      </w:pPr>
    </w:p>
    <w:p>
      <w:pPr>
        <w:spacing w:after="0"/>
        <w:rPr>
          <w:rFonts w:ascii="Arial" w:cs="Arial" w:eastAsia="Arial" w:hAnsi="Arial"/>
          <w:sz w:val="18"/>
          <w:szCs w:val="18"/>
          <w:color w:val="0000EE"/>
        </w:rPr>
      </w:pPr>
      <w:hyperlink w:anchor="page7">
        <w:r>
          <w:rPr>
            <w:rFonts w:ascii="Arial" w:cs="Arial" w:eastAsia="Arial" w:hAnsi="Arial"/>
            <w:sz w:val="18"/>
            <w:szCs w:val="18"/>
            <w:u w:val="single" w:color="auto"/>
            <w:color w:val="0000EE"/>
          </w:rPr>
          <w:t>Statement o</w:t>
        </w:r>
        <w:r>
          <w:rPr>
            <w:rFonts w:ascii="Arial" w:cs="Arial" w:eastAsia="Arial" w:hAnsi="Arial"/>
            <w:sz w:val="21"/>
            <w:szCs w:val="21"/>
            <w:color w:val="0000EE"/>
          </w:rPr>
          <w:t>f</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Stockholders’ Equity (Deficit)</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Statements of Cash Flows</w:t>
        </w:r>
      </w:hyperlink>
    </w:p>
    <w:p>
      <w:pPr>
        <w:spacing w:after="0" w:line="13"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Financial Statements</w:t>
        </w:r>
      </w:hyperlink>
    </w:p>
    <w:p>
      <w:pPr>
        <w:spacing w:after="0" w:line="23" w:lineRule="exact"/>
        <w:rPr>
          <w:sz w:val="20"/>
          <w:szCs w:val="20"/>
          <w:color w:val="auto"/>
        </w:rPr>
      </w:pPr>
    </w:p>
    <w:p>
      <w:pPr>
        <w:ind w:right="2480"/>
        <w:spacing w:after="0" w:line="266" w:lineRule="auto"/>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28">
        <w:r>
          <w:rPr>
            <w:rFonts w:ascii="Arial" w:cs="Arial" w:eastAsia="Arial" w:hAnsi="Arial"/>
            <w:sz w:val="18"/>
            <w:szCs w:val="18"/>
            <w:u w:val="single" w:color="auto"/>
            <w:color w:val="0000EE"/>
          </w:rPr>
          <w:t>Quantitative and Qualitative Disclosures About Market Risk</w:t>
        </w:r>
      </w:hyperlink>
      <w:r>
        <w:rPr>
          <w:rFonts w:ascii="Arial" w:cs="Arial" w:eastAsia="Arial" w:hAnsi="Arial"/>
          <w:sz w:val="18"/>
          <w:szCs w:val="18"/>
          <w:u w:val="single" w:color="auto"/>
          <w:color w:val="0000EE"/>
        </w:rPr>
        <w:t xml:space="preserve"> </w:t>
      </w:r>
      <w:hyperlink w:anchor="page29">
        <w:r>
          <w:rPr>
            <w:rFonts w:ascii="Arial" w:cs="Arial" w:eastAsia="Arial" w:hAnsi="Arial"/>
            <w:sz w:val="18"/>
            <w:szCs w:val="18"/>
            <w:u w:val="single" w:color="auto"/>
            <w:color w:val="0000EE"/>
          </w:rPr>
          <w:t>Controls and Procedures</w:t>
        </w:r>
      </w:hyperlink>
    </w:p>
    <w:p>
      <w:pPr>
        <w:spacing w:after="0"/>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OTHER INFORMATION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Legal Proceedings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Risk Factors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Unregistered Sales of Equity Securities and Use of Proceeds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Defaults Upon Senior Securities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Mine Safety Disclosures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Other Information</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Exhibits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Signatures</w:t>
        </w:r>
      </w:hyperlink>
    </w:p>
    <w:p>
      <w:pPr>
        <w:spacing w:after="0" w:line="200" w:lineRule="exact"/>
        <w:rPr>
          <w:rFonts w:ascii="Arial" w:cs="Arial" w:eastAsia="Arial" w:hAnsi="Arial"/>
          <w:sz w:val="18"/>
          <w:szCs w:val="18"/>
          <w:u w:val="single" w:color="auto"/>
          <w:color w:val="0000EE"/>
        </w:rPr>
      </w:pPr>
    </w:p>
    <w:p>
      <w:pPr>
        <w:spacing w:after="0" w:line="254" w:lineRule="exact"/>
        <w:rPr>
          <w:rFonts w:ascii="Arial" w:cs="Arial" w:eastAsia="Arial" w:hAnsi="Arial"/>
          <w:sz w:val="18"/>
          <w:szCs w:val="18"/>
          <w:u w:val="single" w:color="auto"/>
          <w:color w:val="0000EE"/>
        </w:rPr>
      </w:pPr>
    </w:p>
    <w:p>
      <w:pPr>
        <w:jc w:val="center"/>
        <w:ind w:left="-319"/>
        <w:spacing w:after="0"/>
        <w:rPr>
          <w:sz w:val="20"/>
          <w:szCs w:val="20"/>
          <w:color w:val="auto"/>
        </w:rPr>
      </w:pPr>
      <w:r>
        <w:rPr>
          <w:rFonts w:ascii="Arial" w:cs="Arial" w:eastAsia="Arial" w:hAnsi="Arial"/>
          <w:sz w:val="18"/>
          <w:szCs w:val="18"/>
          <w:color w:val="auto"/>
        </w:rPr>
        <w:t>i</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-629285</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8"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-162560</wp:posOffset>
            </wp:positionH>
            <wp:positionV relativeFrom="paragraph">
              <wp:posOffset>6350</wp:posOffset>
            </wp:positionV>
            <wp:extent cx="4718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5"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1</w:t>
      </w:r>
    </w:p>
    <w:p>
      <w:pPr>
        <w:spacing w:after="0" w:line="8"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1</w:t>
      </w:r>
    </w:p>
    <w:p>
      <w:pPr>
        <w:spacing w:after="0" w:line="9"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1</w:t>
      </w:r>
    </w:p>
    <w:p>
      <w:pPr>
        <w:spacing w:after="0" w:line="9"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2</w:t>
      </w:r>
    </w:p>
    <w:p>
      <w:pPr>
        <w:spacing w:after="0" w:line="35"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3</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4</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5</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15</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24</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25</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26</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26</w:t>
      </w:r>
    </w:p>
    <w:p>
      <w:pPr>
        <w:spacing w:after="0" w:line="9"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26</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67</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67</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67</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67</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68</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69</w:t>
      </w:r>
    </w:p>
    <w:p>
      <w:pPr>
        <w:sectPr>
          <w:pgSz w:w="11900" w:h="16838" w:orient="portrait"/>
          <w:cols w:equalWidth="0" w:num="3">
            <w:col w:w="700" w:space="200"/>
            <w:col w:w="8940" w:space="720"/>
            <w:col w:w="480"/>
          </w:cols>
          <w:pgMar w:left="420" w:top="121"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Forward-looking Information</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This Quarterly Report on Form 10-Q contains forward-looking statements which are made pursuant to the safe harbor provisions of Section 27A of the Securities Act of 1933, as amended (the “Securities Act”), and Section 21E of the Securities Exchange Act of 1934, as amended (the “Exchange Act”). These statements may be identified by such forward-looking terminology as “aims,” “anticipates,” “believes,” “continue,” “could,” “designed to,” “estimates,” “expects,” “intends,” “may,” “plans,” “potential,” “predicts,” “strives,” “should,” or the negative of these terms or other comparable terminology. Our forward-looking statements are based on a series of expectations, assumptions, estimates and projections about our company, are not guarantees of future results or performance and involve substantial risks and uncertainty. We may not actually achieve the plans, intentions or expectations disclosed in our forward-looking statements. Actual results or events could differ materially from the plans, intentions and expectations disclosed in these forward-looking statements. Our business and our forward-looking statements involve substantial known and unknown risks and uncertainties, including the risks and uncertainties inherent in our statements regarding:</w:t>
      </w:r>
    </w:p>
    <w:p>
      <w:pPr>
        <w:spacing w:after="0" w:line="73" w:lineRule="exact"/>
        <w:rPr>
          <w:sz w:val="20"/>
          <w:szCs w:val="20"/>
          <w:color w:val="auto"/>
        </w:rPr>
      </w:pPr>
    </w:p>
    <w:p>
      <w:pPr>
        <w:ind w:left="880" w:right="100" w:hanging="373"/>
        <w:spacing w:after="0" w:line="342"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the COVID-19 outbreak on our clinical trial programs and business generally, as well as our plans and expectations with respect to the timing and resumption of any development activities that may be temporarily paused as a result of the COVID-19 outbreak;</w:t>
      </w:r>
    </w:p>
    <w:p>
      <w:pPr>
        <w:spacing w:after="0" w:line="15" w:lineRule="exact"/>
        <w:rPr>
          <w:rFonts w:ascii="Arial" w:cs="Arial" w:eastAsia="Arial" w:hAnsi="Arial"/>
          <w:sz w:val="16"/>
          <w:szCs w:val="16"/>
          <w:color w:val="auto"/>
        </w:rPr>
      </w:pPr>
    </w:p>
    <w:p>
      <w:pPr>
        <w:ind w:left="880" w:right="280" w:hanging="373"/>
        <w:spacing w:after="0" w:line="263"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75" w:lineRule="exact"/>
        <w:rPr>
          <w:rFonts w:ascii="Arial" w:cs="Arial" w:eastAsia="Arial" w:hAnsi="Arial"/>
          <w:sz w:val="18"/>
          <w:szCs w:val="18"/>
          <w:color w:val="auto"/>
        </w:rPr>
      </w:pPr>
    </w:p>
    <w:p>
      <w:pPr>
        <w:ind w:left="880" w:right="380" w:hanging="373"/>
        <w:spacing w:after="0" w:line="342"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existence or absence of side effects or other properties relating to our product candidates which could delay or prevent their regulatory approval, limit their commercial potential, or result in significant negative consequences following any potential marketing approval;</w:t>
      </w:r>
    </w:p>
    <w:p>
      <w:pPr>
        <w:spacing w:after="0" w:line="1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durability of effects from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117" w:lineRule="exact"/>
        <w:rPr>
          <w:rFonts w:ascii="Arial" w:cs="Arial" w:eastAsia="Arial" w:hAnsi="Arial"/>
          <w:sz w:val="18"/>
          <w:szCs w:val="18"/>
          <w:color w:val="auto"/>
        </w:rPr>
      </w:pPr>
    </w:p>
    <w:p>
      <w:pPr>
        <w:ind w:left="880" w:right="380" w:hanging="373"/>
        <w:spacing w:after="0" w:line="263"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our strategic plans for our business, product candidates, technology and plato™ platform, including our transition to and expected benefits of a proprietary four-plasmid-produced lentiviral vector and our use of a therapeutic drug monitoring conditioning regimen with busulfan;</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scalability and commercial viability of our manufacturing methods and processes, including our move to a closed, automated system;</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 candidates, in particular, and gene therapy, in general;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17" w:lineRule="exact"/>
        <w:rPr>
          <w:rFonts w:ascii="Arial" w:cs="Arial" w:eastAsia="Arial" w:hAnsi="Arial"/>
          <w:sz w:val="18"/>
          <w:szCs w:val="18"/>
          <w:color w:val="auto"/>
        </w:rPr>
      </w:pPr>
    </w:p>
    <w:p>
      <w:pPr>
        <w:ind w:left="880" w:hanging="373"/>
        <w:spacing w:after="0" w:line="263"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and/or our licensors are able to establish and maintain for intellectual property rights covering our current and future product candidates, as well as any statements as to whether we do or do not infringe, misappropriate or otherwise violate any third-party intellectual property rights;</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professionals and to identify, hire and retain additional qualified professionals;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the use of our cash reserves;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880" w:right="4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remediate the material weaknesses that we and our independent registered public accounting firm previously identified and avoid any findings of material weaknesses or significant deficiencies in the future;</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laws and regulations, including without limitation recently enacted tax reform legislation;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are an emerging growth company under the JOBS Act;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 w:name="page4"/>
    <w:bookmarkEnd w:id="3"/>
    <w:p>
      <w:pPr>
        <w:spacing w:after="0" w:line="288" w:lineRule="auto"/>
        <w:rPr>
          <w:sz w:val="20"/>
          <w:szCs w:val="20"/>
          <w:color w:val="auto"/>
        </w:rPr>
      </w:pPr>
      <w:r>
        <w:rPr>
          <w:rFonts w:ascii="Arial" w:cs="Arial" w:eastAsia="Arial" w:hAnsi="Arial"/>
          <w:sz w:val="16"/>
          <w:szCs w:val="16"/>
          <w:color w:val="auto"/>
        </w:rPr>
        <w:t>All of our forward-looking statements are as of the date of this Quarterly Report on Form 10-Q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Quarterly Report on Form 10-Q or included in our other public disclosures or our other periodic reports or other documents or filings filed with or furnished to the Securities and Exchange Commission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Quarterly Report on Form 10-Q, even if such results, changes or circumstances make it clear that any forward-looking information will not be realized. Any public statements or disclosures by us following this Quarterly Report on Form 10-Q that modify or impact any of the forward-looking statements contained in this Quarterly Report on Form 10-Q will be deemed to modify or supersede such statements in this Quarterly Report on Form 10-Q.</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257,695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187,043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7,652</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8,658</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265,347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195,701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3,407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3,696</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1,117</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269,728</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200,514</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3,949</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10,638</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10,068</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14,017</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rent, net of current portion</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13,203</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14,501</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Commitments and contingencies (Note 11)</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Preferred stock, $0.0001 par value; 10,000,000 shares authorized and no shares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issued or outstanding as of March 31, 2020 and December 31, 2019</w:t>
            </w:r>
          </w:p>
        </w:tc>
        <w:tc>
          <w:tcPr>
            <w:tcW w:w="280" w:type="dxa"/>
            <w:vAlign w:val="bottom"/>
          </w:tcPr>
          <w:p>
            <w:pPr>
              <w:spacing w:after="0"/>
              <w:rPr>
                <w:sz w:val="20"/>
                <w:szCs w:val="20"/>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$0.0001 par value; 150,000,000 shares authorized as of March 31,</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2020 and December 31, 2019; 36,031,166 and 31,673,058 shares issued as of</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March 31, 2020 and December 31, 2019, respectively; 36,010,998 and</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31,642,806 shares outstanding as of March 31, 2020 and December 31, 2019,</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respectively</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20"/>
                <w:szCs w:val="20"/>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427,198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330,714</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(170,677)</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(144,704)</w:t>
            </w: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256,525</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186,013</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269,728</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200,514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18,274</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12,446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8,315</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26,589</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(26,589)</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Other expense</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(expense), net</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(25,973)</w:t>
            </w:r>
          </w:p>
        </w:tc>
        <w:tc>
          <w:tcPr>
            <w:tcW w:w="2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(17,103)</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(25,973)</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(17,103)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stockholders—basic and</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720" w:type="dxa"/>
            <w:vAlign w:val="bottom"/>
          </w:tcPr>
          <w:p>
            <w:pPr>
              <w:ind w:left="140"/>
              <w:spacing w:after="0"/>
              <w:rPr>
                <w:sz w:val="20"/>
                <w:szCs w:val="20"/>
                <w:color w:val="auto"/>
              </w:rPr>
            </w:pPr>
            <w:r>
              <w:rPr>
                <w:rFonts w:ascii="Arial" w:cs="Arial" w:eastAsia="Arial" w:hAnsi="Arial"/>
                <w:sz w:val="18"/>
                <w:szCs w:val="18"/>
                <w:color w:val="auto"/>
              </w:rPr>
              <w:t>diluted (Note 10)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(0.77)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196"/>
        </w:trPr>
        <w:tc>
          <w:tcPr>
            <w:tcW w:w="772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Weighted-average number of common shares used in computing net loss</w:t>
            </w:r>
          </w:p>
        </w:tc>
        <w:tc>
          <w:tcPr>
            <w:tcW w:w="3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per share attributable to common stockholders—basic and diluted</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33,666,801</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23,893,696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right"/>
              <w:ind w:right="357"/>
              <w:spacing w:after="0"/>
              <w:rPr>
                <w:sz w:val="20"/>
                <w:szCs w:val="20"/>
                <w:color w:val="auto"/>
              </w:rPr>
            </w:pPr>
            <w:r>
              <w:rPr>
                <w:rFonts w:ascii="Arial" w:cs="Arial" w:eastAsia="Arial" w:hAnsi="Arial"/>
                <w:sz w:val="13"/>
                <w:szCs w:val="13"/>
                <w:b w:val="1"/>
                <w:bCs w:val="1"/>
                <w:color w:val="auto"/>
              </w:rPr>
              <w:t>Additional</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9"/>
              </w:rPr>
              <w:t>Total</w:t>
            </w:r>
          </w:p>
        </w:tc>
      </w:tr>
      <w:tr>
        <w:trPr>
          <w:trHeight w:val="153"/>
        </w:trPr>
        <w:tc>
          <w:tcPr>
            <w:tcW w:w="3000" w:type="dxa"/>
            <w:vAlign w:val="bottom"/>
          </w:tcPr>
          <w:p>
            <w:pPr>
              <w:spacing w:after="0"/>
              <w:rPr>
                <w:sz w:val="13"/>
                <w:szCs w:val="13"/>
                <w:color w:val="auto"/>
              </w:rPr>
            </w:pPr>
          </w:p>
        </w:tc>
        <w:tc>
          <w:tcPr>
            <w:tcW w:w="2760" w:type="dxa"/>
            <w:vAlign w:val="bottom"/>
            <w:tcBorders>
              <w:bottom w:val="single" w:sz="8" w:color="auto"/>
            </w:tcBorders>
            <w:gridSpan w:val="3"/>
          </w:tcPr>
          <w:p>
            <w:pPr>
              <w:jc w:val="right"/>
              <w:ind w:right="764"/>
              <w:spacing w:after="0"/>
              <w:rPr>
                <w:sz w:val="20"/>
                <w:szCs w:val="20"/>
                <w:color w:val="auto"/>
              </w:rPr>
            </w:pPr>
            <w:r>
              <w:rPr>
                <w:rFonts w:ascii="Arial" w:cs="Arial" w:eastAsia="Arial" w:hAnsi="Arial"/>
                <w:sz w:val="13"/>
                <w:szCs w:val="13"/>
                <w:b w:val="1"/>
                <w:bCs w:val="1"/>
                <w:color w:val="auto"/>
              </w:rPr>
              <w:t>Common Stock</w:t>
            </w:r>
          </w:p>
        </w:tc>
        <w:tc>
          <w:tcPr>
            <w:tcW w:w="3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right"/>
              <w:ind w:right="437"/>
              <w:spacing w:after="0"/>
              <w:rPr>
                <w:sz w:val="20"/>
                <w:szCs w:val="20"/>
                <w:color w:val="auto"/>
              </w:rPr>
            </w:pPr>
            <w:r>
              <w:rPr>
                <w:rFonts w:ascii="Arial" w:cs="Arial" w:eastAsia="Arial" w:hAnsi="Arial"/>
                <w:sz w:val="13"/>
                <w:szCs w:val="13"/>
                <w:b w:val="1"/>
                <w:bCs w:val="1"/>
                <w:color w:val="auto"/>
              </w:rPr>
              <w:t>Paid-in</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Stockholders’</w:t>
            </w:r>
          </w:p>
        </w:tc>
      </w:tr>
      <w:tr>
        <w:trPr>
          <w:trHeight w:val="142"/>
        </w:trPr>
        <w:tc>
          <w:tcPr>
            <w:tcW w:w="3000" w:type="dxa"/>
            <w:vAlign w:val="bottom"/>
          </w:tcPr>
          <w:p>
            <w:pPr>
              <w:spacing w:after="0"/>
              <w:rPr>
                <w:sz w:val="12"/>
                <w:szCs w:val="12"/>
                <w:color w:val="auto"/>
              </w:rPr>
            </w:pPr>
          </w:p>
        </w:tc>
        <w:tc>
          <w:tcPr>
            <w:tcW w:w="1400" w:type="dxa"/>
            <w:vAlign w:val="bottom"/>
          </w:tcPr>
          <w:p>
            <w:pPr>
              <w:jc w:val="right"/>
              <w:ind w:right="477"/>
              <w:spacing w:after="0" w:line="142" w:lineRule="exact"/>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2"/>
                <w:szCs w:val="12"/>
                <w:color w:val="auto"/>
              </w:rPr>
            </w:pPr>
          </w:p>
        </w:tc>
        <w:tc>
          <w:tcPr>
            <w:tcW w:w="1100" w:type="dxa"/>
            <w:vAlign w:val="bottom"/>
          </w:tcPr>
          <w:p>
            <w:pPr>
              <w:jc w:val="right"/>
              <w:ind w:right="124"/>
              <w:spacing w:after="0" w:line="142" w:lineRule="exact"/>
              <w:rPr>
                <w:sz w:val="20"/>
                <w:szCs w:val="20"/>
                <w:color w:val="auto"/>
              </w:rPr>
            </w:pPr>
            <w:r>
              <w:rPr>
                <w:rFonts w:ascii="Arial" w:cs="Arial" w:eastAsia="Arial" w:hAnsi="Arial"/>
                <w:sz w:val="13"/>
                <w:szCs w:val="13"/>
                <w:b w:val="1"/>
                <w:bCs w:val="1"/>
                <w:color w:val="auto"/>
              </w:rPr>
              <w:t>Amount</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ind w:right="437"/>
              <w:spacing w:after="0" w:line="142" w:lineRule="exact"/>
              <w:rPr>
                <w:sz w:val="20"/>
                <w:szCs w:val="20"/>
                <w:color w:val="auto"/>
              </w:rPr>
            </w:pPr>
            <w:r>
              <w:rPr>
                <w:rFonts w:ascii="Arial" w:cs="Arial" w:eastAsia="Arial" w:hAnsi="Arial"/>
                <w:sz w:val="13"/>
                <w:szCs w:val="13"/>
                <w:b w:val="1"/>
                <w:bCs w:val="1"/>
                <w:color w:val="auto"/>
              </w:rPr>
              <w:t>Capital</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800"/>
              <w:spacing w:after="0" w:line="142" w:lineRule="exact"/>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12"/>
                <w:szCs w:val="12"/>
                <w:color w:val="auto"/>
              </w:rPr>
            </w:pPr>
          </w:p>
        </w:tc>
        <w:tc>
          <w:tcPr>
            <w:tcW w:w="1340" w:type="dxa"/>
            <w:vAlign w:val="bottom"/>
            <w:gridSpan w:val="2"/>
          </w:tcPr>
          <w:p>
            <w:pPr>
              <w:jc w:val="center"/>
              <w:ind w:right="340"/>
              <w:spacing w:after="0" w:line="142" w:lineRule="exact"/>
              <w:rPr>
                <w:sz w:val="20"/>
                <w:szCs w:val="20"/>
                <w:color w:val="auto"/>
              </w:rPr>
            </w:pPr>
            <w:r>
              <w:rPr>
                <w:rFonts w:ascii="Arial" w:cs="Arial" w:eastAsia="Arial" w:hAnsi="Arial"/>
                <w:sz w:val="13"/>
                <w:szCs w:val="13"/>
                <w:b w:val="1"/>
                <w:bCs w:val="1"/>
                <w:color w:val="auto"/>
                <w:w w:val="90"/>
              </w:rPr>
              <w:t>Equity</w:t>
            </w:r>
          </w:p>
        </w:tc>
      </w:tr>
      <w:tr>
        <w:trPr>
          <w:trHeight w:val="142"/>
        </w:trPr>
        <w:tc>
          <w:tcPr>
            <w:tcW w:w="300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Balance as of December 31, 2019</w:t>
            </w:r>
          </w:p>
        </w:tc>
        <w:tc>
          <w:tcPr>
            <w:tcW w:w="14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31,642,806</w:t>
            </w:r>
          </w:p>
        </w:tc>
        <w:tc>
          <w:tcPr>
            <w:tcW w:w="260" w:type="dxa"/>
            <w:vAlign w:val="bottom"/>
            <w:tcBorders>
              <w:top w:val="single" w:sz="8" w:color="CFF0FC"/>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jc w:val="right"/>
              <w:ind w:right="984"/>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w:t>
            </w:r>
          </w:p>
        </w:tc>
        <w:tc>
          <w:tcPr>
            <w:tcW w:w="28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28"/>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330,714</w:t>
            </w:r>
          </w:p>
        </w:tc>
        <w:tc>
          <w:tcPr>
            <w:tcW w:w="2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(144,704)</w:t>
            </w:r>
          </w:p>
        </w:tc>
        <w:tc>
          <w:tcPr>
            <w:tcW w:w="26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186,013</w:t>
            </w:r>
          </w:p>
        </w:tc>
        <w:tc>
          <w:tcPr>
            <w:tcW w:w="120" w:type="dxa"/>
            <w:vAlign w:val="bottom"/>
            <w:tcBorders>
              <w:top w:val="single" w:sz="8" w:color="CFF0FC"/>
            </w:tcBorders>
            <w:shd w:val="clear" w:color="auto" w:fill="CFF0FC"/>
          </w:tcPr>
          <w:p>
            <w:pPr>
              <w:spacing w:after="0"/>
              <w:rPr>
                <w:sz w:val="12"/>
                <w:szCs w:val="12"/>
                <w:color w:val="auto"/>
              </w:rPr>
            </w:pPr>
          </w:p>
        </w:tc>
      </w:tr>
      <w:tr>
        <w:trPr>
          <w:trHeight w:val="148"/>
        </w:trPr>
        <w:tc>
          <w:tcPr>
            <w:tcW w:w="3000" w:type="dxa"/>
            <w:vAlign w:val="bottom"/>
          </w:tcPr>
          <w:p>
            <w:pPr>
              <w:ind w:left="260"/>
              <w:spacing w:after="0"/>
              <w:rPr>
                <w:sz w:val="20"/>
                <w:szCs w:val="20"/>
                <w:color w:val="auto"/>
              </w:rPr>
            </w:pPr>
            <w:r>
              <w:rPr>
                <w:rFonts w:ascii="Arial" w:cs="Arial" w:eastAsia="Arial" w:hAnsi="Arial"/>
                <w:sz w:val="13"/>
                <w:szCs w:val="13"/>
                <w:color w:val="auto"/>
              </w:rPr>
              <w:t>Stock-based compensation expense</w:t>
            </w: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2,822</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2,822</w:t>
            </w:r>
          </w:p>
        </w:tc>
        <w:tc>
          <w:tcPr>
            <w:tcW w:w="120" w:type="dxa"/>
            <w:vAlign w:val="bottom"/>
          </w:tcPr>
          <w:p>
            <w:pPr>
              <w:spacing w:after="0"/>
              <w:rPr>
                <w:sz w:val="12"/>
                <w:szCs w:val="12"/>
                <w:color w:val="auto"/>
              </w:rPr>
            </w:pPr>
          </w:p>
        </w:tc>
      </w:tr>
      <w:tr>
        <w:trPr>
          <w:trHeight w:val="149"/>
        </w:trPr>
        <w:tc>
          <w:tcPr>
            <w:tcW w:w="30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Exercise of stock options</w:t>
            </w: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7,438</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w:t>
            </w:r>
          </w:p>
        </w:tc>
        <w:tc>
          <w:tcPr>
            <w:tcW w:w="120" w:type="dxa"/>
            <w:vAlign w:val="bottom"/>
            <w:shd w:val="clear" w:color="auto" w:fill="CFF0FC"/>
          </w:tcPr>
          <w:p>
            <w:pPr>
              <w:spacing w:after="0"/>
              <w:rPr>
                <w:sz w:val="12"/>
                <w:szCs w:val="12"/>
                <w:color w:val="auto"/>
              </w:rPr>
            </w:pPr>
          </w:p>
        </w:tc>
      </w:tr>
      <w:tr>
        <w:trPr>
          <w:trHeight w:val="148"/>
        </w:trPr>
        <w:tc>
          <w:tcPr>
            <w:tcW w:w="3000" w:type="dxa"/>
            <w:vAlign w:val="bottom"/>
          </w:tcPr>
          <w:p>
            <w:pPr>
              <w:ind w:left="260"/>
              <w:spacing w:after="0"/>
              <w:rPr>
                <w:sz w:val="20"/>
                <w:szCs w:val="20"/>
                <w:color w:val="auto"/>
              </w:rPr>
            </w:pPr>
            <w:r>
              <w:rPr>
                <w:rFonts w:ascii="Arial" w:cs="Arial" w:eastAsia="Arial" w:hAnsi="Arial"/>
                <w:sz w:val="13"/>
                <w:szCs w:val="13"/>
                <w:color w:val="auto"/>
              </w:rPr>
              <w:t>Vesting of restricted stock awards and units</w:t>
            </w:r>
          </w:p>
        </w:tc>
        <w:tc>
          <w:tcPr>
            <w:tcW w:w="1400" w:type="dxa"/>
            <w:vAlign w:val="bottom"/>
          </w:tcPr>
          <w:p>
            <w:pPr>
              <w:jc w:val="right"/>
              <w:spacing w:after="0"/>
              <w:rPr>
                <w:sz w:val="20"/>
                <w:szCs w:val="20"/>
                <w:color w:val="auto"/>
              </w:rPr>
            </w:pPr>
            <w:r>
              <w:rPr>
                <w:rFonts w:ascii="Arial" w:cs="Arial" w:eastAsia="Arial" w:hAnsi="Arial"/>
                <w:sz w:val="13"/>
                <w:szCs w:val="13"/>
                <w:color w:val="auto"/>
              </w:rPr>
              <w:t>10,754</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34"/>
        </w:trPr>
        <w:tc>
          <w:tcPr>
            <w:tcW w:w="30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upon public</w:t>
            </w:r>
          </w:p>
        </w:tc>
        <w:tc>
          <w:tcPr>
            <w:tcW w:w="14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0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offering, net of offering costs of $419</w:t>
            </w: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4,350,000</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93,627</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93,628</w:t>
            </w:r>
          </w:p>
        </w:tc>
        <w:tc>
          <w:tcPr>
            <w:tcW w:w="120" w:type="dxa"/>
            <w:vAlign w:val="bottom"/>
            <w:shd w:val="clear" w:color="auto" w:fill="CFF0FC"/>
          </w:tcPr>
          <w:p>
            <w:pPr>
              <w:spacing w:after="0"/>
              <w:rPr>
                <w:sz w:val="12"/>
                <w:szCs w:val="12"/>
                <w:color w:val="auto"/>
              </w:rPr>
            </w:pPr>
          </w:p>
        </w:tc>
      </w:tr>
      <w:tr>
        <w:trPr>
          <w:trHeight w:val="148"/>
        </w:trPr>
        <w:tc>
          <w:tcPr>
            <w:tcW w:w="3000" w:type="dxa"/>
            <w:vAlign w:val="bottom"/>
          </w:tcPr>
          <w:p>
            <w:pPr>
              <w:ind w:left="260"/>
              <w:spacing w:after="0"/>
              <w:rPr>
                <w:sz w:val="20"/>
                <w:szCs w:val="20"/>
                <w:color w:val="auto"/>
              </w:rPr>
            </w:pPr>
            <w:r>
              <w:rPr>
                <w:rFonts w:ascii="Arial" w:cs="Arial" w:eastAsia="Arial" w:hAnsi="Arial"/>
                <w:sz w:val="13"/>
                <w:szCs w:val="13"/>
                <w:color w:val="auto"/>
              </w:rPr>
              <w:t>Net loss</w:t>
            </w: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3"/>
                <w:szCs w:val="13"/>
                <w:color w:val="auto"/>
              </w:rPr>
              <w:t>(25,973)</w:t>
            </w:r>
          </w:p>
        </w:tc>
        <w:tc>
          <w:tcPr>
            <w:tcW w:w="200" w:type="dxa"/>
            <w:vAlign w:val="bottom"/>
          </w:tcPr>
          <w:p>
            <w:pPr>
              <w:spacing w:after="0"/>
              <w:rPr>
                <w:sz w:val="12"/>
                <w:szCs w:val="12"/>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3"/>
                <w:szCs w:val="13"/>
                <w:color w:val="auto"/>
              </w:rPr>
              <w:t>(25,973)</w:t>
            </w:r>
          </w:p>
        </w:tc>
      </w:tr>
      <w:tr>
        <w:trPr>
          <w:trHeight w:val="142"/>
        </w:trPr>
        <w:tc>
          <w:tcPr>
            <w:tcW w:w="300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Balance as of March 31, 2020</w:t>
            </w:r>
          </w:p>
        </w:tc>
        <w:tc>
          <w:tcPr>
            <w:tcW w:w="14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36,010,998</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1100" w:type="dxa"/>
            <w:vAlign w:val="bottom"/>
            <w:tcBorders>
              <w:top w:val="single" w:sz="8" w:color="auto"/>
              <w:bottom w:val="single" w:sz="8" w:color="auto"/>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spacing w:after="0"/>
              <w:rPr>
                <w:sz w:val="12"/>
                <w:szCs w:val="12"/>
                <w:color w:val="auto"/>
              </w:rPr>
            </w:pPr>
          </w:p>
        </w:tc>
        <w:tc>
          <w:tcPr>
            <w:tcW w:w="11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427,198</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spacing w:after="0"/>
              <w:rPr>
                <w:sz w:val="12"/>
                <w:szCs w:val="12"/>
                <w:color w:val="auto"/>
              </w:rPr>
            </w:pP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(170,677)</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spacing w:after="0"/>
              <w:rPr>
                <w:sz w:val="12"/>
                <w:szCs w:val="12"/>
                <w:color w:val="auto"/>
              </w:rPr>
            </w:pP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256,525</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20"/>
        </w:trPr>
        <w:tc>
          <w:tcPr>
            <w:tcW w:w="30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30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8"/>
        </w:trPr>
        <w:tc>
          <w:tcPr>
            <w:tcW w:w="3000" w:type="dxa"/>
            <w:vAlign w:val="bottom"/>
            <w:shd w:val="clear" w:color="auto" w:fill="CFF0FC"/>
          </w:tcPr>
          <w:p>
            <w:pPr>
              <w:spacing w:after="0"/>
              <w:rPr>
                <w:sz w:val="20"/>
                <w:szCs w:val="20"/>
                <w:color w:val="auto"/>
              </w:rPr>
            </w:pPr>
            <w:r>
              <w:rPr>
                <w:rFonts w:ascii="Arial" w:cs="Arial" w:eastAsia="Arial" w:hAnsi="Arial"/>
                <w:sz w:val="13"/>
                <w:szCs w:val="13"/>
                <w:color w:val="auto"/>
              </w:rPr>
              <w:t>Balance as of December 31, 2018</w:t>
            </w: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23,806,628</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193,921</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(71,739)</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122,184</w:t>
            </w:r>
          </w:p>
        </w:tc>
        <w:tc>
          <w:tcPr>
            <w:tcW w:w="120" w:type="dxa"/>
            <w:vAlign w:val="bottom"/>
            <w:shd w:val="clear" w:color="auto" w:fill="CFF0FC"/>
          </w:tcPr>
          <w:p>
            <w:pPr>
              <w:spacing w:after="0"/>
              <w:rPr>
                <w:sz w:val="12"/>
                <w:szCs w:val="12"/>
                <w:color w:val="auto"/>
              </w:rPr>
            </w:pPr>
          </w:p>
        </w:tc>
      </w:tr>
      <w:tr>
        <w:trPr>
          <w:trHeight w:val="149"/>
        </w:trPr>
        <w:tc>
          <w:tcPr>
            <w:tcW w:w="3000" w:type="dxa"/>
            <w:vAlign w:val="bottom"/>
          </w:tcPr>
          <w:p>
            <w:pPr>
              <w:ind w:left="260"/>
              <w:spacing w:after="0"/>
              <w:rPr>
                <w:sz w:val="20"/>
                <w:szCs w:val="20"/>
                <w:color w:val="auto"/>
              </w:rPr>
            </w:pPr>
            <w:r>
              <w:rPr>
                <w:rFonts w:ascii="Arial" w:cs="Arial" w:eastAsia="Arial" w:hAnsi="Arial"/>
                <w:sz w:val="13"/>
                <w:szCs w:val="13"/>
                <w:color w:val="auto"/>
              </w:rPr>
              <w:t>Stock-based compensation expense</w:t>
            </w: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1,455</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1,455</w:t>
            </w:r>
          </w:p>
        </w:tc>
        <w:tc>
          <w:tcPr>
            <w:tcW w:w="120" w:type="dxa"/>
            <w:vAlign w:val="bottom"/>
          </w:tcPr>
          <w:p>
            <w:pPr>
              <w:spacing w:after="0"/>
              <w:rPr>
                <w:sz w:val="12"/>
                <w:szCs w:val="12"/>
                <w:color w:val="auto"/>
              </w:rPr>
            </w:pPr>
          </w:p>
        </w:tc>
      </w:tr>
      <w:tr>
        <w:trPr>
          <w:trHeight w:val="148"/>
        </w:trPr>
        <w:tc>
          <w:tcPr>
            <w:tcW w:w="30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Exercise of stock options</w:t>
            </w: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116,859</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252</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252</w:t>
            </w:r>
          </w:p>
        </w:tc>
        <w:tc>
          <w:tcPr>
            <w:tcW w:w="120" w:type="dxa"/>
            <w:vAlign w:val="bottom"/>
            <w:shd w:val="clear" w:color="auto" w:fill="CFF0FC"/>
          </w:tcPr>
          <w:p>
            <w:pPr>
              <w:spacing w:after="0"/>
              <w:rPr>
                <w:sz w:val="12"/>
                <w:szCs w:val="12"/>
                <w:color w:val="auto"/>
              </w:rPr>
            </w:pPr>
          </w:p>
        </w:tc>
      </w:tr>
      <w:tr>
        <w:trPr>
          <w:trHeight w:val="148"/>
        </w:trPr>
        <w:tc>
          <w:tcPr>
            <w:tcW w:w="3000" w:type="dxa"/>
            <w:vAlign w:val="bottom"/>
          </w:tcPr>
          <w:p>
            <w:pPr>
              <w:ind w:left="260"/>
              <w:spacing w:after="0"/>
              <w:rPr>
                <w:sz w:val="20"/>
                <w:szCs w:val="20"/>
                <w:color w:val="auto"/>
              </w:rPr>
            </w:pPr>
            <w:r>
              <w:rPr>
                <w:rFonts w:ascii="Arial" w:cs="Arial" w:eastAsia="Arial" w:hAnsi="Arial"/>
                <w:sz w:val="13"/>
                <w:szCs w:val="13"/>
                <w:color w:val="auto"/>
              </w:rPr>
              <w:t>Vesting of restricted stock awards</w:t>
            </w:r>
          </w:p>
        </w:tc>
        <w:tc>
          <w:tcPr>
            <w:tcW w:w="1400" w:type="dxa"/>
            <w:vAlign w:val="bottom"/>
          </w:tcPr>
          <w:p>
            <w:pPr>
              <w:jc w:val="right"/>
              <w:spacing w:after="0"/>
              <w:rPr>
                <w:sz w:val="20"/>
                <w:szCs w:val="20"/>
                <w:color w:val="auto"/>
              </w:rPr>
            </w:pPr>
            <w:r>
              <w:rPr>
                <w:rFonts w:ascii="Arial" w:cs="Arial" w:eastAsia="Arial" w:hAnsi="Arial"/>
                <w:sz w:val="13"/>
                <w:szCs w:val="13"/>
                <w:color w:val="auto"/>
              </w:rPr>
              <w:t>30,753</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30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(17,103)</w:t>
            </w:r>
          </w:p>
        </w:tc>
        <w:tc>
          <w:tcPr>
            <w:tcW w:w="2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(17,103)</w:t>
            </w:r>
          </w:p>
        </w:tc>
      </w:tr>
      <w:tr>
        <w:trPr>
          <w:trHeight w:val="142"/>
        </w:trPr>
        <w:tc>
          <w:tcPr>
            <w:tcW w:w="3000" w:type="dxa"/>
            <w:vAlign w:val="bottom"/>
          </w:tcPr>
          <w:p>
            <w:pPr>
              <w:spacing w:after="0" w:line="142" w:lineRule="exact"/>
              <w:rPr>
                <w:sz w:val="20"/>
                <w:szCs w:val="20"/>
                <w:color w:val="auto"/>
              </w:rPr>
            </w:pPr>
            <w:r>
              <w:rPr>
                <w:rFonts w:ascii="Arial" w:cs="Arial" w:eastAsia="Arial" w:hAnsi="Arial"/>
                <w:sz w:val="13"/>
                <w:szCs w:val="13"/>
                <w:color w:val="auto"/>
              </w:rPr>
              <w:t>Balance as of March 31, 2019</w:t>
            </w:r>
          </w:p>
        </w:tc>
        <w:tc>
          <w:tcPr>
            <w:tcW w:w="1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23,954,241</w:t>
            </w:r>
          </w:p>
        </w:tc>
        <w:tc>
          <w:tcPr>
            <w:tcW w:w="26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984"/>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w:t>
            </w:r>
          </w:p>
        </w:tc>
        <w:tc>
          <w:tcPr>
            <w:tcW w:w="28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195,628</w:t>
            </w:r>
          </w:p>
        </w:tc>
        <w:tc>
          <w:tcPr>
            <w:tcW w:w="2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(88,842)</w:t>
            </w:r>
          </w:p>
        </w:tc>
        <w:tc>
          <w:tcPr>
            <w:tcW w:w="26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106,788</w:t>
            </w:r>
          </w:p>
        </w:tc>
        <w:tc>
          <w:tcPr>
            <w:tcW w:w="120" w:type="dxa"/>
            <w:vAlign w:val="bottom"/>
          </w:tcPr>
          <w:p>
            <w:pPr>
              <w:spacing w:after="0"/>
              <w:rPr>
                <w:sz w:val="12"/>
                <w:szCs w:val="12"/>
                <w:color w:val="auto"/>
              </w:rPr>
            </w:pPr>
          </w:p>
        </w:tc>
      </w:tr>
      <w:tr>
        <w:trPr>
          <w:trHeight w:val="20"/>
        </w:trPr>
        <w:tc>
          <w:tcPr>
            <w:tcW w:w="30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780" w:type="dxa"/>
            <w:vAlign w:val="bottom"/>
            <w:tcBorders>
              <w:bottom w:val="single" w:sz="8" w:color="auto"/>
            </w:tcBorders>
            <w:gridSpan w:val="4"/>
          </w:tcPr>
          <w:p>
            <w:pPr>
              <w:jc w:val="right"/>
              <w:ind w:right="13"/>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ind w:right="755"/>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(25,973)</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(17,103)</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Depreciation and amortization expense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283</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2,822</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Deferred rent expense</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976</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(1,485)</w:t>
            </w: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(1,443)</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(1,426)</w:t>
            </w:r>
          </w:p>
        </w:tc>
      </w:tr>
      <w:tr>
        <w:trPr>
          <w:trHeight w:val="22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cash used in operating activities</w:t>
            </w: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(22,434)</w:t>
            </w:r>
          </w:p>
        </w:tc>
        <w:tc>
          <w:tcPr>
            <w:tcW w:w="28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(17,738)</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(577)</w:t>
            </w: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(340)</w:t>
            </w:r>
          </w:p>
        </w:tc>
      </w:tr>
      <w:tr>
        <w:trPr>
          <w:trHeight w:val="223"/>
        </w:trPr>
        <w:tc>
          <w:tcPr>
            <w:tcW w:w="77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2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FF0FC"/>
          </w:tcPr>
          <w:p>
            <w:pPr>
              <w:spacing w:after="0"/>
              <w:rPr>
                <w:sz w:val="19"/>
                <w:szCs w:val="19"/>
                <w:color w:val="auto"/>
              </w:rPr>
            </w:pP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Proceeds from issuance of common shares upon completion of public offering,</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net of offering costs</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93,628</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93,663</w:t>
            </w:r>
          </w:p>
        </w:tc>
        <w:tc>
          <w:tcPr>
            <w:tcW w:w="2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70,652</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(17,826)</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187,535</w:t>
            </w:r>
          </w:p>
        </w:tc>
        <w:tc>
          <w:tcPr>
            <w:tcW w:w="2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126,794</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40" w:type="dxa"/>
            <w:vAlign w:val="bottom"/>
            <w:tcBorders>
              <w:bottom w:val="single" w:sz="8" w:color="auto"/>
            </w:tcBorders>
          </w:tcPr>
          <w:p>
            <w:pPr>
              <w:jc w:val="right"/>
              <w:ind w:right="755"/>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258,187</w:t>
            </w:r>
          </w:p>
        </w:tc>
        <w:tc>
          <w:tcPr>
            <w:tcW w:w="280" w:type="dxa"/>
            <w:vAlign w:val="bottom"/>
            <w:tcBorders>
              <w:bottom w:val="single" w:sz="8" w:color="CFF0FC"/>
            </w:tcBorders>
          </w:tcPr>
          <w:p>
            <w:pPr>
              <w:spacing w:after="0"/>
              <w:rPr>
                <w:sz w:val="22"/>
                <w:szCs w:val="22"/>
                <w:color w:val="auto"/>
              </w:rPr>
            </w:pPr>
          </w:p>
        </w:tc>
        <w:tc>
          <w:tcPr>
            <w:tcW w:w="940" w:type="dxa"/>
            <w:vAlign w:val="bottom"/>
            <w:tcBorders>
              <w:bottom w:val="single" w:sz="8" w:color="auto"/>
            </w:tcBorders>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108,968</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Property and equipment held for sale</w:t>
            </w:r>
          </w:p>
        </w:tc>
        <w:tc>
          <w:tcPr>
            <w:tcW w:w="940" w:type="dxa"/>
            <w:vAlign w:val="bottom"/>
          </w:tcPr>
          <w:p>
            <w:pPr>
              <w:jc w:val="right"/>
              <w:ind w:right="755"/>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Offering costs included in accrued expenses and accounts payable</w:t>
            </w:r>
          </w:p>
        </w:tc>
        <w:tc>
          <w:tcPr>
            <w:tcW w:w="940" w:type="dxa"/>
            <w:vAlign w:val="bottom"/>
            <w:shd w:val="clear" w:color="auto" w:fill="CFF0FC"/>
          </w:tcPr>
          <w:p>
            <w:pPr>
              <w:jc w:val="right"/>
              <w:ind w:right="755"/>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3"/>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1"/>
        </w:trPr>
        <w:tc>
          <w:tcPr>
            <w:tcW w:w="7720" w:type="dxa"/>
            <w:vAlign w:val="bottom"/>
          </w:tcPr>
          <w:p>
            <w:pPr>
              <w:spacing w:after="0"/>
              <w:rPr>
                <w:sz w:val="20"/>
                <w:szCs w:val="20"/>
                <w:color w:val="auto"/>
              </w:rPr>
            </w:pPr>
            <w:r>
              <w:rPr>
                <w:rFonts w:ascii="Arial" w:cs="Arial" w:eastAsia="Arial" w:hAnsi="Arial"/>
                <w:sz w:val="18"/>
                <w:szCs w:val="18"/>
                <w:b w:val="1"/>
                <w:bCs w:val="1"/>
                <w:color w:val="auto"/>
              </w:rPr>
              <w:t>Reconciliation of cash, cash equivalents and restricted cash reported within the</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720" w:type="dxa"/>
            <w:vAlign w:val="bottom"/>
          </w:tcPr>
          <w:p>
            <w:pPr>
              <w:ind w:left="140"/>
              <w:spacing w:after="0"/>
              <w:rPr>
                <w:sz w:val="20"/>
                <w:szCs w:val="20"/>
                <w:color w:val="auto"/>
              </w:rPr>
            </w:pPr>
            <w:r>
              <w:rPr>
                <w:rFonts w:ascii="Arial" w:cs="Arial" w:eastAsia="Arial" w:hAnsi="Arial"/>
                <w:sz w:val="18"/>
                <w:szCs w:val="18"/>
                <w:b w:val="1"/>
                <w:bCs w:val="1"/>
                <w:color w:val="auto"/>
              </w:rPr>
              <w:t>condensed consolidated balance sheets:</w:t>
            </w: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shd w:val="clear" w:color="auto" w:fill="CFF0FC"/>
          </w:tcPr>
          <w:p>
            <w:pPr>
              <w:jc w:val="right"/>
              <w:ind w:right="755"/>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257,695</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108,476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restricted cash (included in other assets)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2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40" w:type="dxa"/>
            <w:vAlign w:val="bottom"/>
            <w:tcBorders>
              <w:bottom w:val="single" w:sz="8" w:color="auto"/>
            </w:tcBorders>
            <w:shd w:val="clear" w:color="auto" w:fill="CFF0FC"/>
          </w:tcPr>
          <w:p>
            <w:pPr>
              <w:jc w:val="right"/>
              <w:ind w:right="755"/>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258,187</w:t>
            </w:r>
          </w:p>
        </w:tc>
        <w:tc>
          <w:tcPr>
            <w:tcW w:w="2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108,968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121"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 xml:space="preserve">AVROBIO, Inc. (the “Company” or “AVROBIO”) is a clinical-stage gene therapy company focused on developing potentially curative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 gene therapies to treat rare diseases following a single dose treatment regimen.</w:t>
      </w:r>
    </w:p>
    <w:p>
      <w:pPr>
        <w:spacing w:after="0" w:line="170" w:lineRule="exact"/>
        <w:rPr>
          <w:sz w:val="20"/>
          <w:szCs w:val="20"/>
          <w:color w:val="auto"/>
        </w:rPr>
      </w:pPr>
    </w:p>
    <w:p>
      <w:pPr>
        <w:ind w:right="180" w:firstLine="510"/>
        <w:spacing w:after="0" w:line="297" w:lineRule="auto"/>
        <w:rPr>
          <w:sz w:val="20"/>
          <w:szCs w:val="20"/>
          <w:color w:val="auto"/>
        </w:rPr>
      </w:pPr>
      <w:r>
        <w:rPr>
          <w:rFonts w:ascii="Arial" w:cs="Arial" w:eastAsia="Arial" w:hAnsi="Arial"/>
          <w:sz w:val="16"/>
          <w:szCs w:val="16"/>
          <w:color w:val="auto"/>
        </w:rPr>
        <w:t>The Company is subject to risks and uncertainties common to clinical-stage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61" w:lineRule="exact"/>
        <w:rPr>
          <w:sz w:val="20"/>
          <w:szCs w:val="20"/>
          <w:color w:val="auto"/>
        </w:rPr>
      </w:pPr>
    </w:p>
    <w:p>
      <w:pPr>
        <w:ind w:firstLine="510"/>
        <w:spacing w:after="0" w:line="274" w:lineRule="auto"/>
        <w:rPr>
          <w:sz w:val="20"/>
          <w:szCs w:val="20"/>
          <w:color w:val="auto"/>
        </w:rPr>
      </w:pPr>
      <w:r>
        <w:rPr>
          <w:rFonts w:ascii="Arial" w:cs="Arial" w:eastAsia="Arial" w:hAnsi="Arial"/>
          <w:sz w:val="17"/>
          <w:szCs w:val="17"/>
          <w:color w:val="auto"/>
        </w:rPr>
        <w:t>The Company has incurred recurring losses since its inception, including net losses of $25,973 and $17,103 for the three months ended March 31, 2020 and 2019, respectively. In addition, as of March 31, 2020, the Company had an accumulated deficit of $170,677. The Company has primarily funded these losses through the proceeds from sales of common and preferred stock. Although the Company has incurred recurring losses and expects to continue to incur losses for the foreseeable future, the Company expects that its existing cash and cash equivalents on hand as of March 31, 2020 of $257,695 will be sufficient to fund current planned operations and capital expenditure requirements for at least the next twelve months from the filing date of this Quarterly Report on Form 10-Q with the SEC. However,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18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The unaudited condensed consolidated interim financial statements have been prepared on the same basis as the audited annual consolidated financial statements as of and for the year ended December 31, 2019, and, in the opinion of management, reflect all adjustments, consisting of normal recurring adjustments, necessary for the fair presentation of the Company’s financial position as of March 31, 2020, and the results of its operations for the three months ended March 31, 2020 and 2019, its statements of stockholders’ equity for the three months ended March 31, 2020 and 2019 and its statement of cash flows for the three months ended March 31, 2020 and 2019.</w:t>
      </w:r>
    </w:p>
    <w:p>
      <w:pPr>
        <w:spacing w:after="0" w:line="188"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results for the three months ended March 31, 2020 are not necessarily indicative of the results to be expected for the year ending December 31, 2020, any other interim periods, or any future year or period. These interim financial statements should be read in conjunction with the audited financial statements as of and for the year ended December 31, 2019, and the notes thereto, which are included in the Company’s Annual Report on Form 10-K for the year ended December 31, 2019, filed with the SEC on March 16, 2020.</w:t>
      </w:r>
    </w:p>
    <w:p>
      <w:pPr>
        <w:spacing w:after="0" w:line="187" w:lineRule="exact"/>
        <w:rPr>
          <w:sz w:val="20"/>
          <w:szCs w:val="20"/>
          <w:color w:val="auto"/>
        </w:rPr>
      </w:pPr>
    </w:p>
    <w:p>
      <w:pPr>
        <w:ind w:right="400" w:firstLine="510"/>
        <w:spacing w:after="0" w:line="287" w:lineRule="auto"/>
        <w:rPr>
          <w:sz w:val="20"/>
          <w:szCs w:val="20"/>
          <w:color w:val="auto"/>
        </w:rPr>
      </w:pPr>
      <w:r>
        <w:rPr>
          <w:rFonts w:ascii="Arial" w:cs="Arial" w:eastAsia="Arial" w:hAnsi="Arial"/>
          <w:sz w:val="16"/>
          <w:szCs w:val="16"/>
          <w:color w:val="auto"/>
        </w:rPr>
        <w:t>The accompanying unaudited condensed consolidated financial statements reflect the application of certain significant accounting policies as described below and elsewhere in these notes to the unaudited condensed consolidated financial statements. As of March 31, 2020, there have been no changes to the Company’s significant accounting policies as described in the Company’s Annual Report on Form 10-K for the fiscal year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ended December 31, 2019, except as it related to the adoption of new accounting standards during the first three months of 2020 as discussed below.</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 and expenses during the reporting periods. Significant estimates and assumptions reflected in these consolidated financial statements include, but are not limited to, the accrual for research and development expenses, stock-based compensation expense, the valuation of equity and derivative instruments and the recoverability of the Company’s net deferred tax assets and related valuation allowance. Estimates are periodically reviewed in light of changes in circumstances, facts and experience. Changes in estimates are recorded in the period in which they become known. Actual results could differ materially from those estimates.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its initial public offering (“IPO”) or such earlier time that it is no longer an “emerging growth company”.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 Considerations</w:t>
      </w:r>
    </w:p>
    <w:p>
      <w:pPr>
        <w:spacing w:after="0" w:line="117" w:lineRule="exact"/>
        <w:rPr>
          <w:sz w:val="20"/>
          <w:szCs w:val="20"/>
          <w:color w:val="auto"/>
        </w:rPr>
      </w:pPr>
    </w:p>
    <w:p>
      <w:pPr>
        <w:ind w:right="580" w:firstLine="510"/>
        <w:spacing w:after="0" w:line="263"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consolidated financial statements to provide additional evidence for certain estimates or to identify matters that require additional disclosure. Subsequent events have been evaluated as required.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160" w:firstLine="510"/>
        <w:spacing w:after="0" w:line="296"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or ASU 2019-12. ASU 2019-12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The guidance is effective for fiscal years beginning after December 15, 2020, and interim periods within those fiscal years, with early adoption permitted. The Company is currently evaluating the impact that the adoption of ASU 2019-12 will have on its consolidated financial statements.</w:t>
      </w:r>
    </w:p>
    <w:p>
      <w:pPr>
        <w:spacing w:after="0" w:line="202"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 xml:space="preserve">In November 2018, the FASB issued ASU No. 2018-18, </w:t>
      </w:r>
      <w:r>
        <w:rPr>
          <w:rFonts w:ascii="Arial" w:cs="Arial" w:eastAsia="Arial" w:hAnsi="Arial"/>
          <w:sz w:val="16"/>
          <w:szCs w:val="16"/>
          <w:i w:val="1"/>
          <w:iCs w:val="1"/>
          <w:color w:val="auto"/>
        </w:rPr>
        <w:t>Collaborative Arrangements (Topic 808)—Clarifying the Interaction between Topic 808</w:t>
      </w:r>
      <w:r>
        <w:rPr>
          <w:rFonts w:ascii="Arial" w:cs="Arial" w:eastAsia="Arial" w:hAnsi="Arial"/>
          <w:sz w:val="16"/>
          <w:szCs w:val="16"/>
          <w:color w:val="auto"/>
        </w:rPr>
        <w:t xml:space="preserve"> </w:t>
      </w:r>
      <w:r>
        <w:rPr>
          <w:rFonts w:ascii="Arial" w:cs="Arial" w:eastAsia="Arial" w:hAnsi="Arial"/>
          <w:sz w:val="16"/>
          <w:szCs w:val="16"/>
          <w:i w:val="1"/>
          <w:iCs w:val="1"/>
          <w:color w:val="auto"/>
        </w:rPr>
        <w:t>and Topic 606</w:t>
      </w:r>
      <w:r>
        <w:rPr>
          <w:rFonts w:ascii="Arial" w:cs="Arial" w:eastAsia="Arial" w:hAnsi="Arial"/>
          <w:sz w:val="16"/>
          <w:szCs w:val="16"/>
          <w:color w:val="auto"/>
        </w:rPr>
        <w:t>, or ASU 2018-18. The amendments in ASU 2018-18 clarify that certain transactions between collaborative arrangement participants should</w:t>
      </w:r>
      <w:r>
        <w:rPr>
          <w:rFonts w:ascii="Arial" w:cs="Arial" w:eastAsia="Arial" w:hAnsi="Arial"/>
          <w:sz w:val="16"/>
          <w:szCs w:val="16"/>
          <w:i w:val="1"/>
          <w:iCs w:val="1"/>
          <w:color w:val="auto"/>
        </w:rPr>
        <w:t xml:space="preserve"> </w:t>
      </w:r>
      <w:r>
        <w:rPr>
          <w:rFonts w:ascii="Arial" w:cs="Arial" w:eastAsia="Arial" w:hAnsi="Arial"/>
          <w:sz w:val="16"/>
          <w:szCs w:val="16"/>
          <w:color w:val="auto"/>
        </w:rPr>
        <w:t>be accounted for as revenue under ASC 606 when the collaborative arrangement participant is a customer in the context of a unit of account. The amendments under ASU 2018-18 are effective for interim and annual fiscal periods beginning after December 15, 2019, with early adoption permitted. The amendments in ASU 2018-18 should be applied retrospectively to the date of initial application of ASC 606. The Company adopted ASU 2018-18 during the quarter ended March 31, 2020. The adoption did not have a material impact on the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Intangible-Goodwill and Other Internal-Use Software (Subtopic 350-40),</w:t>
      </w:r>
      <w:r>
        <w:rPr>
          <w:rFonts w:ascii="Arial" w:cs="Arial" w:eastAsia="Arial" w:hAnsi="Arial"/>
          <w:sz w:val="18"/>
          <w:szCs w:val="18"/>
          <w:color w:val="auto"/>
        </w:rPr>
        <w:t xml:space="preserve"> or ASU 2018-</w:t>
      </w:r>
    </w:p>
    <w:p>
      <w:pPr>
        <w:spacing w:after="0" w:line="23" w:lineRule="exact"/>
        <w:rPr>
          <w:sz w:val="20"/>
          <w:szCs w:val="20"/>
          <w:color w:val="auto"/>
        </w:rPr>
      </w:pPr>
    </w:p>
    <w:p>
      <w:pPr>
        <w:ind w:right="140" w:firstLine="8"/>
        <w:spacing w:after="0" w:line="253"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ASU 2018-15 updates guidance regarding accounting for implementation costs associated with a cloud computing arrangement that is a service contract. The amendments under ASU 2018-15 are effective for interim and annual fiscal periods beginning after December 15, 2019, with early adoption permitted. The Company adopted ASU 2018-15 during the quarter ended March 31, 2020. The adoption did not have a material impact on the condensed consolidated financial statements.</w:t>
      </w:r>
    </w:p>
    <w:p>
      <w:pPr>
        <w:spacing w:after="0" w:line="193"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or ASU 2018-13. The amendments in ASU 2018-13 eliminate, add, and modify certain disclosure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for fair value measurements. The amendments are effective for interim and annual reporting periods beginning after December 15, 2019, with early adoption permitted for either the entire ASU or only the provisions that eliminate or modify requirements. The amendments with respect to changes in unrealized gains and losses, the range and weighted-average of significant unobservable inputs used to develop Level 3 fair value measurements, and the narrative description of measurement uncertainty are to be applied prospectively. All other amendments are to be applied retrospectively to all periods presented. The Company adopted ASU 2018-13 during the quarter ended March 31, 2020. The adoption did not have a material impact on the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51"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or ASU 2016-13. ASU 2016-13 requires that credit losses be reported as an allowance using an expected losses model, representing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entity's current estimate of credit losses expected to be incurred. The accounting guidance currently in effect is based on an incurred loss model. For available-for-sale debt securities with unrealized losses, this standard now requires allowances to be recorded instead of reducing the amortized cost of the investment.</w:t>
      </w:r>
    </w:p>
    <w:p>
      <w:pPr>
        <w:spacing w:after="0" w:line="215"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In November 2019, the FASB issued ASU 2019-11, “</w:t>
      </w:r>
      <w:r>
        <w:rPr>
          <w:rFonts w:ascii="Arial" w:cs="Arial" w:eastAsia="Arial" w:hAnsi="Arial"/>
          <w:sz w:val="17"/>
          <w:szCs w:val="17"/>
          <w:i w:val="1"/>
          <w:iCs w:val="1"/>
          <w:color w:val="auto"/>
        </w:rPr>
        <w:t>Codification Improvements to Topic 326, Financial Instruments – Credit Losses</w:t>
      </w:r>
      <w:r>
        <w:rPr>
          <w:rFonts w:ascii="Arial" w:cs="Arial" w:eastAsia="Arial" w:hAnsi="Arial"/>
          <w:sz w:val="17"/>
          <w:szCs w:val="17"/>
          <w:color w:val="auto"/>
        </w:rPr>
        <w:t>” or ASU 2019-11. ASU 2019-11 is an accounting pronouncement that amends ASU 2016-13, “</w:t>
      </w:r>
      <w:r>
        <w:rPr>
          <w:rFonts w:ascii="Arial" w:cs="Arial" w:eastAsia="Arial" w:hAnsi="Arial"/>
          <w:sz w:val="17"/>
          <w:szCs w:val="17"/>
          <w:i w:val="1"/>
          <w:iCs w:val="1"/>
          <w:color w:val="auto"/>
        </w:rPr>
        <w:t>Financial Instruments – Credit Losses (Topic 326):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Credit Losses on Financial Instruments</w:t>
      </w:r>
      <w:r>
        <w:rPr>
          <w:rFonts w:ascii="Arial" w:cs="Arial" w:eastAsia="Arial" w:hAnsi="Arial"/>
          <w:sz w:val="17"/>
          <w:szCs w:val="17"/>
          <w:color w:val="auto"/>
        </w:rPr>
        <w:t>.” The amendments update guidance on reporting credit losses for financial assets. These amendments affect loans,</w:t>
      </w:r>
      <w:r>
        <w:rPr>
          <w:rFonts w:ascii="Arial" w:cs="Arial" w:eastAsia="Arial" w:hAnsi="Arial"/>
          <w:sz w:val="17"/>
          <w:szCs w:val="17"/>
          <w:i w:val="1"/>
          <w:iCs w:val="1"/>
          <w:color w:val="auto"/>
        </w:rPr>
        <w:t xml:space="preserve"> </w:t>
      </w:r>
      <w:r>
        <w:rPr>
          <w:rFonts w:ascii="Arial" w:cs="Arial" w:eastAsia="Arial" w:hAnsi="Arial"/>
          <w:sz w:val="17"/>
          <w:szCs w:val="17"/>
          <w:color w:val="auto"/>
        </w:rPr>
        <w:t>debt securities, trade receivables, net investments in leases, off balance sheet credit exposures, reinsurance receivables, and any other financial assets not excluded from the scope that have the contractual right to receive cash. The amendments in both ASU 2016-13 and ASU 2019-11 are effective for annual reporting periods beginning after December 15, 2019, including interim periods within those fiscal years. As a result of the Company having elected the extended transition period for complying with new or revised accounting standards pursuant to Section 107(b) of the JOBS Act, 2016-13 and ASU 2019-11 are effective for the Company for fiscal years beginning after December 15, 2020, and interim periods within fiscal years beginning after December 15, 2021. The Company is currently evaluating ASU 2016-13 and ASU 2019-11 and their impact on its condensed consolidated financial statements and financial statement disclosures.</w:t>
      </w:r>
    </w:p>
    <w:p>
      <w:pPr>
        <w:spacing w:after="0" w:line="185"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(Topic 842) Leases,</w:t>
      </w:r>
      <w:r>
        <w:rPr>
          <w:rFonts w:ascii="Arial" w:cs="Arial" w:eastAsia="Arial" w:hAnsi="Arial"/>
          <w:sz w:val="16"/>
          <w:szCs w:val="16"/>
          <w:color w:val="auto"/>
        </w:rPr>
        <w:t xml:space="preserve"> or ASU 2016-02. ASU 2016-02 requires an entity to recognize assets and liabilities arising from a lease for both financing and operating leases. The ASU will also require new qualitative and quantitative disclosures to help investors and other financial statement users better understand the amount, timing, and uncertainty of cash flows arising from leases. For public</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entities, ASU 2016-02 is effective for fiscal years beginning after December 15, 2018. As a result of the Company having elected the extended transition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for complying with new or revised accounting standards pursuant to Section 107(b) of the JOBS Act, ASU 2016-02 is effective for the Company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year ended December 31, 2021, and all interim periods thereafter. Early adoption is permitted. The Company is currently evaluating the impact that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adoption of ASU 2016-02 will have on its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Assets and Liabilities</w:t>
      </w:r>
    </w:p>
    <w:p>
      <w:pPr>
        <w:spacing w:after="0" w:line="121"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The following table presents information about the Company’s financial assets measured at fair value on a recurring basis and indicates the level of the fair value hierarchy utilized to determine such fair values as of March 31, 2020 and December 31, 2019:</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80" w:type="dxa"/>
            <w:vAlign w:val="bottom"/>
            <w:tcBorders>
              <w:bottom w:val="single" w:sz="8" w:color="auto"/>
            </w:tcBorders>
            <w:gridSpan w:val="9"/>
          </w:tcPr>
          <w:p>
            <w:pPr>
              <w:jc w:val="center"/>
              <w:ind w:left="417"/>
              <w:spacing w:after="0"/>
              <w:rPr>
                <w:sz w:val="20"/>
                <w:szCs w:val="20"/>
                <w:color w:val="auto"/>
              </w:rPr>
            </w:pPr>
            <w:r>
              <w:rPr>
                <w:rFonts w:ascii="Arial" w:cs="Arial" w:eastAsia="Arial" w:hAnsi="Arial"/>
                <w:sz w:val="14"/>
                <w:szCs w:val="14"/>
                <w:b w:val="1"/>
                <w:bCs w:val="1"/>
                <w:color w:val="auto"/>
                <w:w w:val="93"/>
              </w:rPr>
              <w:t>Fair Value Measurements as of March 31, 2020 Using:</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3"/>
                <w:szCs w:val="13"/>
                <w:color w:val="auto"/>
              </w:rPr>
            </w:pPr>
          </w:p>
        </w:tc>
        <w:tc>
          <w:tcPr>
            <w:tcW w:w="700" w:type="dxa"/>
            <w:vAlign w:val="bottom"/>
          </w:tcPr>
          <w:p>
            <w:pPr>
              <w:jc w:val="right"/>
              <w:ind w:right="295"/>
              <w:spacing w:after="0" w:line="155"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3"/>
                <w:szCs w:val="13"/>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253,588</w:t>
            </w:r>
          </w:p>
        </w:tc>
        <w:tc>
          <w:tcPr>
            <w:tcW w:w="2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253,588</w:t>
            </w: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FF0FC"/>
          </w:tcPr>
          <w:p>
            <w:pPr>
              <w:spacing w:after="0"/>
              <w:rPr>
                <w:sz w:val="19"/>
                <w:szCs w:val="19"/>
                <w:color w:val="auto"/>
              </w:rPr>
            </w:pPr>
          </w:p>
        </w:tc>
      </w:tr>
      <w:tr>
        <w:trPr>
          <w:trHeight w:val="223"/>
        </w:trPr>
        <w:tc>
          <w:tcPr>
            <w:tcW w:w="5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254,080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254,080</w:t>
            </w:r>
          </w:p>
        </w:tc>
        <w:tc>
          <w:tcPr>
            <w:tcW w:w="10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5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80" w:type="dxa"/>
            <w:vAlign w:val="bottom"/>
            <w:gridSpan w:val="11"/>
          </w:tcPr>
          <w:p>
            <w:pPr>
              <w:jc w:val="center"/>
              <w:ind w:right="300"/>
              <w:spacing w:after="0"/>
              <w:rPr>
                <w:sz w:val="20"/>
                <w:szCs w:val="20"/>
                <w:color w:val="auto"/>
              </w:rPr>
            </w:pPr>
            <w:r>
              <w:rPr>
                <w:rFonts w:ascii="Arial" w:cs="Arial" w:eastAsia="Arial" w:hAnsi="Arial"/>
                <w:sz w:val="14"/>
                <w:szCs w:val="14"/>
                <w:b w:val="1"/>
                <w:bCs w:val="1"/>
                <w:color w:val="auto"/>
                <w:w w:val="92"/>
              </w:rPr>
              <w:t>Fair Value Measurements as of December 31, 2019 Using:</w:t>
            </w:r>
          </w:p>
        </w:tc>
      </w:tr>
      <w:tr>
        <w:trPr>
          <w:trHeight w:val="155"/>
        </w:trPr>
        <w:tc>
          <w:tcPr>
            <w:tcW w:w="5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3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3"/>
                <w:szCs w:val="13"/>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186,797</w:t>
            </w:r>
          </w:p>
        </w:tc>
        <w:tc>
          <w:tcPr>
            <w:tcW w:w="2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186,797</w:t>
            </w: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FF0FC"/>
          </w:tcPr>
          <w:p>
            <w:pPr>
              <w:spacing w:after="0"/>
              <w:rPr>
                <w:sz w:val="19"/>
                <w:szCs w:val="19"/>
                <w:color w:val="auto"/>
              </w:rPr>
            </w:pPr>
          </w:p>
        </w:tc>
      </w:tr>
      <w:tr>
        <w:trPr>
          <w:trHeight w:val="223"/>
        </w:trPr>
        <w:tc>
          <w:tcPr>
            <w:tcW w:w="5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187,289</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187,289</w:t>
            </w:r>
          </w:p>
        </w:tc>
        <w:tc>
          <w:tcPr>
            <w:tcW w:w="10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transfers within the hierarchy during the three months ended March 31, 2020 or the year ended December 31, 2019.</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jc w:val="right"/>
        <w:ind w:right="150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Prepaid Expenses and Other Current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53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Tax incentive refund</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2,034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Prepaid research and development costs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4,006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Interest income receivable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Prepaid rent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966</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7,652</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70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60" w:type="dxa"/>
            <w:vAlign w:val="bottom"/>
            <w:gridSpan w:val="2"/>
          </w:tcPr>
          <w:p>
            <w:pPr>
              <w:ind w:left="520"/>
              <w:spacing w:after="0"/>
              <w:rPr>
                <w:sz w:val="20"/>
                <w:szCs w:val="20"/>
                <w:color w:val="auto"/>
              </w:rPr>
            </w:pPr>
            <w:r>
              <w:rPr>
                <w:rFonts w:ascii="Arial" w:cs="Arial" w:eastAsia="Arial" w:hAnsi="Arial"/>
                <w:sz w:val="18"/>
                <w:szCs w:val="18"/>
                <w:color w:val="auto"/>
              </w:rPr>
              <w:t>Property and equipment, net consisted of the following:</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7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536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Laboratory and office equipment</w:t>
            </w:r>
          </w:p>
        </w:tc>
        <w:tc>
          <w:tcPr>
            <w:tcW w:w="160" w:type="dxa"/>
            <w:vAlign w:val="bottom"/>
            <w:gridSpan w:val="2"/>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3,450</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4,924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(1,517)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and amortization expense for the three months ended March 31, 2020 and 2019 was $283 and $190,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175"/>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120" w:type="dxa"/>
            <w:vAlign w:val="bottom"/>
            <w:tcBorders>
              <w:bottom w:val="single" w:sz="8" w:color="CFF0FC"/>
            </w:tcBorders>
          </w:tcPr>
          <w:p>
            <w:pPr>
              <w:spacing w:after="0"/>
              <w:rPr>
                <w:sz w:val="14"/>
                <w:szCs w:val="14"/>
                <w:color w:val="auto"/>
              </w:rPr>
            </w:pPr>
          </w:p>
        </w:tc>
        <w:tc>
          <w:tcPr>
            <w:tcW w:w="2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Compensation and benefit costs</w:t>
            </w:r>
          </w:p>
        </w:tc>
        <w:tc>
          <w:tcPr>
            <w:tcW w:w="2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3,028</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2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5,794</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Consulting and professional fees</w:t>
            </w:r>
          </w:p>
        </w:tc>
        <w:tc>
          <w:tcPr>
            <w:tcW w:w="2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2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80" w:type="dxa"/>
            <w:vAlign w:val="bottom"/>
            <w:tcBorders>
              <w:bottom w:val="single" w:sz="8" w:color="CFF0FC"/>
            </w:tcBorders>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120" w:type="dxa"/>
            <w:vAlign w:val="bottom"/>
            <w:shd w:val="clear" w:color="auto" w:fill="CFF0FC"/>
          </w:tcPr>
          <w:p>
            <w:pPr>
              <w:spacing w:after="0"/>
              <w:rPr>
                <w:sz w:val="20"/>
                <w:szCs w:val="20"/>
                <w:color w:val="auto"/>
              </w:rPr>
            </w:pPr>
          </w:p>
        </w:tc>
        <w:tc>
          <w:tcPr>
            <w:tcW w:w="2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10,638</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10,068</w:t>
            </w:r>
          </w:p>
        </w:tc>
        <w:tc>
          <w:tcPr>
            <w:tcW w:w="80" w:type="dxa"/>
            <w:vAlign w:val="bottom"/>
            <w:shd w:val="clear" w:color="auto" w:fill="CFF0FC"/>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120" w:type="dxa"/>
            <w:vAlign w:val="bottom"/>
            <w:tcBorders>
              <w:top w:val="single" w:sz="8" w:color="CFF0FC"/>
            </w:tcBorders>
          </w:tcPr>
          <w:p>
            <w:pPr>
              <w:spacing w:after="0" w:line="20" w:lineRule="exact"/>
              <w:rPr>
                <w:sz w:val="1"/>
                <w:szCs w:val="1"/>
                <w:color w:val="auto"/>
              </w:rPr>
            </w:pPr>
          </w:p>
        </w:tc>
        <w:tc>
          <w:tcPr>
            <w:tcW w:w="2240" w:type="dxa"/>
            <w:vAlign w:val="bottom"/>
            <w:tcBorders>
              <w:top w:val="single" w:sz="8" w:color="CFF0FC"/>
              <w:bottom w:val="single" w:sz="8" w:color="CFF0FC"/>
            </w:tcBorders>
            <w:vMerge w:val="restart"/>
          </w:tcPr>
          <w:p>
            <w:pPr>
              <w:jc w:val="right"/>
              <w:ind w:right="1310"/>
              <w:spacing w:after="0"/>
              <w:rPr>
                <w:sz w:val="20"/>
                <w:szCs w:val="20"/>
                <w:color w:val="auto"/>
              </w:rPr>
            </w:pPr>
            <w:r>
              <w:rPr>
                <w:rFonts w:ascii="Arial" w:cs="Arial" w:eastAsia="Arial" w:hAnsi="Arial"/>
                <w:sz w:val="18"/>
                <w:szCs w:val="18"/>
                <w:color w:val="auto"/>
              </w:rPr>
              <w:t>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 w:name="page13"/>
    <w:bookmarkEnd w:id="12"/>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8"/>
          <w:szCs w:val="18"/>
          <w:b w:val="1"/>
          <w:bCs w:val="1"/>
          <w:i w:val="1"/>
          <w:iCs w:val="1"/>
          <w:color w:val="auto"/>
        </w:rPr>
        <w:t>ommon Stock</w:t>
      </w:r>
    </w:p>
    <w:p>
      <w:pPr>
        <w:spacing w:after="0" w:line="11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As of March 31, 2020 and December 31, 2019, the authorized capital stock of the Company included 150,000,000 shares of common stock, $0.0001 par value and 10,000,000 shares of undesignated preferred stock. As of March 31, 2020 and December 31, 2019, no undesignated preferred stock was outstanding.</w:t>
      </w:r>
    </w:p>
    <w:p>
      <w:pPr>
        <w:spacing w:after="0" w:line="184"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In accordance with the Fourth Amended and Restated Certificate of Incorporation, the holders of the common stock shall have the exclusive right to vote for the election of directors of the Company and on all other matters requiring stockholder action, each outstanding share entitling the holder thereof to one vote on each matter properly submitted to the stockholders of the Company for their vote; provided, however, that, except as otherwise required by law, holders of common stock, as such, shall not be entitled to vote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a certificate of designations of any series of undesignated preferred stock.</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Through March 31, 2020, no cash dividends have been declared or paid.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March 31, 2020 and December 31, 2019, the Company has reserved the following shares of common stock for future issuance:</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w:t>
            </w: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vesting of restricted stock awards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20,168</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30,252</w:t>
            </w:r>
          </w:p>
        </w:tc>
        <w:tc>
          <w:tcPr>
            <w:tcW w:w="80" w:type="dxa"/>
            <w:vAlign w:val="bottom"/>
            <w:shd w:val="clear" w:color="auto" w:fill="CFF0FC"/>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Shares reserved for exercise of outstanding stock options</w:t>
            </w:r>
          </w:p>
        </w:tc>
        <w:tc>
          <w:tcPr>
            <w:tcW w:w="1080" w:type="dxa"/>
            <w:vAlign w:val="bottom"/>
          </w:tcPr>
          <w:p>
            <w:pPr>
              <w:jc w:val="right"/>
              <w:spacing w:after="0"/>
              <w:rPr>
                <w:sz w:val="20"/>
                <w:szCs w:val="20"/>
                <w:color w:val="auto"/>
              </w:rPr>
            </w:pPr>
            <w:r>
              <w:rPr>
                <w:rFonts w:ascii="Arial" w:cs="Arial" w:eastAsia="Arial" w:hAnsi="Arial"/>
                <w:sz w:val="18"/>
                <w:szCs w:val="18"/>
                <w:color w:val="auto"/>
              </w:rPr>
              <w:t>5,310,482</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3,414,445</w:t>
            </w:r>
          </w:p>
        </w:tc>
        <w:tc>
          <w:tcPr>
            <w:tcW w:w="80" w:type="dxa"/>
            <w:vAlign w:val="bottom"/>
          </w:tcPr>
          <w:p>
            <w:pPr>
              <w:spacing w:after="0"/>
              <w:rPr>
                <w:sz w:val="19"/>
                <w:szCs w:val="19"/>
                <w:color w:val="auto"/>
              </w:rPr>
            </w:pPr>
          </w:p>
        </w:tc>
      </w:tr>
      <w:tr>
        <w:trPr>
          <w:trHeight w:val="22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vesting of restricted stock units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w:t>
            </w:r>
          </w:p>
        </w:tc>
        <w:tc>
          <w:tcPr>
            <w:tcW w:w="80" w:type="dxa"/>
            <w:vAlign w:val="bottom"/>
            <w:shd w:val="clear" w:color="auto" w:fill="CFF0FC"/>
          </w:tcPr>
          <w:p>
            <w:pPr>
              <w:spacing w:after="0"/>
              <w:rPr>
                <w:sz w:val="19"/>
                <w:szCs w:val="19"/>
                <w:color w:val="auto"/>
              </w:rPr>
            </w:pPr>
          </w:p>
        </w:tc>
      </w:tr>
      <w:tr>
        <w:trPr>
          <w:trHeight w:val="215"/>
        </w:trPr>
        <w:tc>
          <w:tcPr>
            <w:tcW w:w="5420" w:type="dxa"/>
            <w:vAlign w:val="bottom"/>
          </w:tcPr>
          <w:p>
            <w:pPr>
              <w:spacing w:after="0"/>
              <w:rPr>
                <w:sz w:val="20"/>
                <w:szCs w:val="20"/>
                <w:color w:val="auto"/>
              </w:rPr>
            </w:pPr>
            <w:r>
              <w:rPr>
                <w:rFonts w:ascii="Arial" w:cs="Arial" w:eastAsia="Arial" w:hAnsi="Arial"/>
                <w:sz w:val="18"/>
                <w:szCs w:val="18"/>
                <w:color w:val="auto"/>
              </w:rPr>
              <w:t>Shares reserved for issuance under the 2018 Stock Option</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420" w:type="dxa"/>
            <w:vAlign w:val="bottom"/>
          </w:tcPr>
          <w:p>
            <w:pPr>
              <w:ind w:left="140"/>
              <w:spacing w:after="0"/>
              <w:rPr>
                <w:sz w:val="20"/>
                <w:szCs w:val="20"/>
                <w:color w:val="auto"/>
              </w:rPr>
            </w:pPr>
            <w:r>
              <w:rPr>
                <w:rFonts w:ascii="Arial" w:cs="Arial" w:eastAsia="Arial" w:hAnsi="Arial"/>
                <w:sz w:val="18"/>
                <w:szCs w:val="18"/>
                <w:color w:val="auto"/>
              </w:rPr>
              <w:t>and Grant Plan</w:t>
            </w:r>
          </w:p>
        </w:tc>
        <w:tc>
          <w:tcPr>
            <w:tcW w:w="1080" w:type="dxa"/>
            <w:vAlign w:val="bottom"/>
          </w:tcPr>
          <w:p>
            <w:pPr>
              <w:jc w:val="right"/>
              <w:spacing w:after="0"/>
              <w:rPr>
                <w:sz w:val="20"/>
                <w:szCs w:val="20"/>
                <w:color w:val="auto"/>
              </w:rPr>
            </w:pPr>
            <w:r>
              <w:rPr>
                <w:rFonts w:ascii="Arial" w:cs="Arial" w:eastAsia="Arial" w:hAnsi="Arial"/>
                <w:sz w:val="18"/>
                <w:szCs w:val="18"/>
                <w:color w:val="auto"/>
              </w:rPr>
              <w:t>202,260</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332,513</w:t>
            </w:r>
          </w:p>
        </w:tc>
        <w:tc>
          <w:tcPr>
            <w:tcW w:w="80" w:type="dxa"/>
            <w:vAlign w:val="bottom"/>
          </w:tcPr>
          <w:p>
            <w:pPr>
              <w:spacing w:after="0"/>
              <w:rPr>
                <w:sz w:val="20"/>
                <w:szCs w:val="20"/>
                <w:color w:val="auto"/>
              </w:rPr>
            </w:pPr>
          </w:p>
        </w:tc>
      </w:tr>
      <w:tr>
        <w:trPr>
          <w:trHeight w:val="215"/>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issuance under the 2018 Employee Stock</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Purchase Plan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776,325</w:t>
            </w: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459,595</w:t>
            </w:r>
          </w:p>
        </w:tc>
        <w:tc>
          <w:tcPr>
            <w:tcW w:w="80" w:type="dxa"/>
            <w:vAlign w:val="bottom"/>
            <w:shd w:val="clear" w:color="auto" w:fill="CFF0FC"/>
          </w:tcPr>
          <w:p>
            <w:pPr>
              <w:spacing w:after="0"/>
              <w:rPr>
                <w:sz w:val="20"/>
                <w:szCs w:val="20"/>
                <w:color w:val="auto"/>
              </w:rPr>
            </w:pPr>
          </w:p>
        </w:tc>
      </w:tr>
      <w:tr>
        <w:trPr>
          <w:trHeight w:val="229"/>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Shares reserved for issuance under the 2019 Inducement Plan</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1,296,000</w:t>
            </w:r>
          </w:p>
        </w:tc>
        <w:tc>
          <w:tcPr>
            <w:tcW w:w="20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1,800,000</w:t>
            </w:r>
          </w:p>
        </w:tc>
        <w:tc>
          <w:tcPr>
            <w:tcW w:w="80" w:type="dxa"/>
            <w:vAlign w:val="bottom"/>
            <w:tcBorders>
              <w:bottom w:val="single" w:sz="8" w:color="CFF0FC"/>
            </w:tcBorders>
          </w:tcPr>
          <w:p>
            <w:pPr>
              <w:spacing w:after="0"/>
              <w:rPr>
                <w:sz w:val="19"/>
                <w:szCs w:val="19"/>
                <w:color w:val="auto"/>
              </w:rPr>
            </w:pPr>
          </w:p>
        </w:tc>
      </w:tr>
      <w:tr>
        <w:trPr>
          <w:trHeight w:val="20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Total shares of authorized common stock reserved for future</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4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issuance</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7,606,865</w:t>
            </w:r>
          </w:p>
        </w:tc>
        <w:tc>
          <w:tcPr>
            <w:tcW w:w="2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6,039,105</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0"/>
        </w:trPr>
        <w:tc>
          <w:tcPr>
            <w:tcW w:w="5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7"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 assumptions that the Company used to determine the grant-date fair value of stock options granted to employees and members of the board of directors were as follows, presented on a weighted-average basis: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6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Three Months Ended March 31,</w:t>
            </w:r>
          </w:p>
        </w:tc>
        <w:tc>
          <w:tcPr>
            <w:tcW w:w="1700" w:type="dxa"/>
            <w:vAlign w:val="bottom"/>
          </w:tcPr>
          <w:p>
            <w:pPr>
              <w:spacing w:after="0"/>
              <w:rPr>
                <w:sz w:val="14"/>
                <w:szCs w:val="14"/>
                <w:color w:val="auto"/>
              </w:rPr>
            </w:pPr>
          </w:p>
        </w:tc>
      </w:tr>
      <w:tr>
        <w:trPr>
          <w:trHeight w:val="155"/>
        </w:trPr>
        <w:tc>
          <w:tcPr>
            <w:tcW w:w="1700" w:type="dxa"/>
            <w:vAlign w:val="bottom"/>
          </w:tcPr>
          <w:p>
            <w:pPr>
              <w:spacing w:after="0"/>
              <w:rPr>
                <w:sz w:val="13"/>
                <w:szCs w:val="13"/>
                <w:color w:val="auto"/>
              </w:rPr>
            </w:pPr>
          </w:p>
        </w:tc>
        <w:tc>
          <w:tcPr>
            <w:tcW w:w="2940" w:type="dxa"/>
            <w:vAlign w:val="bottom"/>
            <w:tcBorders>
              <w:bottom w:val="single" w:sz="8" w:color="CFF0FC"/>
            </w:tcBorders>
          </w:tcPr>
          <w:p>
            <w:pPr>
              <w:spacing w:after="0"/>
              <w:rPr>
                <w:sz w:val="13"/>
                <w:szCs w:val="13"/>
                <w:color w:val="auto"/>
              </w:rPr>
            </w:pPr>
          </w:p>
        </w:tc>
        <w:tc>
          <w:tcPr>
            <w:tcW w:w="2320" w:type="dxa"/>
            <w:vAlign w:val="bottom"/>
            <w:tcBorders>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1700" w:type="dxa"/>
            <w:vAlign w:val="bottom"/>
          </w:tcPr>
          <w:p>
            <w:pPr>
              <w:spacing w:after="0"/>
              <w:rPr>
                <w:sz w:val="13"/>
                <w:szCs w:val="13"/>
                <w:color w:val="auto"/>
              </w:rPr>
            </w:pPr>
          </w:p>
        </w:tc>
      </w:tr>
      <w:tr>
        <w:trPr>
          <w:trHeight w:val="223"/>
        </w:trPr>
        <w:tc>
          <w:tcPr>
            <w:tcW w:w="1700" w:type="dxa"/>
            <w:vAlign w:val="bottom"/>
          </w:tcPr>
          <w:p>
            <w:pPr>
              <w:spacing w:after="0"/>
              <w:rPr>
                <w:sz w:val="19"/>
                <w:szCs w:val="19"/>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Expected option life (years)</w:t>
            </w:r>
          </w:p>
        </w:tc>
        <w:tc>
          <w:tcPr>
            <w:tcW w:w="2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680" w:type="dxa"/>
            <w:vAlign w:val="bottom"/>
            <w:gridSpan w:val="3"/>
          </w:tcPr>
          <w:p>
            <w:pPr>
              <w:jc w:val="right"/>
              <w:ind w:right="160"/>
              <w:spacing w:after="0"/>
              <w:rPr>
                <w:sz w:val="20"/>
                <w:szCs w:val="20"/>
                <w:color w:val="auto"/>
              </w:rPr>
            </w:pPr>
            <w:r>
              <w:rPr>
                <w:rFonts w:ascii="Arial" w:cs="Arial" w:eastAsia="Arial" w:hAnsi="Arial"/>
                <w:sz w:val="18"/>
                <w:szCs w:val="18"/>
                <w:color w:val="auto"/>
              </w:rPr>
              <w:t>0.96%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2.53%</w:t>
            </w: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36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75.49%</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80.57%</w:t>
            </w: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3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0"/>
                <w:szCs w:val="20"/>
                <w:color w:val="auto"/>
              </w:rPr>
            </w:pPr>
          </w:p>
        </w:tc>
      </w:tr>
      <w:tr>
        <w:trPr>
          <w:trHeight w:val="647"/>
        </w:trPr>
        <w:tc>
          <w:tcPr>
            <w:tcW w:w="17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320" w:type="dxa"/>
            <w:vAlign w:val="bottom"/>
          </w:tcPr>
          <w:p>
            <w:pPr>
              <w:jc w:val="right"/>
              <w:ind w:right="1210"/>
              <w:spacing w:after="0"/>
              <w:rPr>
                <w:sz w:val="20"/>
                <w:szCs w:val="20"/>
                <w:color w:val="auto"/>
              </w:rPr>
            </w:pPr>
            <w:r>
              <w:rPr>
                <w:rFonts w:ascii="Arial" w:cs="Arial" w:eastAsia="Arial" w:hAnsi="Arial"/>
                <w:sz w:val="18"/>
                <w:szCs w:val="18"/>
                <w:color w:val="auto"/>
              </w:rPr>
              <w:t>9</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3" w:name="page14"/>
    <w:bookmarkEnd w:id="13"/>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stock option activity for the three months ended March 31, 2020:</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Term</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(Years)</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2019</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3,414,445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29,353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1,932,713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(7,438)</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Cancelled or forfeited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(29,238)</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March 31, 2020</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5,310,482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15.25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8.83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17,718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Exercisable as of March 31, 2020</w:t>
            </w: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7.66</w:t>
            </w:r>
          </w:p>
        </w:tc>
        <w:tc>
          <w:tcPr>
            <w:tcW w:w="22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7.45</w:t>
            </w:r>
          </w:p>
        </w:tc>
        <w:tc>
          <w:tcPr>
            <w:tcW w:w="2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11,932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4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1,319,413</w:t>
            </w:r>
          </w:p>
        </w:tc>
        <w:tc>
          <w:tcPr>
            <w:tcW w:w="2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aggregate intrinsic value of options exercised during the three months ended March 31, 2020 and 2019 was $133 and $1,363, respectively.</w:t>
      </w:r>
    </w:p>
    <w:p>
      <w:pPr>
        <w:spacing w:after="0" w:line="248"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The weighted-average grant-date fair value of the Company’s stock options granted during the three months ended March 31, 2020 and 2019 was $13.68 and $11.41,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restricted common stock activity for the three months ended March 31, 2020:</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2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of Shares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Issued and unvested as of December 31, 2019</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32,552</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(10,754)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Issued and unvested as of March 31, 2020</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21,798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total fair value of restricted common stock vested during the three months ended March 31, 2020 and 2019 was $15 and $13, respectively.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Stock-based compensation expense was allocated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50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3380" w:type="dxa"/>
            <w:vAlign w:val="bottom"/>
            <w:tcBorders>
              <w:bottom w:val="single" w:sz="8" w:color="CFF0FC"/>
            </w:tcBorders>
          </w:tcPr>
          <w:p>
            <w:pPr>
              <w:spacing w:after="0"/>
              <w:rPr>
                <w:sz w:val="13"/>
                <w:szCs w:val="13"/>
                <w:color w:val="auto"/>
              </w:rPr>
            </w:pPr>
          </w:p>
        </w:tc>
        <w:tc>
          <w:tcPr>
            <w:tcW w:w="1980" w:type="dxa"/>
            <w:vAlign w:val="bottom"/>
            <w:tcBorders>
              <w:bottom w:val="single" w:sz="8" w:color="CFF0FC"/>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9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1,443</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98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1,379</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80" w:type="dxa"/>
            <w:vAlign w:val="bottom"/>
            <w:tcBorders>
              <w:bottom w:val="single" w:sz="8" w:color="CFF0FC"/>
            </w:tcBorders>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9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2,822</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1,455</w:t>
            </w:r>
          </w:p>
        </w:tc>
        <w:tc>
          <w:tcPr>
            <w:tcW w:w="80" w:type="dxa"/>
            <w:vAlign w:val="bottom"/>
            <w:tcBorders>
              <w:bottom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980" w:type="dxa"/>
            <w:vAlign w:val="bottom"/>
            <w:vMerge w:val="restart"/>
          </w:tcPr>
          <w:p>
            <w:pPr>
              <w:jc w:val="right"/>
              <w:ind w:right="1250"/>
              <w:spacing w:after="0"/>
              <w:rPr>
                <w:sz w:val="20"/>
                <w:szCs w:val="20"/>
                <w:color w:val="auto"/>
              </w:rPr>
            </w:pPr>
            <w:r>
              <w:rPr>
                <w:rFonts w:ascii="Arial" w:cs="Arial" w:eastAsia="Arial" w:hAnsi="Arial"/>
                <w:sz w:val="18"/>
                <w:szCs w:val="18"/>
                <w:color w:val="auto"/>
              </w:rPr>
              <w:t>10</w:t>
            </w: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4" w:name="page15"/>
    <w:bookmarkEnd w:id="14"/>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As of March 31, 2020, total unrecognized compensation cost related to the unvested stock-based awards was $46,313, which is expected to be recognized over a weighted-average period of 3.46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UHN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Fabry License Agreement—</w:t>
      </w:r>
    </w:p>
    <w:p>
      <w:pPr>
        <w:spacing w:after="0" w:line="117"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On January 27, 2016, the Company entered into an agreement with UHN, pursuant to which UHN granted the Company an option to enter into an exclusive license under the UHN intellectual property related to Fabry disease in accordance with the pre-negotiated licensing terms. On November 4, 2016, the Company exercised its option and entered into a license agreement with UHN, pursuant to which UHN granted the Company an exclusive worldwide license under certain intellectual property rights and a non-exclusive worldwide license under certain know-how, in each case subject to certain retained rights, to develop, commercialize and sell products for use in the treatment of Fabry disease.</w:t>
      </w:r>
    </w:p>
    <w:p>
      <w:pPr>
        <w:spacing w:after="0" w:line="176"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Under this agreement, the Company paid an option fee of CAD $20, an upfront license fee of CAD $75, plus the annual license maintenance fee for the first year. Thereafter, the Company is also required to pay UHN future annual license maintenance fees until the first sale of a licensed product in certain markets. The Company is also obligated to make future milestone payments in an aggregate amount of up to CAD $2,450 upon the achievement of specified milestones as well as royalties on a country-by-country basis of a low to mid-single-digit percentage of annual net sales of licensed products and a lower single-digit royalty percentage in certain circumstances. Additionally, the Company has agreed to pay a low double-digit royalty percentage of all sublicensing revenue.</w:t>
      </w:r>
    </w:p>
    <w:p>
      <w:pPr>
        <w:spacing w:after="0" w:line="192"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The agreement requires the Company to meet certain performance milestones within specified timeframes. UHN may terminate the agreement if the Company fails to meet these performance milestones despite using commercially reasonable efforts and the Company is unable to reach agreement with UHN on revised timeframes. The Company’s royalty obligation expires on a licensed product-by-licensed product and country-by-country 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w:t>
      </w:r>
    </w:p>
    <w:p>
      <w:pPr>
        <w:spacing w:after="0" w:line="16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Unless terminated earlier, the agreement expires upon the expiration of the Company’s royalty obligation for all licensed products. UHN can terminate the agreement if the Company fails to make any payments within a specified period after receiving written notice of such failure, or in the event that the Company fails to obtain or maintain insurance. Either the Company or UHN may terminate the license agreement in the event of a material breach by the other party and failure to cure such breach within a certain period of time. The Company can voluntarily terminate the agreement with prior notice to UHN.</w:t>
      </w:r>
    </w:p>
    <w:p>
      <w:pPr>
        <w:spacing w:after="0" w:line="188" w:lineRule="exact"/>
        <w:rPr>
          <w:sz w:val="20"/>
          <w:szCs w:val="20"/>
          <w:color w:val="auto"/>
        </w:rPr>
      </w:pPr>
    </w:p>
    <w:p>
      <w:pPr>
        <w:ind w:right="160" w:firstLine="510"/>
        <w:spacing w:after="0" w:line="279" w:lineRule="auto"/>
        <w:rPr>
          <w:sz w:val="20"/>
          <w:szCs w:val="20"/>
          <w:color w:val="auto"/>
        </w:rPr>
      </w:pPr>
      <w:r>
        <w:rPr>
          <w:rFonts w:ascii="Arial" w:cs="Arial" w:eastAsia="Arial" w:hAnsi="Arial"/>
          <w:sz w:val="18"/>
          <w:szCs w:val="18"/>
          <w:color w:val="auto"/>
        </w:rPr>
        <w:t>For the three months ended March 31, 2020 and 2019, the Company recorded research and development expense related to this agreement with UHN of $0 and $194, respectively, which consists of reimbursable funded study trial costs. No milestone or maintenance fees were incurred related to the Fabry license agreement in the three months ended March 31, 2020 and 2019.</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Interleukin 12 License Agreement—</w:t>
      </w:r>
    </w:p>
    <w:p>
      <w:pPr>
        <w:spacing w:after="0" w:line="117"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On January 27, 2016, the Company entered into an exclusive license agreement with UHN, pursuant to which UHN granted the Company a license to certain patent rights for the commercial development, manufacture, distribution and use of any products or processes resulting from development of those patent rights related to Interleukin 12. Upon execution of this agreement, the Company paid an upfront license fee of CAD $264. In addition, as part of the initial consideration for the license, the Company issued to UHN 1,161,665 shares of the Company’s common stock. The fair value of the shares issued to UHN of $480 and the upfront fee was expensed upon the execution of the agreement. In addition, the Company agreed to pay UHN up to $2,000 upon the closing of its IPO if certain criteria were met. This obligation was considered a derivative instrument and was initially recorded at fair value. The Company is also required to pay UHN future annual license maintenance fees of CAD $50 on each anniversary of the effective date of the license agreement prior to expiration or termination and potential future milestone payments of up to CAD $19,275 upon the achievement of specified clinical and regulatory milestones. The Company also agreed to pay UHN royalties of a low single-digit percentage of net sales of licensed products sold by the Company. If the Company grants any sublicense rights under the license agreement, the Company has agreed to pay UHN a low double-digit royalty percentage of any sublicense income received by the Company.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The agreement requires the Company to meet certain diligence requirements based upon specified milestones. The agreement expires on the later of the date the last patent rights expire in the last country or ten years from the date of first sale. UHN can terminate the agreement if the Company fails to make any payments within a specified period after receiving written notice of such failure, or in the event that the Company fails to obtain or maintain insurance. The Company can voluntarily terminate the agreement with prior notice to UHN. Either the Company or UHN may terminate the license agreement in the event of a material breach by the other party and failure to cure such breach within a certain period of time.</w:t>
      </w:r>
    </w:p>
    <w:p>
      <w:pPr>
        <w:spacing w:after="0" w:line="176" w:lineRule="exact"/>
        <w:rPr>
          <w:sz w:val="20"/>
          <w:szCs w:val="20"/>
          <w:color w:val="auto"/>
        </w:rPr>
      </w:pPr>
    </w:p>
    <w:p>
      <w:pPr>
        <w:ind w:right="120" w:firstLine="510"/>
        <w:spacing w:after="0" w:line="279" w:lineRule="auto"/>
        <w:rPr>
          <w:sz w:val="20"/>
          <w:szCs w:val="20"/>
          <w:color w:val="auto"/>
        </w:rPr>
      </w:pPr>
      <w:r>
        <w:rPr>
          <w:rFonts w:ascii="Arial" w:cs="Arial" w:eastAsia="Arial" w:hAnsi="Arial"/>
          <w:sz w:val="18"/>
          <w:szCs w:val="18"/>
          <w:color w:val="auto"/>
        </w:rPr>
        <w:t>For the three months ended March 31, 2020 and 2019, the Company recorded research and development expense related to this agreement with UHN of $35 and $38, respectively, which consists of license maintenance fees. No milestone fees were incurred related to the IL-12 license agreement in the three months ended March 31, 2020 and 2019.</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BioMarin Pharmaceutical Inc. (“BioMarin”)</w:t>
      </w:r>
    </w:p>
    <w:p>
      <w:pPr>
        <w:spacing w:after="0" w:line="11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On August 31, 2017, the Company entered into a license agreement with BioMarin, pursuant to which BioMarin granted the Company an exclusive worldwide license under certain intellectual property rights owned or controlled by BioMarin to develop, commercialize and sell products for use in the treatment of Pompe disease. As consideration for this agreement, the Company paid an upfront license fee of $500 in cash and issued 233,765 shares of preferred stock to BioMarin in January 2018. The Company is also obligated to make future milestone payments of up to $13,000 upon the achievement of certain specified milestones and agreed to pay BioMarin royalties of a low single-digit percentage of net sales of licensed products sold by the Company or its affiliates covered by patent rights in a relevant country No milestone fees related to the license were recorded for the three months ended March 31, 2020 and 2019.</w:t>
      </w:r>
    </w:p>
    <w:p>
      <w:pPr>
        <w:spacing w:after="0" w:line="195"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Unless terminated earlier, the agreement expires upon the expiration of the Company’s royalty obligation for all licensed products throughout the world. BioMarin and the Company can terminate the agreement in the event of a material breach by the other party and failure to cure such breach within a certain period of time. The Company may terminate the agreement at will upon written notice to BioMarin. BioMarin has the right to terminate the agreement upon the Company’s bankruptcy or insolvency, or in the event of any challenge or opposition to the licensed patent rights or related actions brought by the Company or its affiliates or sublicensees, or if the Company, its affiliates or sublicensees knowingly assist a third-party in challenging or otherwise opposing the licensed patent rights, except as required under a court order or subpoena.</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GenStem Therapeutics, Inc. (“GenStem”)</w:t>
      </w:r>
    </w:p>
    <w:p>
      <w:pPr>
        <w:spacing w:after="0" w:line="11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On October 2, 2017, the Company entered into a license agreement with GenStem, pursuant to which GenStem granted the Company an exclusive worldwide license, subject to certain retained rights, under certain intellectual property rights owned or controlled by GenStem to develop, commercialize and sell products for use in the treatment of cystinosis. Under this agreement, the Company paid an upfront license fee of $1,000 and is required to make payments upon completion of certain milestones up to an aggregate of $16,000. In November 2019, the Company made a payment of $2,000 in connection with the dosing of the first patient in the investigator-sponsored Phase 1/2 clinical trial of AVR-RD-04 in cystinosis in the United States. The next anticipated payment under this Agreement is $2,000, which would become due following the dosing of the first patient in the first pivotal clinical trial of AVR-RD-04 in cystinosis in the United States. The Company also agreed to pay GenStem a tiered mid to high single-digit royalty percentage on annual net sales of licensed products as well as a low double-digit percentage of sublicense income received from certain third-party licensees. The Company’s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whichever is later. Unless terminated earlier, the agreement expires upon the expiration of the Company’s royalty obligation for all licensed products throughout the world. GenStem and the Company can terminate the agreement in the event of a material breach by the other party and failure to cure such breach within a certain period of time. The Company may terminate the agreement at will upon the specified prior written notice to GenStem. No milestone fees related to the license were recorded for the three months ended March 31, 2020 and 2019.</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Lund University Rights Holders</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On November 17, 2016, the Company entered into a license agreement with affiliates of Lund University, along with certain other relevant rights holders that may be added from time to time, pursuant to which such rights holders granted to the Company an exclusive worldwide license, subject to certain retained rights, under certain intellectual property rights to develop, commercialize and sell products in any and all uses relevant to Gaucher disease. As consideration for the license, the Company is required to make payments in connection with the achievement of certain milestones up to an aggregate of $550. The agreement expires on the latest of (i) the twentieth anniversary of the end of a certain research project the Company is funding pursuant to an agreement with Lund University, (ii) the expiration of the term of any patent filed on the licensed rights that covers a licensed product, (iii) the expiration of any applicable marketing exclusivity right and (iv) such time that neither the Company nor any sublicensees, partners or contractors are commercializing a licensed product. Either the Company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 No milestone fees related to the license were recorded for the three months ended March 31, 2020 and 2019.</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 Attributable to Common Stockholders</w:t>
      </w:r>
    </w:p>
    <w:p>
      <w:pPr>
        <w:spacing w:after="0" w:line="12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For purposes of the diluted net loss per share calculation, stock options and unvested restricted stock are considered to be common stock equivalents but have been excluded from the calculation of diluted net loss per share, as their effect would be anti-dilutive for all periods presented. Therefore, the weighted-average number of common shares outstanding used to calculate both basic and diluted net loss per share attributable to common stockholders is the same.</w:t>
      </w:r>
    </w:p>
    <w:p>
      <w:pPr>
        <w:spacing w:after="0" w:line="18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The following potentially dilutive common stock equivalents, presented based on amounts outstanding at each period end, were excluded from the computation of diluted net loss per share attributable to common stockholders for the periods indicated:</w:t>
      </w:r>
    </w:p>
    <w:p>
      <w:pPr>
        <w:spacing w:after="0" w:line="25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2440" w:type="dxa"/>
            <w:vAlign w:val="bottom"/>
            <w:gridSpan w:val="4"/>
          </w:tcPr>
          <w:p>
            <w:pPr>
              <w:ind w:left="18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542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5,310,482</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2,986,048</w:t>
            </w:r>
          </w:p>
        </w:tc>
        <w:tc>
          <w:tcPr>
            <w:tcW w:w="80" w:type="dxa"/>
            <w:vAlign w:val="bottom"/>
            <w:shd w:val="clear" w:color="auto" w:fill="CFF0FC"/>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Restricted common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21,798</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124,821</w:t>
            </w:r>
          </w:p>
        </w:tc>
        <w:tc>
          <w:tcPr>
            <w:tcW w:w="80" w:type="dxa"/>
            <w:vAlign w:val="bottom"/>
          </w:tcPr>
          <w:p>
            <w:pPr>
              <w:spacing w:after="0"/>
              <w:rPr>
                <w:sz w:val="20"/>
                <w:szCs w:val="20"/>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Agreement</w:t>
      </w:r>
    </w:p>
    <w:p>
      <w:pPr>
        <w:spacing w:after="0" w:line="117"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On January 12, 2018, the Company entered into a lease agreement for office space located in Cambridge, Massachusetts. The lease agreement expires in January 2023, with a landlord who is an affiliate of the landlord of the Company’s prior lease facility. The annual lease payments are subject to a 3% increase each year. The Company recognizes rent expense on a straight-line basis over the lease period and has recorded deferred rent for rent expense incurred but not yet paid. The Company received a tenant incentive allowance of $842 in 2018. Such incentive allowance is being amortized as a reduction of rent expense on a straight-line basis over the lease period. In accordance with the lease agreement, the Company is required to maintain a security deposit of $209, which was recorded in other assets. In contemplation of this agreement, the Company terminated its prior lease agreement.</w:t>
      </w:r>
    </w:p>
    <w:p>
      <w:pPr>
        <w:spacing w:after="0" w:line="164" w:lineRule="exact"/>
        <w:rPr>
          <w:sz w:val="20"/>
          <w:szCs w:val="20"/>
          <w:color w:val="auto"/>
        </w:rPr>
      </w:pPr>
    </w:p>
    <w:p>
      <w:pPr>
        <w:ind w:right="400" w:firstLine="510"/>
        <w:spacing w:after="0" w:line="311" w:lineRule="auto"/>
        <w:rPr>
          <w:sz w:val="20"/>
          <w:szCs w:val="20"/>
          <w:color w:val="auto"/>
        </w:rPr>
      </w:pPr>
      <w:r>
        <w:rPr>
          <w:rFonts w:ascii="Arial" w:cs="Arial" w:eastAsia="Arial" w:hAnsi="Arial"/>
          <w:sz w:val="16"/>
          <w:szCs w:val="16"/>
          <w:color w:val="auto"/>
        </w:rPr>
        <w:t>On August 31, 2018, the Company entered into a sub-lease agreement for lab space located in Cambridge, Massachusetts, United States, which expires in October 2020. The annual lease payments are subject to a 3% increase each year. In accordance with the lease agreement, the Company is required to maintain a security deposit of $283, which was recorded in other assets as of December 31, 2019 and March 31, 2020.</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was not subject to any material legal proceedings during the three months ended March 31, 2020 and 2019 and to the best of its knowledge, no material legal proceedings are currently pending or threatened.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color w:val="auto"/>
        </w:rPr>
        <w:t>The Company is also party to various agreements, principally relating to licensed technology, that require future payments relating to milestones not met at March 31, 2020 and December 31, 2019, or royalties on future sales. No milestone or royalty payments under these agreements are expected to be payable in the immediate future, except as disclosed in Note 9. See Note 9 for discussion of these arrangements.</w:t>
      </w:r>
    </w:p>
    <w:p>
      <w:pPr>
        <w:spacing w:after="0" w:line="165"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 respect to the Company’s products. Further, the Company indemnifies its directors and officers who are, or were, serving at the Company’s request in such capacities. The Company’s maximum exposure under these arrangements is unknown at March 31, 2020. The Company does not anticipate recognizing any significant losses relating to these arrangements.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UHN</w:t>
      </w:r>
    </w:p>
    <w:p>
      <w:pPr>
        <w:spacing w:after="0" w:line="117" w:lineRule="exact"/>
        <w:rPr>
          <w:sz w:val="20"/>
          <w:szCs w:val="20"/>
          <w:color w:val="auto"/>
        </w:rPr>
      </w:pPr>
    </w:p>
    <w:p>
      <w:pPr>
        <w:ind w:right="40" w:firstLine="510"/>
        <w:spacing w:after="0" w:line="286" w:lineRule="auto"/>
        <w:rPr>
          <w:sz w:val="20"/>
          <w:szCs w:val="20"/>
          <w:color w:val="auto"/>
        </w:rPr>
      </w:pPr>
      <w:r>
        <w:rPr>
          <w:rFonts w:ascii="Arial" w:cs="Arial" w:eastAsia="Arial" w:hAnsi="Arial"/>
          <w:sz w:val="17"/>
          <w:szCs w:val="17"/>
          <w:color w:val="auto"/>
        </w:rPr>
        <w:t>In connection with the Company’s entry into a license agreement with UHN on January 27, 2016, the Company issued UHN 1,161,665 shares of its common stock. Upon the closing of the IPO, as UHN’s fully-diluted percentage ownership of the Company was reduced within a range of specified percentages, the Company was obligated to pay UHN an amount up to $2,000, which was paid in July 2018.</w:t>
      </w:r>
    </w:p>
    <w:p>
      <w:pPr>
        <w:spacing w:after="0" w:line="165" w:lineRule="exact"/>
        <w:rPr>
          <w:sz w:val="20"/>
          <w:szCs w:val="20"/>
          <w:color w:val="auto"/>
        </w:rPr>
      </w:pPr>
    </w:p>
    <w:p>
      <w:pPr>
        <w:ind w:right="160" w:firstLine="510"/>
        <w:spacing w:after="0" w:line="308" w:lineRule="auto"/>
        <w:rPr>
          <w:sz w:val="20"/>
          <w:szCs w:val="20"/>
          <w:color w:val="auto"/>
        </w:rPr>
      </w:pPr>
      <w:r>
        <w:rPr>
          <w:rFonts w:ascii="Arial" w:cs="Arial" w:eastAsia="Arial" w:hAnsi="Arial"/>
          <w:sz w:val="18"/>
          <w:szCs w:val="18"/>
          <w:color w:val="auto"/>
        </w:rPr>
        <w:t>For the three months ended March 31, 2020 and 2019, the Company recognized $35 and $232, respectively, of research and development expense related to the license agreements with UHN (Note 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Others</w:t>
      </w:r>
    </w:p>
    <w:p>
      <w:pPr>
        <w:spacing w:after="0" w:line="117"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For the three months ended March 31, 2020 and 2019, the Company recorded expenses of $360 and $356, respectively, related to a sublease to rent lab space, provided by an entity affiliated with a member of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the related notes appearing elsewhere in this Quarterly Report on Form 10-Q and our audited consolidated financial statements and related notes for the year ended December 31, 2019 included in our Annual Report on Form 10-K for the year ended December 31, 2019. Some of the information contained in this discussion and analysis or set forth elsewhere in this report, including information with respect to our plans and strategy for our business, includes forward-looking statements that involve risks, uncertainties and assumptions. Factors that might cause future results to differ materially from those projected in the forward-looking statements include, but are not limited to, those set forth in our Annual Report on Form 10-K for the year ended December 31, 2019, as supplemented by our subsequent filings with the SEC.</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 xml:space="preserve">We are a leading clinical-stage gene therapy company with a mission to free people from a lifetime of genetic disease. Our company is focused on developing potentially curative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lentiviral-based gene therapies to treat patients with rare diseases following a single dose treatment regimen. Our investigational gene therapies employ hematopoietic stem cells that are harvested from the patient and then modified with a lentiviral vector to insert the equivalent of a functional copy of the gene that is defective in the target disease. We believe that our approach, which is designed to transform stem cells from patients into therapeutic products, has the potential to provide curative benefit for a range of diseases. Our initial focus is on a group of rare genetic diseases referred to as lysosomal diseases, some of which today are primarily managed with enzyme replacement therapies, or ERTs. These lysosomal diseases have well-understood biologies, identified patient populations, established standards of care yet with significant unmet needs, and represent large market opportunities with approximately $4.0 billion in worldwide net sales in 2019.</w:t>
      </w:r>
    </w:p>
    <w:p>
      <w:pPr>
        <w:spacing w:after="0" w:line="17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initial pipeline is comprised of four lentiviral-based gene therapy programs, including AVR-RD-01 for the treatment of Fabry disease, AVR-RD-04 for the treatment of cystinosis, AVR-RD-02 for the treatment of Gaucher disease and AVR-RD-03 for the treatment of Pompe disease. AVR-RD-01 is currently being evaluated in an investigator-sponsored Phase 1 clinical trial and a company-sponsored Phase 2 clinical trial, which we refer to as FAB-201. Five patients have been dosed in the investigator-sponsored Phase 1 clinical trial of AVR-RD-01, and enrollment is complete. Four patients have been dosed in our company-sponsored Phase 2 clinical trial of AVR-RD-01. AVR-RD-04 is currently being studied by our collaborators at the University of California, San Diego, or UCSD, in a Phase 1/2 investigator-sponsored clinical trial, and one patient has been dosed. The first patient in our company-sponsored Phase 1/2 clinical trial for AVR-RD-02 has been enrolled and has completed apheresis. Our AVR-RD-03 program for Pompe disease is currently in preclinical development with the first IND-enabling preclinical study initiated in 2019.</w:t>
      </w:r>
    </w:p>
    <w:p>
      <w:pPr>
        <w:spacing w:after="0" w:line="17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Since our inception in 2015,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potential commercialization. We do not have any products approved for sale and have not generated any revenue from product sales. To date, we have funded our operations with proceeds from the sales of preferred stock and our initial public offering, or IPO, and we have raised additional capital through an underwritten public offering that closed in July 2019, or the July 2019 Follow-On Offering, and an underwritten public offering that closed in February 2020, or the February 2020 Follow-On Offering. Through March 31, 2020, we had received gross cash proceeds of $87.5 million from sales of our preferred stock, and gross cash proceeds, before deducting underwriting discounts and commissions and expenses, of $114.7 million, $138.3 million and $100.0 million from sales of our common stock through our IPO, July 2019 Follow-On Offering and February 2020 Follow-On Offering, respectively. In July 2019, we entered into a Sales Agreement with Cowen and Company, LLC, as sales agent, to provide for the offering, issuance and sale of up to $50.0 million of our common stock from time to time in “at-the-market” offerings, or the ATM Facility. As of March 31, 2020, we have not offered, issued or sold any shares of common stock under the ATM Facility.</w:t>
      </w:r>
    </w:p>
    <w:p>
      <w:pPr>
        <w:spacing w:after="0" w:line="172"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Since our inception, we have incurred significant operating losses. Our ability to generate product revenue sufficient to achieve profitability will depend heavily on the successful development and eventual commercialization of one or more of our current or future product candidates and programs. Our net losses were $26.0 million and $17.1 million for the three months ended March 31, 2020 and 2019, respectively. As of March 31, 2020, we had an accumulated deficit of $170.7 million. We expect to continue to incur significant expenses for at least the next several years as we advance our product candidates from discovery through preclinical development and clinical trials and seek regulatory approval of our product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 Furthermore, we expect to continue incurring additional costs associated with operating as a public company, including significant legal, accounting, investor relations and other expenses.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line="290" w:lineRule="auto"/>
        <w:rPr>
          <w:sz w:val="20"/>
          <w:szCs w:val="20"/>
          <w:color w:val="auto"/>
        </w:rPr>
      </w:pPr>
      <w:r>
        <w:rPr>
          <w:rFonts w:ascii="Arial" w:cs="Arial" w:eastAsia="Arial" w:hAnsi="Arial"/>
          <w:sz w:val="16"/>
          <w:szCs w:val="16"/>
          <w:color w:val="auto"/>
        </w:rPr>
        <w:t>As a result, we will need substantial additional funding to support our continuing operations and pursue our growth strategy. Until such time as we can generate significant revenue from product sales, if ever, we expect to finance our operations with proceeds from outside sources, with a majority of such proceeds to be derived from sales of equity, including the net proceeds from our IPO and follow-on offerings, and potential proceeds if we offer and sell equity pursuant to the ATM Facility. We also plan to pursue additional funding from outside sources, including our expansion of, or our entry into, new borrowing arrangements; research and development incentive payments from the Australian government; and our entry into potential future collaboration agreements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6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8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As of March 31, 2020, we had cash and cash equivalents of $257.7 million. We believe that our existing cash and cash equivalents as of March 31, 2020 will enable us to fund our operating expenses and capital expenditure requirements into the second half of 2022. We have based this estimate on assumptions that may prove to be wrong, and we could exhaust our available capital resources sooner than we expect. See “—Liquidity and Capital Resources.” To finance our operations beyond that point, we will need to raise additional capital, which cannot be assured.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Update Regarding COVID-19</w:t>
      </w:r>
    </w:p>
    <w:p>
      <w:pPr>
        <w:spacing w:after="0" w:line="13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 current COVID-19 pandemic has presented a substantial public health and economic challenge around the world and has affected our employees, patients, communities and business operations, including our ongoing clinical trials, as well as the U.S. economy and financial markets. The full extent to which the COVID-19 pandemic will impact our clinical and preclinical activities, results of operations and financial condition, and business operations generally will depend on future developments that are highly uncertain and cannot be accurately predicted, including new information that may emerge concerning COVID-19, the actions taken to contain it or treat its impact and the economic impact on local, regional, national and international markets.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Programs</w:t>
      </w:r>
    </w:p>
    <w:p>
      <w:pPr>
        <w:spacing w:after="0" w:line="1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the global healthcare community continues to respond to the increase in COVID-19 cases, many hospitals, including our clinical sites, have temporarily paused elective medical procedures, which includes dosing of new patients in clinical trials of our investigational gene therapies. We continue to closely monitor this rapidly evolving situation and the potential impact on our clinical trial programs. Set forth below is a summary of updates for each of our clinical trial programs.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AVR-RD-01 clinical trials in Fabry disease</w:t>
      </w:r>
    </w:p>
    <w:p>
      <w:pPr>
        <w:spacing w:after="0" w:line="117" w:lineRule="exact"/>
        <w:rPr>
          <w:sz w:val="20"/>
          <w:szCs w:val="20"/>
          <w:color w:val="auto"/>
        </w:rPr>
      </w:pPr>
    </w:p>
    <w:p>
      <w:pPr>
        <w:ind w:left="880" w:right="220" w:hanging="373"/>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Patient identification activities for the company-sponsored Phase 2 FAB-201 trial continue for our clinical sites in Australia, Canada and the United States.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anticipate patient enrollment and dosing will resume as hospitals allow.</w:t>
      </w:r>
    </w:p>
    <w:p>
      <w:pPr>
        <w:spacing w:after="0" w:line="117" w:lineRule="exact"/>
        <w:rPr>
          <w:rFonts w:ascii="Arial" w:cs="Arial" w:eastAsia="Arial" w:hAnsi="Arial"/>
          <w:sz w:val="18"/>
          <w:szCs w:val="18"/>
          <w:color w:val="auto"/>
        </w:rPr>
      </w:pPr>
    </w:p>
    <w:p>
      <w:pPr>
        <w:jc w:val="both"/>
        <w:ind w:left="880" w:hanging="373"/>
        <w:spacing w:after="0" w:line="263"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Ongoing data collection has continued for dosed patients in both our Phase 1 investigator-sponsored clinical trial and Phase 2 FAB-201 clinical trial, though certain data collection has been delayed by the COVID-19 pandemic. We currently anticipate that these delays will not impact the integrity and interpretation of the study results.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AVR-RD-04 Phase 1/2 clinical trial in cystinosis</w:t>
      </w:r>
    </w:p>
    <w:p>
      <w:pPr>
        <w:spacing w:after="0" w:line="117" w:lineRule="exact"/>
        <w:rPr>
          <w:sz w:val="20"/>
          <w:szCs w:val="20"/>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Patient identification activities continue.</w:t>
      </w:r>
    </w:p>
    <w:p>
      <w:pPr>
        <w:spacing w:after="0" w:line="117" w:lineRule="exact"/>
        <w:rPr>
          <w:rFonts w:ascii="Arial" w:cs="Arial" w:eastAsia="Arial" w:hAnsi="Arial"/>
          <w:sz w:val="18"/>
          <w:szCs w:val="18"/>
          <w:color w:val="auto"/>
        </w:rPr>
      </w:pPr>
    </w:p>
    <w:p>
      <w:pPr>
        <w:ind w:left="880" w:right="92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second patient in the study has been enrolled and has completed apheresis. Cryopreserved drug product for that patient has been manufactured and dosing is expected to occur as soon as the UCSD clinical site allows.</w:t>
      </w:r>
    </w:p>
    <w:p>
      <w:pPr>
        <w:spacing w:after="0" w:line="62" w:lineRule="exact"/>
        <w:rPr>
          <w:rFonts w:ascii="Arial" w:cs="Arial" w:eastAsia="Arial" w:hAnsi="Arial"/>
          <w:sz w:val="18"/>
          <w:szCs w:val="18"/>
          <w:color w:val="auto"/>
        </w:rPr>
      </w:pPr>
    </w:p>
    <w:p>
      <w:pPr>
        <w:ind w:left="880" w:right="60" w:hanging="373"/>
        <w:spacing w:after="0" w:line="308" w:lineRule="auto"/>
        <w:tabs>
          <w:tab w:leader="none" w:pos="8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Ongoing data collection has continued for the first patient dosed in the trial, though certain data collection has been delayed by the COVID-19 pandemic. We currently anticipate that these delays will not impact the integrity and interpretation of the study results.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u w:val="single" w:color="auto"/>
          <w:color w:val="auto"/>
        </w:rPr>
        <w:t>AVR-RD-02 Phase 1/2 clinical trial in Gaucher disease</w:t>
      </w:r>
    </w:p>
    <w:p>
      <w:pPr>
        <w:spacing w:after="0" w:line="117" w:lineRule="exact"/>
        <w:rPr>
          <w:sz w:val="20"/>
          <w:szCs w:val="20"/>
          <w:color w:val="auto"/>
        </w:rPr>
      </w:pPr>
    </w:p>
    <w:p>
      <w:pPr>
        <w:ind w:left="880" w:right="80" w:hanging="373"/>
        <w:spacing w:after="0" w:line="308" w:lineRule="auto"/>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first patient in the trial has been enrolled and has completed apheresis. Cryopreserved drug product for that patient has been manufactured and dosing is currently anticipated for the second quarter of 2020, but is dependent on when the clinical site allows.</w:t>
      </w:r>
    </w:p>
    <w:p>
      <w:pPr>
        <w:spacing w:after="0" w:line="38" w:lineRule="exact"/>
        <w:rPr>
          <w:rFonts w:ascii="Arial" w:cs="Arial" w:eastAsia="Arial" w:hAnsi="Arial"/>
          <w:sz w:val="17"/>
          <w:szCs w:val="17"/>
          <w:color w:val="auto"/>
        </w:rPr>
      </w:pPr>
    </w:p>
    <w:p>
      <w:pPr>
        <w:ind w:left="880" w:right="140" w:hanging="373"/>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Subsequent new patient dosing timelines have been impacted by the COVID-19 pandemic. However, patient identification activities continue for our clinical sites in Australia and Canada.</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expect to open new clinical sites in the United States and Israel in the fourth quarter of the year.</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Operations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March 10, 2020, we created an internal, cross-functional COVID-19 Response Team to closely monitor the evolving situation and advise on the company’s activities in response to the evolving COVID-19 pandemic. We have implemented a work-from-home policy for all employees excluding those providing essential services, such as our laboratory staff. For those employees, we have implemented safety measures designed to comply with applicable federal, state and local guidelines in response to the COVID-19 pandemic. We may be required to take additional actions that impact our operations as required by applicable laws or regulations, or which we determine to be in the best interests of our employees. We currently cannot determine how long our work-from-home policy will remain in effect. Any modifications to our current policy will in part be determined by updated guidance from local, state and federal authorities, and we expect that any changes will be implemented gradually and with appropriate safety measures and policies designed to comply with applicable guidelines and regulations. Notwithstanding these changes to our business operations, we have continued to recruit and hire key personnel to support the company’s objectives, increasing our headcount to 112 full-time employees as of March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Regulatory</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AVR-RD-03 program for Pompe disease is currently in preclinical development with the first IND-enabling preclinical study initiated in 2019, and we are also continuing early studies for future potential disease indications.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currently do not anticipate any material impact on our regulatory activities for our clinical programs.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additional information regarding the impact of the COVID-19 pandemic on our business, please see the section titled “Risk Factors” in Part II, Section 1.A of this Quarterly Report.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Updates</w:t>
      </w:r>
    </w:p>
    <w:p>
      <w:pPr>
        <w:spacing w:after="0" w:line="1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January 2020, we announced that we received notice of clearance from the U.S. Food and Drug Administration, or FDA, regarding an investigational new drug, or IND, application for AVR-RD-02 for the treatment of Gaucher disease. This announcement followed receipt of FDA orphan drug designation status for AVR-RD-02 for Gaucher disease and enables us to expand the Phase 1/2 clinical trial in Gaucher disease to the United States, supported by our plato platform.</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February 2020, we presented new clinical data at the 16th Annual WORLD</w:t>
      </w:r>
      <w:r>
        <w:rPr>
          <w:rFonts w:ascii="Arial" w:cs="Arial" w:eastAsia="Arial" w:hAnsi="Arial"/>
          <w:sz w:val="18"/>
          <w:szCs w:val="18"/>
          <w:i w:val="1"/>
          <w:iCs w:val="1"/>
          <w:color w:val="auto"/>
        </w:rPr>
        <w:t>Symposium</w:t>
      </w:r>
      <w:r>
        <w:rPr>
          <w:rFonts w:ascii="Arial" w:cs="Arial" w:eastAsia="Arial" w:hAnsi="Arial"/>
          <w:sz w:val="18"/>
          <w:szCs w:val="18"/>
          <w:color w:val="auto"/>
        </w:rPr>
        <w:t xml:space="preserve"> in Orlando, Florida, including new data on AVR-RD-01 for Fabry disease, initial data on AVR-RD-04 for cystinosis, and initial data from the clinical debut of our plato platform.</w:t>
      </w:r>
    </w:p>
    <w:p>
      <w:pPr>
        <w:spacing w:after="0" w:line="17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In February 2020, we sold 4,350,000 shares of our common stock in an underwritten public offering. The aggregate gross proceeds to the company from the offering, before deducting underwriting discounts and commission and estimated offering expenses, totaled approximately $100.0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 March 2020, we announced that the FDA granted orphan drug designation to AVR-RD-04 for cystinosis.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Consolidated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have not generated any revenue from product sales and do not expect to generate any revenue from the sale of products in the near future. If development efforts for our product candidates are successful and result in regulatory approval or additional license agreements with third parties, we may generate revenue in the future from product sales.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Research and development expenses consist primarily of costs incurred in connection with the discovery and development of our product candidates. We expense research and development costs as incurred. These expenses consist of costs incurred in connection with the development of our product candidates, including:</w:t>
      </w:r>
    </w:p>
    <w:p>
      <w:pPr>
        <w:spacing w:after="0" w:line="76" w:lineRule="exact"/>
        <w:rPr>
          <w:sz w:val="20"/>
          <w:szCs w:val="20"/>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license maintenance fees and milestone fees incurred in connection with various license agreements;</w:t>
      </w:r>
    </w:p>
    <w:p>
      <w:pPr>
        <w:spacing w:after="0" w:line="117" w:lineRule="exact"/>
        <w:rPr>
          <w:rFonts w:ascii="Arial" w:cs="Arial" w:eastAsia="Arial" w:hAnsi="Arial"/>
          <w:sz w:val="18"/>
          <w:szCs w:val="18"/>
          <w:color w:val="auto"/>
        </w:rPr>
      </w:pPr>
    </w:p>
    <w:p>
      <w:pPr>
        <w:ind w:left="880" w:hanging="373"/>
        <w:spacing w:after="0" w:line="308" w:lineRule="auto"/>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expenses incurred under agreements with contract research organizations, or CROs, contract manufacturing organizations, or CMOs, as well as investigative sites and consultants that conduct our clinical trials, preclinical studies and other scientific development services;</w:t>
      </w:r>
    </w:p>
    <w:p>
      <w:pPr>
        <w:spacing w:after="0" w:line="38" w:lineRule="exact"/>
        <w:rPr>
          <w:rFonts w:ascii="Arial" w:cs="Arial" w:eastAsia="Arial" w:hAnsi="Arial"/>
          <w:sz w:val="17"/>
          <w:szCs w:val="17"/>
          <w:color w:val="auto"/>
        </w:rPr>
      </w:pPr>
    </w:p>
    <w:p>
      <w:pPr>
        <w:ind w:left="880" w:right="4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manufacturing scale-up expenses and the cost of acquiring and manufacturing preclinical and clinical trial materials and commercial materials, including manufacturing validation batches;</w:t>
      </w:r>
    </w:p>
    <w:p>
      <w:pPr>
        <w:spacing w:after="0" w:line="62" w:lineRule="exact"/>
        <w:rPr>
          <w:rFonts w:ascii="Arial" w:cs="Arial" w:eastAsia="Arial" w:hAnsi="Arial"/>
          <w:sz w:val="18"/>
          <w:szCs w:val="18"/>
          <w:color w:val="auto"/>
        </w:rPr>
      </w:pPr>
    </w:p>
    <w:p>
      <w:pPr>
        <w:ind w:left="880" w:right="56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travel and stock-based compensation expense for employees engaged in research and development functions;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allocated facilities costs, depreciation and other expenses, which include rent and utilities.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recognize external development costs based on an evaluation of the progress to completion of specific tasks using information provided to us by our service providers.</w:t>
      </w:r>
    </w:p>
    <w:p>
      <w:pPr>
        <w:spacing w:after="0" w:line="170"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Our direct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direct research and development expenses by program also include fees incurred under license agreements. We do not allocate employee costs or facility expenses, including depreciation or other indirect costs, to specific programs because these costs are deployed across multiple programs and, as such, are not separately classified. We use internal resources primarily to oversee the research and discovery as well as for managing our preclinical development, process development, manufacturing and clinical development activities. These employees work across multiple programs and, therefore, we do not track their costs by program.</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modified the presentation within the following tables to include expenses related to other preclinical development activities outside of our already presented programs in our direct research and development expenses, which were previously included as other unallocated research and development expenses. We have adjusted prior period amounts to reflect the changes in presentation made in the current period. The table below summarizes our research and development expenses incurred by program (in thousands):</w:t>
      </w:r>
    </w:p>
    <w:p>
      <w:pPr>
        <w:spacing w:after="0" w:line="192"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Three Months Ended</w:t>
      </w:r>
    </w:p>
    <w:p>
      <w:pPr>
        <w:jc w:val="center"/>
        <w:ind w:left="52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700" w:type="dxa"/>
        <w:tblCellMar>
          <w:top w:w="0" w:type="dxa"/>
          <w:left w:w="0" w:type="dxa"/>
          <w:bottom w:w="0" w:type="dxa"/>
          <w:right w:w="0" w:type="dxa"/>
        </w:tblCellMar>
      </w:tblPr>
      <w:tr>
        <w:trPr>
          <w:trHeight w:val="155"/>
        </w:trPr>
        <w:tc>
          <w:tcPr>
            <w:tcW w:w="536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Fabry</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2,221</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Gaucher</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2,305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2,066</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Pompe</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Cystinosis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2,206</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Unallocated research and development expenses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10,790</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5,402</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18,274</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12,446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increase substantially over the next several years, particularly as we increase personnel costs, including stock-based compensation, contractor costs and facilities costs, as we continue to advance the development of our product candidates. We also expect to incur additional expenses related to milestone and royalty payments payable to third parties with whom we have entered into license agreements to acquire the rights to our product candidates.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22" w:name="page23"/>
    <w:bookmarkEnd w:id="22"/>
    <w:p>
      <w:pPr>
        <w:ind w:right="60"/>
        <w:spacing w:after="0" w:line="259" w:lineRule="auto"/>
        <w:rPr>
          <w:sz w:val="20"/>
          <w:szCs w:val="20"/>
          <w:color w:val="auto"/>
        </w:rPr>
      </w:pPr>
      <w:r>
        <w:rPr>
          <w:rFonts w:ascii="Arial" w:cs="Arial" w:eastAsia="Arial" w:hAnsi="Arial"/>
          <w:sz w:val="18"/>
          <w:szCs w:val="18"/>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79" w:lineRule="exact"/>
        <w:rPr>
          <w:sz w:val="20"/>
          <w:szCs w:val="20"/>
          <w:color w:val="auto"/>
        </w:rPr>
      </w:pPr>
    </w:p>
    <w:p>
      <w:pPr>
        <w:ind w:left="880" w:hanging="373"/>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scope, progress, outcome and costs of our preclinical development activities, clinical trials and other research and development activities;</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impact of the COVID-19 pandemic on our preclinical development activities, clinical trials and other research and development activities;</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studies;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 patient enrollment in, and the design, initiation and completion of,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establishing and maintaining clinical and commercial manufacturing capabilities or making arrangements with third-party manufacturers;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development and timely delivery of commercial-grade drug formulations that can be used in our clinical trials and for commercial launch;</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candidates following approval.</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may never succeed in achieving regulatory approval for any of our product candidates. We may obtain unexpected results from our clinical trials. We may elect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for any reason, including as a result of the ongoing COVID-19 pandemic,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General and administrative expenses consist primarily of salaries, related benefits, travel and stock-based compensation expense for personnel in executive, finance and administrative functions. General and administrative expenses also include professional fees for legal, consulting, accounting and audit services.</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anticipate that our general and administrative expenses will increase in the future as we increase our headcount to support our continued research activities and development of our product candidates. We also anticipate that we will continue to incur increased accounting, audit, legal, regulatory, compliance, director and officer insurance costs as well as investor and public relations expenses associated with being a public company. We anticipate the additional costs for these services will substantially increase our general and administrative expenses. Additionally, if and when we believe a regulatory approval of a product candidate appears likely, we anticipate an increase in payroll and expense as a result of our preparation for commercial operations, especially as it relates to the sales and marketing of our product candidate.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interest earned on money market funds and other bank deposits.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Other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expense consists of foreign exchange gain or loss.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consolidated results of operations for the three months ended March 31, 2020 and 2019 (in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37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5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7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18,274</w:t>
            </w:r>
          </w:p>
        </w:tc>
        <w:tc>
          <w:tcPr>
            <w:tcW w:w="120" w:type="dxa"/>
            <w:vAlign w:val="bottom"/>
          </w:tcPr>
          <w:p>
            <w:pPr>
              <w:spacing w:after="0"/>
              <w:rPr>
                <w:sz w:val="19"/>
                <w:szCs w:val="19"/>
                <w:color w:val="auto"/>
              </w:rPr>
            </w:pPr>
          </w:p>
        </w:tc>
        <w:tc>
          <w:tcPr>
            <w:tcW w:w="3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12,446</w:t>
            </w:r>
          </w:p>
        </w:tc>
        <w:tc>
          <w:tcPr>
            <w:tcW w:w="200" w:type="dxa"/>
            <w:vAlign w:val="bottom"/>
          </w:tcPr>
          <w:p>
            <w:pPr>
              <w:spacing w:after="0"/>
              <w:rPr>
                <w:sz w:val="19"/>
                <w:szCs w:val="19"/>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5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15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17,700</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(26,589)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(17,700)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spacing w:after="0"/>
              <w:rPr>
                <w:sz w:val="20"/>
                <w:szCs w:val="20"/>
                <w:color w:val="auto"/>
              </w:rPr>
            </w:pPr>
            <w:r>
              <w:rPr>
                <w:rFonts w:ascii="Arial" w:cs="Arial" w:eastAsia="Arial" w:hAnsi="Arial"/>
                <w:sz w:val="18"/>
                <w:szCs w:val="18"/>
                <w:color w:val="auto"/>
              </w:rPr>
              <w:t>Other income (expense):</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1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3780" w:type="dxa"/>
            <w:vAlign w:val="bottom"/>
          </w:tcPr>
          <w:p>
            <w:pPr>
              <w:ind w:left="240"/>
              <w:spacing w:after="0"/>
              <w:rPr>
                <w:sz w:val="20"/>
                <w:szCs w:val="20"/>
                <w:color w:val="auto"/>
              </w:rPr>
            </w:pPr>
            <w:r>
              <w:rPr>
                <w:rFonts w:ascii="Arial" w:cs="Arial" w:eastAsia="Arial" w:hAnsi="Arial"/>
                <w:sz w:val="18"/>
                <w:szCs w:val="18"/>
                <w:color w:val="auto"/>
              </w:rPr>
              <w:t>Other expense</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other income, net</w:t>
            </w:r>
          </w:p>
        </w:tc>
        <w:tc>
          <w:tcPr>
            <w:tcW w:w="15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Net loss</w:t>
            </w:r>
          </w:p>
        </w:tc>
        <w:tc>
          <w:tcPr>
            <w:tcW w:w="15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research and development expenses incurred during the three months ended March 31, 2020 and 2019 (in thousands):</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Direct research and development expenses by program:</w:t>
            </w:r>
          </w:p>
        </w:tc>
        <w:tc>
          <w:tcPr>
            <w:tcW w:w="5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Fabry</w:t>
            </w:r>
          </w:p>
        </w:tc>
        <w:tc>
          <w:tcPr>
            <w:tcW w:w="7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1,494</w:t>
            </w:r>
          </w:p>
        </w:tc>
        <w:tc>
          <w:tcPr>
            <w:tcW w:w="5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2,221</w:t>
            </w:r>
          </w:p>
        </w:tc>
        <w:tc>
          <w:tcPr>
            <w:tcW w:w="200" w:type="dxa"/>
            <w:vAlign w:val="bottom"/>
          </w:tcPr>
          <w:p>
            <w:pPr>
              <w:spacing w:after="0"/>
              <w:rPr>
                <w:sz w:val="19"/>
                <w:szCs w:val="19"/>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Gaucher</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2,305</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40"/>
              <w:spacing w:after="0"/>
              <w:rPr>
                <w:sz w:val="20"/>
                <w:szCs w:val="20"/>
                <w:color w:val="auto"/>
              </w:rPr>
            </w:pPr>
            <w:r>
              <w:rPr>
                <w:rFonts w:ascii="Arial" w:cs="Arial" w:eastAsia="Arial" w:hAnsi="Arial"/>
                <w:sz w:val="18"/>
                <w:szCs w:val="18"/>
                <w:color w:val="auto"/>
              </w:rPr>
              <w:t>Pompe</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1,498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Cystinosis</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2,206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Unallocated research and development expenses:</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40"/>
              <w:spacing w:after="0"/>
              <w:rPr>
                <w:sz w:val="20"/>
                <w:szCs w:val="20"/>
                <w:color w:val="auto"/>
              </w:rPr>
            </w:pPr>
            <w:r>
              <w:rPr>
                <w:rFonts w:ascii="Arial" w:cs="Arial" w:eastAsia="Arial" w:hAnsi="Arial"/>
                <w:sz w:val="18"/>
                <w:szCs w:val="18"/>
                <w:color w:val="auto"/>
              </w:rPr>
              <w:t>Personnel related (including stock-based compensation)</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7,536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4,027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3,254</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480"/>
              <w:spacing w:after="0"/>
              <w:rPr>
                <w:sz w:val="20"/>
                <w:szCs w:val="20"/>
                <w:color w:val="auto"/>
              </w:rPr>
            </w:pPr>
            <w:r>
              <w:rPr>
                <w:rFonts w:ascii="Arial" w:cs="Arial" w:eastAsia="Arial" w:hAnsi="Arial"/>
                <w:sz w:val="18"/>
                <w:szCs w:val="18"/>
                <w:color w:val="auto"/>
              </w:rPr>
              <w:t>Total research and development expenses</w:t>
            </w:r>
          </w:p>
        </w:tc>
        <w:tc>
          <w:tcPr>
            <w:tcW w:w="5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18,274</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Research and development expenses were $18.3 million for the three months ended March 31, 2020, as compared to $12.4 million for the three months ended March 31, 2019. The increase of $5.8 million was primarily due to an increase of $5.4 million in unallocated research and development expenses, an increase of $1.4 million in direct costs related to our Other programs and an increase of $0.2 million in direct costs related to our Gaucher program, offset by a decrease of $0.7 million in direct costs related to our Fabry program, a decrease of $0.4 million in direct costs related to our Pompe program and a decrease of $0.1 million in direct costs related to our Cystinosis program.</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decrease in direct costs related to our Fabry program was primarily due to a $0.9 million decrease in manufacturing costs and a $0.6 million decrease in preclinical costs, partially offset by a $0.8 million increase in clinical costs.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increase in direct costs related to our Gaucher program was primarily due to a $0.4 million increase in manufacturing costs and a $0.1 million increase in clinical costs, partially offset by a decrease of $0.2 million in preclinical costs.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24" w:name="page25"/>
    <w:bookmarkEnd w:id="24"/>
    <w:p>
      <w:pPr>
        <w:ind w:right="540"/>
        <w:spacing w:after="0" w:line="277" w:lineRule="auto"/>
        <w:rPr>
          <w:sz w:val="20"/>
          <w:szCs w:val="20"/>
          <w:color w:val="auto"/>
        </w:rPr>
      </w:pPr>
      <w:r>
        <w:rPr>
          <w:rFonts w:ascii="Arial" w:cs="Arial" w:eastAsia="Arial" w:hAnsi="Arial"/>
          <w:sz w:val="18"/>
          <w:szCs w:val="18"/>
          <w:color w:val="auto"/>
        </w:rPr>
        <w:t>The decrease in direct costs related to our Pompe program was primarily due to a $0.6 million decrease in preclinical costs, partially offset by a $0.2 million increase in manufacturing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direct costs related to our Other programs was primarily due to a $1.3 million increase in manufacturing costs.</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increase in unallocated research and development expenses was primarily due to an increase of $3.5 million in personnel-related costs, including non-cash stock-based compensation, as a result of hiring additional personnel in our research and development department, an increase of $0.7 in preclinical costs and an increase of $0.7 million in facilities costs and rent expense. Personnel-related costs for the three months ended March 31, 2020 and 2019 included non-cash stock-based compensation expense of $1.4 million and $0.9 million,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General and administrative expenses were $8.3 million for the three months ended March 31, 2020, compared to $5.3 million for the three months ended March 31, 2019. The increase of $3.0 million was primarily due to an increase of $2.0 million in personnel-related costs, including non-cash stock-based compensation and an increase of $0.6 million in consulting costs. The increase in personnel-related costs was due to the hiring of additional personnel in our general and administrative functions.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Other income, net was income of $0.6 million for the three months ended March 31, 2020, compared to $0.6 million for the three months ended March 31, 2019.</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Since our inception, we have not generated any revenue and have incurred significant operating losses and negative cash flows from our operations. We have funded our operations to date primarily with proceeds from the sale of preferred stock and our common stock through our IPO, our July 2019 Follow-On Offering and our February 2020 Follow-On Offering. Through March 31, 2020, we had received gross cash proceeds of $87.5 million from sales of our preferred stock, and gross cash proceeds, before deducting underwriting discounts and commissions and expenses, of $114.7 million, $138.3 million and $100.0 from sales of our common stock through our IPO, July 2019 Follow-On Offering and February 2020 Follow-On Offering, respectively.</w:t>
      </w:r>
    </w:p>
    <w:p>
      <w:pPr>
        <w:spacing w:after="0" w:line="16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On July 1, 2019, we filed a shelf registration statement on Form S-3 with the SEC, or the July 2019 Shelf, which covers the offering, issuance and sale by us of up to an aggregate of $200.0 million of our common stock, preferred stock, debt securities, warrants and/or units. We simultaneously entered into a Sales Agreement with Cowen and Company, LLC, as sales agent, to provide for the offering, issuance and sale by us of up to $50.0 million of our common stock from time to time in “at-the-market” offerings under the July 2019 Shelf. The July 2019 Shelf was declared effective by the SEC on July 10, 2019.</w:t>
      </w:r>
    </w:p>
    <w:p>
      <w:pPr>
        <w:spacing w:after="0" w:line="15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July 2019, we closed the July 2019 Follow-On Offering as an underwritten public offering under the July 2019 Shelf of 7,475,000 shares of our common stock at a public offering price of $18.50 per share, which included 975,000 shares of our common stock resulting from the full exercise of the underwriters’ option to purchase additional shares at the public offering price, less underwriting discounts and commissions. The net proceeds to us from this offering, after deducting underwriting discounts and commissions and other offering expenses payable by us, were approximately $129.5 million.</w:t>
      </w:r>
    </w:p>
    <w:p>
      <w:pPr>
        <w:spacing w:after="0" w:line="15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December 20, 2019, we filed a shelf registration statement on Form S-3 with the SEC, or the December 2019 Shelf, which covers the offering, issuance and sale by us of up to an aggregate of $250.0 million of our common stock, preferred stock, debt securities, warrants and/or units. The December 2019 Shelf was declared effective by the SEC on January 14, 2020.</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February 2020, we closed the February 2020 Follow-On Offering as an underwritten public offering under the December 2019 Shelf of 4,350,000 shares of our common stock at a public offering price of $23.00 per share, less underwriting discounts and commissions. The net proceeds to us from this offering, after deducting underwriting discounts and commissions and other offering expenses payable by us, were approximately $93.6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we have not offered, issued or sold any shares of common stock under our ATM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in excess of immediate requirements is invested primarily with a view to liquidity and capital preservation.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each of the periods presented (in thousands):</w:t>
      </w:r>
    </w:p>
    <w:p>
      <w:pPr>
        <w:spacing w:after="0" w:line="230"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Three Months Ended</w:t>
      </w:r>
    </w:p>
    <w:p>
      <w:pPr>
        <w:jc w:val="center"/>
        <w:ind w:left="52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700" w:type="dxa"/>
        <w:tblCellMar>
          <w:top w:w="0" w:type="dxa"/>
          <w:left w:w="0" w:type="dxa"/>
          <w:bottom w:w="0" w:type="dxa"/>
          <w:right w:w="0" w:type="dxa"/>
        </w:tblCellMar>
      </w:tblPr>
      <w:tr>
        <w:trPr>
          <w:trHeight w:val="155"/>
        </w:trPr>
        <w:tc>
          <w:tcPr>
            <w:tcW w:w="536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(22,434)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(17,738)</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(577)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(340)</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93,663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ind w:left="240"/>
              <w:spacing w:after="0"/>
              <w:rPr>
                <w:sz w:val="20"/>
                <w:szCs w:val="20"/>
                <w:color w:val="auto"/>
              </w:rPr>
            </w:pPr>
            <w:r>
              <w:rPr>
                <w:rFonts w:ascii="Arial" w:cs="Arial" w:eastAsia="Arial" w:hAnsi="Arial"/>
                <w:sz w:val="18"/>
                <w:szCs w:val="18"/>
                <w:color w:val="auto"/>
              </w:rPr>
              <w:t>Net increase in cash and cash equivalents</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70,652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(17,826)</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During the three months ended March 31, 2020, operating activities used $22.4 million of cash, cash equivalents and restricted cash, resulting from our net loss of $26.0 million partially offset by cash provided by changes in our operating assets and liabilities of $0.5 million and non-cash charges of $3.1 million. The net changes in our operating assets and liabilities were primarily due to decreases in prepaid expenses and other current assets of $1.0 million due to ongoing preclinical, manufacturing, and clinical trial efforts, a decrease in other assets of $0.3 million and an increase in accrued expenses and other liabilities of $0.6 million, partially offset by a decrease in accounts payable of $1.4 million. The non-cash charges primarily included $2.8 million of stock-based compensation expense and $0.3 million of depreciation expense.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600"/>
        <w:spacing w:after="0" w:line="263" w:lineRule="auto"/>
        <w:rPr>
          <w:sz w:val="20"/>
          <w:szCs w:val="20"/>
          <w:color w:val="auto"/>
        </w:rPr>
      </w:pPr>
      <w:r>
        <w:rPr>
          <w:rFonts w:ascii="Arial" w:cs="Arial" w:eastAsia="Arial" w:hAnsi="Arial"/>
          <w:sz w:val="18"/>
          <w:szCs w:val="18"/>
          <w:color w:val="auto"/>
        </w:rPr>
        <w:t>During the three months ended March 31, 2020, we used $0.6 million of cash and cash equivalents in investing activities consisting of purchases of property and equipment. During the three months ended March 31, 2019, we used $0.3 million of cash and cash equivalents in investing activities consisting of purchases of property and equipment.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During the three months ended March 31, 2020, net cash provided by financing activities was $93.7 million, primarily consisting of net cash proceeds of $93.6 million from our February 2020 Follow-On Offering. During the three months ended March 31, 2019, net cash provided by financing activities was $0.3 million, primarily consisting of proceeds from the exercise of stock options.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Notwithstanding the impact of the COVID-19 pandemic on our company and the global economy generally, we expect our expenses to increase substantially in connection with our ongoing activities, particularly as we advance the preclinical activities and clinical trials of our product candidates. Our expenses will also increase as we:</w:t>
      </w:r>
    </w:p>
    <w:p>
      <w:pPr>
        <w:spacing w:after="0" w:line="76" w:lineRule="exact"/>
        <w:rPr>
          <w:sz w:val="20"/>
          <w:szCs w:val="20"/>
          <w:color w:val="auto"/>
        </w:rPr>
      </w:pPr>
    </w:p>
    <w:p>
      <w:pPr>
        <w:ind w:left="880" w:right="40" w:hanging="373"/>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our development of our product candidates, including continuing enrollment in our ongoing Phase 2 clinical trial for AVR-RD-01, the ongoing investigator-sponsored clinical trial of AVR-RD-04 and our ongoing clinical trial of AVR-RD-02;</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other current and future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encounter delays or interruptions in our preclinical studies, clinical trials, or supply chain as a result of the COVID-19 pandemic;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to identify and develop or in-license or acquire additional product candidates and technologies;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seek to industrialize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therapy approach into a robust, scalable and, if approved, commercially viable process;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17" w:lineRule="exact"/>
        <w:rPr>
          <w:rFonts w:ascii="Arial" w:cs="Arial" w:eastAsia="Arial" w:hAnsi="Arial"/>
          <w:sz w:val="18"/>
          <w:szCs w:val="18"/>
          <w:color w:val="auto"/>
        </w:rPr>
      </w:pPr>
    </w:p>
    <w:p>
      <w:pPr>
        <w:ind w:left="880" w:right="560" w:hanging="373"/>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commercial and scientific personnel;</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6" w:name="page27"/>
    <w:bookmarkEnd w:id="26"/>
    <w:p>
      <w:pPr>
        <w:ind w:left="880" w:right="280" w:hanging="373"/>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 our infrastructure, office space and facilities to accommodate our growing employee base, including adding equipment and physical infrastructure to support our research and development;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incur additional public company-related costs.</w:t>
      </w:r>
    </w:p>
    <w:p>
      <w:pPr>
        <w:spacing w:after="0" w:line="225"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We believe that our existing cash and cash equivalents as of March 31, 2020 will enable us to fund our operating expenses and capital expenditure requirements into the second half of 2022. We have based these estimates on assumptions that may prove to be wrong, and we could utilize our available capital resources sooner than we expect. If we receive regulatory approval for any of our product candidates, we expect to incur significant commercialization expenses related to product manufacturing, sales, marketing and distribution, depending on where we choose to commercialize.</w:t>
      </w:r>
    </w:p>
    <w:p>
      <w:pPr>
        <w:spacing w:after="0" w:line="15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Until such time, if ever, that we can generate product revenue sufficient to achieve profitability, we expect to finance our cash needs through a combination of equity offerings, debt financings, collaboration agreements, government and other third-party funding, strategic alliances, licensing arrangements or marketing and distribution arrangements.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government and other third-party funding, collaboration agreements, strategic alliances, licensing arrangements or marketing and distribution arrangements,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The disclosure of our contractual obligations and commitments is set forth under the heading “Management’s Discussion and Analysis of Financial Condition and Results of Operations—Contractual Obligations and Commitments” in our Annual Report on Form 10-K for the fiscal year ended December 31, 2019, filed with the SEC on March 16, 2020. There have been no significant changes to the table contained therein as of March 31, 2020.</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consolidated financial statements are prepared in accordance with generally accepted accounting principles in the United States. The preparation of our consolidated financial statements and related disclosures requires us to make estimates and judgments that affect the reported amounts of assets, liabilities, revenue,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During the three months ended March 31, 2020, there were no material changes to our critical accounting policies. Our critical accounting policies are described under the heading “Management’s Discussion and Analysis of Financial Condition and Results of Operations— Critical Accounting Policies and Significant Judgments and Estimates” in our Annual Report on Form 10-K for the fiscal year ended December 31, 2019, which was filed with the SEC on March 16, 2020, and the notes to the consolidated financial statements included in Item 1, “Condensed Consolidated Unaudited Financial Statements,” of this Quarterly Report on Form 10-Q.</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w:t>
      </w:r>
    </w:p>
    <w:p>
      <w:pPr>
        <w:spacing w:after="0" w:line="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have elected to use the extended transition period for complying with new or revised accounting standards and, as a result of this election, our financial statements may not be comparable to companies that comply with public company effective dates. We may take advantage of these exemptions up until the last day of the fiscal year following the fifth anniversary of our IPO or such earlier time that we are no longer an emerging growth company. We would cease to be an emerging growth company if we have more than $1.07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Securities and Exchange Commission.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to our consolidated financial statements appearing at the beginning of this Quarterly Report on Form 10-Q.</w:t>
      </w:r>
    </w:p>
    <w:p>
      <w:pPr>
        <w:spacing w:after="0" w:line="27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As of March 31, 2020, we had cash and cash equivalents of $257.7 million, which consisted of cash and money market funds. Interest income is sensitive to changes in the general level of interest rates; however, due to the nature of these investments, an immediate 10% change in interest rates would not have a material impact on our cash and cash equivalents, financial position or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are exposed to foreign exchange rate risk. Our headquarters are located in the United States, where the majority of our general and administrative expenses and research and development costs are incurred in U.S. dollars. A portion of our research and development costs are incurred by our subsidiaries in Australia and Canada, whose functional currencies are the U.S. dollar but engage in transactions in Australian dollars and Canadian dollars, respectively. During each of the three months ended March 31, 2020 and 2019, we recognized foreign currency transaction losses of $16 and $60, respectively. These losses primarily related to unrealized and realized foreign currency gains and losses as a result of transactions entered into by our Australian and Canadian subsidiaries in currencies other than the U.S. dollar. These foreign currency transaction gains and losses were recorded in other expense, net in our consolidated statements of operations. We believe that a 10% change in the exchange rate between the U.S. dollar, Australian dollar and Canadian dollar would not have a material impact on our financial position or results of operations.</w:t>
      </w:r>
    </w:p>
    <w:p>
      <w:pPr>
        <w:spacing w:after="0" w:line="17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As we continue to grow our business, our results of operations and cash flows will be subject to fluctuations due to changes in foreign currency exchange rates, which could adversely impact our results of operations. To date, we have not entered into any foreign currency hedging contracts to mitigate our exposure to foreign currency exchange risk.</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28" w:name="page29"/>
    <w:bookmarkEnd w:id="28"/>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(our principal executive officer and principal financial officer, respectively), evaluated the effectiveness of our disclosure controls and procedures as of March 31, 2020.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While we continue to evaluate our disclosure controls and procedures, including new procedures and processes relating to our internal control over financial reporting, based on the evaluation of our disclosure controls and procedures as of March 31, 2020, our Chief Executive Officer and Chief Financial Officer concluded that, as a result of the material weaknesses in our internal control over financial reporting as described below and in Part II, Item 1A. of this Quarterly Report on Form 10-Q, our disclosure controls and procedures were not effective as of March 31, 2020. Notwithstanding the material weaknesses, our management has concluded that the financial statements included elsewhere in this report present fairly, in all material respects, our financial position, results of operations, changes in stockholders’ equity (deficit) and cash flows in conformity with GAAP.</w:t>
      </w:r>
    </w:p>
    <w:p>
      <w:pPr>
        <w:spacing w:after="0" w:line="2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our Annual Report on Form 10-K for the year ended December 31, 2018, we reported material weaknesses in our internal control over financial reporting related to deficiencies in our controls over the financial statement close process, including over complex accounting issues, expense classification and accrued research and development expenses, as well as the cash disbursement process. During 2019 and the first quarter of 2020, we took a number of actions, including the efforts outlined below, designed to improve our internal control over financial reporting to remediate these material weaknesses. These efforts, which we have continued to test through the first quarter of 2020, include:</w:t>
      </w:r>
    </w:p>
    <w:p>
      <w:pPr>
        <w:spacing w:after="0" w:line="68" w:lineRule="exact"/>
        <w:rPr>
          <w:sz w:val="20"/>
          <w:szCs w:val="20"/>
          <w:color w:val="auto"/>
        </w:rPr>
      </w:pPr>
    </w:p>
    <w:p>
      <w:pPr>
        <w:ind w:left="880" w:right="180" w:hanging="373"/>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hiring additional qualified accounting and financial planning and analysis personnel, including an Assistant Controller and Senior Director of Financial Planning and Analysis;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conducting a review of our IT infrastructure, personnel and services, and hiring a Senior Director of Information Technology;</w:t>
      </w:r>
    </w:p>
    <w:p>
      <w:pPr>
        <w:spacing w:after="0" w:line="117" w:lineRule="exact"/>
        <w:rPr>
          <w:rFonts w:ascii="Arial" w:cs="Arial" w:eastAsia="Arial" w:hAnsi="Arial"/>
          <w:sz w:val="18"/>
          <w:szCs w:val="18"/>
          <w:color w:val="auto"/>
        </w:rPr>
      </w:pPr>
    </w:p>
    <w:p>
      <w:pPr>
        <w:ind w:left="880" w:right="220" w:hanging="373"/>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engaging a professional accounting services firm to help us assess and commence documentation of our internal controls for complying with the Sarbanes-Oxley Act of 2002;</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strengthening, formalizing, documenting and testing accounting processes and internal controls;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engaging consultants to provide additional technical accounting expertise; and</w:t>
      </w:r>
    </w:p>
    <w:p>
      <w:pPr>
        <w:spacing w:after="0" w:line="117" w:lineRule="exact"/>
        <w:rPr>
          <w:rFonts w:ascii="Arial" w:cs="Arial" w:eastAsia="Arial" w:hAnsi="Arial"/>
          <w:sz w:val="18"/>
          <w:szCs w:val="18"/>
          <w:color w:val="auto"/>
        </w:rPr>
      </w:pPr>
    </w:p>
    <w:p>
      <w:pPr>
        <w:ind w:left="880" w:right="380" w:hanging="373"/>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implementing new financial software systems including a purchase requisition system, expense reporting system and a system to track and account for stock-based awards to automate these processes.</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believe significant progress was made in 2019 and during the first quarter of 2020 to enhance and strengthen our internal control over financial reporting. However, while we believe our internal controls were properly designed and implemented as of December 31, 2019, they were not in all cases in place for a sufficient period of time to demonstrate operating effectiveness as of December 31, 2019. As a result, management concluded that the material weaknesses were not fully remediated as of December 31, 2019 or March 31, 2020.</w:t>
      </w:r>
    </w:p>
    <w:p>
      <w:pPr>
        <w:spacing w:after="0" w:line="227" w:lineRule="exact"/>
        <w:rPr>
          <w:sz w:val="20"/>
          <w:szCs w:val="20"/>
          <w:color w:val="auto"/>
        </w:rPr>
      </w:pPr>
    </w:p>
    <w:p>
      <w:pPr>
        <w:ind w:right="400"/>
        <w:spacing w:after="0" w:line="311" w:lineRule="auto"/>
        <w:rPr>
          <w:sz w:val="20"/>
          <w:szCs w:val="20"/>
          <w:color w:val="auto"/>
        </w:rPr>
      </w:pPr>
      <w:r>
        <w:rPr>
          <w:rFonts w:ascii="Arial" w:cs="Arial" w:eastAsia="Arial" w:hAnsi="Arial"/>
          <w:sz w:val="16"/>
          <w:szCs w:val="16"/>
          <w:color w:val="auto"/>
        </w:rPr>
        <w:t>The measures we are implementing are subject to continued management review supported by confirmation and testing, as well as audit committee oversight. Management remains committed to remediating these material weaknesses. We will continue to implement measures to remedy our internal control deficiencies, though there can be no assurance that our efforts will be successful or avoid potential future material weaknesses.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Other than the changes intended to remediate the material weaknesses noted above, no change in our internal control over financial reporting (as defined in Rules 13a-15(f) and 15d-15(f) under the Exchange Act) occurred during the three months ended March 31, 2020 that has materially affected, or is reasonably likely to materially affect, our internal control over financial reporting.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From time to time, we may become subject to various legal proceedings and claims that arise in the ordinary course of our business activities. Although the results of litigation and claims cannot be predicted with certainty, as of March 31, 2020,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29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risks and uncertainties, together with all other information in this Quarterly Report on Form 10-Q, including our consolidated financial statements and related notes and “Management’s Discussion and Analysis of Financial Condition and Results of Operations,” as well as our other filings with the Securities and Exchange Commission, or the SEC, before investing in our common stock. Any of the risk factors we describe below could adversely affect our business, financial condition or results of operations. The market price of our common stock could decline if one or more of these risks or uncertainties were to occur, which may cause you to lose all or part of the money you paid to buy our common stock. Additional risks that are currently unknown to us or that we currently believe to be immaterial may also impair our business. Certain statements below are forward-looking statements. See “Forward-Looking Information” in this Quarterly Report on Form 10-Q.</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financial position and need for additional capital</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net losses since inception. We expect to incur net losses for the foreseeable future and may never achieve or maintain profitability.</w:t>
      </w:r>
    </w:p>
    <w:p>
      <w:pPr>
        <w:spacing w:after="0" w:line="1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Since inception, we have incurred net losses. We incurred net losses of $73.0 million and $46.4 million for the years ended December 31, 2019 and 2018, respectively, and $26.0 million for the three months ended March 31, 2020. We historically financed our operations primarily through private placements of our preferred stock and, more recently, our initial public offering and follow-on public offerings of our common stock. We have devoted substantially all of our efforts to research and development, including clinical and preclinical development of our product candidates, as well as assembling our team. We expect that it will be several years, if ever, before we have commercialized any product candidates. We expect to continue to incur significant expenses and increasing operating losses for the foreseeable future. We anticipate that our expenses will increase substantially if, and as, we:</w:t>
      </w:r>
    </w:p>
    <w:p>
      <w:pPr>
        <w:spacing w:after="0" w:line="56" w:lineRule="exact"/>
        <w:rPr>
          <w:sz w:val="20"/>
          <w:szCs w:val="20"/>
          <w:color w:val="auto"/>
        </w:rPr>
      </w:pPr>
    </w:p>
    <w:p>
      <w:pPr>
        <w:ind w:left="880" w:right="40" w:hanging="373"/>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our development of our product candidates, including continuing enrollment in our ongoing Phase 2 clinical trial for AVR-RD-01, the investigator-sponsored Phase 1/2 clinical trial for AVR-RD-04 and our Phase 1/2 clinical trial for AVR-RD-02;</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current and future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 delays or interruptions in preclinical studies, clinical trials, or our supply chain due to the COVID-19 pandemic;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to identify and develop or in-license additional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17" w:lineRule="exact"/>
        <w:rPr>
          <w:rFonts w:ascii="Arial" w:cs="Arial" w:eastAsia="Arial" w:hAnsi="Arial"/>
          <w:sz w:val="18"/>
          <w:szCs w:val="18"/>
          <w:color w:val="auto"/>
        </w:rPr>
      </w:pPr>
    </w:p>
    <w:p>
      <w:pPr>
        <w:ind w:left="880" w:right="560" w:hanging="373"/>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62" w:lineRule="exact"/>
        <w:rPr>
          <w:rFonts w:ascii="Arial" w:cs="Arial" w:eastAsia="Arial" w:hAnsi="Arial"/>
          <w:sz w:val="18"/>
          <w:szCs w:val="18"/>
          <w:color w:val="auto"/>
        </w:rPr>
      </w:pPr>
    </w:p>
    <w:p>
      <w:pPr>
        <w:ind w:left="880" w:right="580" w:hanging="373"/>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continue our implementation of our plato platform as we seek to industrialize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 gene therapy approach into a robust, scalable and, if approved, commercially viable process;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commercial and scientific personnel;</w:t>
      </w:r>
    </w:p>
    <w:p>
      <w:pPr>
        <w:spacing w:after="0" w:line="117" w:lineRule="exact"/>
        <w:rPr>
          <w:rFonts w:ascii="Arial" w:cs="Arial" w:eastAsia="Arial" w:hAnsi="Arial"/>
          <w:sz w:val="18"/>
          <w:szCs w:val="18"/>
          <w:color w:val="auto"/>
        </w:rPr>
      </w:pPr>
    </w:p>
    <w:p>
      <w:pPr>
        <w:ind w:left="880" w:right="260" w:hanging="373"/>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our office space, infrastructure and facilities to accommodate our growing employee base, including adding equipment and physical infrastructure to support our research and development;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incur additional public company-related costs.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 become and remain profitable, we must develop and eventually commercialize product candidates with significant market potential. This will require us to be successful in a range of challenging activities, and our expenses will increase substantially as we seek to complete preclinical and clinical trials of our product candidates, and manufacture, market and sell these or any future product candidates for which we may obtain marketing approval, if any, and satisfy any post-marketing requirements. We may never succeed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0" w:name="page31"/>
    <w:bookmarkEnd w:id="30"/>
    <w:p>
      <w:pPr>
        <w:ind w:right="80"/>
        <w:spacing w:after="0" w:line="279" w:lineRule="auto"/>
        <w:rPr>
          <w:sz w:val="20"/>
          <w:szCs w:val="20"/>
          <w:color w:val="auto"/>
        </w:rPr>
      </w:pPr>
      <w:r>
        <w:rPr>
          <w:rFonts w:ascii="Arial" w:cs="Arial" w:eastAsia="Arial" w:hAnsi="Arial"/>
          <w:sz w:val="17"/>
          <w:szCs w:val="17"/>
          <w:color w:val="auto"/>
        </w:rPr>
        <w:t>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do not expect to do so for the next several years, if ever.</w:t>
      </w:r>
    </w:p>
    <w:p>
      <w:pPr>
        <w:spacing w:after="0" w:line="117"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our product candidates. We do not anticipate generating revenues from product sales for the next several years, if ever. Our ability to generate future revenues from product sales depends heavily on our, or our collaborators’, success in:</w:t>
      </w:r>
    </w:p>
    <w:p>
      <w:pPr>
        <w:spacing w:after="0" w:line="79" w:lineRule="exact"/>
        <w:rPr>
          <w:sz w:val="20"/>
          <w:szCs w:val="20"/>
          <w:color w:val="auto"/>
        </w:rPr>
      </w:pPr>
    </w:p>
    <w:p>
      <w:pPr>
        <w:ind w:left="880" w:right="42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completing research and preclinical and clinical development of our product candidates and identifying new lentiviral-based gene therapy product candidates;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trials;</w:t>
      </w:r>
    </w:p>
    <w:p>
      <w:pPr>
        <w:spacing w:after="0" w:line="117" w:lineRule="exact"/>
        <w:rPr>
          <w:rFonts w:ascii="Arial" w:cs="Arial" w:eastAsia="Arial" w:hAnsi="Arial"/>
          <w:sz w:val="18"/>
          <w:szCs w:val="18"/>
          <w:color w:val="auto"/>
        </w:rPr>
      </w:pPr>
    </w:p>
    <w:p>
      <w:pPr>
        <w:ind w:left="880" w:right="54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and marketing approval by establishing a sales force, marketing and distribution infrastructure or, alternatively, collaborating with a commercialization partner;</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qualifying for adequate coverage and reimbursement by government and third-party payors for our product candidates;</w:t>
      </w:r>
    </w:p>
    <w:p>
      <w:pPr>
        <w:spacing w:after="0" w:line="117" w:lineRule="exact"/>
        <w:rPr>
          <w:rFonts w:ascii="Arial" w:cs="Arial" w:eastAsia="Arial" w:hAnsi="Arial"/>
          <w:sz w:val="18"/>
          <w:szCs w:val="18"/>
          <w:color w:val="auto"/>
        </w:rPr>
      </w:pPr>
    </w:p>
    <w:p>
      <w:pPr>
        <w:ind w:left="880" w:hanging="373"/>
        <w:spacing w:after="0" w:line="342" w:lineRule="auto"/>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processes and relationships with third parties that can provide adequate, in both amount and quality, products and services to support clinical development and the market demand for our product candidates, if approved;</w:t>
      </w:r>
    </w:p>
    <w:p>
      <w:pPr>
        <w:spacing w:after="0" w:line="15" w:lineRule="exact"/>
        <w:rPr>
          <w:rFonts w:ascii="Arial" w:cs="Arial" w:eastAsia="Arial" w:hAnsi="Arial"/>
          <w:sz w:val="16"/>
          <w:szCs w:val="16"/>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if approved, as a viable treatment option;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880" w:right="40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under such arrangements;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foreign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2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March 31, 2020, we had cash and cash equivalents of $257.7 million. We believe that our existing cash and cash equivalents as of March 31, 2020 will enable us to fund our operating expenses and capital expenditure requirements into the second half of 2022. This forecast of cash resources is forward-looking information that involves risks and uncertainties, and the actual amount of our expenses could vary materially and adversely as a result of a number of factors. We have based our estimates on assumptions that may prove to be wrong, and our expenses could prove to be significantly higher than we currently anticipate.</w:t>
      </w:r>
    </w:p>
    <w:p>
      <w:pPr>
        <w:spacing w:after="0" w:line="18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and development of, initiate further clinical trials of and seek marketing approval for, our product candidates and continue to enhance and optimize our vector technology and manufacturing processes. In addition, if we obtain marketing approval for any of our product candidates, we expect to incur significant expenses related to product sales, medical affairs, marketing, manufacturing and distribution. Furthermore, we expect to continue to incur additional costs associated with operating as a public company. Accordingly, we will need to obtain substantial additional funding in connection with our continuing operations. If we are unable to raise capital when needed or on reasonable terms, we would be forced to delay, reduce or eliminate certain of our research and development programs. Our future capital requirements will depend on many factors, including:</w:t>
      </w:r>
    </w:p>
    <w:p>
      <w:pPr>
        <w:spacing w:after="0" w:line="69" w:lineRule="exact"/>
        <w:rPr>
          <w:sz w:val="20"/>
          <w:szCs w:val="20"/>
          <w:color w:val="auto"/>
        </w:rPr>
      </w:pPr>
    </w:p>
    <w:p>
      <w:pPr>
        <w:ind w:left="880" w:right="380" w:hanging="373"/>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laboratory testing, preclinical development and clinical trials for our other product candidates, including the extent of any impacts from the COVID-19 pandemic on these activities;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1" w:name="page32"/>
    <w:bookmarkEnd w:id="31"/>
    <w:p>
      <w:pPr>
        <w:ind w:left="880" w:right="580" w:hanging="373"/>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associated with our manufacturing process development and evaluation of third-party manufacturers;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 if any, received from commercial sale of our products, should any of our product candidates receive marketing approval;</w:t>
      </w:r>
    </w:p>
    <w:p>
      <w:pPr>
        <w:spacing w:after="0" w:line="117" w:lineRule="exact"/>
        <w:rPr>
          <w:rFonts w:ascii="Arial" w:cs="Arial" w:eastAsia="Arial" w:hAnsi="Arial"/>
          <w:sz w:val="18"/>
          <w:szCs w:val="18"/>
          <w:color w:val="auto"/>
        </w:rPr>
      </w:pPr>
    </w:p>
    <w:p>
      <w:pPr>
        <w:ind w:left="880" w:right="400" w:hanging="373"/>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of our current and any future license agreements and collaborations;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technologies and intellectual property.</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revenues, if any, will be derived from or based on sales of products that may not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Raising additional capital may cause dilution to our existing stockholders, restrict our operations or cause us to relinquish valuable rights.</w:t>
      </w:r>
    </w:p>
    <w:p>
      <w:pPr>
        <w:spacing w:after="0" w:line="14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may seek additional capital through a combination of public and private equity offerings, debt financings, strategic partnerships and alliances and licensing arrangements. To the extent that we raise additional capital through the sale of equity, convertible debt securities or other equity-based derivative securities, your ownership interest will be diluted and the terms may include liquidation or other preferences that adversely affect your rights as a stockholder. Any additional indebtedness we incur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Furthermore, the issuance of additional securities, whether equity or debt, by us, or the possibility of such issuance, may cause the market price of our common stock to decline and existing stockholders may not agree with our financing plans or the terms of such financings. If we raise additional funds through strategic partnerships and alliances and licensing arrangements with third parties, we may have to relinquish valuable rights to our technologies, or our product candidates, or grant licenses on terms unfavorable to us. Adequate additional financing may not be available to us on acceptable terms, or at all.</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14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are a clinical-stage company founded in November 2015. Our operations to date have been limited to corporate organization, recruiting key personnel, business planning, raising capital, acquiring rights to our technology, identifying potential product candidates, undertaking preclinical studies and planning and supporting clinical trials of our product candidates and establishing research and development and manufacturing capabilities. Although we initiated our ongoing Phase 2 clinical trial for AVR-RD-01 in June 2018, the first patient in the ongoing investigator-sponsored clinical trial of AVR-RD-04 was dosed in October 2019, and the first patient in our ongoing Phase 1/2 clinical trial of AVR-RD-02 has been enrolled, we have not yet demonstrated the ability to complete clinical trials of our product candidates, obtain marketing approvals, manufacture products on a clinical or commercial scale or conduct sales and marketing activities necessary for successful commercialization. Consequently, any predictions you make about our future success or viability may not be as accurate as they could be if we had a longer operating history. In addition, as an early-stage company, we may encounter unforeseen expenses, difficulties, complications, delays and other known and unknown factors.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lentiviral-based gene therapy product candidates are based on a novel technology, which makes it difficult to predict the time and cost of product candidate development and of subsequently obtaining regulatory approval.</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have concentrated our research and development efforts on our lentiviral-based gene therapy approach, and our future success depends on our successful development of viable gene therapy product candidates. There can be no assurance that we will not experience problems or delays in developing new product candidates and that such problems or delays will not cause unanticipated costs, or that any such development problems can be solved. For example, timely enrollment in our clinical trials is dependent upon global clinical trial sites which have been and may continue to be adversely affected by the COVID-19 pandemic. In addition, the implementation of our plato platform and upgrades, including our transition to therapeutic drug monitoring, or TDM, conditioning using busulfan for our single-agent conditioning regimen, may result in delays or setbacks in our research and development activities,</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2" w:name="page33"/>
    <w:bookmarkEnd w:id="32"/>
    <w:p>
      <w:pPr>
        <w:spacing w:after="0" w:line="270" w:lineRule="auto"/>
        <w:rPr>
          <w:sz w:val="20"/>
          <w:szCs w:val="20"/>
          <w:color w:val="auto"/>
        </w:rPr>
      </w:pPr>
      <w:r>
        <w:rPr>
          <w:rFonts w:ascii="Arial" w:cs="Arial" w:eastAsia="Arial" w:hAnsi="Arial"/>
          <w:sz w:val="17"/>
          <w:szCs w:val="17"/>
          <w:color w:val="auto"/>
        </w:rPr>
        <w:t>and we may not realize the intended benefits of these efforts. We may also experience delays in developing a sustainable, reproducible and scalable manufacturing process or transferring that process to commercial partners, which may prevent us from completing our clinical studies or commercializing our products on a timely or profitable basis, if at all. For example, we have only dosed one patient using our plato platform, which we plan to utilize for the majority of patients in our ongoing Phase 2 clinical trial for AVR-RD-01 and all patients in the Phase 1/2 clinical trial of AVR-RD-02. Our implementation of the LV2 lentiviral vector or of our cell processing to an industrialized, automated closed system using disposable supplies may not be successful or may experience unforeseen delays, which may cause shortages or delays in the supply of our products available for clinical trials and future commercial sales, if any, or impair our research and development efforts, including those in our ongoing and future clinical trials. In addition, there is no assurance that products using our proprietary LV2 lentiviral vector or manufactured using this automated system will ultimately achieve the same favorable preliminary results observed to date in the Phase 1 and Phase 2 clinical trials of AVR-RD-01.</w:t>
      </w:r>
    </w:p>
    <w:p>
      <w:pPr>
        <w:spacing w:after="0" w:line="18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addition, the clinical trial requirements of the FDA and other foreign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 To date, only a limited number of gene therapies have received marketing authorization from the FDA or foreign regulatory authorities. It is difficult to determine how long it will take or how much it will cost to obtain regulatory approvals for our product candidates in the United States, Canada or other major markets or how long it will take to commercialize our product candidates, if any are approved. Approvals by foreign regulatory authorities may not be indicative of what the FDA may require for approval, and vice versa.</w:t>
      </w:r>
    </w:p>
    <w:p>
      <w:pPr>
        <w:spacing w:after="0" w:line="17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Regulatory requirements governing gene and cell therapy products have changed frequently and may continue to change in the future. The FDA has established the Office of Tissues and Advanced Therapies within its Center for Biologics Evaluation and Research, or CBER, to consolidate the review of gene therapy and related products, and has established the Cellular, Tissue and Gene Therapies Advisory Committee to advise the CBER in its review. Gene therapy clinical trials conducted at institutions that receive funding for recombinant DNA research from the United States National Institutes of Health, or NIH, also are subject to the NIH Guidelines, under which supervision of human gene transfer trials includes evaluation and assessment by an institutional biosafety committee, or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If we were to engage an NIH-funded institution to conduct a clinical trial, that institution’s IBC as well as its institutional review board, or IRB, would need to review the proposed clinical trial to assess the safety of the trial. In addition, adverse developments in clinical trials of gene therapy products conducted by others may cause the FDA or other oversight bodies to change the requirements for approval of any of our product candidates. Similarly, foreign regulatory authorities may issue new guidelines concerning the development and marketing authorization for gene therapy medicinal products and require that we comply with these new guidelines.</w:t>
      </w:r>
    </w:p>
    <w:p>
      <w:pPr>
        <w:spacing w:after="0" w:line="16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FDA, NIH and the European Medicines Agency, or EMA, have each expressed interest in further regulating biotechnology, including gene therapy and genetic testing. For example, the EMA advocates a risk-based approach to the development of a gene therapy product.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these product candidates or lead to significant post-approval limitations or restrictions. As we advance our product candidates, we will be required to consult with these regulatory and advisory groups, and comply with applicable guidelines. If we fail to do so, we may be required to delay or discontinue development of certain of our product candidates. These additional processes may result in a review and approval process that is longer than we otherwise would have expected. Delay or failure to obtain, or unexpected costs in obtaining, the regulatory approval necessary to bring a potential product to market could decrease our ability to generate sufficient product revenue, and our business, financial condition, results of operations and prospects would be materially and adversely affected.</w:t>
      </w:r>
    </w:p>
    <w:p>
      <w:pPr>
        <w:spacing w:after="0" w:line="20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FDA continues to develop its approach to assessing gene and cell therapy products. For example, the agency has released a series of draft and final guidance documents relating to, among other topics, various aspects of gene therapy product development, review, and approval, including aspects relating to clinical and manufacturing issues related to gene therapy products. In January 2020, the FDA released a final guidance with recommendations for long-term follow-up studies of patients following human gene therapy administration due to the increased risk of undesirable and unpredictable outcomes with gene therapies that may present as delayed adverse events. We cannot be certain whether such guidance, or other guidance that the FDA may issue, will be relevant to or have an adversely impact on our gene therapy candidates or the duration or expense of any applicable regulatory development and review processes.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3" w:name="page34"/>
    <w:bookmarkEnd w:id="33"/>
    <w:p>
      <w:pPr>
        <w:ind w:right="60"/>
        <w:spacing w:after="0" w:line="263" w:lineRule="auto"/>
        <w:rPr>
          <w:sz w:val="20"/>
          <w:szCs w:val="20"/>
          <w:color w:val="auto"/>
        </w:rPr>
      </w:pPr>
      <w:r>
        <w:rPr>
          <w:rFonts w:ascii="Arial" w:cs="Arial" w:eastAsia="Arial" w:hAnsi="Arial"/>
          <w:sz w:val="18"/>
          <w:szCs w:val="18"/>
          <w:b w:val="1"/>
          <w:bCs w:val="1"/>
          <w:i w:val="1"/>
          <w:iCs w:val="1"/>
          <w:color w:val="auto"/>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76"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During the conduct of clinical trials, patients may experience changes in their health, including illnesses, injuries, discomforts or a fatal outcome. It is possible that as we test AVR-RD-01, AVR-RD-04, AVR-RD-02 or other product candidates in larger, longer and more extensive clinical programs, or as use of our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patients.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side effects are only detectable after investigational products are tested in larger scale, pivotal clinical trials or, in some cases, after they are made available to patients on a commercial scale after approval. If additional clinical experience indicates that any of our product candidates have side effects or causes serious or life-threatening side effects, the development of the product candidate may fail or be delayed, or, if the product candidate has received regulatory approval, such approval may be revoked or limited.</w:t>
      </w:r>
    </w:p>
    <w:p>
      <w:pPr>
        <w:spacing w:after="0" w:line="18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There have been several significant adverse side effects in gene therapy treatments in the past, including multiple reported cases of leukemia, myelodysplastic syndrome and death seen in other clinical trials. Gene therapy is still a relatively new approach to disease treatment and additional adverse side effects could develop. Possible adverse side effects that may occur with treatment with gene therapy products include an immunologic reaction early after administration that could substantially limit the effectiveness of the treatment or represent safety risks for patients. Another traditional safety concern for gene therapies using viral vectors has been the possibility of insertional mutagenesis by the vectors, leading to malignant transformation of transduced cells. While our lentiviral gene therapy approach is designed to avoid immunogenicity against the vector after administration, there can be no assurance that patients would not create antibodies that may impair treatment. If any of our gene therapy product candidates demonstrates adverse side effects at unacceptable rates or degrees of severity, we may decide or be required to halt or delay clinical development of such product candidates.</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to side effects caused by our product candidates, the conditioning, administration process or related procedures, which we evaluate from time to time as part of our process improvement and optimization efforts, also can cause adverse side effects. A gene therapy patient is generally administered one or more myeloablative drugs to remove stem cells from the bone marrow to create sufficient space in the bone marrow for the modified gene-corrected stem cells to engraft and produce their progeny. This procedure transiently compromises the patient’s immune system, known as neutropenia, and ability to form blood clots, known as thrombocytopenia.</w:t>
      </w:r>
    </w:p>
    <w:p>
      <w:pPr>
        <w:spacing w:after="0" w:line="188"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In 2019 we began transitioning, in connection with our company-sponsored clinical trials, towards a new conditioning regimen for our product candidates utilizing busulfan as the myeloablative conditioning agent instead of the melphalan that we previously used. The use of this conditioning regimen is designed to utilize TDM to achieve a balance between the removal of a sufficient amount of bone marrow cells from a patient against potential risks such as toxicity or graft failure. While we anticipate that the conditioning regimen may be performed during a limited hospital stay or potentially through an outpatient procedure, on a case-by-case basis as directed by a patient’s physician, we cannot guarantee that the conditioning will not require a lengthier hospitalization. Our conditioning regimens may not be successful or may nevertheless result in adverse side effects. For example, in the ongoing investigator-sponsored Phase 1 clinical trial and our ongoing company-sponsored Phase 2 clinical trial of AVR-RD-01, as well as the investigator-sponsored Phase 1/2 clinical trial of AVR-RD-04, several adverse events, including suppression of neutrophils and platelet counts following the conditioning process, were observed. While such adverse events in connection with conditioning is expected, if in the future any such adverse events caused by the conditioning process or related procedures continue at unacceptable rates or degrees of severity, the FDA or other foreign regulatory authorities could order us to cease development of, or deny approval of, AVR-RD-01, AVR-RD-04 or our other product candidates for any or all targeted indications. In addition, although in the future we may implement new procedures to screen for certain pre-cancerous genetic mutations prior to commencement of the conditioning regimen as an additional risk reduction measure, there can be no guarantees that these procedures, if implemented, would be successful. Even if we are able to demonstrate that adverse events are not product-related, such occurrences could adversely affect patient recruitment or the ability of enrolled patients to complete the clinical trial.</w:t>
      </w:r>
    </w:p>
    <w:p>
      <w:pPr>
        <w:spacing w:after="0" w:line="18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Additionally, if any of our product candidates receives marketing approval, the FDA could require us to adopt a Risk Evaluation and Mitigation Strategy, or REMS,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we or others later identify undesirable side effects caused by AVR-RD-01, AVR-RD-04, AVR-RD-02 or our other product candidates, several potentially significant negative consequences could result, including:</w:t>
      </w:r>
    </w:p>
    <w:p>
      <w:pPr>
        <w:spacing w:after="0" w:line="68" w:lineRule="exact"/>
        <w:rPr>
          <w:sz w:val="20"/>
          <w:szCs w:val="20"/>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product candidate;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require additional or boxed warnings on the label;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be required to change the way a product candidate is distributed, dispensed, or administered or conduct additional clinical trials;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4" w:name="page35"/>
    <w:bookmarkEnd w:id="34"/>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could significantly harm our business, prospects, financial condition and results of operations.</w:t>
      </w:r>
    </w:p>
    <w:p>
      <w:pPr>
        <w:spacing w:after="0" w:line="2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never completed a pivotal clinical trial, and may be unable to do so for any product candidates we may develop, including AVR-RD-01, AVR-RD-04 and AVR-RD-02.</w:t>
      </w:r>
    </w:p>
    <w:p>
      <w:pPr>
        <w:spacing w:after="0" w:line="6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at an early stage of development for all of our product candidates including AVR-RD-01, AVR-RD-04 and AVR-RD-02. Our product candidate AVR-RD-01 has been administered to only five patients in an ongoing investigator-sponsored Phase 1 clinical trial and to four patients in our ongoing Phase 2 clinical trial, and AVR-RD-04 has been administered to only one patient in the ongoing investigator-sponsored Phase 1/2 clinical. Although patient enrollment has commenced for our Phase 1/2 clinical trial of AVR-RD-02, we do not expect to dose the first patient until the second quarter of 2020, which timing could be delayed as a result of the ongoing COVID-19 pandemic or the other risks described in these Risk Factors. These ongoing clinical trials must be completed, as well as potentially additional pivotal clinical trials in order to obtain FDA approval to market these product candidates. We have limited experience in preparing, submitting and prosecuting regulatory filings, and have not previously submitted a biologics license application, or BLA, for any product candidate.</w:t>
      </w:r>
    </w:p>
    <w:p>
      <w:pPr>
        <w:spacing w:after="0" w:line="19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Carrying out later-stage clinical trials is a complicated and lengthy process, and we do not expect that all data from patients participating in the clinical trials will be relevant or meaningful. For example, the primary efficacy endpoint of our Phase 2 clinical trial of AVR-RD-01 is the change, from baseline to one year post-treatment with AVR-RD-01, in the average number of Gb3 inclusions per PTC, as measured in a patient kidney biopsy. The second patient in the Phase 2 trial has an N215S genotype, which is associated with a late-onset cardiac variant phenotype and lower plasma lyso-Gb3 levels. This patient’s cardiac variant phenotype does not typically result in Gb3 accumulation in the kidney and skin, and accordingly we do not expect that data obtained from this patient will have a meaningful impact on certain efficacy endpoints in our Phase 2 clinical trial, including kidney and skin biopsies. Nonetheless, there may be other important insights derived from data collected from this patient in the Phase 2 clinical trial.</w:t>
      </w:r>
    </w:p>
    <w:p>
      <w:pPr>
        <w:spacing w:after="0" w:line="17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addition, we have not yet conducted any company-sponsored clinical trials of any of our product candidates in the United States, and our interactions with the FDA have generally been limited. We cannot be certain how many additional clinical trials of AVR-RD-01, AVR-RD-04, AVR-RD-02 or any other product candidates will be required or how such trials should be designed. In order to commence a clinical trial in the United States, we are required to seek FDA acceptance of an IND for each of our product candidates. We cannot be sure any IND we submit to the FDA, or any similar clinical trial application we submit in other countries, will be accepted. While we have received clearance from the FDA to commence clinical testing in the United States for AVR-RD-01 and AVR-RD-02, and the sponsor of the investigator-led clinical trial for AVR-RD-04 has received the same, there can be no assurance that we will be able to submit and secure similar clearances for any of our other product candidates. We may also be required to conduct additional preclinical testing prior to filing an IND for any of our product candidates, and the results of any such testing may not be positive. Consequently, we may be unable to successfully and efficiently execute and complete necessary clinical trials in a way that leads to a BLA submission and approval of AVR-RD-01, AVR-RD-04, AVR-RD-02 or any of our other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AVR-RD-01, AVR-RD-04, AVR-RD-02 or any of our other product candidates.</w:t>
      </w:r>
    </w:p>
    <w:p>
      <w:pPr>
        <w:spacing w:after="0" w:line="16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ongoing Phase 1 clinical trial of AVR-RD-01 is an investigator-sponsored trial being conducted by University Health Network. In addition, the ongoing Phase 1/2 clinical trial of AVR-RD-04 is also an investigator-sponsored clinical trial, which is being conducted by our collaborators at the University of California, San Diego. We do not control the design or administration of investigator-sponsored trials, nor the submission or approval of any IND or foreign equivalent required to conduct these trials, and the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investigator-sponsored trials could be useful to inform our own clinical development efforts, there is no guarantee that we will be able to use the data from these trials to form the basis for regulatory approval of our product candidates.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Success in preclinical studies or early clinical trials may not be indicative of results obtained in later trials.</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Results from preclinical studies or early clinical trials are not necessarily predictive of future clinical trial results and are not necessarily indicative of final results. For example, there can be no assurance that prior results, such as signals of safety, activity or durability of effect, observed from preclinical studies or clinical trials will be replicated or will continue in ongoing or future studies or trials. Furthermore, preliminary results may not be indicative of the final results of a trial after all data have been collected and analyzed. Based on results observed from ongoing trials of AVR-RD-01, there can be no assurance that increased levels of plasma α-galactosidase A in patients treated with AVR-RD-01 will be maintained over time. In addition, while the first, third and fifth patients from the ongoing investigator-sponsored Phase 1 clinical trial of AVR-RD-01 discontinued ERT, there can be no assurance that these patients, or others who in the future may discontinue ERT, will remain off ERT. The initial results from the investigator-sponsored clinical trial of AVR-RD-04 only represent three months of clinical data from one patient, and there is no assurance that future clinical data from this patient or other patients will produce similar results. There is a high failure rate for gene therapy and biologic product candidates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the design of a pivotal clinical trial can determine whether its results will support approval of a product and flaws in the design of a clinical trial may not become apparent until the clinical trial is well advanced. Our company has limited experience in designing and conducting clinical trials and we may be unable to design and execute a clinical trial to support regulatory approval. To date, we have not received definitive guidance from the FDA or other foreign regulatory bodies regarding the necessary endpoints for approval of any of our product candidates, including AVR-RD-01, AVR-RD-04 and AVR-RD-02. While we are aware that the FDA utilized an efficacy endpoint based on patients’ kidney biopsy in the recent approval of Migalastat for Fabry disease, for which we are also measuring as our primary efficacy endpoint in our ongoing Phase 2 clinical trial of AVR-RD-01, there can be no guarantees that regulatory agencies will permit us to use the same endpoint in connection with further development of AVR-RD-01. Therefore, there are no assurances that the FDA or other foreign regulatory bodies will find the efficacy endpoints we propose in future pivotal trials to be sufficiently validated and clinically meaningful, or that our product candidates will achieve the pre-specified endpoints in future pivotal trials to a degree of statistical significance. We also may experience regulatory delays or rejections as a result of many factors, including due to changes in regulatory policy during the period of our product candidate development. Although patient enrollment has commenced for our Phase 1/2 clinical trial of AVR-RD-02 and the first patient has completed apheresis, we have not dosed any patients, and our AVR-RD-03 product candidate is in preclinical development and has not yet been tested in humans. Any of our other current or future product candidates may fail to show the desired safety and efficacy in clinical development despite positive results in preclinical studies. Any such failure would cause us to abandon the product candidate.</w:t>
      </w:r>
    </w:p>
    <w:p>
      <w:pPr>
        <w:spacing w:after="0" w:line="17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Additionally, the clinical trials performed to date have been open-label studies and have been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that patients have received treatment and may interpret the information more favorably given this knowledge.</w:t>
      </w:r>
    </w:p>
    <w:p>
      <w:pPr>
        <w:spacing w:after="0" w:line="27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us from proceeding with clinical trials of our product candidates.</w:t>
      </w:r>
    </w:p>
    <w:p>
      <w:pPr>
        <w:spacing w:after="0" w:line="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Identifying and qualifying patients to participate in clinical trials of our product candidates is critical to our success. The timing of our clinical trials depends on our ability to recruit patients to participate as well as the completion of required follow-up periods. Patients may be unwilling to participate in our gene therapy clinical trials because of negative publicity from adverse events related to the biotechnology or gene therapy fields, competitive clinical trials for similar patient populations, clinical trials in product candidates employing our vectors, the existence of current treatments or for other reasons. In addition, the indications that we are currently targeting and may in the future target are rare diseases, which may limit the pool of patients that may be enrolled in our ongoing or planned clinical trials. The timeline for recruiting patients, conducting studies and obtaining regulatory approval of our product candidates may be delayed, including as a result of the ongoing COVID-19 pandemic, which could result in increased costs, delays in advancing our product candidates, delays in testing the effectiveness of our product candidates or termination of the clinical trials altogether. For example, as a result of the COVID-19 pandemic, patient enrollment and dosing has been paused in our Phase 2 clinical trial of AVR-RD-01, the investigator-sponsored clinical trial of AVR-RD-04 and our Phase 1/2 clinical trial of AVR-RD-02, and certain data collection has been delayed for the investigator-sponsored Phase 1 and company-sponsored Phase 2 clinical trials of AVR-RD-01 and the investigator-sponsored clinical trial of AVR-RD-04.</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6" w:name="page37"/>
    <w:bookmarkEnd w:id="36"/>
    <w:p>
      <w:pPr>
        <w:ind w:right="120"/>
        <w:spacing w:after="0" w:line="255"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complete our clinical trials in a timely manner. For example, in 2017, the ongoing investigator-sponsored Phase 1 clinical trial of AVR-RD-01 encountered delays in the enrollment of patients due to delays in identifying patients for enrollment and the evaluation of information from screened potential trial participants. In 2019, we encountered delays in the enrollment of patients in the company-sponsored Phase 1/2 clinical trial of AVR-RD-02 for Gaucher disease. While a number of patients had been identified for the Phase 1/2 clinical trial, we encountered patient pre-screening failures that impacted the commencement of enrollment.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Patient enrollment and trial completion is affected by factors including the:</w:t>
      </w:r>
    </w:p>
    <w:p>
      <w:pPr>
        <w:spacing w:after="0" w:line="117" w:lineRule="exact"/>
        <w:rPr>
          <w:sz w:val="20"/>
          <w:szCs w:val="20"/>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enroll patients and conduct studies as a result of the ongoing COVID-19 pandemic;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patients;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eligibility and exclusion criteria;</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880" w:right="460" w:hanging="373"/>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perceived risks and benefits of gene therapy-based approaches to treatment of diseases, including any required pretreatment conditioning regimens;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of genetic testing for potential patients;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obtain and maintain subject consent;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 that enrolled patients will drop out before completion of the trial;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anticipate expanding our patient enrollment activities to include patients who reside in a country other than the country where the applicable clinical site is located, and who would be required to travel for some or all of the clinical testing and procedures required for patients in the applicable clinical trial. We may encounter logistical and regulatory challenges that could delay or prevent any such international patients from successfully enrolling and completing clinical trial procedures, including delays in processing or obtaining patient travel visas or denials of entry at borders, potential travel disruptions, or de-prioritization or unavailability of resources at clinical sites for non-resident international clinical trial participants, any of which could delay our progress and completion of planned clinical trials and which would have an adverse effect on our business.</w:t>
      </w:r>
    </w:p>
    <w:p>
      <w:pPr>
        <w:spacing w:after="0" w:line="1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current product candidates are being developed to treat rare conditions. We plan to seek initial marketing approvals in the United States, Europe and certain other major markets, including Japan. We may not be able to initiate or continue clinical trials if we cannot enroll a sufficient number of eligible patients to participate in the clinical trials required by FDA or other foreign regulatory authorities. Our ability to successfully initiate, enroll and complete a clinical trial in any foreign country is subject to numerous risks unique to conducting business in foreign countries, including:</w:t>
      </w:r>
    </w:p>
    <w:p>
      <w:pPr>
        <w:spacing w:after="0" w:line="63" w:lineRule="exact"/>
        <w:rPr>
          <w:sz w:val="20"/>
          <w:szCs w:val="20"/>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contract research organizations, or CROs, and physicians;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absence in some countries of established groups with sufficient regulatory expertise for review of gene therapy protocols;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locate qualified local consultants, physicians and partners; and</w:t>
      </w:r>
    </w:p>
    <w:p>
      <w:pPr>
        <w:spacing w:after="0" w:line="117" w:lineRule="exact"/>
        <w:rPr>
          <w:rFonts w:ascii="Arial" w:cs="Arial" w:eastAsia="Arial" w:hAnsi="Arial"/>
          <w:sz w:val="18"/>
          <w:szCs w:val="18"/>
          <w:color w:val="auto"/>
        </w:rPr>
      </w:pPr>
    </w:p>
    <w:p>
      <w:pPr>
        <w:ind w:left="880" w:right="240" w:hanging="373"/>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w:t>
      </w:r>
    </w:p>
    <w:p>
      <w:pPr>
        <w:spacing w:after="0" w:line="17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7" w:name="page38"/>
    <w:bookmarkEnd w:id="37"/>
    <w:p>
      <w:pPr>
        <w:ind w:right="200"/>
        <w:spacing w:after="0" w:line="277" w:lineRule="auto"/>
        <w:rPr>
          <w:sz w:val="20"/>
          <w:szCs w:val="20"/>
          <w:color w:val="auto"/>
        </w:rPr>
      </w:pPr>
      <w:r>
        <w:rPr>
          <w:rFonts w:ascii="Arial" w:cs="Arial" w:eastAsia="Arial" w:hAnsi="Arial"/>
          <w:sz w:val="18"/>
          <w:szCs w:val="18"/>
          <w:b w:val="1"/>
          <w:bCs w:val="1"/>
          <w:i w:val="1"/>
          <w:iCs w:val="1"/>
          <w:color w:val="auto"/>
        </w:rPr>
        <w:t>Business interruptions resulting from the coronavirus disease (COVID-19) outbreak or similar public health crises have caused and may continue to cause a disruption of the development of our product candidates and adversely impact our business.</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Public health crises such as pandemics or similar outbreaks could adversely impact our business. In December 2019, a novel strain of a virus named SARS-CoV-2 (severe acute respiratory syndrome coronavirus 2), or coronavirus, which causes coronavirus disease, or COVID-19, was reported to have surfaced in Wuhan, China and has reached many other regions and countries, including Cambridge, Massachusetts where our primary office and laboratory space is located and Toronto, Ontario where we have a satellite office. The COVID-19 pandemic is still evolving, and to date has led to the implementation of various responses, including government-imposed quarantines and stay-at-home orders, business closures, border closures and travel restrictions, cancellations of public gatherings, and other public health safety measures. These measures are disrupting normal business operations both in and outside of affected areas and have had significant negative impacts on businesses and financial markets worldwide.</w:t>
      </w:r>
    </w:p>
    <w:p>
      <w:pPr>
        <w:spacing w:after="0" w:line="17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continue to monitor our operations and applicable government recommendations and have implemented a work-from-home policy for all employees excluding those providing essential services, such as our laboratory staff. Notwithstanding these measures, the COVID-19 pandemic could affect the health and availability of our workforce as well as those of the third parties on which we rely. If members of our management and other key personnel are unable to perform their duties or have limited availability due to COVID-19, we may not be able to execute on our business strategy and/or our operations may be negatively impacted. We may experience limitations in employee resources, including because of sickness of employees or their families or the desire of employees to avoid contact with individuals or large groups of people.</w:t>
      </w:r>
    </w:p>
    <w:p>
      <w:pPr>
        <w:spacing w:after="0" w:line="17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addition, clinical trial activities, including patient enrollment and data collection, are dependent upon global clinical trial sites which have been and may continue to be adversely affected by the COVID-19 pandemic. For example, as the global healthcare community continues to respond to the increase in COVID-19 cases and hospitalizations, many hospitals, including our clinical sites, have temporarily paused elective procedures, which includes dosing of new patients with our investigational gene therapies. Additionally, while ongoing data collection has continued for patients that have been dosed, certain data collection has been delayed and additional delays could result from COVID-19-related interruptions. Furthermore, for certain of our clinical trials where additional patients have been identified and enrolled and cryopreserved drug product has been manufactured for dosing when clinical sites permit, there can be no assurance that dosing will actually occur in a timely manner or at all. We are currently conducting clinical trials for our product candidates in the United States, Canada and Australia, and plan to expand to other geographies including Japan, Europe and Israel, and each of these regions are currently being affected by COVID-19.</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Additional factors from the COVID-19 pandemic that have delayed and may continue to delay or otherwise adversely affect enrollment in or the progress of the clinical trials of our product candidates, as well as our business generally, include:</w:t>
      </w:r>
    </w:p>
    <w:p>
      <w:pPr>
        <w:spacing w:after="0" w:line="62" w:lineRule="exact"/>
        <w:rPr>
          <w:sz w:val="20"/>
          <w:szCs w:val="20"/>
          <w:color w:val="auto"/>
        </w:rPr>
      </w:pPr>
    </w:p>
    <w:p>
      <w:pPr>
        <w:jc w:val="both"/>
        <w:ind w:left="880" w:right="160" w:hanging="373"/>
        <w:spacing w:after="0" w:line="263"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clinical trials;</w:t>
      </w:r>
    </w:p>
    <w:p>
      <w:pPr>
        <w:spacing w:after="0" w:line="75" w:lineRule="exact"/>
        <w:rPr>
          <w:rFonts w:ascii="Arial" w:cs="Arial" w:eastAsia="Arial" w:hAnsi="Arial"/>
          <w:sz w:val="18"/>
          <w:szCs w:val="18"/>
          <w:color w:val="auto"/>
        </w:rPr>
      </w:pPr>
    </w:p>
    <w:p>
      <w:pPr>
        <w:ind w:left="880" w:right="60" w:hanging="373"/>
        <w:spacing w:after="0" w:line="279" w:lineRule="auto"/>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limitations on travel that could interrupt key trial activities, such as clinical trial site initiations and monitoring, domestic and international travel by employees, contractors or patients to clinical trial sites, including any government-imposed travel restrictions or quarantines that may impact the ability or willingness of patients, employees or contractors to travel to our clinical trial sites or secure visas or entry permissions, any of which could delay or adversely impact the conduct or progress of our clinical trials;</w:t>
      </w:r>
    </w:p>
    <w:p>
      <w:pPr>
        <w:spacing w:after="0" w:line="63" w:lineRule="exact"/>
        <w:rPr>
          <w:rFonts w:ascii="Arial" w:cs="Arial" w:eastAsia="Arial" w:hAnsi="Arial"/>
          <w:sz w:val="17"/>
          <w:szCs w:val="17"/>
          <w:color w:val="auto"/>
        </w:rPr>
      </w:pPr>
    </w:p>
    <w:p>
      <w:pPr>
        <w:ind w:left="880" w:right="50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clinical trial materials, such as patient samples, investigational drug product and conditioning drugs and other supplies used in our clinical trials;</w:t>
      </w:r>
    </w:p>
    <w:p>
      <w:pPr>
        <w:spacing w:after="0" w:line="62" w:lineRule="exact"/>
        <w:rPr>
          <w:rFonts w:ascii="Arial" w:cs="Arial" w:eastAsia="Arial" w:hAnsi="Arial"/>
          <w:sz w:val="18"/>
          <w:szCs w:val="18"/>
          <w:color w:val="auto"/>
        </w:rPr>
      </w:pPr>
    </w:p>
    <w:p>
      <w:pPr>
        <w:ind w:left="880" w:right="60" w:hanging="373"/>
        <w:spacing w:after="0" w:line="255"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business disruptions caused by workplace, laboratory and office closures and an increased reliance on employees working from home, disruptions to or delays in ongoing laboratory experiments and operations, staffing shortages, travel limitations or mass transit disruptions, any of which could adversely impact our business operations or those of third party service providers, contractors, or suppliers on whom we rely, impair the productivity of our personnel, subject us to additional cybersecurity risks, create data accessibility problems, cause us to become more susceptible to communication disruptions, or delay necessary interactions with local regulators, ethics committees and other important agencies and contractors;</w:t>
      </w:r>
    </w:p>
    <w:p>
      <w:pPr>
        <w:spacing w:after="0" w:line="84" w:lineRule="exact"/>
        <w:rPr>
          <w:rFonts w:ascii="Arial" w:cs="Arial" w:eastAsia="Arial" w:hAnsi="Arial"/>
          <w:sz w:val="18"/>
          <w:szCs w:val="18"/>
          <w:color w:val="auto"/>
        </w:rPr>
      </w:pPr>
    </w:p>
    <w:p>
      <w:pPr>
        <w:ind w:left="880" w:right="120" w:hanging="373"/>
        <w:spacing w:after="0" w:line="342" w:lineRule="auto"/>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business disruptions involving our third parties on whom we rely, including CROs and other collaborators for the conduct of our clinical trials or our third party suppliers or manufacturers, which could impact their ability to perform adequately or disrupt our supply chain; and</w:t>
      </w:r>
    </w:p>
    <w:p>
      <w:pPr>
        <w:spacing w:after="0" w:line="15" w:lineRule="exact"/>
        <w:rPr>
          <w:rFonts w:ascii="Arial" w:cs="Arial" w:eastAsia="Arial" w:hAnsi="Arial"/>
          <w:sz w:val="16"/>
          <w:szCs w:val="16"/>
          <w:color w:val="auto"/>
        </w:rPr>
      </w:pPr>
    </w:p>
    <w:p>
      <w:pPr>
        <w:ind w:left="880" w:right="4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hospital or research institution policies or government regulations, which could delay or adversely impact our ability to conduct our clinical trials.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8" w:name="page39"/>
    <w:bookmarkEnd w:id="38"/>
    <w:p>
      <w:pPr>
        <w:ind w:right="220"/>
        <w:spacing w:after="0" w:line="301" w:lineRule="auto"/>
        <w:rPr>
          <w:sz w:val="20"/>
          <w:szCs w:val="20"/>
          <w:color w:val="auto"/>
        </w:rPr>
      </w:pPr>
      <w:r>
        <w:rPr>
          <w:rFonts w:ascii="Arial" w:cs="Arial" w:eastAsia="Arial" w:hAnsi="Arial"/>
          <w:sz w:val="16"/>
          <w:szCs w:val="16"/>
          <w:color w:val="auto"/>
        </w:rPr>
        <w:t>These and other factors arising from the COVID-19 pandemic could worsen and further adversely impact our ability to conduct clinical trials and our business generally, and could have a material adverse impact on our operations and financial condition and results. The extent to which the COVID-19 pandemic impacts our operations or those of our third party partners will depend on future developments, which are highly uncertain and cannot be predicted with confidence, including the duration of the outbreak and the actions to contain or mitigate the coronavirus or treat its impact, among others.</w:t>
      </w:r>
    </w:p>
    <w:p>
      <w:pPr>
        <w:spacing w:after="0" w:line="2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we may fail to demonstrate safety and efficacy to the satisfaction of applicable regulatory authorities.</w:t>
      </w:r>
    </w:p>
    <w:p>
      <w:pPr>
        <w:spacing w:after="0" w:line="6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studies to demonstrate the safety and efficacy of the product candidates in humans. Clinical testing is expensive, time-consuming and uncertain as to outcome. We cannot guarantee that any clinical studies will be conducted as planned or completed on schedule, if at all. A failure of one or more clinical studies can occur at any stage of testing. Events that may prevent successful or timely completion of clinical development include:</w:t>
      </w:r>
    </w:p>
    <w:p>
      <w:pPr>
        <w:spacing w:after="0" w:line="63" w:lineRule="exact"/>
        <w:rPr>
          <w:sz w:val="20"/>
          <w:szCs w:val="20"/>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as a result of the ongoing COVID-19 pandemic;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study sites;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or IRB, approval at each clinical study site;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after an inspection of our clinical study operations or study sites;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study requirements;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failure to perform in accordance with the FDA’s good clinical practices, or GCP, or applicable regulatory guidelines in other countries;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clinical sites;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study or return for post-treatment follow-up;</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study sites or patients dropping out of a study;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occurrence of serious adverse events associated with the product candidate that are viewed to outweigh its potential benefits; or</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Any inability to successfully complete preclinical and clinical development could result in additional costs to us or impair our ability to generate revenues. In addition, if we make changes to our product candidates, we may need to conduct additional studies to bridge our modified product candidates to earlier versions, which could delay our clinical development plan or marketing approval for our product candidates. For example, for our Phase 2 clinical trial of AVR-RD-01, we have transitioned our lentiviral vectors to an LV2 version in connection with our plato platform implementation. In addition, the transition from LV1 to LV2 has required (and is anticipated to continue to require) submission of relevant data to the applicable regulatory authorities in connection with certain of our regulatory filings, including our INDs and clinical trial applications, to demonstrate analytic comparability between LV1 and LV2. Our IND application for our planned Phase 2 clinical study of AVR-RD-01 for Fabry disease in the United States, which was cleared by the FDA in April 2019, included data to demonstrate comparability between LV1 and LV2 and a transition to an automated manufacturing platform. In addition, our CTA (including amendments) and IND for our Phase 1/2 clinical study of AVR-RD-02 for Gaucher disease in Canada and the United States, for which Health Canada has issued no objection letters and the FDA has cleared, respectively, included data utilizing LV2 and our automated manufacturing platform. While these applications included data relating to our LV2 lentiviral vector and our automated manufacturing process, which are elements of our plato platform, and allow us to commence clinical trials incorporating such elements, there can be no assurance that the FDA, Health Canada or other regulatory authorities will not require us to undertake additional actions in connection with our transition to our plato platform, including submission of additional comparability studies in connection with future regulatory filings, which may result in delays, suspension or termination of ongoing or future clinical trials, or our inability to conduct our trials according to the plans or the timelines that we have envisioned. For example, the Phase 1/2 investigator-sponsored clinical study of AVR-RD-04 for cystinosis in the United States, which has been cleared by the FDA, does not include our LV2 lentiviral vector or our automated manufacturing platform, and we anticipate that we will be required to submit comparability data in future regulatory filings relating to our transition to LV2 and the automated manufacturing platform. Any such filings may result in delay, suspension or termination of ongoing or future clinical trials pending our submission, and the applicable regulatory agency’s review, of such updates. Clinical trial delays could also shorten any periods during which we may have the exclusive right to commercialize our product candidates, if approved, or allow our competitors to bring products to market before we do, which could impair our ability to successfully commercialize our product candidates and may harm our business and results of operations.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9" w:name="page40"/>
    <w:bookmarkEnd w:id="39"/>
    <w:p>
      <w:pPr>
        <w:spacing w:after="0"/>
        <w:rPr>
          <w:sz w:val="20"/>
          <w:szCs w:val="20"/>
          <w:color w:val="auto"/>
        </w:rPr>
      </w:pPr>
      <w:r>
        <w:rPr>
          <w:rFonts w:ascii="Arial" w:cs="Arial" w:eastAsia="Arial" w:hAnsi="Arial"/>
          <w:sz w:val="16"/>
          <w:szCs w:val="16"/>
          <w:color w:val="auto"/>
        </w:rPr>
        <w:t>If the results of our clinical studies are inconclusive or if there are safety concerns or adverse events associated with our product candidates, we may:</w:t>
      </w:r>
    </w:p>
    <w:p>
      <w:pPr>
        <w:spacing w:after="0" w:line="140" w:lineRule="exact"/>
        <w:rPr>
          <w:sz w:val="20"/>
          <w:szCs w:val="20"/>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approval with labeling or a REMS that includes significant use or distribution restrictions or safety warnings;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subject to changes with the way the product is administered;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be required to perform additional clinical studies to support approval or be subject to additional post-marketing testing requirements;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have regulatory authorities withdraw their approval of the product or impose restrictions on its distribution in the form of a REMS;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impair our ability to commercialize our products.</w:t>
      </w:r>
    </w:p>
    <w:p>
      <w:pPr>
        <w:spacing w:after="0" w:line="2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Even if we complete the necessary preclinical and clinical studies, we cannot predict when or if we will obtain regulatory approval to commercialize a product candidate and the approval may be for a narrower indication than we seek.</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cannot commercialize a product until the appropriate regulatory authorities have reviewed and approved the product candidate. Even if our product candidates demonstrate safety and efficacy in clinical studies, the regulatory agencies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treatment candidate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 If we are unable to obtain necessary regulatory approvals, our business, prospects, financial condition and results of operations may suffer.</w:t>
      </w:r>
    </w:p>
    <w:p>
      <w:pPr>
        <w:spacing w:after="0" w:line="28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b w:val="1"/>
          <w:bCs w:val="1"/>
          <w:i w:val="1"/>
          <w:iCs w:val="1"/>
          <w:color w:val="auto"/>
        </w:rPr>
        <w:t>Certain of our clinical trials, including the ongoing investigator-sponsored clinical trial of AVR-RD-01, a portion of our company-sponsored clinical trial of AVR-RD-01, and the investigator-sponsored clinical trial of AVR-RD-04, do not utilize our commercial-scale plato platform. While we have submitted and intend to continue to submit comparability studies to the FDA and other regulatory agencies, as needed, with respect to our implementation of our commercial-scale plato platform, there can be no assurance that the FDA or other regulatory agencies will not in the future require us to conduct additional preclinical studies or clinical trials with respect to these programs or our other product candidates that could result in delays in our development or commercialization programs of our product candidates, if approved, and additional expenses and otherwise could adversely affect our business.</w:t>
      </w:r>
    </w:p>
    <w:p>
      <w:pPr>
        <w:spacing w:after="0" w:line="6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intend to continue implementing our commercial-scale plato platform, including heightened vector efficiency, our closed, automated manufacturing system and utilization of a TDM conditioning regimen with busulfan, in connection with each of our investigational product candidates. We have developed the plato platform to form the backbone of our commercial programs, with the intent of replacing our original academic platform with improved solutions for delivering our gene therapy candidates to patients in multiple disease indications. We believe improvements from our plato platform may lead to better patient outcomes with our gene therapy candidates. In order to implement this transition, we have been and will be required to conduct additional studies to bridge our modified product candidates to earlier versions, which could delay our clinical development plans or marketing approvals, if any, including for AVR-RD-01, where the ongoing investigator-sponsored clinical trial does not use the plato platform, a portion of our company-sponsored clinical trial for AVR-RD-01, and for AVR-RD-04 where the investigator-sponsored clinical trial will not utilize the plato platform. For example, we have transitioned our AVR-RD-01 lentiviral vectors to an LV2 version, and the fourth patient in our Phase 2 trial of AVR-RD-01 was dosed in 2019 using the plato platform. While LV2 is intended to confer improvements in transduction efficiency in viral production, there is no guarantee that we can realize these intended benefits. In addition, the transition from LV1 to LV2 has required (and is anticipated to continue to require) submission of relevant data to the applicable regulatory authorities in connection with certain of our regulatory filings, including our INDs and clinical trial applications, to demonstrate analytic comparability between LV1 and LV2. Our IND application for our planned Phase 2 clinical study of AVR-RD-01 for Fabry disease in the United States, which was cleared by the FDA in April 2019, included data to demonstrate comparability between LV1</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0" w:name="page41"/>
    <w:bookmarkEnd w:id="40"/>
    <w:p>
      <w:pPr>
        <w:ind w:right="60"/>
        <w:spacing w:after="0" w:line="271" w:lineRule="auto"/>
        <w:rPr>
          <w:sz w:val="20"/>
          <w:szCs w:val="20"/>
          <w:color w:val="auto"/>
        </w:rPr>
      </w:pPr>
      <w:r>
        <w:rPr>
          <w:rFonts w:ascii="Arial" w:cs="Arial" w:eastAsia="Arial" w:hAnsi="Arial"/>
          <w:sz w:val="17"/>
          <w:szCs w:val="17"/>
          <w:color w:val="auto"/>
        </w:rPr>
        <w:t>and LV2 and a transition to an automated manufacturing platform, which are elements of our plato platform. In addition, our CTA (including amendments) and IND for our Phase 1/2 clinical study of AVR-RD-02 for Gaucher disease in Canada and the United States, for which Health Canada has issued no objection letters and the FDA has cleared, respectively, included data utilizing LV2 and our automated manufacturing platform. Nevertheless, there can be no assurance that the FDA, Health Canada or other regulatory agencies will not in the future require us to conduct additional preclinical studies or clinical trials with respect to these programs or our other product candidates, which may result in delay, suspension or termination of ongoing or future clinical trials. Clinical trial delays could also shorten any periods during which we may have the exclusive right to commercialize our product candidates, if approved, or allow our competitors to bring products to market before we do, which could impair our ability to successfully commercialize our product candidates and may harm our business and results of operations.</w:t>
      </w:r>
    </w:p>
    <w:p>
      <w:pPr>
        <w:spacing w:after="0" w:line="28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While we intend to seek designations for our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product candidates are granted such designations, we may not be able to realize the intended benefits of such designations.</w:t>
      </w:r>
    </w:p>
    <w:p>
      <w:pPr>
        <w:spacing w:after="0" w:line="79"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any of our product candidates. In addition, while such designations could expedite the development or approval process, they generally do not change the standards for approval. Even if we obtain such designations for one or more of our product candidates, there can be no assurance that we will realize their intended benefits.</w:t>
      </w:r>
    </w:p>
    <w:p>
      <w:pPr>
        <w:spacing w:after="0" w:line="17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For example, we may seek a Breakthrough Therapy Designation for some of our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are also eligible for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p>
    <w:p>
      <w:pPr>
        <w:spacing w:after="0" w:line="17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we may seek Fast Track Designation for some of our product candidates.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w:t>
      </w:r>
    </w:p>
    <w:p>
      <w:pPr>
        <w:spacing w:after="0" w:line="19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addition, we may seek a regenerative medicine advanced therapy, or RMAT, designation for some of our product candidates. An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designation as a regenerative medicine advanced therapy, the FDA may disagree and instead determine not to make such designation. In any event,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1" w:name="page42"/>
    <w:bookmarkEnd w:id="41"/>
    <w:p>
      <w:pPr>
        <w:ind w:right="120"/>
        <w:spacing w:after="0" w:line="311" w:lineRule="auto"/>
        <w:rPr>
          <w:sz w:val="20"/>
          <w:szCs w:val="20"/>
          <w:color w:val="auto"/>
        </w:rPr>
      </w:pPr>
      <w:r>
        <w:rPr>
          <w:rFonts w:ascii="Arial" w:cs="Arial" w:eastAsia="Arial" w:hAnsi="Arial"/>
          <w:sz w:val="16"/>
          <w:szCs w:val="16"/>
          <w:color w:val="auto"/>
        </w:rPr>
        <w:t>the receipt of RMAT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for RMAT designation, the FDA may later decide that the biological products no longer meet the conditions for qualification.</w:t>
      </w:r>
    </w:p>
    <w:p>
      <w:pPr>
        <w:spacing w:after="0" w:line="1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Outside of the United States, we intend to develop AVR-RD-01 in Japan under the purview of the Japanese Pharmaceutical and Medical Device Agency, or PMDA. Pursuant to Japan’s regenerative medicine law, an expedited path to conditional approval may exist for regenerative medicine products that show sufficient safety evidence and signals of efficacy in a Phase 2 clinical trial. However, there can be no assurance that the results of our ongoing Phase 2 clinical trial will demonstrate the safety evidence and efficacy signals required for such conditional approval. In addition, this conditional approval is time-limited, and there must be an agreement as to follow-up collection of information to confirm efficacy and safety, similar to a post-marketing commitment in the United States.</w:t>
      </w:r>
    </w:p>
    <w:p>
      <w:pPr>
        <w:spacing w:after="0" w:line="30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We may be unable to obtain orphan drug designation for our product candidates and, even if we obtain such designation, we may not be able to realize the benefits of such designation, including potential marketing exclusivity of our product candidates, if approved.</w:t>
      </w:r>
    </w:p>
    <w:p>
      <w:pPr>
        <w:spacing w:after="0" w:line="3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194"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In December 2018, October 2019 and March 2020, the FDA granted our requests for orphan drug designation for AVR-RD-01 for the treatment of Fabry disease, AVR-RD-02 for the treatment of Gaucher disease and AVR-RD-04 for the treatment of cystinosis, respectively. To date, we have not requested orphan drug designation (or the foreign equivalent) for any other product candidates, and even if we do in the future there can be no assurances that the FDA or foreign regulatory authorities will grant any of our product candidates such designation. Additionally, the designation of any of our product candidates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7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8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European Union, marketing authorization may be granted to a similar medicinal product for the same orphan indication if:</w:t>
      </w:r>
    </w:p>
    <w:p>
      <w:pPr>
        <w:spacing w:after="0" w:line="80" w:lineRule="exact"/>
        <w:rPr>
          <w:sz w:val="20"/>
          <w:szCs w:val="20"/>
          <w:color w:val="auto"/>
        </w:rPr>
      </w:pPr>
    </w:p>
    <w:p>
      <w:pPr>
        <w:ind w:left="880" w:right="620" w:hanging="373"/>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62" w:lineRule="exact"/>
        <w:rPr>
          <w:rFonts w:ascii="Arial" w:cs="Arial" w:eastAsia="Arial" w:hAnsi="Arial"/>
          <w:sz w:val="18"/>
          <w:szCs w:val="18"/>
          <w:color w:val="auto"/>
        </w:rPr>
      </w:pPr>
    </w:p>
    <w:p>
      <w:pPr>
        <w:ind w:left="880" w:right="80" w:hanging="373"/>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62" w:lineRule="exact"/>
        <w:rPr>
          <w:rFonts w:ascii="Arial" w:cs="Arial" w:eastAsia="Arial" w:hAnsi="Arial"/>
          <w:sz w:val="18"/>
          <w:szCs w:val="18"/>
          <w:color w:val="auto"/>
        </w:rPr>
      </w:pPr>
    </w:p>
    <w:p>
      <w:pPr>
        <w:ind w:left="880" w:right="380" w:hanging="373"/>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regulatory oversight.</w:t>
      </w:r>
    </w:p>
    <w:p>
      <w:pPr>
        <w:spacing w:after="0" w:line="11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some types of gene therapy undergo follow-up observations for potential adverse events for as long as 15 years.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6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addition, product manufacturers and their facilities are subject to payment of user fees and continual review and periodic inspections by the FDA and other regulatory authorities for compliance with current good manufacturing practices, or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If we fail to comply with applicable regulatory requirements following approval of any of our product candidates, a regulatory authority may:</w:t>
      </w:r>
    </w:p>
    <w:p>
      <w:pPr>
        <w:spacing w:after="0" w:line="117" w:lineRule="exact"/>
        <w:rPr>
          <w:sz w:val="20"/>
          <w:szCs w:val="20"/>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880" w:right="260" w:hanging="373"/>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refuse to approve a pending BLA or comparable foreign marketing application (or any supplements thereto) submitted by us or our strategic partners;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refuse to permit the import or export of products; or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the FDA’s policies,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3" w:name="page44"/>
    <w:bookmarkEnd w:id="43"/>
    <w:p>
      <w:pPr>
        <w:ind w:right="120"/>
        <w:spacing w:after="0" w:line="286" w:lineRule="auto"/>
        <w:rPr>
          <w:sz w:val="20"/>
          <w:szCs w:val="20"/>
          <w:color w:val="auto"/>
        </w:rPr>
      </w:pPr>
      <w:r>
        <w:rPr>
          <w:rFonts w:ascii="Arial" w:cs="Arial" w:eastAsia="Arial" w:hAnsi="Arial"/>
          <w:sz w:val="17"/>
          <w:szCs w:val="17"/>
          <w:b w:val="1"/>
          <w:bCs w:val="1"/>
          <w:i w:val="1"/>
          <w:iCs w:val="1"/>
          <w:color w:val="auto"/>
        </w:rPr>
        <w:t>We face significant competition in our industry and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w:t>
      </w:r>
    </w:p>
    <w:p>
      <w:pPr>
        <w:spacing w:after="0" w:line="5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operate in a highly competitive segment of the biopharmaceutical market. We face competition from many different sources, including larger pharmaceutical, specialty pharmaceutical and biotechnology companies, as well as from academic institutions, government agencies and private and public research institutions. Our product candidates, if successfully developed and approved, will compete with established therapies, some of which are being marketed by large and international companies. In addition, we expect to compete with new treatments that are under development or may be advanced into the clinic by our competitors. There are a variety of product candidates, including gene therapies, in development for the indications that we are targeting.</w:t>
      </w:r>
    </w:p>
    <w:p>
      <w:pPr>
        <w:spacing w:after="0" w:line="161"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We anticipate competing with the largest pharmaceutical companies in the world. For example, Sanofi Genzyme and Shire, acquired by Takeda Pharmaceutical Company Ltd., market the enzyme replacement therapies, or ERTs, that represent the standard of care for Fabry patients. Amicus has secured regulatory approval in the United States and Europe for Migalastat, its oral therapy for Fabry disease. For Gaucher disease, we expect to compete with existing enzyme replacement therapies marketed by Sanofi Genzyme, Shire, Protalix and Pfizer, as well as oral therapies marketed by Actelion and Sanofi. Sanofi also markets an enzyme replacement therapy for Pompe disease. Cystinosis is currently treated by therapies marketed by Horizon Orphan, Mylan, Chiesi, Recordati and Sigma Tau Pharmaceuticals, and Eloxx Pharmaceuticals has been advancing a new treatment in clinical trials, though in March 2020 it announced that its Phase 2 study of the new treatment has been discontinued. In addition, we may compete with other gene therapy companies in our industry such as bluebird bio and Spark Therapeutics (which was acquired by Roche in the fourth quarter of 2019). In particular, a number of gene therapy companies have announced preclinical or clinical adeno-associated virus, or AAV, based gene therapy programs that, if such programs are successful in obtaining regulatory approval, could compete with our gene therapies. These include companies such as Abeona, Amicus, Freeline, JCR Pharmaceuticals, Sangamo and uniQure which have announced gene therapy programs for Fabry disease; Freeline and Prevail which have announced gene therapy programs for Gaucher disease; and Abeona, Actus, Amicus, Audentes, Sarepta and Spark Therapeutics which have announced gene therapy programs for Pompe disease.</w:t>
      </w:r>
    </w:p>
    <w:p>
      <w:pPr>
        <w:spacing w:after="0" w:line="18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Many of our competitors have significantly greater financial, product candidate development, manufacturing and marketing resources than we do. Large pharmaceutical and biotechnology companies have extensive experience in clinical testing and obtaining regulatory approval for their products, and mergers and acquisitions within these industries may result in even more resources being concentrated among a smaller number of larger competitors. Established pharmaceutical companies may also invest heavily to accelerate discovery and development of novel therapeutics or to in-license novel therapeutics that could make the product candidates that we develop obsolete. Competition may increase further as a result of advances in the commercial applicability of technologies and greater availability of capital for investment in these industries. Our business would be materially and adversely affected if competitors develop and commercialize products that are safer, more effective, have fewer or less severe side effects, have broader market acceptance, are more convenient or are less expensive than any product candidate that we may develop.</w:t>
      </w:r>
    </w:p>
    <w:p>
      <w:pPr>
        <w:spacing w:after="0" w:line="178"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Even if we obtain regulatory approval of our product candidates,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w:t>
      </w:r>
    </w:p>
    <w:p>
      <w:pPr>
        <w:spacing w:after="0" w:line="2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focus on developing our current product candidates may not yield any commercially viable products, and our failure to successfully identify and develop additional product candidates could impair our ability to grow.</w:t>
      </w:r>
    </w:p>
    <w:p>
      <w:pPr>
        <w:spacing w:after="0" w:line="6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part of our growth strategy, we intend to identify, develop and market additional product candidates beyond our existing product candidates for Fabry disease, cystinosis, Gaucher disease and Pompe disease. We may spend several years completing our development of any particular current or future product candidates, and failure can occur at any stage. The product candidates to which we allocate our resources may not end up being successful. Because we have limited resources, we may forego or delay pursuit of opportunities with certain programs or product candidates or for indications that later prove to have greater commercial potential than our product candidates.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p>
    <w:p>
      <w:pPr>
        <w:spacing w:after="0" w:line="16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Because our internal research capabilities are limited, we may be dependent upon biotechnology companies, academic scientists and other researchers to sell or license product candidates, approved products or the underlying technology to us. The success of this strategy depends partly upon our ability to identify, select, discover and acquire promising product candidates and products.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4" w:name="page45"/>
    <w:bookmarkEnd w:id="44"/>
    <w:p>
      <w:pPr>
        <w:ind w:right="160"/>
        <w:spacing w:after="0" w:line="279" w:lineRule="auto"/>
        <w:rPr>
          <w:sz w:val="20"/>
          <w:szCs w:val="20"/>
          <w:color w:val="auto"/>
        </w:rPr>
      </w:pPr>
      <w:r>
        <w:rPr>
          <w:rFonts w:ascii="Arial" w:cs="Arial" w:eastAsia="Arial" w:hAnsi="Arial"/>
          <w:sz w:val="17"/>
          <w:szCs w:val="17"/>
          <w:color w:val="auto"/>
        </w:rPr>
        <w:t>In addition, certain of our current or future product candidates may not demonstrate in patients any or all of the pharmacological benefits we believe they may possess or compare favorably to existing, approved therapies, such as ERT. We have not yet succeeded and may never succeed in demonstrating efficacy and safety of our product candidates or any future product candidates in clinical trials or in obtaining marketing approval thereafter. Accordingly, our focus on treating these diseases may not result in the development of commercially viable products.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we are unsuccessful in our development efforts, we may not be able to advance the development of our product candidates, commercialize products, raise capital, expand our business or continue our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6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do not expect to independently conduct all aspects of our vector production, product manufacturing, protocol development, research and preclinical and clinical testing. We currently rely, and expect to continue to rely, on third parties with respect to these items. For example, we have moved our cell processing to an automated, closed system with a single third-party supplier.</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Any of these third parties may terminate their engagements with us at any time. If we need to enter into alternative arrangements, it could delay our product development activities. Our reliance on these third parties for research and development activities will reduce our control over these activities but will not relieve us of our responsibility to ensure compliance with all required regulations and study protocols. For example, for product candidates that we develop and commercialize on our own, we will remain responsible for ensuring that each of our preclinical and clinical studies are conducted in accordance with the study plan, protocols and regulatory requirements.</w:t>
      </w:r>
    </w:p>
    <w:p>
      <w:pPr>
        <w:spacing w:after="0" w:line="18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If our contract counterparties do not successfully carry out their contractual duties, meet expected deadlines or conduct our studies in accordance with regulatory requirements or our stated study plans and protocols, we will not be able to complete, or may be delayed in completing, the preclinical and clinical studies required to support approval of our product candidates or the FDA or other regulatory agencies may refuse to accept our clinical or preclinical data. For example, in 2017, the ongoing investigator-sponsored Phase 1 clinical trial of AVR-RD-01 encountered delays in the enrollment of patients due to delays in identifying patients for enrollment and the evaluation of information from screened potential trial participants. In 2019, we encountered delays in the enrollment of patients in the company-sponsored Phase 1/2 clinical trial of AVR-RD-02 for Gaucher disease. While a number of interested patients had been identified for the Phase 1/2 clinical trial, we encountered patient pre-screening failures that impacted the commencement of enrollment in these studies.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Reliance on third-party manufacturers entails risks to which we would not be subject if we manufactured the product candidates ourselves, including:</w:t>
      </w:r>
    </w:p>
    <w:p>
      <w:pPr>
        <w:spacing w:after="0" w:line="129" w:lineRule="exact"/>
        <w:rPr>
          <w:sz w:val="20"/>
          <w:szCs w:val="20"/>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reduced control as a result of using third-party manufacturers for all aspects of manufacturing activities;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 and</w:t>
      </w:r>
    </w:p>
    <w:p>
      <w:pPr>
        <w:spacing w:after="0" w:line="128" w:lineRule="exact"/>
        <w:rPr>
          <w:rFonts w:ascii="Arial" w:cs="Arial" w:eastAsia="Arial" w:hAnsi="Arial"/>
          <w:sz w:val="17"/>
          <w:szCs w:val="17"/>
          <w:color w:val="auto"/>
        </w:rPr>
      </w:pPr>
    </w:p>
    <w:p>
      <w:pPr>
        <w:ind w:left="880" w:right="620" w:hanging="373"/>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impact of the ongoing COVID-19 pandemic or the bankruptcy of the manufacturer or supplier.</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Any of these events could lead to delays of our preclinical and clinical studies or failure to obtain regulatory approval, or impact our ability to successfully commercialize future products. Some of these events could be the basis for FDA action, including injunction, recall, seizure or total or partial suspension of production.</w:t>
      </w:r>
    </w:p>
    <w:p>
      <w:pPr>
        <w:spacing w:after="0" w:line="2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and our contract manufacturers are subject to significant regulation with respect to manufacturing our products. The manufacturing facilities on which we rely may not continue to meet regulatory requirements and have limited capacity.</w:t>
      </w:r>
    </w:p>
    <w:p>
      <w:pPr>
        <w:spacing w:after="0" w:line="6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currently have relationships with a limited number of suppliers for the manufacturing of our viral vectors and product candidates. Each supplier may require licenses to manufacture such components if such processes are not owned by the supplier or in the public domain and we may be unable to transfer or sublicense the intellectual property rights we may have with respect to such activities.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 w:name="page46"/>
    <w:bookmarkEnd w:id="45"/>
    <w:p>
      <w:pPr>
        <w:ind w:right="20"/>
        <w:spacing w:after="0" w:line="286" w:lineRule="auto"/>
        <w:rPr>
          <w:sz w:val="20"/>
          <w:szCs w:val="20"/>
          <w:color w:val="auto"/>
        </w:rPr>
      </w:pPr>
      <w:r>
        <w:rPr>
          <w:rFonts w:ascii="Arial" w:cs="Arial" w:eastAsia="Arial" w:hAnsi="Arial"/>
          <w:sz w:val="16"/>
          <w:szCs w:val="16"/>
          <w:color w:val="auto"/>
        </w:rPr>
        <w:t>All entities involved in the preparation of therapeutics for clinical studies or commercial sale, including our existing contract manufacturers for our product candidates, are subject to extensive regulation. Components of a finished therapeutic product approved for commercial sale or used in clinical studies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on a timely basis and must adhere to the FDA’s good laboratory practices, or GLP, and CGMP regulations enforced by the FDA through its facilities inspection program. Some of our contract manufacturers have not produced a commercially-approved product and have never been inspected by the FDA before.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If these facilities do not pass a pre-approval plant inspection, FDA approval of the products will not be granted.</w:t>
      </w:r>
    </w:p>
    <w:p>
      <w:pPr>
        <w:spacing w:after="0" w:line="17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regulatory authorities also may, at any time following approval of a product for sale,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w:t>
      </w:r>
    </w:p>
    <w:p>
      <w:pPr>
        <w:spacing w:after="0" w:line="192"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If we or any of our third-party manufacturers fail to maintain regulatory compliance, the FDA can impose regulatory sanctions including, among other things, refusal to approve a pending application for a new drug product or biologic product, or revocation of a pre-existing approval. As a result, our business, financial condition and results of operations may be materially harmed.</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factors could cause the delay of clinical studies, regulatory submissions, required approvals or commercialization of our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preclinical and clinical studies may be delayed.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 limited number of suppliers for some of our components and materials used in our product candidates.</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currently depend on a limited number of suppliers for some of the components necessary for our product candidates. We cannot be sure that these suppliers will remain in business, or that they will not be purchased by one of our competitors or another company that is not interested in continuing to produce these materials for our intended purpose. Our use of a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These vendors may be unable or unwilling to meet our future demands for our clinical trials or commercial sale. Establishing additional or replacement suppliers for these components could take a substantial amount of time and it may be difficult to establish replacement suppliers who meet regulatory requirements. Any disruption in supply from any supplier or manufacturing location could lead to supply delays or interruptions which would damage our business, financial condition, results of operations and prospects.</w:t>
      </w:r>
    </w:p>
    <w:p>
      <w:pPr>
        <w:spacing w:after="0" w:line="16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If we are required to switch to a replacement supplier, the manufacture and delivery of our product candidates could be interrupted for an extended period, adversely affecting our business. Establishing additional or replacement suppliers may not be accomplished quickly. If we are able to find a replacement supplier, the replacement supplier would need to be qualified and may require additional regulatory authority approval, which could result in further delay. For example, the FDA could require additional supplemental data and clinical trial data if we rely upon a new supplier. While we seek to maintain adequate inventory of the components and materials used in our product candidates, any interruption or delay in the supply of components or materials, or our inability to obtain components or materials from alternate sources at acceptable prices in a timely manner, could impair our ability to conduct our clinical trials and, if our product candidates are approved, to meet the demand of our customers and cause them to cancel orders.</w:t>
      </w:r>
    </w:p>
    <w:p>
      <w:pPr>
        <w:spacing w:after="0" w:line="16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 addition, as part of the FDA’s approval of our product candidates, the FDA must review and approve the individual components of our production process, which includes the manufacturing processes and facilities of our suppliers. Our current suppliers have not undergone this process, nor have they had any components included in any product approved by the FDA.</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6" w:name="page47"/>
    <w:bookmarkEnd w:id="46"/>
    <w:p>
      <w:pPr>
        <w:ind w:right="220"/>
        <w:spacing w:after="0" w:line="277" w:lineRule="auto"/>
        <w:rPr>
          <w:sz w:val="20"/>
          <w:szCs w:val="20"/>
          <w:color w:val="auto"/>
        </w:rPr>
      </w:pPr>
      <w:r>
        <w:rPr>
          <w:rFonts w:ascii="Arial" w:cs="Arial" w:eastAsia="Arial" w:hAnsi="Arial"/>
          <w:sz w:val="18"/>
          <w:szCs w:val="18"/>
          <w:color w:val="auto"/>
        </w:rPr>
        <w:t>Our reliance on these suppliers subjects us to a number of risks that could harm our reputation, business, and financial condition, including, among other things:</w:t>
      </w:r>
    </w:p>
    <w:p>
      <w:pPr>
        <w:spacing w:after="0" w:line="62" w:lineRule="exact"/>
        <w:rPr>
          <w:sz w:val="20"/>
          <w:szCs w:val="20"/>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production, supply, shipment or delivery as a result of the ongoing COVID-19 pandemic;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interruption of supply resulting from modifications to or discontinuation of a supplier’s operations;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product shipments resulting from uncorrected defects, reliability issues, or a supplier’s variation in a component;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lack of long-term supply arrangements for key components with our suppliers;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obtain adequate supply in a timely manner, or to obtain adequate supply on commercially reasonable terms;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difficulty and cost associated with locating and qualifying alternative suppliers for our components in a timely manner;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production delays related to the evaluation and testing of products from alternative suppliers, and corresponding regulatory qualifications;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delay in delivery due to our suppliers prioritizing other customer orders over ours;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damage to our reputation caused by defective components produced by our suppliers;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increased cost of our warranty program due to product repair or replacement based upon defects in components produced by our suppliers; and</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 in delivery by our suppliers due to changes in demand from us or their other customers.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any of these risks materialize, costs could significantly increase and our ability to conduct our clinical trials and, if our product candidates are approved, to meet demand for our products could be impacted.</w:t>
      </w:r>
    </w:p>
    <w:p>
      <w:pPr>
        <w:spacing w:after="0" w:line="2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Because we rely on third parties to manufacture our vectors and our product candidates, and because we collaborate with various organizations and academic institutions on the advancement of our gene therapy approach,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p>
    <w:p>
      <w:pPr>
        <w:spacing w:after="0" w:line="192"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5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distribution and marketing capabilities or enter into agreements with third parties to market and sell our product candidates, we will be unable to generate any product revenue.</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in the preliminary stages of building our commercial organization. To successfully commercialize any of our current or future product candidates, if approved, we will need to develop these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7" w:name="page48"/>
    <w:bookmarkEnd w:id="47"/>
    <w:p>
      <w:pPr>
        <w:ind w:right="120"/>
        <w:spacing w:after="0" w:line="254" w:lineRule="auto"/>
        <w:rPr>
          <w:sz w:val="20"/>
          <w:szCs w:val="20"/>
          <w:color w:val="auto"/>
        </w:rPr>
      </w:pPr>
      <w:r>
        <w:rPr>
          <w:rFonts w:ascii="Arial" w:cs="Arial" w:eastAsia="Arial" w:hAnsi="Arial"/>
          <w:sz w:val="18"/>
          <w:szCs w:val="18"/>
          <w:color w:val="auto"/>
        </w:rPr>
        <w:t>able to successfully develop this capability. We may enter into collaborations regarding any approved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our product candidates, if approved. Without an internal team or the support of a third-party to perform marketing and sales functions, we may be unable to compete successfully against these more established companies.</w:t>
      </w:r>
    </w:p>
    <w:p>
      <w:pPr>
        <w:spacing w:after="0" w:line="30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our product candidates are smaller than we believe they are, our product revenues may be adversely affected and our business may suffer.</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focus our research and product development on treatments for serious lysosomal diseases.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and elsewhere may turn out to be lower than expected, may not be otherwise amenable to treatment with our products or patients may become increasingly difficult to identify and access, all of which would adversely affect our business, financial condition, results of operations and prospects.</w:t>
      </w:r>
    </w:p>
    <w:p>
      <w:pPr>
        <w:spacing w:after="0" w:line="30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commercial success of any current or future product candidate will depend upon the degree of market acceptance by physicians, patients, third-party payors and others in the medical community.</w:t>
      </w:r>
    </w:p>
    <w:p>
      <w:pPr>
        <w:spacing w:after="0" w:line="6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Even if we obtain any regulatory approval for our product candidates, the commercial success of our product candidates will depend in part on the medical community, patients, and third-party payors accepting gene therapy products in general, and our product candidates in particular, as effective, safe and cost-effective. Any product that we bring to the market may not gain market acceptance by physicians, patients, third-party payors and others in the medical community. The degree of market acceptance of these product candidates, if approved for commercial sale, will depend on a number of factors, including:</w:t>
      </w:r>
    </w:p>
    <w:p>
      <w:pPr>
        <w:spacing w:after="0" w:line="49" w:lineRule="exact"/>
        <w:rPr>
          <w:sz w:val="20"/>
          <w:szCs w:val="20"/>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efficacy and potential advantages over alternative treatments, including any similar generic treatments;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efficacy and safety as demonstrated in pivotal clinical trials and published in peer-reviewed journals;</w:t>
      </w:r>
    </w:p>
    <w:p>
      <w:pPr>
        <w:spacing w:after="0" w:line="117" w:lineRule="exact"/>
        <w:rPr>
          <w:rFonts w:ascii="Arial" w:cs="Arial" w:eastAsia="Arial" w:hAnsi="Arial"/>
          <w:sz w:val="18"/>
          <w:szCs w:val="18"/>
          <w:color w:val="auto"/>
        </w:rPr>
      </w:pPr>
    </w:p>
    <w:p>
      <w:pPr>
        <w:ind w:left="880" w:right="460" w:hanging="373"/>
        <w:spacing w:after="0" w:line="308" w:lineRule="auto"/>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prevalence and severity of any adverse events or side effects, including any limitations or warnings contained in a product’s approved labeling or that are later found to be associated with a product, including in findings from long-term follow-up studies;</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prevalence and severity of any side effects resulting from the conditioning regimen for the administration of our product candidates;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to offer the products for sale at competitive prices;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clinical indications for which the products are approved by the FDA or comparable regulatory agencies;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relative convenience and ease of dosing and administration compared to alternative treatments;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how the product is distributed;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favorable third-party insurance coverage and sufficient reimbursement.</w:t>
      </w:r>
    </w:p>
    <w:p>
      <w:pPr>
        <w:spacing w:after="0" w:line="225"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spacing w:after="0" w:line="275" w:lineRule="auto"/>
        <w:rPr>
          <w:sz w:val="20"/>
          <w:szCs w:val="20"/>
          <w:color w:val="auto"/>
        </w:rPr>
      </w:pPr>
      <w:r>
        <w:rPr>
          <w:rFonts w:ascii="Arial" w:cs="Arial" w:eastAsia="Arial" w:hAnsi="Arial"/>
          <w:sz w:val="17"/>
          <w:szCs w:val="17"/>
          <w:color w:val="auto"/>
        </w:rPr>
        <w:t>Even if a product candidate displays a favorable efficacy and safety profile in preclinical and clinical studies, market acceptance of the product, if approved for commercial sale, will not be known until after it is launched. Our efforts to educate the medical community and third-party payors on the benefits of our product candidates may require significant resources and may never be successful. Such efforts to educate the marketplace may require more resources than are required by the conventional technologies marketed by our competitors. If these products do not achieve an adequate level of acceptance, we may not generate significant product revenue and may not become profitable.</w:t>
      </w:r>
    </w:p>
    <w:p>
      <w:pPr>
        <w:spacing w:after="0" w:line="2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currently conducting clinical trials for our product candidates in the United States, Canada and Australia, and plan to expand to other geographies including Japan, Europe and Israel. 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79" w:lineRule="exact"/>
        <w:rPr>
          <w:sz w:val="20"/>
          <w:szCs w:val="20"/>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and biologics in foreign countries;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880" w:right="40" w:hanging="373"/>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880" w:right="300" w:hanging="373"/>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278"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are uncertain. Failure to obtain or maintain adequate coverage and reimbursement for any of our product candidates, if approved, could limit our ability to market those products and decrease our ability to generate revenue.</w:t>
      </w:r>
    </w:p>
    <w:p>
      <w:pPr>
        <w:spacing w:after="0" w:line="76"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or their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17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ability to successfully commercialize our product candidates or any other products that we or they may develop also will depend in part on the extent to which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The availability and extent of reimbursement by governmental and private payors is essential for most patients to be able to afford treatments.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We may not be able to provide data sufficient to gain acceptance with respect to coverage and reimbursement. If reimbursement is not available, or is available only at limited levels, we may not be able to successfully commercialize our product candidates, if approved. Even if coverage is provided, the approved reimbursement amount may not be high enough to allow us to establish or maintain pricing sufficient to realize a sufficient return on our investment.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 w:name="page50"/>
    <w:bookmarkEnd w:id="49"/>
    <w:p>
      <w:pPr>
        <w:spacing w:after="0" w:line="269" w:lineRule="auto"/>
        <w:rPr>
          <w:sz w:val="20"/>
          <w:szCs w:val="20"/>
          <w:color w:val="auto"/>
        </w:rPr>
      </w:pPr>
      <w:r>
        <w:rPr>
          <w:rFonts w:ascii="Arial" w:cs="Arial" w:eastAsia="Arial" w:hAnsi="Arial"/>
          <w:sz w:val="17"/>
          <w:szCs w:val="17"/>
          <w:color w:val="auto"/>
        </w:rPr>
        <w:t>There is significant uncertainty related to the insurance coverage and reimbursement of newly approved products. In the United States, the principal decisions about reimbursement for new medicines are typically made by the Centers for Medicare &amp; Medicaid Services, or CMS, an agency within the U.S. Department of Health and Human Services, as CMS decides whether and to what extent a new medicine will be covered and reimbursed under Medicare. Private payors tend to follow CMS to a substantial degree. It is difficult to predict what CMS will decide with respect to reimbursement for fundamentally novel products such as ours, as there is no body of established practices and precedents for these new products. Patients who are provided medical treatment for their conditions generally rely on third-party payors to reimburse all or part of the costs associated with their treatment. Adequate coverage and reimbursement from governmental healthcare programs and commercial payors are critical to new product acceptance. 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77" w:lineRule="exact"/>
        <w:rPr>
          <w:sz w:val="20"/>
          <w:szCs w:val="20"/>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 primary trend in the U.S. healthcare industry and elsewhere is cost containment. Government authorities and other third-party payors have attempted to control costs by limiting coverage and the amount of reimbursement for particular medications. Outside the United States, international operations are generally subject to extensive governmental price controls and other market regulations, and we believe the increasing emphasis on cost-containment initiatives in Europe and certain other major markets where we plan to commercialize may put pressure on the pricing and usage of our product candidates. In many countries, the prices of medical products are subject to varying price control mechanisms as part of national health systems, and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7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Moreover,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8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Due to the novel nature of our technology and the potential for our product candidates to offer therapeutic benefit in a single administration, we face uncertainty related to pricing and reimbursement for these product candidates.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target patient populations are relatively small, as a result of which the pricing and reimbursement of our product candidates, if approved, must be adequate to support commercial infrastructure. If we are unable to obtain adequate levels of reimbursement, our ability to successfully market and sell our product candidates will be adversely affected. The manner and level at which reimbursement is provided for services related to our product candidates (e.g., for administration of our product to patients) is also important. Inadequate reimbursement for such services may lead to physician resistance and adversely affect our ability to market or sell our product candidates, if approved.</w:t>
      </w:r>
    </w:p>
    <w:p>
      <w:pPr>
        <w:spacing w:after="0" w:line="29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could experience production problems that result in delays in our development or commercialization programs or otherwise adversely affect our business.</w:t>
      </w:r>
    </w:p>
    <w:p>
      <w:pPr>
        <w:spacing w:after="0" w:line="6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manufacturing process we use to produce our product candidates is complex, novel and has not been validated for commercial use. Several factors could cause production interruptions, including equipment malfunctions, facility contamination, raw material shortages or contamination, natural disasters, disruption in utility services, human error or disruptions in the operations of our suppliers.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0" w:name="page51"/>
    <w:bookmarkEnd w:id="50"/>
    <w:p>
      <w:pPr>
        <w:ind w:right="20"/>
        <w:spacing w:after="0" w:line="271" w:lineRule="auto"/>
        <w:rPr>
          <w:sz w:val="20"/>
          <w:szCs w:val="20"/>
          <w:color w:val="auto"/>
        </w:rPr>
      </w:pPr>
      <w:r>
        <w:rPr>
          <w:rFonts w:ascii="Arial" w:cs="Arial" w:eastAsia="Arial" w:hAnsi="Arial"/>
          <w:sz w:val="17"/>
          <w:szCs w:val="17"/>
          <w:color w:val="auto"/>
        </w:rPr>
        <w:t>Our product candidates require processing steps that are more complex than those required for most chemical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and our manufacturing suppliers employ multiple steps to control the manufacturing process with the goal of ensuring that the product candidate is made strictly and consistently in compliance with the process. Problems with the manufacturing process, including even minor deviations from the intended process, could result in product defects or manufacturing failures that result in lot failures, product recalls, product liability claims or insufficient inventory. We may encounter problems achieving adequate quantities and quality of clinical-grade materials that meet FDA or other applicable regulatory standards or specifications with consistent and acceptable production yields and costs.</w:t>
      </w:r>
    </w:p>
    <w:p>
      <w:pPr>
        <w:spacing w:after="0" w:line="17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addition, the FDA and other foreign regulatory authorities may require us to submit samples of any lot of any approved product together with the protocols showing the results of applicable tests at any time. Under some circumstances, the FDA or other foreign regulatory authorities may require that we not distribute a lot until the agency authorizes its release. Even slight deviations in the manufacturing process, including those affecting quality attributes and stability, may result in unacceptable changes in the product that could result in lot failures or product recalls. There is no assurance we will not experience lot failures in the future. Lot failures or product recalls could cause us to delay clinical trials, or, if approved, commercial product launches, which could be costly to us and otherwise harm our business, financial condition, results of operations and prospects.</w:t>
      </w:r>
    </w:p>
    <w:p>
      <w:pPr>
        <w:spacing w:after="0" w:line="28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Healthcare legislative reform measures and constraints on national budget social security systems may have a material adverse effect on our business and results of operations.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any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9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For example, in 2010, the Patient Protection and Affordable Care Act, as amended by the Health Care and Education Reconciliation Act of 2010, or the ACA, was enacted, which, substantially changes the way healthcare is financed by both governmental and private insurers, and significantly impacts the U.S. pharmaceutical industry. The ACA, among other things, subjects biologic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most manufacturers under the Medicaid Drug Rebate Program, increases the minimum Medicaid rebates owed by manufacturers under the Medicaid Drug Rebate Program, extends the Medicaid Drug Rebate program to utilization of prescriptions of individuals enrolled in Medicaid managed care organizations, subjects manufacturers to new annual fees and taxes for certain branded prescription drugs, creates a new Medicare Part D coverage gap discount program, in which manufacturers must agree to offer 50% (increased to 70% as of 2019 due to subsequent legislation) point-of-sale discounts off negotiated prices of applicable brand drugs to eligible beneficiaries during their coverage gap period, as a condition for the manufacturer’s outpatient drugs to be covered under Medicare Part D, and provides incentives to programs that increase the federal government’s comparative effectiveness research.</w:t>
      </w:r>
    </w:p>
    <w:p>
      <w:pPr>
        <w:spacing w:after="0" w:line="1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Since its enactment, there have been numerous judicial, administrative, executive, and legislative challenges to certain aspects of the ACA, and we expect there will be additional challenges and amendments to the ACA in the future. For example, various portions of the ACA are currently undergoing legal and constitutional challenges in the Fifth Circuit Court and the United States Supreme Court, and the Trump Administration has issued various Executive Orders that eliminated cost sharing subsidies and various provisions that would impose a fiscal burden on states or a cost, fee, tax, penalty or regulatory burden on individuals, healthcare providers, health insurers, or manufacturers of pharmaceuticals or medical devices. Additionally, Congress has introduced several pieces of legislation aimed at significantly revising or repealing the ACA. It is unclear whether the ACA will be overturned, repealed, replaced, or further amended. We cannot predict what affect further changes to the ACA would have on our business.</w:t>
      </w:r>
    </w:p>
    <w:p>
      <w:pPr>
        <w:spacing w:after="0" w:line="17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April 2013, and will remain in effect through 2030 unless additional Congressional action is taken; however, pursuant to the Coronavirus Aid, Relief, and Economic Security Act, also known as the CARES Act, these reductions will be suspended from May 1, 2020 through December 31, 2020 due to the COVID-19 pandemic. In January 2013, the American Taxpayer Relief Act of 2012, was signed into law, which, among other things, further reduced Medicare payments to several providers, including hospitals and cancer treatment centers, and increased the statute of limitations period for the government to recover overpayments to providers from three to five years.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ind w:right="40"/>
        <w:spacing w:after="0" w:line="285" w:lineRule="auto"/>
        <w:rPr>
          <w:sz w:val="20"/>
          <w:szCs w:val="20"/>
          <w:color w:val="auto"/>
        </w:rPr>
      </w:pPr>
      <w:r>
        <w:rPr>
          <w:rFonts w:ascii="Arial" w:cs="Arial" w:eastAsia="Arial" w:hAnsi="Arial"/>
          <w:sz w:val="16"/>
          <w:szCs w:val="16"/>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budgets for fiscal year 2020 contain further drug price control measures that could be enacted in future legislation, including, for example, measures to permit Medicare Part D plans to negotiate the price of certain drugs under Medicare Part B, to allow some states to negotiate drug prices under Medicaid, and to eliminate cost sharing for generic drugs for low-income patients.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or HHS, has already started the process of soliciting feedback on some of these measures and, at the same time, is immediately implementing others under its existing authority. For example, in May 2019, CMS issued a final rule to allow Medicare Advantage Plans the option of using step therapy, a type of prior authorization, for Part B drugs beginning January 1, 2020. This final rule codified CMS’s policy change that was effective January 1, 2019. Although a number of these, and other proposed measures will require authorization through additional legislation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4"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payors.</w:t>
      </w:r>
    </w:p>
    <w:p>
      <w:pPr>
        <w:spacing w:after="0" w:line="14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79" w:lineRule="exact"/>
        <w:rPr>
          <w:sz w:val="20"/>
          <w:szCs w:val="20"/>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demand for our drug product candidates, if we obtain regulatory approval;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Any denial in coverage or reduction in reimbursement from Medicare or other government programs may result in a similar denial or reduction in payments from private payors, which may adversely affect our future profitability.</w:t>
      </w:r>
    </w:p>
    <w:p>
      <w:pPr>
        <w:spacing w:after="0" w:line="278"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4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agencies on which our operations may rely, including those that fund research and development activities, is subject to the political process, which is inherently fluid and unpredictable.</w:t>
      </w:r>
    </w:p>
    <w:p>
      <w:pPr>
        <w:spacing w:after="0" w:line="17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shutdowns of other government agencies, such as the SEC, may also impact our business through review of our public filings and our ability to access the public markets.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2" w:name="page53"/>
    <w:bookmarkEnd w:id="52"/>
    <w:p>
      <w:pPr>
        <w:ind w:right="140"/>
        <w:spacing w:after="0" w:line="342" w:lineRule="auto"/>
        <w:rPr>
          <w:sz w:val="20"/>
          <w:szCs w:val="20"/>
          <w:color w:val="auto"/>
        </w:rPr>
      </w:pPr>
      <w:r>
        <w:rPr>
          <w:rFonts w:ascii="Arial" w:cs="Arial" w:eastAsia="Arial" w:hAnsi="Arial"/>
          <w:sz w:val="16"/>
          <w:szCs w:val="16"/>
          <w:b w:val="1"/>
          <w:bCs w:val="1"/>
          <w:i w:val="1"/>
          <w:iCs w:val="1"/>
          <w:color w:val="auto"/>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spacing w:after="0" w:line="1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Given the nature of biologics manufacturing, there is a risk of contamination in our manufacturing processes. Any contamination could materially adversely affect our ability to produce product candidates on schedule and could, therefore, harm our results of operations and cause reputational damage.</w:t>
      </w:r>
    </w:p>
    <w:p>
      <w:pPr>
        <w:spacing w:after="0" w:line="12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and adversely affect our development timelines and our business, financial condition, results of operations and prospects.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21"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b w:val="1"/>
          <w:bCs w:val="1"/>
          <w:i w:val="1"/>
          <w:iCs w:val="1"/>
          <w:color w:val="auto"/>
        </w:rPr>
        <w:t>Our gene therapy approach utilizes lentiviral vectors derived from viruses, which may be perceived as unsafe or may result in unforeseen adverse events. Negative public opinion and increased regulatory scrutiny of gene therapy and genetic research may damage public perception of our product candidates or adversely affect our ability to conduct our business or obtain regulatory approvals for our product candidates.</w:t>
      </w:r>
    </w:p>
    <w:p>
      <w:pPr>
        <w:spacing w:after="0" w:line="4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Gene therapy remains a novel technology, with only a limited number of gene therapy products approved to date.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For example, earlier gene therapy trials led to several well-publicized adverse events, including cases of leukemia, myelodysplastic syndromes and deaths seen in other trials using other vectors. Adverse events in our clinical studies or discovered in long-term follow-up, even if not ultimately attributable to our product candidates (such as the many adverse events that typically arise from the conditioning process), or adverse events in other lentiviral gene therapy trials, and the resulting publicity could result in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employees, consultants and advisors and to attract, retain and motivate qualified personnel.</w:t>
      </w:r>
    </w:p>
    <w:p>
      <w:pPr>
        <w:spacing w:after="0" w:line="15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highly dependent on principal members of our executive team and key employees, including our Chief Executive Officer, Chief Financial Officer, President of Research and Development, Head of Operations, Chief Science Officer, Chief Business Officer, and Chief Legal Officer, the loss of whose services may adversely impact the achievement of our objectives. While we have entered into employment agreements with each of our executive officers, any of them could leave our employment at any time, as all of our employees are “at will” employees. We do not maintain “key person” insurance policies on the lives of these individuals or the lives of any of our other employees. The loss of the services of one or more of our current employees might impede the achievement of our research, development and commercialization objectives. Recruiting and retaining other qualified employees, consultants and advisors for our business, including scientific and technical personnel, will also be critical to our success. There is currently a shortage of skilled executives in our industry,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for individuals with similar skill sets. In addition, failure to succeed in preclinical or clinical trials may make it more challenging to recruit and retain qualified personnel. The inability to recruit or the loss of the services of any executive, key employee, consultant or advisor may impede the progress of our research, development and commercialization objectives.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need to expand our operations and we may experience difficulties in managing this growth, which could disrupt our operations.</w:t>
      </w:r>
    </w:p>
    <w:p>
      <w:pPr>
        <w:spacing w:after="0" w:line="1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March 31, 2020, we had 112 full-time employees. As we mature, we expect to rapidly expand our full-time employee base and to hire more consultants and contractors.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3" w:name="page54"/>
    <w:bookmarkEnd w:id="53"/>
    <w:p>
      <w:pPr>
        <w:ind w:right="220"/>
        <w:spacing w:after="0" w:line="279" w:lineRule="auto"/>
        <w:rPr>
          <w:sz w:val="20"/>
          <w:szCs w:val="20"/>
          <w:color w:val="auto"/>
        </w:rPr>
      </w:pPr>
      <w:r>
        <w:rPr>
          <w:rFonts w:ascii="Arial" w:cs="Arial" w:eastAsia="Arial" w:hAnsi="Arial"/>
          <w:sz w:val="17"/>
          <w:szCs w:val="17"/>
          <w:color w:val="auto"/>
        </w:rPr>
        <w:t>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expected growth in the scale and complexity of our operations, our performance may suffer.</w:t>
      </w:r>
    </w:p>
    <w:p>
      <w:pPr>
        <w:spacing w:after="0" w:line="11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any of our product candidates that are approved for sale.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27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are exposed to the risk of fraud or other misconduct by our employees, principal investigators, consultants and commercial partners. Misconduct by these parties could include intentional failures to comply with the regulations of the FDA or of other foreign regulatory authorities, provide accurate information to the FDA and other foreign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United States Foreign Corrupt Practices Act’s accounting provisions.</w:t>
      </w:r>
    </w:p>
    <w:p>
      <w:pPr>
        <w:spacing w:after="0" w:line="287" w:lineRule="exact"/>
        <w:rPr>
          <w:sz w:val="20"/>
          <w:szCs w:val="20"/>
          <w:color w:val="auto"/>
        </w:rPr>
      </w:pPr>
    </w:p>
    <w:p>
      <w:pPr>
        <w:jc w:val="both"/>
        <w:ind w:right="620"/>
        <w:spacing w:after="0" w:line="263" w:lineRule="auto"/>
        <w:rPr>
          <w:sz w:val="20"/>
          <w:szCs w:val="20"/>
          <w:color w:val="auto"/>
        </w:rPr>
      </w:pPr>
      <w:r>
        <w:rPr>
          <w:rFonts w:ascii="Arial" w:cs="Arial" w:eastAsia="Arial" w:hAnsi="Arial"/>
          <w:sz w:val="18"/>
          <w:szCs w:val="18"/>
          <w:b w:val="1"/>
          <w:bCs w:val="1"/>
          <w:i w:val="1"/>
          <w:iCs w:val="1"/>
          <w:color w:val="auto"/>
        </w:rPr>
        <w:t>We may be subject, directly or indirectly, to federal and state healthcare fraud and abuse laws, false claims laws health information privacy and security laws, and other health care laws and regulations. If we are unable to comply, or have not fully complied, with such laws, we could face substantial penalties.</w:t>
      </w:r>
    </w:p>
    <w:p>
      <w:pPr>
        <w:spacing w:after="0" w:line="7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jc w:val="both"/>
        <w:ind w:right="380"/>
        <w:spacing w:after="0" w:line="263" w:lineRule="auto"/>
        <w:rPr>
          <w:sz w:val="20"/>
          <w:szCs w:val="20"/>
          <w:color w:val="auto"/>
        </w:rPr>
      </w:pPr>
      <w:r>
        <w:rPr>
          <w:rFonts w:ascii="Arial" w:cs="Arial" w:eastAsia="Arial" w:hAnsi="Arial"/>
          <w:sz w:val="18"/>
          <w:szCs w:val="18"/>
          <w:color w:val="auto"/>
        </w:rPr>
        <w:t>and criminal False Claims Act and Physician Payments Sunshine Act and regulations. These laws will impact, among other things, our proposed sales, marketing and educational programs. In addition, we may be subject to patient privacy laws by both the federal government and the states in which we conduct our business. The laws that will affect our operations include, but are not limited to:</w:t>
      </w:r>
    </w:p>
    <w:p>
      <w:pPr>
        <w:spacing w:after="0" w:line="76" w:lineRule="exact"/>
        <w:rPr>
          <w:sz w:val="20"/>
          <w:szCs w:val="20"/>
          <w:color w:val="auto"/>
        </w:rPr>
      </w:pPr>
    </w:p>
    <w:p>
      <w:pPr>
        <w:ind w:left="880" w:right="100" w:hanging="373"/>
        <w:spacing w:after="0" w:line="270" w:lineRule="auto"/>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In addition, a claim including items or services resulting from a violation of the federal Anti-Kickback Statute constitutes a false or fraudulent claim for purposes of the False Claims Act, or FCA.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w:t>
      </w:r>
    </w:p>
    <w:p>
      <w:pPr>
        <w:spacing w:after="0" w:line="72" w:lineRule="exact"/>
        <w:rPr>
          <w:rFonts w:ascii="Arial" w:cs="Arial" w:eastAsia="Arial" w:hAnsi="Arial"/>
          <w:sz w:val="17"/>
          <w:szCs w:val="17"/>
          <w:color w:val="auto"/>
        </w:rPr>
      </w:pPr>
    </w:p>
    <w:p>
      <w:pPr>
        <w:ind w:left="880" w:right="80" w:hanging="373"/>
        <w:spacing w:after="0" w:line="271" w:lineRule="auto"/>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federal civil and criminal false claims laws and civil monetary penalty laws, including the FCA, which prohibit, among other things,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concealing or knowingly and improperly avoiding or decreasing or concealing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70" w:lineRule="exact"/>
        <w:rPr>
          <w:rFonts w:ascii="Arial" w:cs="Arial" w:eastAsia="Arial" w:hAnsi="Arial"/>
          <w:sz w:val="17"/>
          <w:szCs w:val="17"/>
          <w:color w:val="auto"/>
        </w:rPr>
      </w:pPr>
    </w:p>
    <w:p>
      <w:pPr>
        <w:ind w:left="880" w:right="100" w:hanging="373"/>
        <w:spacing w:after="0" w:line="259"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78" w:lineRule="exact"/>
        <w:rPr>
          <w:rFonts w:ascii="Arial" w:cs="Arial" w:eastAsia="Arial" w:hAnsi="Arial"/>
          <w:sz w:val="18"/>
          <w:szCs w:val="18"/>
          <w:color w:val="auto"/>
        </w:rPr>
      </w:pPr>
    </w:p>
    <w:p>
      <w:pPr>
        <w:ind w:left="880" w:right="60" w:hanging="373"/>
        <w:spacing w:after="0" w:line="291"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58" w:lineRule="exact"/>
        <w:rPr>
          <w:rFonts w:ascii="Arial" w:cs="Arial" w:eastAsia="Arial" w:hAnsi="Arial"/>
          <w:sz w:val="16"/>
          <w:szCs w:val="16"/>
          <w:color w:val="auto"/>
        </w:rPr>
      </w:pPr>
    </w:p>
    <w:p>
      <w:pPr>
        <w:ind w:left="880" w:right="120" w:hanging="373"/>
        <w:spacing w:after="0" w:line="279" w:lineRule="auto"/>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63" w:lineRule="exact"/>
        <w:rPr>
          <w:rFonts w:ascii="Arial" w:cs="Arial" w:eastAsia="Arial" w:hAnsi="Arial"/>
          <w:sz w:val="17"/>
          <w:szCs w:val="17"/>
          <w:color w:val="auto"/>
        </w:rPr>
      </w:pPr>
    </w:p>
    <w:p>
      <w:pPr>
        <w:ind w:left="880" w:hanging="373"/>
        <w:spacing w:after="0" w:line="272" w:lineRule="auto"/>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federal transparency requirements under the ACA,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(currently defined to include doctors, dentists, optometrists, podiatrists and chiropractors) and teaching hospitals, as well as ownership and investment interests held by the physicians described above and their immediate family members. Effective January 1, 2022, these reporting obligations will extend to include transfers of value made to certain non-physician providers such as physician assistants and nurse practitioners;</w:t>
      </w:r>
    </w:p>
    <w:p>
      <w:pPr>
        <w:spacing w:after="0" w:line="69" w:lineRule="exact"/>
        <w:rPr>
          <w:rFonts w:ascii="Arial" w:cs="Arial" w:eastAsia="Arial" w:hAnsi="Arial"/>
          <w:sz w:val="17"/>
          <w:szCs w:val="17"/>
          <w:color w:val="auto"/>
        </w:rPr>
      </w:pPr>
    </w:p>
    <w:p>
      <w:pPr>
        <w:ind w:left="880" w:right="120" w:hanging="373"/>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 and</w:t>
      </w:r>
    </w:p>
    <w:p>
      <w:pPr>
        <w:spacing w:after="0" w:line="62" w:lineRule="exact"/>
        <w:rPr>
          <w:rFonts w:ascii="Arial" w:cs="Arial" w:eastAsia="Arial" w:hAnsi="Arial"/>
          <w:sz w:val="18"/>
          <w:szCs w:val="18"/>
          <w:color w:val="auto"/>
        </w:rPr>
      </w:pPr>
    </w:p>
    <w:p>
      <w:pPr>
        <w:ind w:left="880" w:right="360" w:hanging="373"/>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Additionally, we are subject to state and foreign equivalents of each of the healthcare laws described above, among others, some of which may be broader in scope and may apply regardless of the payor. Many U.S. states have adopted laws similar to the federal Anti-Kickback Statute, some of which apply to the referral of patients for healthcare services reimbursed by any source, not just 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5" w:name="page56"/>
    <w:bookmarkEnd w:id="55"/>
    <w:p>
      <w:pPr>
        <w:ind w:right="60"/>
        <w:spacing w:after="0" w:line="259" w:lineRule="auto"/>
        <w:rPr>
          <w:sz w:val="20"/>
          <w:szCs w:val="20"/>
          <w:color w:val="auto"/>
        </w:rPr>
      </w:pPr>
      <w:r>
        <w:rPr>
          <w:rFonts w:ascii="Arial" w:cs="Arial" w:eastAsia="Arial" w:hAnsi="Arial"/>
          <w:sz w:val="18"/>
          <w:szCs w:val="18"/>
          <w:color w:val="auto"/>
        </w:rPr>
        <w:t>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spacing w:after="0" w:line="17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16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candidates outside the United States will also likely subject us to foreign equivalents of the healthcare laws mentioned above, among other foreign laws.</w:t>
      </w:r>
    </w:p>
    <w:p>
      <w:pPr>
        <w:spacing w:after="0" w:line="273"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1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w:t>
      </w:r>
    </w:p>
    <w:p>
      <w:pPr>
        <w:spacing w:after="0" w:line="16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patients, employees and other individuals about whom we or our potential collaborators obtain personal information, as well as the providers who share this information with us, may limit our ability to collect, use and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6" w:name="page57"/>
    <w:bookmarkEnd w:id="56"/>
    <w:p>
      <w:pPr>
        <w:ind w:right="160"/>
        <w:spacing w:after="0" w:line="263" w:lineRule="auto"/>
        <w:rPr>
          <w:sz w:val="20"/>
          <w:szCs w:val="20"/>
          <w:color w:val="auto"/>
        </w:rPr>
      </w:pPr>
      <w:r>
        <w:rPr>
          <w:rFonts w:ascii="Arial" w:cs="Arial" w:eastAsia="Arial" w:hAnsi="Arial"/>
          <w:sz w:val="18"/>
          <w:szCs w:val="18"/>
          <w:color w:val="auto"/>
        </w:rPr>
        <w:t>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European data collection is governed by restrictive regulations governing the use, processing and cross-border transfer of personal information.</w:t>
      </w:r>
    </w:p>
    <w:p>
      <w:pPr>
        <w:spacing w:after="0" w:line="14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In the event we decide to conduct clinical trials in the European Union, or EU, we may be subject to additional privacy restrictions. The collection and use of personal health data in the EU is governed by the provisions of the General Data Protection Regulation, or GDPR. This directive imposes several requirements relating to the consent of the individuals to whom the personal data relates, the information provided to the individuals, notification of data processing obligations to the competent national data protection authorities and the security and confidentiality of the personal data. The GDPR also imposes strict rules on the transfer of personal data out of the European Union to the United States. Failure to comply with the requirements of the Data Protection Directive, the GDPR, and the related national data protection laws of the European Union Member States may result in fines and other administrative penalties. The GDPR introduces new data protection requirements in the European Union and substantial fines for breaches of the data protection rules. The GDPR regulations may impose additional responsibility and liability in relation to personal data that we process and we may be required to put in place additional mechanisms ensuring compliance with these and/or new data protection rules. This may be onerous and adversely affect our business, financial condition, prospects and results of operations.</w:t>
      </w:r>
    </w:p>
    <w:p>
      <w:pPr>
        <w:spacing w:after="0" w:line="293" w:lineRule="exact"/>
        <w:rPr>
          <w:sz w:val="20"/>
          <w:szCs w:val="20"/>
          <w:color w:val="auto"/>
        </w:rPr>
      </w:pPr>
    </w:p>
    <w:p>
      <w:pPr>
        <w:jc w:val="both"/>
        <w:ind w:right="540"/>
        <w:spacing w:after="0" w:line="340" w:lineRule="auto"/>
        <w:rPr>
          <w:sz w:val="20"/>
          <w:szCs w:val="20"/>
          <w:color w:val="auto"/>
        </w:rPr>
      </w:pPr>
      <w:r>
        <w:rPr>
          <w:rFonts w:ascii="Arial" w:cs="Arial" w:eastAsia="Arial" w:hAnsi="Arial"/>
          <w:sz w:val="15"/>
          <w:szCs w:val="15"/>
          <w:b w:val="1"/>
          <w:bCs w:val="1"/>
          <w:i w:val="1"/>
          <w:iCs w:val="1"/>
          <w:color w:val="auto"/>
        </w:rPr>
        <w:t>We face potential product liability, and, if successful claims are brought against us, we may incur substantial liability and costs. If the use of our product candidates harms patients, or is perceived to harm patients even when such harm is unrelated to our product candidates, our regulatory approvals could be revoked or otherwise negatively impacted and we could be subject to costly and damaging product liability claims.</w:t>
      </w:r>
    </w:p>
    <w:p>
      <w:pPr>
        <w:spacing w:after="0" w:line="2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use of our product candidates in clinical studies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spacing w:after="0" w:line="80" w:lineRule="exact"/>
        <w:rPr>
          <w:sz w:val="20"/>
          <w:szCs w:val="20"/>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impairment of our business reputation;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withdrawal of clinical study participants;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due to related litigation;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distraction of management’s attention from our primary business;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decreased demand for our product candidates, if approved for commercial sale.</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carry master product liability insurance of $5.0 million per occurrence and $5.0 million in the aggregate in the United States. For Canada, we carry product liability insurance of CAD $10.0 million in the aggregate. For Australia, we carry product liability insurance of AUD $20.0 million in the aggregate. We believe our product liability insurance coverage is sufficient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if judgments exceed our insurance coverage, could adversely affect our results of operations and business.</w:t>
      </w:r>
    </w:p>
    <w:p>
      <w:pPr>
        <w:spacing w:after="0" w:line="19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Patients with the diseases targeted by certain of our product candidates are often already in severe and advanced stages of disease and have both known and unknown significant pre-existing and potentially life- 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7" w:name="page58"/>
    <w:bookmarkEnd w:id="57"/>
    <w:p>
      <w:pPr>
        <w:ind w:right="180"/>
        <w:spacing w:after="0" w:line="263" w:lineRule="auto"/>
        <w:rPr>
          <w:sz w:val="20"/>
          <w:szCs w:val="20"/>
          <w:color w:val="auto"/>
        </w:rPr>
      </w:pPr>
      <w:r>
        <w:rPr>
          <w:rFonts w:ascii="Arial" w:cs="Arial" w:eastAsia="Arial" w:hAnsi="Arial"/>
          <w:sz w:val="18"/>
          <w:szCs w:val="18"/>
          <w:color w:val="auto"/>
        </w:rPr>
        <w:t>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2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in the global financial markets. The COVID-19 pandemic has caused extreme volatility and disruptions in the capital and credit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delays in payments for our services by third-party payors or our collaborators. Any of the foregoing could harm our business and we cannot anticipate all of the ways in which the current economic climate and financial market conditions could adversely impact our business, financial condition, results of operations and prospects.</w:t>
      </w:r>
    </w:p>
    <w:p>
      <w:pPr>
        <w:spacing w:after="0" w:line="27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6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30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Despite our security measures, our internal computer systems and those of our current and any future collaborators and other contractors or consultants are vulnerable to damage from computer viruses, unauthorized access, natural disasters, terrorism, war and telecommunication and electrical failures. For example, in 2017 we were subjected to a cyberattack by a third party, which led to the theft of a portion of our funds. We implemented remedial measures promptly following this breach and do not believe that this breach had a material adverse effect on our business. In addition, in February 2019, one of our vendors was subject to a cyberattack by a third party, which resulted in the payment by us of a fraudulent invoice. We have implemented remedial measures following this breach and do not believe that this breach had a material effect on our business. However, if any cyberattack or data breach were to occur in the future and cause interruptions in our or our collaborators’, contractors’ or consultants’ operations, it could result in a material disruption of our development programs and our business operations, whether due to a loss of our business data, trade secrets or other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8" w:name="page59"/>
    <w:bookmarkEnd w:id="58"/>
    <w:p>
      <w:pPr>
        <w:ind w:right="40"/>
        <w:spacing w:after="0" w:line="301" w:lineRule="auto"/>
        <w:rPr>
          <w:sz w:val="20"/>
          <w:szCs w:val="20"/>
          <w:color w:val="auto"/>
        </w:rPr>
      </w:pPr>
      <w:r>
        <w:rPr>
          <w:rFonts w:ascii="Arial" w:cs="Arial" w:eastAsia="Arial" w:hAnsi="Arial"/>
          <w:sz w:val="16"/>
          <w:szCs w:val="16"/>
          <w:color w:val="auto"/>
        </w:rPr>
        <w:t>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 could adversely affect our business and financial condition.</w:t>
      </w:r>
    </w:p>
    <w:p>
      <w:pPr>
        <w:spacing w:after="0" w:line="117"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might not be able to utilize a significant portion of our net operating loss carryforwards and research and development tax credit carryforwards.</w:t>
      </w:r>
    </w:p>
    <w:p>
      <w:pPr>
        <w:spacing w:after="0" w:line="14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of December 31, 2019, we had federal and state net operating loss carryforwards of $121.8 million and $115.1 million, respectively, and federal and state research and development tax credit carryforwards of approximately $1.0 million and $0.2 million, respectively. If not utilized, the net operating loss carryforwards and research and development credits will generally expire at various dates through 2037 (other than federal net operating loss carryforwards generated in taxable years ending after December 31, 2017, which are not subject to expiration). These net operating loss and tax credit carryforwards could expire unused and be unavailable to offset future income tax liabilities. In addition, under Section 382 of the Internal Revenue Code, or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may have experienced ownership changes in the past. We may also experience ownership changes in the future as a result of subsequent shifts in our stock ownership, some of which may be outside of our control. If an ownership change occurred or occurs and our ability to use our historical net operating loss and tax credit carryforwards is materially limited, or if our research and development carryforwards are adjusted, it would harm our future operating results by effectively increasing our future tax obligations.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development and commercialization efforts.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Our commercial success depends in part on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reexamination proceedings before the U.S. Patent and Trademark Office, or USPTO, and corresponding foreign patent offices.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product candidates may be subject to claims of infringement of the patent rights of third parties.</w:t>
      </w:r>
    </w:p>
    <w:p>
      <w:pPr>
        <w:spacing w:after="0" w:line="16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Third parties may assert that we or our licensors are employing their proprietary technology without authorization. There may be third-party patents or patent applications with claims to materials, formulations, methods of manufacture or methods for treatment related to the use or manufacture of our product candidates. In particular, we are aware of issued patents in the United States that cover the lentiviral vectors used in the manufacture of our product candidates. While we believe that we have reasonable defenses against a claim of infringement, potentially including that certain of these patents are expected to expire prior to commercializing our product candidates, if approved, in the United States, there can be no assurance that we will prevail in any such action by the holder of these patents. In the event that the holder of these patents seeks to enforce its patent rights and our defenses against a claim of infringement are unsuccessful, we may not be able to commercialize our product candidates in the United States, if approved, without first obtaining a license to some or all of these patents, which may not be available on commercially reasonable terms or at all. In addition, the defense of any claim of infringement, even if successful, is time-consuming, expensive and diverts the attention of our management from our ongoing business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9" w:name="page60"/>
    <w:bookmarkEnd w:id="59"/>
    <w:p>
      <w:pPr>
        <w:ind w:right="200"/>
        <w:spacing w:after="0" w:line="255" w:lineRule="auto"/>
        <w:rPr>
          <w:sz w:val="20"/>
          <w:szCs w:val="20"/>
          <w:color w:val="auto"/>
        </w:rPr>
      </w:pPr>
      <w:r>
        <w:rPr>
          <w:rFonts w:ascii="Arial" w:cs="Arial" w:eastAsia="Arial" w:hAnsi="Arial"/>
          <w:sz w:val="18"/>
          <w:szCs w:val="18"/>
          <w:color w:val="auto"/>
        </w:rPr>
        <w:t>Because patent applications can take many years to issue, there may be currently pending patent applications which may later result in issued patents that our product candidates may infringe or be alleged to infringe. In addition, third parties may obtain patents in the future and claim that use of our or our licensors’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9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Similarly, if any third-party patents were held by a court of competent jurisdiction to cover aspects of our formulations, processes for manufacture or methods of use, including combination therapy, the holders of any such patents may be able to block our ability to develop and commercialize the applicable product candidate unless we obtained a license or until such patent expires. In either case, such a license may not be available on commercially reasonable terms or at all.</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Even in the absence of a finding of infringement, we may choose to obtain a license, if such a license is available. A successful claim of patent or other intellectual property infringement against us could materially adversely affect our business, results of operations and financial condition.</w:t>
      </w:r>
    </w:p>
    <w:p>
      <w:pPr>
        <w:spacing w:after="0" w:line="2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rights to develop and commercialize our product candidates are subject, in part, to the terms and conditions of licenses granted to us by others.</w:t>
      </w:r>
    </w:p>
    <w:p>
      <w:pPr>
        <w:spacing w:after="0" w:line="15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depend upon the intellectual property rights granted to us under licenses from third parties that are important or necessary to the development of our technology and products, including technology related to our manufacturing process and our gene therapy product candidates. In particular, we have in-licensed certain intellectual property rights and know-how from the University Health Network (relevant to AVR-RD-01 and our Fabry program) and affiliates of Lund University (relevant to AVR-RD-02 and our Gaucher program). In addition, we have in-licensed patents and patent applications from BioMarin Pharmaceutical Inc., or BioMarin (relevant to AVR-RD-03 and our Pompe program), and GenStem Therapeutics, Inc., or GenStem (relevant to AVR-RD-04 and our cystinosis program), directed to compositions and methods related to the manufacture and use of AVR-RD-03 and AVR-RD-04, respectively. Any termination of these licenses could result in the loss of significant rights and could harm or prevent our ability to commercialize our product candidates.</w:t>
      </w:r>
    </w:p>
    <w:p>
      <w:pPr>
        <w:spacing w:after="0" w:line="19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Each of our existing licenses are exclusive but are limited to particular fields, such as Fabry disease, Gaucher disease, Pompe disease, or cystinosis, and are subject to certain retained rights. Absent an amendment or additional agreement, we may not have the right to use intellectual property in-licensed for one of our programs for another program. In addition, licenses that we may enter into in the future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Licenses to additional third-party technology that may be required for our development programs may not be available in the future or may not be available on commercially reasonable terms, or at all, which could have a material adverse effect on our business and financial condition.</w:t>
      </w:r>
    </w:p>
    <w:p>
      <w:pPr>
        <w:spacing w:after="0" w:line="16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some circumstances, we may not have the right to control the preparation, filing and prosecution of patent applications, or to maintain the patents, covering technology that we license from third parties. For example, pursuant to each of our intellectual property licenses with GenStem, BioMarin, and the rights holders associated with Lund University, our licensors retain control of such activities. Therefore, we cannot be certain that these patents and applications will be prosecuted, maintained and enforced in a manner consistent with the best interests of our business. If our licensors fail to maintain such patents, or lose rights to those patents or patent applications, the rights we have licensed may be reduced or eliminated and our right to develop and commercialize any of our products that are the subject of such licensed rights could be adversely affected.</w:t>
      </w:r>
    </w:p>
    <w:p>
      <w:pPr>
        <w:spacing w:after="0" w:line="17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current license agreements impose, and we expect that future license agreements that we may enter into will impose, various obligations, including diligence and certain payment obligations. If we fail to satisfy our obligations, the licensor may have the right to terminate the agreement. Disputes may arise between us and any of our licensors regarding intellectual property subject to such agreements and other issues. Such disputes over intellectual property that we have licensed or the terms of our license agreements may prevent or impair our ability to maintain our current arrangements on acceptable terms, or at all, or may impair the value of the arrangement to us. Any such dispute could have a material adverse effect on our business. If we cannot maintain a necessary license agreement or if the agreement is terminated, we may be unable to successfully develop and commercialize the affected product candidates.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0" w:name="page61"/>
    <w:bookmarkEnd w:id="60"/>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product candidates, or if the scope of the patent protection obtained is not sufficiently broad, our competitors could develop and commercialize products similar or identical to ours, and our ability to successfully commercialize our product candidates may be adversely affected.</w:t>
      </w:r>
    </w:p>
    <w:p>
      <w:pPr>
        <w:spacing w:after="0" w:line="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ability to compete effectively will depend, in part, on our ability to maintain the proprietary nature of our technology and manufacturing processes. We rely on manufacturing and other know-how, patents, trade secrets, trademarks, license agreements and contractual provisions to establish our intellectual property rights and protect our products. These legal means, however, afford only limited protection and may not adequately protect our rights. The failure to obtain, maintain, enforce or defend such intellectual property rights, for any reason, could allow third parties to make competing products or impact our ability to develop, manufacture and market our products, if approved, on a commercially viable basis, or at all, which could have a material adverse effect on our financial condition and results of operations.</w:t>
      </w:r>
    </w:p>
    <w:p>
      <w:pPr>
        <w:spacing w:after="0" w:line="192"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 particular, we rely primarily on trade secrets, know-how and other unpatented technology, which are difficult to protect. Although we seek such protection in part by entering into confidentiality agreements with our vendors, employees, consultants and others who may have access to proprietary information, we cannot be certain that these agreements will not be breached, adequate remedies for any breach would be available or our trade secrets, know-how and other unpatented proprietary technology will not otherwise become known to or be independently developed by our competitors. If we are unsuccessful in protecting our intellectual property rights, sales of our products may suffer and our ability to generate revenue could be severely impacted.</w:t>
      </w:r>
    </w:p>
    <w:p>
      <w:pPr>
        <w:spacing w:after="0" w:line="16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licensors and we have sought, and we intend to continue to seek to protect our proprietary position by filing patent applications in the United States and, in at least some cases, one or more countries outside the United States related to current and future product candidates that are important to our business. However, we cannot predict whether the patent applications we and our licensors are currently pursuing will issue as patents, whether the claims of any issued patents will provide us with a competitive advantage, or whether we will be able to successfully pursue patent applications in the future related to our current or future product candidates. While we have in-licensed patents and patent applications relevant to AVR-RD-03, we currently have no owned or in-licensed patents or patent applications covering AVR-RD-01 or AVR-RD-02, and the patent application that we in-licensed related to AVR-RD-04 is at a very early stage. Many of our product candidates are in-licensed from third parties. Accordingly, in some cases, the availability and scope of potential patent protection is limited based on prior decisions by our licensors or the inventors, such as decisions on when to file patent applications or whether to file patent applications at all.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Although our license agreements grant us worldwide rights, and our currently in-licensed U.S. patent rights have certain corresponding foreign patents or patent applications, there can be no assurance that we will obtain or maintain such corresponding patents or patent applications with respect to any future license agreements. In addition, the laws of some foreign countries do not protect intellectual property rights to the same extent as federal and state laws in the United States even in jurisdictions where we and our licensors pursue patent protection. Consequently, we and our licensors may not be able to prevent third parties from practicing our inventions in all countries outside the United States, even in jurisdictions where we and our licensors pursue patent protection, or from selling or importing products made using our inventions in and into the United States or other jurisdictions. Competitors may use our technologies in jurisdictions where we and our licensors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7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even if obtained,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1" w:name="page62"/>
    <w:bookmarkEnd w:id="61"/>
    <w:p>
      <w:pPr>
        <w:ind w:right="60"/>
        <w:spacing w:after="0" w:line="277" w:lineRule="auto"/>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We may not be able to protect our trade secrets in court.</w:t>
      </w:r>
    </w:p>
    <w:p>
      <w:pPr>
        <w:spacing w:after="0" w:line="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If one of our licensing partners or we initiate legal proceedings against a third-party to enforce a patent covering one of our product candidates, should such a patent issue,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in foreign jurisdictions. Such proceedings could result in the revocation or cancellation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Such a loss of patent protection could have a material adverse impact on our business.</w:t>
      </w:r>
    </w:p>
    <w:p>
      <w:pPr>
        <w:spacing w:after="0" w:line="168"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276"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38"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Our licensors may face similar risks, which could have an adverse impact on intellectual property that is licensed to us.</w:t>
      </w:r>
    </w:p>
    <w:p>
      <w:pPr>
        <w:spacing w:after="0" w:line="166"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claims challenging the inventorship or ownership of the patents and other intellectual property that we own or license.</w:t>
      </w:r>
    </w:p>
    <w:p>
      <w:pPr>
        <w:spacing w:after="0" w:line="14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ownership interest in the patents and intellectual property that we own or license or that we may own or license in the future.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licensors may face similar obstacles. We could be subject to ownership disputes arising, for example, from conflicting obligations of consultants or others who are involved in developing our product candidates. Litigation may be necessary to defend against any claims challenging inventorship or ownership. If we or our licensors fail</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2" w:name="page63"/>
    <w:bookmarkEnd w:id="62"/>
    <w:p>
      <w:pPr>
        <w:ind w:right="40"/>
        <w:spacing w:after="0" w:line="277" w:lineRule="auto"/>
        <w:rPr>
          <w:sz w:val="20"/>
          <w:szCs w:val="20"/>
          <w:color w:val="auto"/>
        </w:rPr>
      </w:pPr>
      <w:r>
        <w:rPr>
          <w:rFonts w:ascii="Arial" w:cs="Arial" w:eastAsia="Arial" w:hAnsi="Arial"/>
          <w:sz w:val="18"/>
          <w:szCs w:val="18"/>
          <w:color w:val="auto"/>
        </w:rPr>
        <w:t>in defending any such claims, we may have to pay monetary damages and may lose valuable intellectual property rights, such as exclusive ownership of, or right to use, intellectual property, which could adversely impact our business, results of operations and financial condition.</w:t>
      </w:r>
    </w:p>
    <w:p>
      <w:pPr>
        <w:spacing w:after="0" w:line="27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b w:val="1"/>
          <w:bCs w:val="1"/>
          <w:i w:val="1"/>
          <w:iCs w:val="1"/>
          <w:color w:val="auto"/>
        </w:rPr>
        <w:t>Some intellectual property which we have in-licensed may have been discovered through government funded programs and thus may be subject to federal regulations such as “march-in” rights, certain reporting requirements, and a preference for U.S. industry. Compliance with such regulations may limit our exclusive rights, and limit our ability to contract with non-U.S. manufacturers.</w:t>
      </w:r>
    </w:p>
    <w:p>
      <w:pPr>
        <w:spacing w:after="0" w:line="5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Some of the intellectual property rights we have licensed, including rights licensed to us by GenStem, may have been generated through the use of U.S. government and California state funding and may therefore be subject to certain federal and state laws and regulations. For example, with respect to the AVR-RD-04 program for cystinosis, the NIH previously granted funding to UCSD for certain research in connection with the development of UCSD’s gene therapy program for cystinosis, which we have licensed from GenStem. As a result, the U.S. government may have certain rights to intellectual property embodied in our AVR-RD-04 program, or in other product candidates to the extent funded by the U.S. government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 Any exercise by the government of certain of its rights could harm our competitive position, business, financial condition, results of operations and prospects. With respect to state funding, specifically funding via the California Institute of Regenerative Medicine, or CIRM, which has granted funds for the study of AVR-RD-04 for cystinosis, the grantee has certain obligations and the state or CIRM has certain rights. For example, the grantee has an obligation to share intellectual property, including research results, generated by CIRM-funded research, for research use in California.</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our ability to protect our product candidates.</w:t>
      </w:r>
    </w:p>
    <w:p>
      <w:pPr>
        <w:spacing w:after="0" w:line="1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Changes in either the patent laws or the interpretation of the patent laws in the United States could increase the uncertainties and costs surrounding the prosecution of patent applications and the enforcement or defense of issued patents. On September 16, 2011, the Leahy-Smith America Invents Act, or the Leahy-Smith Act, was signed into law. The Leahy-Smith Act includes several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patent positions of companies engaged in the development and commercialization of biologics and pharmaceuticals are particularly uncertain. Two cases involving diagnostic method claims and “gene patents” have recently been decided by the Supreme Court of the United States, or Supreme Court. On March 20, 2012, the Supreme Court issued a decision in Mayo Collaborative Services v. Prometheus Laboratories, Inc., or Prometheus, a case involving patent claims directed to a process of measuring 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3" w:name="page64"/>
    <w:bookmarkEnd w:id="63"/>
    <w:p>
      <w:pPr>
        <w:ind w:right="20"/>
        <w:spacing w:after="0" w:line="268" w:lineRule="auto"/>
        <w:rPr>
          <w:sz w:val="20"/>
          <w:szCs w:val="20"/>
          <w:color w:val="auto"/>
        </w:rPr>
      </w:pPr>
      <w:r>
        <w:rPr>
          <w:rFonts w:ascii="Arial" w:cs="Arial" w:eastAsia="Arial" w:hAnsi="Arial"/>
          <w:sz w:val="17"/>
          <w:szCs w:val="17"/>
          <w:color w:val="auto"/>
        </w:rPr>
        <w:t>metabolic product 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patent-eligible subject matter. On June 13, 2013, the Supreme Court issued its decision in Association for Molecular Pathology v. Myriad Genetics, Inc., or Myriad, a case involving patent claims held by Myriad Genetics, Inc. relating to the breast cancer susceptibility genes BRCA1 and BRCA2. Myriad held that an isolated segment of naturally occurring DNA, such as the DNA constituting the BRCA1 and BRCA2 genes, is not patent-eligible subject matter, but that complementary DNA, which is an artificial construct that may be created from RNA transcripts of genes, may be patent-eligible. On March 4, 2014, the USPTO issued a guidance memorandum to patent examiners entitled 2014 Procedure For Subject Matter Eligibility Analysis Of Claims Reciting Or Involving Laws Of Nature/Natural Principles, Natural Phenomena, And/Or Natural Products. These guidelines instruct USPTO examiners on the ramifications of the Prometheus and Myriad rulings and apply the Myriad ruling to natural products and principles including all naturally occurring nucleic acids.</w:t>
      </w:r>
    </w:p>
    <w:p>
      <w:pPr>
        <w:spacing w:after="0" w:line="186"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Certain claims of our licensed patents and patent applications contain, and any future patents we may obtain may contain, claims that relate to specific recombinant DNA sequences that are naturally occurring at least in part and, therefore, could be the subject of future challenges made by third parties. In addition, the 2014 USPTO guidance could impact our ability to pursue similar patent claims in patent applications we may prosecute in the future.</w:t>
      </w:r>
    </w:p>
    <w:p>
      <w:pPr>
        <w:spacing w:after="0" w:line="14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cannot assure you that our efforts to seek patent protection for our product candidates will not be negatively impacted by the decisions described above, rulings in other cases or changes in guidance or procedures issued by the USPTO. We cannot fully predict what impact the Supreme Court’s decisions in Prometheus and Myriad may have on the ability of life science companies to obtain or enforce patents relating to their products in the future. These decisions, the guidance issued by the USPTO and rulings in other cases or changes in USPTO guidance or procedures could have a material adverse effect on our existing patent rights and our ability to protect and enforce our intellectual property in the future.</w:t>
      </w:r>
    </w:p>
    <w:p>
      <w:pPr>
        <w:spacing w:after="0" w:line="17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Moreover, although the Supreme Court has held in Myriad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 Such outcomes could harm our business, financial condition, results of operations or prospects.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and data exclusivity for our product candidates, our business may be materially harmed.</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Depending upon the timing, duration and specifics of any FDA marketing approval of our product candidates, one or more U.S. patents that we license or may own or license in the future, if any, may be eligible for limited patent term extension under the Drug Price Competition and Patent Term Restoration Act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A patent may only be extended once and only based on a single approved product.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 possibly materially. In addition, we do not control the efforts of our licensors to obtain a patent term extension, and there can be no assurance that they will pursue or obtain such extensions to the patents that we license from them.</w:t>
      </w:r>
    </w:p>
    <w:p>
      <w:pPr>
        <w:spacing w:after="0" w:line="2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We have pending trademark applications with the USPTO for the marks “plato” and “AVROBIO” but do not have trademarks or trademark applications with the USPTO for the marks “AVRO” or the AVROBIO logo. In the future, even if we apply for registration of these marks, there can be no assurance that such registration will be approved. Once registered, our trademarks or trade names may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4" w:name="page65"/>
    <w:bookmarkEnd w:id="64"/>
    <w:p>
      <w:pPr>
        <w:ind w:right="20"/>
        <w:spacing w:after="0" w:line="290" w:lineRule="auto"/>
        <w:rPr>
          <w:sz w:val="20"/>
          <w:szCs w:val="20"/>
          <w:color w:val="auto"/>
        </w:rPr>
      </w:pPr>
      <w:r>
        <w:rPr>
          <w:rFonts w:ascii="Arial" w:cs="Arial" w:eastAsia="Arial" w:hAnsi="Arial"/>
          <w:sz w:val="16"/>
          <w:szCs w:val="16"/>
          <w:color w:val="auto"/>
        </w:rPr>
        <w:t>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and regulatory exclusivity rights do not necessarily address all potential threats.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880" w:right="480" w:hanging="373"/>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may be able to make gene therapy products that are similar to our product candidates but that are not covered by the claims of the patents that we license or may own or license in the future;</w:t>
      </w:r>
    </w:p>
    <w:p>
      <w:pPr>
        <w:spacing w:after="0" w:line="62"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make the inventions covered by the issued patents or pending patent applications that we license or may own or license in the future;</w:t>
      </w:r>
    </w:p>
    <w:p>
      <w:pPr>
        <w:spacing w:after="0" w:line="62" w:lineRule="exact"/>
        <w:rPr>
          <w:rFonts w:ascii="Arial" w:cs="Arial" w:eastAsia="Arial" w:hAnsi="Arial"/>
          <w:sz w:val="18"/>
          <w:szCs w:val="18"/>
          <w:color w:val="auto"/>
        </w:rPr>
      </w:pPr>
    </w:p>
    <w:p>
      <w:pPr>
        <w:ind w:left="880" w:right="280" w:hanging="373"/>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880" w:right="320" w:hanging="373"/>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it is possible that our pending licensed patent applications or those that we may own or license in the future will not lead to issued patents;</w:t>
      </w:r>
    </w:p>
    <w:p>
      <w:pPr>
        <w:spacing w:after="0" w:line="140" w:lineRule="exact"/>
        <w:rPr>
          <w:rFonts w:ascii="Arial" w:cs="Arial" w:eastAsia="Arial" w:hAnsi="Arial"/>
          <w:sz w:val="16"/>
          <w:szCs w:val="16"/>
          <w:color w:val="auto"/>
        </w:rPr>
      </w:pPr>
    </w:p>
    <w:p>
      <w:pPr>
        <w:ind w:left="880" w:right="380" w:hanging="373"/>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issued patents that we hold rights to or may hold rights to in the future may be held invalid or unenforceable, including as a result of legal challenges by our competitors;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one or more of our product candidates may never be protected by patents;</w:t>
      </w:r>
    </w:p>
    <w:p>
      <w:pPr>
        <w:spacing w:after="0" w:line="117" w:lineRule="exact"/>
        <w:rPr>
          <w:rFonts w:ascii="Arial" w:cs="Arial" w:eastAsia="Arial" w:hAnsi="Arial"/>
          <w:sz w:val="18"/>
          <w:szCs w:val="18"/>
          <w:color w:val="auto"/>
        </w:rPr>
      </w:pPr>
    </w:p>
    <w:p>
      <w:pPr>
        <w:ind w:left="880" w:right="800" w:hanging="373"/>
        <w:spacing w:after="0" w:line="308" w:lineRule="auto"/>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17" w:lineRule="exact"/>
        <w:rPr>
          <w:rFonts w:ascii="Arial" w:cs="Arial" w:eastAsia="Arial" w:hAnsi="Arial"/>
          <w:sz w:val="18"/>
          <w:szCs w:val="18"/>
          <w:color w:val="auto"/>
        </w:rPr>
      </w:pPr>
    </w:p>
    <w:p>
      <w:pPr>
        <w:ind w:left="880" w:right="760" w:hanging="373"/>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choose not to file a patent application for certain trade secrets or know-how, and a third party may subsequently file a patent application or obtain a patent covering such intellectual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highly volatile, and you may not be able to resell your shares at or above the price at which you purchased our shares.</w:t>
      </w:r>
    </w:p>
    <w:p>
      <w:pPr>
        <w:spacing w:after="0" w:line="6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stock price is likely to be volatile. Since our initial public offering, or IPO, in June 2018, through April 30, 2020, the trading price of our common stock has ranged from $9.76 to $53.70.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the price at which you purchased shares. The market price for our common stock may be influenced by many factors, including:</w:t>
      </w:r>
    </w:p>
    <w:p>
      <w:pPr>
        <w:spacing w:after="0" w:line="80" w:lineRule="exact"/>
        <w:rPr>
          <w:sz w:val="20"/>
          <w:szCs w:val="20"/>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ongoing COVID-19 pandemic;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 results or delays in preclinical studies or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reports of adverse events in other gene therapy products or clinical studies of such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65" w:name="page66"/>
    <w:bookmarkEnd w:id="65"/>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by us to successfully develop and commercialize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by us to maintain our existing strategic collaborations or enter into new collaborations;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by us or our licensors and strategic partners to prosecute, maintain or enforce our intellectual property rights;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laws or regulations applicable to future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inability to obtain adequate product supply for our product candidates or the inability to do so at acceptable prices;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introduction of new products, services or technologies by our competitors;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by us to meet or exceed financial projections we may provide to the public;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by us to meet or exceed the financial projections of the investment community;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117" w:lineRule="exact"/>
        <w:rPr>
          <w:rFonts w:ascii="Arial" w:cs="Arial" w:eastAsia="Arial" w:hAnsi="Arial"/>
          <w:sz w:val="18"/>
          <w:szCs w:val="18"/>
          <w:color w:val="auto"/>
        </w:rPr>
      </w:pPr>
    </w:p>
    <w:p>
      <w:pPr>
        <w:ind w:left="880" w:right="420" w:hanging="373"/>
        <w:spacing w:after="0" w:line="27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our strategic partner or our competitors;</w:t>
      </w:r>
    </w:p>
    <w:p>
      <w:pPr>
        <w:spacing w:after="0" w:line="62" w:lineRule="exact"/>
        <w:rPr>
          <w:rFonts w:ascii="Arial" w:cs="Arial" w:eastAsia="Arial" w:hAnsi="Arial"/>
          <w:sz w:val="18"/>
          <w:szCs w:val="18"/>
          <w:color w:val="auto"/>
        </w:rPr>
      </w:pPr>
    </w:p>
    <w:p>
      <w:pPr>
        <w:ind w:left="880" w:right="80" w:hanging="373"/>
        <w:spacing w:after="0" w:line="27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addition, companies trading in the stock market in general, and The Nasdaq Global Select Market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17"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Prior to our IPO in June 2018, there had been no public market for our common stock. Although our common stock is listed on The Nasdaq Global Select Market, an active trading market for our shares may never be sustained. If an active market for our common stock is not sustained, it may be difficult for you to sell shares you purchased without depressing the market price for the shares, or at all.</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 inactive trading market may also impair our ability to raise capital to continue to fund operations by selling additional shares and may impair our ability to acquire other companies or technologies by using our shares as consideration.</w:t>
      </w:r>
    </w:p>
    <w:p>
      <w:pPr>
        <w:spacing w:after="0" w:line="2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6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trading market for our common stock will likely depend in part on the research and reports that securities or industry analysts publish about us or our business. We do not have any control over these analysts. Although we have obtained research coverage from certain analysts, there can be no assurance that analysts will continue to cover us or provide favorable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6" w:name="page67"/>
    <w:bookmarkEnd w:id="66"/>
    <w:p>
      <w:pPr>
        <w:ind w:right="66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6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Based on shares outstanding as of April 30, 2020, our executive officers, directors, five percent stockholders and their affiliates beneficially owned approximately 28% of our voting stock. As a result, if these stockholders were to act together, they would be able to significantly influence all matters submitted to our stockholders for approval, as well as our management and affairs. For example, these stockholders, acting together, may be able to influence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 Some of these persons or entities may have interests different than yours. For example, because many of these stockholders purchased their shares at prices substantially below the current trading price of our stock and have held their shares for a longer period, they may be more interested in selling our company to an acquirer than other investors or they may want us to pursue strategies that deviate from the interests of other stockholders.</w:t>
      </w:r>
    </w:p>
    <w:p>
      <w:pPr>
        <w:spacing w:after="0" w:line="30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are an “emerging growth company,” or EGC, as defined in the JOBS Act. We will remain an EGC until the earliest of: (i) the last day of the fiscal year in which we have total annual gross revenues of $1.07 billion or more; (ii) the last day of the fiscal year following the fifth anniversary of the date of the completion of our IPO; (iii) the date on which we have issued more than $1.0 billion in nonconvertible debt during the previous three years; or (iv) the date on which we are deemed to be a large accelerated filer under the rules of the SEC, which means the first day of the year following the first year in which the market value of our common stock that is held by non-affiliates exceeds $700 million as of June 30 in any given year. For so long as we remain an EGC, we are permitted and intend to rely on exemptions from certain disclosure requirements that are applicable to other public companies that are not emerging growth companies. These exemptions include:</w:t>
      </w:r>
    </w:p>
    <w:p>
      <w:pPr>
        <w:spacing w:after="0" w:line="69" w:lineRule="exact"/>
        <w:rPr>
          <w:sz w:val="20"/>
          <w:szCs w:val="20"/>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or Section 404;</w:t>
      </w:r>
    </w:p>
    <w:p>
      <w:pPr>
        <w:spacing w:after="0" w:line="117" w:lineRule="exact"/>
        <w:rPr>
          <w:rFonts w:ascii="Arial" w:cs="Arial" w:eastAsia="Arial" w:hAnsi="Arial"/>
          <w:sz w:val="18"/>
          <w:szCs w:val="18"/>
          <w:color w:val="auto"/>
        </w:rPr>
      </w:pPr>
    </w:p>
    <w:p>
      <w:pPr>
        <w:ind w:left="880" w:right="560" w:hanging="373"/>
        <w:spacing w:after="0" w:line="263"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75" w:lineRule="exact"/>
        <w:rPr>
          <w:rFonts w:ascii="Arial" w:cs="Arial" w:eastAsia="Arial" w:hAnsi="Arial"/>
          <w:sz w:val="18"/>
          <w:szCs w:val="18"/>
          <w:color w:val="auto"/>
        </w:rPr>
      </w:pPr>
    </w:p>
    <w:p>
      <w:pPr>
        <w:ind w:left="880" w:right="220" w:hanging="373"/>
        <w:spacing w:after="0" w:line="342" w:lineRule="auto"/>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15" w:lineRule="exact"/>
        <w:rPr>
          <w:rFonts w:ascii="Arial" w:cs="Arial" w:eastAsia="Arial" w:hAnsi="Arial"/>
          <w:sz w:val="16"/>
          <w:szCs w:val="16"/>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 exemption from the requirement to seek nonbinding advisory votes on executive compensation or golden parachute arrangements.</w:t>
      </w:r>
    </w:p>
    <w:p>
      <w:pPr>
        <w:spacing w:after="0" w:line="23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may choose to take advantage of some, but not all, of the available exemptions. We have taken advantage of reduced reporting burdens in this report. In particular, we have not included in our Annual Report on Form 10-K for the year ended December 31, 2019 or in our 2020 annual proxy statement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1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7" w:name="page68"/>
    <w:bookmarkEnd w:id="67"/>
    <w:p>
      <w:pPr>
        <w:ind w:right="40"/>
        <w:spacing w:after="0" w:line="277" w:lineRule="auto"/>
        <w:rPr>
          <w:sz w:val="20"/>
          <w:szCs w:val="20"/>
          <w:color w:val="auto"/>
        </w:rPr>
      </w:pPr>
      <w:r>
        <w:rPr>
          <w:rFonts w:ascii="Arial" w:cs="Arial" w:eastAsia="Arial" w:hAnsi="Arial"/>
          <w:sz w:val="18"/>
          <w:szCs w:val="18"/>
          <w:b w:val="1"/>
          <w:bCs w:val="1"/>
          <w:i w:val="1"/>
          <w:iCs w:val="1"/>
          <w:color w:val="auto"/>
        </w:rPr>
        <w:t>We expect to continue to incur increased costs as a result of operating as a public company, and our management is required to devote substantial time to new compliance initiatives.</w:t>
      </w:r>
    </w:p>
    <w:p>
      <w:pPr>
        <w:spacing w:after="0" w:line="6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a public company, and particularly after we are no longer an EGC, we will incur significant legal, accounting and other expenses that we did not incur as a private company.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will continue to devote a substantial amount of time to these compliance initiatives. Moreover, these rules and regulations have increased our legal and financial compliance costs and will continue to make some activities more time-consuming and costly. For example, we expect that these rules and regulations may make it more difficult and increasingly more expensive for us to obtain and maintain director and officer liability insurance.</w:t>
      </w:r>
    </w:p>
    <w:p>
      <w:pPr>
        <w:spacing w:after="0" w:line="19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Pursuant to Section 404, we are required to furnish a report by our management on our internal control over financial reporting, and, once we are no longer an EGC or a “smaller reporting company”, we will be required to furnish an attestation report on internal control over financial reporting issued by our independent registered public accounting firm. To achieve compliance with Section 404, we continue to be engaged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as required by Section 404. This could result in an adverse reaction in the financial markets due to a loss of confidence in the reliability of our financial statements.</w:t>
      </w:r>
    </w:p>
    <w:p>
      <w:pPr>
        <w:spacing w:after="0" w:line="28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7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7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required to disclose changes made in our internal controls and procedures on a quarterly basis and our management is required to assess the effectiveness of these controls annually. However, for as long as we are an EGC or a “smaller reporting company”, our independent registered public accounting firm will not be required to attest to the effectiveness of our internal control over financial reporting pursuant to Section 404. We could be an EGC for up to five years following the completion of our IPO and will qualify as a “smaller reporting company” if the market value of our common stock held by non-affiliates is below $250 million (or $700 million if our annual revenue is less than $100 million) as of June 30 in any given year.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spacing w:after="0" w:line="30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b w:val="1"/>
          <w:bCs w:val="1"/>
          <w:i w:val="1"/>
          <w:iCs w:val="1"/>
          <w:color w:val="auto"/>
        </w:rPr>
        <w:t>We and our independent registered public accounting firm have identified material weaknesses in our internal control over financial reporting. While we have taken numerous steps to address these material weaknesses and believe we have made progress toward remediating them, if we are unable to remedy these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8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our Annual Report on Form 10-K for the year ended December 31, 2018, we reported material weaknesses in our internal control over financial reporting related to deficiencies in our controls over the financial statement close process, including over complex accounting issues, expense classification and accrued research and development expenses, as well as the cash disbursement process. During 2019 and the first quarter of 2020, we took a number of actions, including the efforts outlined in Item 4 of this Quarterly Report on Form 10-Q, designed to improve our internal control over financial reporting to remediate these material weaknesses. We have continued to test these improvements through the first quarter of 2020.</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68" w:name="page69"/>
    <w:bookmarkEnd w:id="68"/>
    <w:p>
      <w:pPr>
        <w:ind w:right="60"/>
        <w:spacing w:after="0" w:line="259" w:lineRule="auto"/>
        <w:rPr>
          <w:sz w:val="20"/>
          <w:szCs w:val="20"/>
          <w:color w:val="auto"/>
        </w:rPr>
      </w:pPr>
      <w:r>
        <w:rPr>
          <w:rFonts w:ascii="Arial" w:cs="Arial" w:eastAsia="Arial" w:hAnsi="Arial"/>
          <w:sz w:val="18"/>
          <w:szCs w:val="18"/>
          <w:color w:val="auto"/>
        </w:rPr>
        <w:t>We believe significant progress was made in 2019 and through the first quarter of 2020 to enhance and strengthen our internal control over financial reporting. However, while we believe our internal controls were properly designed and implemented as of December 31, 2019, they were not in all cases in place for a sufficient period of time to demonstrate operating effectiveness as of December 31, 2019. As a result, management concluded that the material weaknesses were not fully remediated as of December 31, 2019 or March 31, 2020.</w:t>
      </w:r>
    </w:p>
    <w:p>
      <w:pPr>
        <w:spacing w:after="0" w:line="18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expect to continue our efforts to improve our control processes, though there can be no assurance that our efforts will ultimately be successful or avoid potential future material weaknesses, and we expect to continue incurring additional costs as a result of these efforts. Management remains committed to the implementation of remediation efforts to address these material weaknesses. If we are unable to successfully remediate our existing or any future material weaknesses in our internal control over financial reporting, or if we identify any additional material weaknesses,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also could become subject to investigations by Nasdaq, the SEC or other regulatory authorities.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27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which could cause the market price of our common stock to drop significantly.</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subject to certain restrictions described below. These sales, or the perception in the market that holders of a large number of shares intend to sell shares, could reduce the market price of our common stock. As of April 30, 2020, holders of an aggregate of approximately 4.5 million shares of our common stock will have rights, subject to certain conditions, to require us to file registration statements covering their shares or to include their shares in registration statements that we may file for ourselves or other stockholders. In addition, 5,310,482 shares reserved for issuance upon the exercise of existing stock options outstanding as of March 31, 2020 under our equity incentive plans will become eligible for sale in the public market in the future. We have registered all shares of common stock that we may issue under our equity compensation plans, which can be freely sold in the public market upon issuance, subject to volume limitations applicable to affiliates.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For example, our prior loan facility with Silicon Valley Bank restricted our ability to pay any dividends or making any distributions on account of our capital stock, and we may enter into agreements in the future with similar restrictions. As a result, capital appreciation, if any, of our common stock will be your sole source of gain for the foreseeable future.</w:t>
      </w:r>
    </w:p>
    <w:p>
      <w:pPr>
        <w:spacing w:after="0" w:line="284" w:lineRule="exact"/>
        <w:rPr>
          <w:sz w:val="20"/>
          <w:szCs w:val="20"/>
          <w:color w:val="auto"/>
        </w:rPr>
      </w:pPr>
    </w:p>
    <w:p>
      <w:pPr>
        <w:ind w:right="60"/>
        <w:spacing w:after="0" w:line="375" w:lineRule="auto"/>
        <w:rPr>
          <w:sz w:val="20"/>
          <w:szCs w:val="20"/>
          <w:color w:val="auto"/>
        </w:rPr>
      </w:pPr>
      <w:r>
        <w:rPr>
          <w:rFonts w:ascii="Arial" w:cs="Arial" w:eastAsia="Arial" w:hAnsi="Arial"/>
          <w:sz w:val="15"/>
          <w:szCs w:val="15"/>
          <w:b w:val="1"/>
          <w:bCs w:val="1"/>
          <w:i w:val="1"/>
          <w:iCs w:val="1"/>
          <w:color w:val="auto"/>
        </w:rPr>
        <w:t>Provisions in our amended and restated certificate of incorporation and by-laws, as well as provisions of Delaware law, could make it more difficult for a third party to acquire us or increase the cost of acquiring us, even if doing so would benefit our stockholders or remove our current management.</w:t>
      </w:r>
    </w:p>
    <w:p>
      <w:pPr>
        <w:spacing w:after="0" w:line="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76" w:lineRule="exact"/>
        <w:rPr>
          <w:sz w:val="20"/>
          <w:szCs w:val="20"/>
          <w:color w:val="auto"/>
        </w:rPr>
      </w:pPr>
    </w:p>
    <w:p>
      <w:pPr>
        <w:ind w:left="880" w:right="40" w:hanging="373"/>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17" w:lineRule="exact"/>
        <w:rPr>
          <w:rFonts w:ascii="Arial" w:cs="Arial" w:eastAsia="Arial" w:hAnsi="Arial"/>
          <w:sz w:val="18"/>
          <w:szCs w:val="18"/>
          <w:color w:val="auto"/>
        </w:rPr>
      </w:pPr>
    </w:p>
    <w:p>
      <w:pPr>
        <w:ind w:left="880" w:right="340" w:hanging="373"/>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our chief executive officer or our president;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9" w:name="page70"/>
    <w:bookmarkEnd w:id="69"/>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880" w:right="660" w:hanging="373"/>
        <w:spacing w:after="0" w:line="27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17" w:lineRule="exact"/>
        <w:rPr>
          <w:rFonts w:ascii="Arial" w:cs="Arial" w:eastAsia="Arial" w:hAnsi="Arial"/>
          <w:sz w:val="18"/>
          <w:szCs w:val="18"/>
          <w:color w:val="auto"/>
        </w:rPr>
      </w:pPr>
    </w:p>
    <w:p>
      <w:pPr>
        <w:ind w:left="880" w:right="80" w:hanging="373"/>
        <w:spacing w:after="0" w:line="263"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expressly authorize our board of directors to modify, alter or repeal our amended and restated by-laws; and require supermajority votes of the holders of our common stock to amend specified provisions of our amended and restated certificate of incorporation and amended and restated by-laws.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4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amended and restated bylaws provide that, unless we consent in writing to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Delaware General Corporation Law,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of 1933 or the Securities Exchange Act of 1934. Our amended and restated bylaws further provide that, unless we consent in writing to an alternative forum, the United States District Court for the District of Massachusetts will be the exclusive forum for resolving any complaint asserting a cause of action arising under the Securities Act, or the Federal Forum Provision. We have chosen the United States District Court for the District of Massachusetts as the sole and exclusive forum for such Securities Act causes of action because our principal executive offices are located in Cambridge,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w:t>
      </w:r>
    </w:p>
    <w:p>
      <w:pPr>
        <w:spacing w:after="0" w:line="16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 xml:space="preserve">On December 19, 2018, in </w:t>
      </w:r>
      <w:r>
        <w:rPr>
          <w:rFonts w:ascii="Arial" w:cs="Arial" w:eastAsia="Arial" w:hAnsi="Arial"/>
          <w:sz w:val="17"/>
          <w:szCs w:val="17"/>
          <w:i w:val="1"/>
          <w:iCs w:val="1"/>
          <w:color w:val="auto"/>
        </w:rPr>
        <w:t>Sciabacucchi v. Salzberg</w:t>
      </w:r>
      <w:r>
        <w:rPr>
          <w:rFonts w:ascii="Arial" w:cs="Arial" w:eastAsia="Arial" w:hAnsi="Arial"/>
          <w:sz w:val="17"/>
          <w:szCs w:val="17"/>
          <w:color w:val="auto"/>
        </w:rPr>
        <w:t>, C.A. No. 2017-0931-JTL (Del. Ch.), the Court of Chancery of the State of Delaware issued a decision declaring that federal forum selection provisions that purport to require claims under the Securities Act be brought in federal court are ineffective and invalid under Delaware law. In August 2019, the decision was appealed to the Delaware Supreme Court, and in March 2020 the Delaware Supreme Court reversed the Court of Chancery’s decision. As a result of the Delaware Supreme Court’s reversal, we intend to enforce our Federal Forum Provision designating the District of Massachusetts as the exclusive forum for Securities Act claims.</w:t>
      </w:r>
    </w:p>
    <w:p>
      <w:pPr>
        <w:spacing w:after="0" w:line="17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recognize that 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The Federal Forum Provision may also impose additional litigation costs on stockholders who assert the provision is not enforceable.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0" w:name="page71"/>
    <w:bookmarkEnd w:id="70"/>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Proceeds from Initial Public Offering of Common Stock</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June 25, 2018, we completed our initial public offering of 6,035,151 shares of our common stock at a price of $19.00 per share for an aggregate offering price of approximately $114.7 million, including the full exercise of the underwriters’ option to purchase additional shares. Morgan Stanley &amp; Co. LLC, Cowen and Company, LLC, Wells Fargo Securities, LLC and Wedbush Securities Inc. served as the underwriters of the IPO. The offer and sale of all of the shares in the offering were registered under the Securities Act pursuant to a registration statement on Form S-1 (File Nos. 333-225213 and 333-225764), which became effective on June 20, 2018.</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received aggregate net proceeds from the offering of approximately $104.0 million, after deducting underwriting discounts and commissions, as well as other offering expenses. No offering expenses were paid directly or indirectly to any of our directors or officers (or their associates) or persons owning ten percent or more of any class of our equity securities or to any other affiliates.</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March 31, 2020, we had used all of the net proceeds from the IPO, primarily to fund our current programs in Fabry disease, cystinosis, Gaucher disease and Pompe disease; our external and internal manufacturing and process development activities related to our programs and to fund research and development activities that relate to all of our clinical and preclinical activities, including the cost of research and development personnel; and general and administrative expenses, working capital and other general corporate purposes.</w:t>
      </w:r>
    </w:p>
    <w:p>
      <w:pPr>
        <w:spacing w:after="0" w:line="2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4"/>
        </w:trPr>
        <w:tc>
          <w:tcPr>
            <w:tcW w:w="1020" w:type="dxa"/>
            <w:vAlign w:val="bottom"/>
            <w:gridSpan w:val="2"/>
          </w:tcPr>
          <w:p>
            <w:pPr>
              <w:jc w:val="right"/>
              <w:ind w:right="408"/>
              <w:spacing w:after="0"/>
              <w:rPr>
                <w:sz w:val="20"/>
                <w:szCs w:val="20"/>
                <w:color w:val="auto"/>
              </w:rPr>
            </w:pPr>
            <w:r>
              <w:rPr>
                <w:rFonts w:ascii="Arial" w:cs="Arial" w:eastAsia="Arial" w:hAnsi="Arial"/>
                <w:sz w:val="18"/>
                <w:szCs w:val="18"/>
                <w:b w:val="1"/>
                <w:bCs w:val="1"/>
                <w:color w:val="auto"/>
                <w:w w:val="91"/>
              </w:rPr>
              <w:t>Item 6.</w:t>
            </w:r>
          </w:p>
        </w:tc>
        <w:tc>
          <w:tcPr>
            <w:tcW w:w="10120" w:type="dxa"/>
            <w:vAlign w:val="bottom"/>
            <w:gridSpan w:val="11"/>
          </w:tcPr>
          <w:p>
            <w:pPr>
              <w:ind w:left="1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2"/>
        </w:trPr>
        <w:tc>
          <w:tcPr>
            <w:tcW w:w="120" w:type="dxa"/>
            <w:vAlign w:val="bottom"/>
          </w:tcPr>
          <w:p>
            <w:pPr>
              <w:spacing w:after="0"/>
              <w:rPr>
                <w:sz w:val="24"/>
                <w:szCs w:val="24"/>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920" w:type="dxa"/>
            <w:vAlign w:val="bottom"/>
            <w:gridSpan w:val="7"/>
            <w:vMerge w:val="restart"/>
          </w:tcPr>
          <w:p>
            <w:pPr>
              <w:ind w:left="6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920" w:type="dxa"/>
            <w:vAlign w:val="bottom"/>
            <w:tcBorders>
              <w:bottom w:val="single" w:sz="8" w:color="auto"/>
            </w:tcBorders>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20" w:type="dxa"/>
            <w:vAlign w:val="bottom"/>
            <w:gridSpan w:val="2"/>
          </w:tcPr>
          <w:p>
            <w:pPr>
              <w:jc w:val="right"/>
              <w:ind w:right="428"/>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9900" w:type="dxa"/>
            <w:vAlign w:val="bottom"/>
            <w:tcBorders>
              <w:bottom w:val="single" w:sz="8" w:color="0000EE"/>
            </w:tcBorders>
            <w:gridSpan w:val="9"/>
          </w:tcPr>
          <w:p>
            <w:pPr>
              <w:spacing w:after="0"/>
              <w:rPr>
                <w:rFonts w:ascii="Arial" w:cs="Arial" w:eastAsia="Arial" w:hAnsi="Arial"/>
                <w:sz w:val="18"/>
                <w:szCs w:val="18"/>
                <w:color w:val="0000EE"/>
                <w:w w:val="91"/>
              </w:rPr>
            </w:pPr>
            <w:hyperlink r:id="rId94">
              <w:r>
                <w:rPr>
                  <w:rFonts w:ascii="Arial" w:cs="Arial" w:eastAsia="Arial" w:hAnsi="Arial"/>
                  <w:sz w:val="18"/>
                  <w:szCs w:val="18"/>
                  <w:color w:val="0000EE"/>
                  <w:w w:val="91"/>
                </w:rPr>
                <w:t>Fourth Amended and Restated Certificate of Incorporation of the Registrant (filed as Exhibit 3.1 to our Current Report on Form 8-K filed</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40" w:type="dxa"/>
            <w:vAlign w:val="bottom"/>
            <w:gridSpan w:val="10"/>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on June 25, 2018 and incorporated herein by reference).</w:t>
              </w:r>
            </w:hyperlink>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gridSpan w:val="2"/>
          </w:tcPr>
          <w:p>
            <w:pPr>
              <w:jc w:val="right"/>
              <w:ind w:right="428"/>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9800" w:type="dxa"/>
            <w:vAlign w:val="bottom"/>
            <w:tcBorders>
              <w:bottom w:val="single" w:sz="8" w:color="0000EE"/>
            </w:tcBorders>
            <w:gridSpan w:val="8"/>
          </w:tcPr>
          <w:p>
            <w:pPr>
              <w:spacing w:after="0"/>
              <w:rPr>
                <w:rFonts w:ascii="Arial" w:cs="Arial" w:eastAsia="Arial" w:hAnsi="Arial"/>
                <w:sz w:val="18"/>
                <w:szCs w:val="18"/>
                <w:color w:val="0000EE"/>
                <w:w w:val="91"/>
              </w:rPr>
            </w:pPr>
            <w:hyperlink r:id="rId95">
              <w:r>
                <w:rPr>
                  <w:rFonts w:ascii="Arial" w:cs="Arial" w:eastAsia="Arial" w:hAnsi="Arial"/>
                  <w:sz w:val="18"/>
                  <w:szCs w:val="18"/>
                  <w:color w:val="0000EE"/>
                  <w:w w:val="91"/>
                </w:rPr>
                <w:t>Amended and Restated By-laws (filed as Exhibit 3.2 to our Current Report on Form 8-K filed on June 25, 2018 and incorporated herein</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40" w:type="dxa"/>
            <w:vAlign w:val="bottom"/>
            <w:gridSpan w:val="10"/>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by reference).</w:t>
              </w:r>
            </w:hyperlink>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gridSpan w:val="2"/>
          </w:tcPr>
          <w:p>
            <w:pPr>
              <w:jc w:val="right"/>
              <w:ind w:right="428"/>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962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74">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3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40" w:type="dxa"/>
            <w:vAlign w:val="bottom"/>
            <w:gridSpan w:val="10"/>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gridSpan w:val="2"/>
          </w:tcPr>
          <w:p>
            <w:pPr>
              <w:jc w:val="right"/>
              <w:ind w:right="428"/>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9940" w:type="dxa"/>
            <w:vAlign w:val="bottom"/>
            <w:gridSpan w:val="10"/>
          </w:tcPr>
          <w:p>
            <w:pPr>
              <w:spacing w:after="0"/>
              <w:rPr>
                <w:rFonts w:ascii="Arial" w:cs="Arial" w:eastAsia="Arial" w:hAnsi="Arial"/>
                <w:sz w:val="18"/>
                <w:szCs w:val="18"/>
                <w:color w:val="0000EE"/>
                <w:w w:val="94"/>
              </w:rPr>
            </w:pPr>
            <w:hyperlink w:anchor="page75">
              <w:r>
                <w:rPr>
                  <w:rFonts w:ascii="Arial" w:cs="Arial" w:eastAsia="Arial" w:hAnsi="Arial"/>
                  <w:sz w:val="18"/>
                  <w:szCs w:val="18"/>
                  <w:color w:val="0000EE"/>
                  <w:w w:val="94"/>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5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Adopted Pursuant to Section 302 of the Sarbanes-Oxley Act of 2002.</w:t>
              </w:r>
            </w:hyperlink>
          </w:p>
        </w:tc>
        <w:tc>
          <w:tcPr>
            <w:tcW w:w="3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gridSpan w:val="2"/>
          </w:tcPr>
          <w:p>
            <w:pPr>
              <w:jc w:val="right"/>
              <w:ind w:right="328"/>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97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76">
              <w:r>
                <w:rPr>
                  <w:rFonts w:ascii="Arial" w:cs="Arial" w:eastAsia="Arial" w:hAnsi="Arial"/>
                  <w:sz w:val="18"/>
                  <w:szCs w:val="18"/>
                  <w:color w:val="0000EE"/>
                  <w:w w:val="91"/>
                </w:rPr>
                <w:t>Certification of Principal Executive Officer and Principal Financial Officer Pursuant to 18 U.S.C. Section 1350, as Adopted Pursuant to</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40" w:type="dxa"/>
            <w:vAlign w:val="bottom"/>
            <w:gridSpan w:val="10"/>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Section 906 of the Sarbanes-Oxley Act of 2002.</w:t>
              </w:r>
            </w:hyperlink>
          </w:p>
        </w:tc>
        <w:tc>
          <w:tcPr>
            <w:tcW w:w="0" w:type="dxa"/>
            <w:vAlign w:val="bottom"/>
          </w:tcPr>
          <w:p>
            <w:pPr>
              <w:spacing w:after="0"/>
              <w:rPr>
                <w:sz w:val="1"/>
                <w:szCs w:val="1"/>
                <w:color w:val="auto"/>
              </w:rPr>
            </w:pPr>
          </w:p>
        </w:tc>
      </w:tr>
      <w:tr>
        <w:trPr>
          <w:trHeight w:val="358"/>
        </w:trPr>
        <w:tc>
          <w:tcPr>
            <w:tcW w:w="1020" w:type="dxa"/>
            <w:vAlign w:val="bottom"/>
            <w:gridSpan w:val="2"/>
          </w:tcPr>
          <w:p>
            <w:pPr>
              <w:ind w:left="120"/>
              <w:spacing w:after="0"/>
              <w:rPr>
                <w:sz w:val="20"/>
                <w:szCs w:val="20"/>
                <w:color w:val="auto"/>
              </w:rPr>
            </w:pPr>
            <w:r>
              <w:rPr>
                <w:rFonts w:ascii="Arial" w:cs="Arial" w:eastAsia="Arial" w:hAnsi="Arial"/>
                <w:sz w:val="18"/>
                <w:szCs w:val="18"/>
                <w:color w:val="auto"/>
              </w:rPr>
              <w:t>101.INS</w:t>
            </w:r>
          </w:p>
        </w:tc>
        <w:tc>
          <w:tcPr>
            <w:tcW w:w="180" w:type="dxa"/>
            <w:vAlign w:val="bottom"/>
          </w:tcPr>
          <w:p>
            <w:pPr>
              <w:spacing w:after="0"/>
              <w:rPr>
                <w:sz w:val="24"/>
                <w:szCs w:val="24"/>
                <w:color w:val="auto"/>
              </w:rPr>
            </w:pPr>
          </w:p>
        </w:tc>
        <w:tc>
          <w:tcPr>
            <w:tcW w:w="34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XBRL Instance Document</w:t>
            </w:r>
          </w:p>
        </w:tc>
        <w:tc>
          <w:tcPr>
            <w:tcW w:w="64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20" w:type="dxa"/>
            <w:vAlign w:val="bottom"/>
            <w:gridSpan w:val="2"/>
          </w:tcPr>
          <w:p>
            <w:pPr>
              <w:ind w:left="120"/>
              <w:spacing w:after="0"/>
              <w:rPr>
                <w:sz w:val="20"/>
                <w:szCs w:val="20"/>
                <w:color w:val="auto"/>
              </w:rPr>
            </w:pPr>
            <w:r>
              <w:rPr>
                <w:rFonts w:ascii="Arial" w:cs="Arial" w:eastAsia="Arial" w:hAnsi="Arial"/>
                <w:sz w:val="18"/>
                <w:szCs w:val="18"/>
                <w:color w:val="auto"/>
              </w:rPr>
              <w:t>101.SCH</w:t>
            </w:r>
          </w:p>
        </w:tc>
        <w:tc>
          <w:tcPr>
            <w:tcW w:w="180" w:type="dxa"/>
            <w:vAlign w:val="bottom"/>
          </w:tcPr>
          <w:p>
            <w:pPr>
              <w:spacing w:after="0"/>
              <w:rPr>
                <w:sz w:val="24"/>
                <w:szCs w:val="24"/>
                <w:color w:val="auto"/>
              </w:rPr>
            </w:pPr>
          </w:p>
        </w:tc>
        <w:tc>
          <w:tcPr>
            <w:tcW w:w="994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020" w:type="dxa"/>
            <w:vAlign w:val="bottom"/>
            <w:gridSpan w:val="2"/>
          </w:tcPr>
          <w:p>
            <w:pPr>
              <w:ind w:left="120"/>
              <w:spacing w:after="0"/>
              <w:rPr>
                <w:sz w:val="20"/>
                <w:szCs w:val="20"/>
                <w:color w:val="auto"/>
              </w:rPr>
            </w:pPr>
            <w:r>
              <w:rPr>
                <w:rFonts w:ascii="Arial" w:cs="Arial" w:eastAsia="Arial" w:hAnsi="Arial"/>
                <w:sz w:val="18"/>
                <w:szCs w:val="18"/>
                <w:color w:val="auto"/>
              </w:rPr>
              <w:t>101.CAL</w:t>
            </w:r>
          </w:p>
        </w:tc>
        <w:tc>
          <w:tcPr>
            <w:tcW w:w="180" w:type="dxa"/>
            <w:vAlign w:val="bottom"/>
          </w:tcPr>
          <w:p>
            <w:pPr>
              <w:spacing w:after="0"/>
              <w:rPr>
                <w:sz w:val="24"/>
                <w:szCs w:val="24"/>
                <w:color w:val="auto"/>
              </w:rPr>
            </w:pPr>
          </w:p>
        </w:tc>
        <w:tc>
          <w:tcPr>
            <w:tcW w:w="994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1020" w:type="dxa"/>
            <w:vAlign w:val="bottom"/>
            <w:gridSpan w:val="2"/>
          </w:tcPr>
          <w:p>
            <w:pPr>
              <w:ind w:left="120"/>
              <w:spacing w:after="0"/>
              <w:rPr>
                <w:sz w:val="20"/>
                <w:szCs w:val="20"/>
                <w:color w:val="auto"/>
              </w:rPr>
            </w:pPr>
            <w:r>
              <w:rPr>
                <w:rFonts w:ascii="Arial" w:cs="Arial" w:eastAsia="Arial" w:hAnsi="Arial"/>
                <w:sz w:val="18"/>
                <w:szCs w:val="18"/>
                <w:color w:val="auto"/>
              </w:rPr>
              <w:t>101.DEF</w:t>
            </w:r>
          </w:p>
        </w:tc>
        <w:tc>
          <w:tcPr>
            <w:tcW w:w="180" w:type="dxa"/>
            <w:vAlign w:val="bottom"/>
          </w:tcPr>
          <w:p>
            <w:pPr>
              <w:spacing w:after="0"/>
              <w:rPr>
                <w:sz w:val="24"/>
                <w:szCs w:val="24"/>
                <w:color w:val="auto"/>
              </w:rPr>
            </w:pPr>
          </w:p>
        </w:tc>
        <w:tc>
          <w:tcPr>
            <w:tcW w:w="994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1020" w:type="dxa"/>
            <w:vAlign w:val="bottom"/>
            <w:gridSpan w:val="2"/>
          </w:tcPr>
          <w:p>
            <w:pPr>
              <w:ind w:left="120"/>
              <w:spacing w:after="0"/>
              <w:rPr>
                <w:sz w:val="20"/>
                <w:szCs w:val="20"/>
                <w:color w:val="auto"/>
              </w:rPr>
            </w:pPr>
            <w:r>
              <w:rPr>
                <w:rFonts w:ascii="Arial" w:cs="Arial" w:eastAsia="Arial" w:hAnsi="Arial"/>
                <w:sz w:val="18"/>
                <w:szCs w:val="18"/>
                <w:color w:val="auto"/>
              </w:rPr>
              <w:t>101.LAB</w:t>
            </w:r>
          </w:p>
        </w:tc>
        <w:tc>
          <w:tcPr>
            <w:tcW w:w="180" w:type="dxa"/>
            <w:vAlign w:val="bottom"/>
          </w:tcPr>
          <w:p>
            <w:pPr>
              <w:spacing w:after="0"/>
              <w:rPr>
                <w:sz w:val="24"/>
                <w:szCs w:val="24"/>
                <w:color w:val="auto"/>
              </w:rPr>
            </w:pPr>
          </w:p>
        </w:tc>
        <w:tc>
          <w:tcPr>
            <w:tcW w:w="994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38"/>
        </w:trPr>
        <w:tc>
          <w:tcPr>
            <w:tcW w:w="1020" w:type="dxa"/>
            <w:vAlign w:val="bottom"/>
            <w:gridSpan w:val="2"/>
          </w:tcPr>
          <w:p>
            <w:pPr>
              <w:ind w:left="120"/>
              <w:spacing w:after="0"/>
              <w:rPr>
                <w:sz w:val="20"/>
                <w:szCs w:val="20"/>
                <w:color w:val="auto"/>
              </w:rPr>
            </w:pPr>
            <w:r>
              <w:rPr>
                <w:rFonts w:ascii="Arial" w:cs="Arial" w:eastAsia="Arial" w:hAnsi="Arial"/>
                <w:sz w:val="18"/>
                <w:szCs w:val="18"/>
                <w:color w:val="auto"/>
              </w:rPr>
              <w:t>101.PRE</w:t>
            </w:r>
          </w:p>
        </w:tc>
        <w:tc>
          <w:tcPr>
            <w:tcW w:w="180" w:type="dxa"/>
            <w:vAlign w:val="bottom"/>
          </w:tcPr>
          <w:p>
            <w:pPr>
              <w:spacing w:after="0"/>
              <w:rPr>
                <w:sz w:val="24"/>
                <w:szCs w:val="24"/>
                <w:color w:val="auto"/>
              </w:rPr>
            </w:pPr>
          </w:p>
        </w:tc>
        <w:tc>
          <w:tcPr>
            <w:tcW w:w="994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6769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195"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the exhibit is being furnished, not filed, with this report.</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72" w:name="page73"/>
    <w:bookmarkEnd w:id="7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AVROBIO, INC.</w:t>
      </w:r>
    </w:p>
    <w:p>
      <w:pPr>
        <w:spacing w:after="0" w:line="279" w:lineRule="exact"/>
        <w:rPr>
          <w:sz w:val="20"/>
          <w:szCs w:val="20"/>
          <w:color w:val="auto"/>
        </w:rPr>
      </w:pPr>
    </w:p>
    <w:p>
      <w:pPr>
        <w:spacing w:after="0"/>
        <w:tabs>
          <w:tab w:leader="none" w:pos="5240" w:val="left"/>
          <w:tab w:leader="none" w:pos="7780" w:val="left"/>
        </w:tabs>
        <w:rPr>
          <w:sz w:val="20"/>
          <w:szCs w:val="20"/>
          <w:color w:val="auto"/>
        </w:rPr>
      </w:pPr>
      <w:r>
        <w:rPr>
          <w:rFonts w:ascii="Arial" w:cs="Arial" w:eastAsia="Arial" w:hAnsi="Arial"/>
          <w:sz w:val="18"/>
          <w:szCs w:val="18"/>
          <w:color w:val="auto"/>
        </w:rPr>
        <w:t>Date: May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6"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Geoff MacKay</w:t>
      </w:r>
    </w:p>
    <w:p>
      <w:pPr>
        <w:spacing w:after="0" w:line="36" w:lineRule="exact"/>
        <w:rPr>
          <w:sz w:val="20"/>
          <w:szCs w:val="20"/>
          <w:color w:val="auto"/>
        </w:rPr>
      </w:pPr>
    </w:p>
    <w:p>
      <w:pPr>
        <w:jc w:val="center"/>
        <w:ind w:left="5620"/>
        <w:spacing w:after="0"/>
        <w:rPr>
          <w:sz w:val="20"/>
          <w:szCs w:val="20"/>
          <w:color w:val="auto"/>
        </w:rPr>
      </w:pPr>
      <w:r>
        <w:rPr>
          <w:rFonts w:ascii="Arial" w:cs="Arial" w:eastAsia="Arial" w:hAnsi="Arial"/>
          <w:sz w:val="17"/>
          <w:szCs w:val="17"/>
          <w:b w:val="1"/>
          <w:bCs w:val="1"/>
          <w:color w:val="auto"/>
        </w:rPr>
        <w:t>President, Chief Executive Officer, and Principal Executive Officer</w:t>
      </w:r>
    </w:p>
    <w:p>
      <w:pPr>
        <w:spacing w:after="0" w:line="295" w:lineRule="exact"/>
        <w:rPr>
          <w:sz w:val="20"/>
          <w:szCs w:val="20"/>
          <w:color w:val="auto"/>
        </w:rPr>
      </w:pPr>
    </w:p>
    <w:p>
      <w:pPr>
        <w:spacing w:after="0"/>
        <w:tabs>
          <w:tab w:leader="none" w:pos="5240" w:val="left"/>
          <w:tab w:leader="none" w:pos="7760" w:val="left"/>
        </w:tabs>
        <w:rPr>
          <w:sz w:val="20"/>
          <w:szCs w:val="20"/>
          <w:color w:val="auto"/>
        </w:rPr>
      </w:pPr>
      <w:r>
        <w:rPr>
          <w:rFonts w:ascii="Arial" w:cs="Arial" w:eastAsia="Arial" w:hAnsi="Arial"/>
          <w:sz w:val="18"/>
          <w:szCs w:val="18"/>
          <w:color w:val="auto"/>
        </w:rPr>
        <w:t>Date: May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6"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Erik Ostrowski</w:t>
      </w:r>
    </w:p>
    <w:p>
      <w:pPr>
        <w:spacing w:after="0" w:line="36" w:lineRule="exact"/>
        <w:rPr>
          <w:sz w:val="20"/>
          <w:szCs w:val="20"/>
          <w:color w:val="auto"/>
        </w:rPr>
      </w:pPr>
    </w:p>
    <w:p>
      <w:pPr>
        <w:jc w:val="center"/>
        <w:ind w:left="5620"/>
        <w:spacing w:after="0"/>
        <w:rPr>
          <w:sz w:val="20"/>
          <w:szCs w:val="20"/>
          <w:color w:val="auto"/>
        </w:rPr>
      </w:pPr>
      <w:r>
        <w:rPr>
          <w:rFonts w:ascii="Arial" w:cs="Arial" w:eastAsia="Arial" w:hAnsi="Arial"/>
          <w:sz w:val="16"/>
          <w:szCs w:val="16"/>
          <w:b w:val="1"/>
          <w:bCs w:val="1"/>
          <w:color w:val="auto"/>
        </w:rPr>
        <w:t>Chief Financial Officer and Principal Financial and Accounting Officer</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80"/>
          </w:cols>
          <w:pgMar w:left="320" w:top="337" w:right="39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Geoff MacKay, certify that:</w:t>
      </w:r>
    </w:p>
    <w:p>
      <w:pPr>
        <w:spacing w:after="0" w:line="117"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AVROBIO,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840" w:val="left"/>
          <w:tab w:leader="none" w:pos="8600" w:val="left"/>
        </w:tabs>
        <w:rPr>
          <w:sz w:val="20"/>
          <w:szCs w:val="20"/>
          <w:color w:val="auto"/>
        </w:rPr>
      </w:pPr>
      <w:r>
        <w:rPr>
          <w:rFonts w:ascii="Arial" w:cs="Arial" w:eastAsia="Arial" w:hAnsi="Arial"/>
          <w:sz w:val="18"/>
          <w:szCs w:val="18"/>
          <w:color w:val="auto"/>
        </w:rPr>
        <w:t>Date: May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23495</wp:posOffset>
            </wp:positionV>
            <wp:extent cx="24942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53" w:lineRule="exact"/>
        <w:rPr>
          <w:sz w:val="20"/>
          <w:szCs w:val="20"/>
          <w:color w:val="auto"/>
        </w:rPr>
      </w:pPr>
    </w:p>
    <w:p>
      <w:pPr>
        <w:jc w:val="center"/>
        <w:ind w:left="7300"/>
        <w:spacing w:after="0"/>
        <w:rPr>
          <w:sz w:val="20"/>
          <w:szCs w:val="20"/>
          <w:color w:val="auto"/>
        </w:rPr>
      </w:pPr>
      <w:r>
        <w:rPr>
          <w:rFonts w:ascii="Arial" w:cs="Arial" w:eastAsia="Arial" w:hAnsi="Arial"/>
          <w:sz w:val="18"/>
          <w:szCs w:val="18"/>
          <w:b w:val="1"/>
          <w:bCs w:val="1"/>
          <w:color w:val="auto"/>
        </w:rPr>
        <w:t>Geoff MacKay</w:t>
      </w:r>
    </w:p>
    <w:p>
      <w:pPr>
        <w:spacing w:after="0" w:line="27" w:lineRule="exact"/>
        <w:rPr>
          <w:sz w:val="20"/>
          <w:szCs w:val="20"/>
          <w:color w:val="auto"/>
        </w:rPr>
      </w:pPr>
    </w:p>
    <w:p>
      <w:pPr>
        <w:jc w:val="center"/>
        <w:ind w:left="73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Erik Ostrowski, certify that:</w:t>
      </w:r>
    </w:p>
    <w:p>
      <w:pPr>
        <w:spacing w:after="0" w:line="117"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AVROBIO,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840" w:val="left"/>
          <w:tab w:leader="none" w:pos="8600" w:val="left"/>
        </w:tabs>
        <w:rPr>
          <w:sz w:val="20"/>
          <w:szCs w:val="20"/>
          <w:color w:val="auto"/>
        </w:rPr>
      </w:pPr>
      <w:r>
        <w:rPr>
          <w:rFonts w:ascii="Arial" w:cs="Arial" w:eastAsia="Arial" w:hAnsi="Arial"/>
          <w:sz w:val="18"/>
          <w:szCs w:val="18"/>
          <w:color w:val="auto"/>
        </w:rPr>
        <w:t>Date: May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23495</wp:posOffset>
            </wp:positionV>
            <wp:extent cx="24942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53" w:lineRule="exact"/>
        <w:rPr>
          <w:sz w:val="20"/>
          <w:szCs w:val="20"/>
          <w:color w:val="auto"/>
        </w:rPr>
      </w:pPr>
    </w:p>
    <w:p>
      <w:pPr>
        <w:jc w:val="center"/>
        <w:ind w:left="7300"/>
        <w:spacing w:after="0"/>
        <w:rPr>
          <w:sz w:val="20"/>
          <w:szCs w:val="20"/>
          <w:color w:val="auto"/>
        </w:rPr>
      </w:pPr>
      <w:r>
        <w:rPr>
          <w:rFonts w:ascii="Arial" w:cs="Arial" w:eastAsia="Arial" w:hAnsi="Arial"/>
          <w:sz w:val="18"/>
          <w:szCs w:val="18"/>
          <w:b w:val="1"/>
          <w:bCs w:val="1"/>
          <w:color w:val="auto"/>
        </w:rPr>
        <w:t>Erik Ostrowski</w:t>
      </w:r>
    </w:p>
    <w:p>
      <w:pPr>
        <w:spacing w:after="0" w:line="27" w:lineRule="exact"/>
        <w:rPr>
          <w:sz w:val="20"/>
          <w:szCs w:val="20"/>
          <w:color w:val="auto"/>
        </w:rPr>
      </w:pPr>
    </w:p>
    <w:p>
      <w:pPr>
        <w:jc w:val="center"/>
        <w:ind w:left="73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21"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connection with the Quarterly Report of AVROBIO, Inc. (the “Company”) on Form 10-Q for the period ending March 31, 2020 as filed with the Securities and Exchange Commission on the date hereof (the “Report”), each of the undersigned officers of the Company certifies, pursuant to 18 U.S.C. § 1350, as adopted pursuant to § 906 of the Sarbanes-Oxley Act of 2002, to the best of his or her knowledge that:</w:t>
      </w:r>
    </w:p>
    <w:p>
      <w:pPr>
        <w:spacing w:after="0" w:line="76" w:lineRule="exact"/>
        <w:rPr>
          <w:sz w:val="20"/>
          <w:szCs w:val="20"/>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880" w:right="760" w:hanging="373"/>
        <w:spacing w:after="0" w:line="277"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5240" w:val="left"/>
          <w:tab w:leader="none" w:pos="7780" w:val="left"/>
        </w:tabs>
        <w:rPr>
          <w:sz w:val="20"/>
          <w:szCs w:val="20"/>
          <w:color w:val="auto"/>
        </w:rPr>
      </w:pPr>
      <w:r>
        <w:rPr>
          <w:rFonts w:ascii="Arial" w:cs="Arial" w:eastAsia="Arial" w:hAnsi="Arial"/>
          <w:sz w:val="18"/>
          <w:szCs w:val="18"/>
          <w:color w:val="auto"/>
        </w:rPr>
        <w:t>Date: May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2"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Geoff MacKay</w:t>
      </w:r>
    </w:p>
    <w:p>
      <w:pPr>
        <w:spacing w:after="0" w:line="27"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Chief Executive Officer</w:t>
      </w:r>
    </w:p>
    <w:p>
      <w:pPr>
        <w:spacing w:after="0" w:line="251" w:lineRule="exact"/>
        <w:rPr>
          <w:sz w:val="20"/>
          <w:szCs w:val="20"/>
          <w:color w:val="auto"/>
        </w:rPr>
      </w:pPr>
    </w:p>
    <w:p>
      <w:pPr>
        <w:spacing w:after="0"/>
        <w:tabs>
          <w:tab w:leader="none" w:pos="5240" w:val="left"/>
          <w:tab w:leader="none" w:pos="7760" w:val="left"/>
        </w:tabs>
        <w:rPr>
          <w:sz w:val="20"/>
          <w:szCs w:val="20"/>
          <w:color w:val="auto"/>
        </w:rPr>
      </w:pPr>
      <w:r>
        <w:rPr>
          <w:rFonts w:ascii="Arial" w:cs="Arial" w:eastAsia="Arial" w:hAnsi="Arial"/>
          <w:sz w:val="18"/>
          <w:szCs w:val="18"/>
          <w:color w:val="auto"/>
        </w:rPr>
        <w:t>Date: May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2"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Erik Ostrowski</w:t>
      </w:r>
    </w:p>
    <w:p>
      <w:pPr>
        <w:spacing w:after="0" w:line="27"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decimal"/>
      <w:start w:val="15"/>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94" Type="http://schemas.openxmlformats.org/officeDocument/2006/relationships/hyperlink" Target="http://www.sec.gov/Archives/edgar/data/1681087/000119312518202460/d153924dex31.htm" TargetMode="External"/><Relationship Id="rId95" Type="http://schemas.openxmlformats.org/officeDocument/2006/relationships/hyperlink" Target="http://www.sec.gov/Archives/edgar/data/1681087/000119312518202460/d153924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2020-05-07T15:18:49Z</dcterms:created>
  <dcterms:modified xsi:type="dcterms:W3CDTF">2020-05-07T15:18:49Z</dcterms:modified>
</cp:coreProperties>
</file>