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Donenberg Phillip B.</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AVROBIO,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5"/>
              </w:rPr>
              <w:t>ONE KENDALL SQARE, BLDG. 300, SUITE 201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21.91</w:t>
            </w: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4, 2021 or the date of the Issuer's 2021 Annual Meeting of Stockholders, subject to the reporting person's continued service as a director through such vesting date.</w:t>
      </w:r>
    </w:p>
    <w:p>
      <w:pPr>
        <w:spacing w:after="0" w:line="5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Steven N. Avruch,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in-Fact for Phillip B.</w:t>
      </w:r>
      <w:r>
        <w:rPr>
          <w:sz w:val="20"/>
          <w:szCs w:val="20"/>
          <w:color w:val="auto"/>
        </w:rPr>
        <w:tab/>
      </w:r>
      <w:r>
        <w:rPr>
          <w:rFonts w:ascii="Arial" w:cs="Arial" w:eastAsia="Arial" w:hAnsi="Arial"/>
          <w:sz w:val="15"/>
          <w:szCs w:val="15"/>
          <w:color w:val="0000FF"/>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887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7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-15875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Donenberg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71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38120"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2020-06-05T16:17:19Z</dcterms:created>
  <dcterms:modified xsi:type="dcterms:W3CDTF">2020-06-05T16:17:19Z</dcterms:modified>
</cp:coreProperties>
</file>