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Pursuant to Section 13 or 15(d)</w:t>
      </w:r>
    </w:p>
    <w:p>
      <w:pPr>
        <w:jc w:val="center"/>
        <w:ind w:right="-1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Date of Report (Date of earliest event reported): June 10, 2021</w:t>
      </w:r>
    </w:p>
    <w:p>
      <w:pPr>
        <w:spacing w:after="0" w:line="190"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AVROBIO, INC.</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080"/>
          </w:cols>
          <w:pgMar w:left="320" w:top="206" w:right="499" w:bottom="1440" w:gutter="0" w:footer="0" w:header="0"/>
        </w:sectPr>
      </w:pPr>
    </w:p>
    <w:p>
      <w:pPr>
        <w:spacing w:after="0" w:line="205" w:lineRule="exact"/>
        <w:rPr>
          <w:sz w:val="24"/>
          <w:szCs w:val="24"/>
          <w:color w:val="auto"/>
        </w:rPr>
      </w:pPr>
    </w:p>
    <w:p>
      <w:pPr>
        <w:ind w:left="16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120"/>
        <w:spacing w:after="0"/>
        <w:rPr>
          <w:sz w:val="20"/>
          <w:szCs w:val="20"/>
          <w:color w:val="auto"/>
        </w:rPr>
      </w:pPr>
      <w:r>
        <w:rPr>
          <w:rFonts w:ascii="Arial" w:cs="Arial" w:eastAsia="Arial" w:hAnsi="Arial"/>
          <w:sz w:val="16"/>
          <w:szCs w:val="16"/>
          <w:b w:val="1"/>
          <w:bCs w:val="1"/>
          <w:color w:val="auto"/>
        </w:rPr>
        <w:t>001-38537</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81-0710585</w:t>
      </w:r>
    </w:p>
    <w:p>
      <w:pPr>
        <w:spacing w:after="0" w:line="31" w:lineRule="exact"/>
        <w:rPr>
          <w:sz w:val="24"/>
          <w:szCs w:val="24"/>
          <w:color w:val="auto"/>
        </w:rPr>
      </w:pPr>
    </w:p>
    <w:p>
      <w:pPr>
        <w:sectPr>
          <w:pgSz w:w="11900" w:h="16838" w:orient="portrait"/>
          <w:cols w:equalWidth="0" w:num="3">
            <w:col w:w="4640" w:space="720"/>
            <w:col w:w="2900" w:space="720"/>
            <w:col w:w="2100"/>
          </w:cols>
          <w:pgMar w:left="320" w:top="206" w:right="499" w:bottom="1440" w:gutter="0" w:footer="0" w:header="0"/>
          <w:type w:val="continuous"/>
        </w:sectPr>
      </w:pPr>
    </w:p>
    <w:p>
      <w:pPr>
        <w:spacing w:after="0" w:line="12" w:lineRule="exact"/>
        <w:rPr>
          <w:sz w:val="24"/>
          <w:szCs w:val="24"/>
          <w:color w:val="auto"/>
        </w:rPr>
      </w:pPr>
    </w:p>
    <w:p>
      <w:pPr>
        <w:jc w:val="center"/>
        <w:ind w:right="700"/>
        <w:spacing w:after="0"/>
        <w:rPr>
          <w:sz w:val="20"/>
          <w:szCs w:val="20"/>
          <w:color w:val="auto"/>
        </w:rPr>
      </w:pPr>
      <w:r>
        <w:rPr>
          <w:rFonts w:ascii="Arial" w:cs="Arial" w:eastAsia="Arial" w:hAnsi="Arial"/>
          <w:sz w:val="13"/>
          <w:szCs w:val="13"/>
          <w:b w:val="1"/>
          <w:bCs w:val="1"/>
          <w:color w:val="auto"/>
        </w:rPr>
        <w:t>(State or other jurisdiction</w:t>
      </w:r>
    </w:p>
    <w:p>
      <w:pPr>
        <w:jc w:val="center"/>
        <w:ind w:right="7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620" w:space="720"/>
            <w:col w:w="2780" w:space="720"/>
            <w:col w:w="2240"/>
          </w:cols>
          <w:pgMar w:left="320" w:top="206" w:right="499" w:bottom="1440" w:gutter="0" w:footer="0" w:header="0"/>
          <w:type w:val="continuous"/>
        </w:sectPr>
      </w:pPr>
    </w:p>
    <w:p>
      <w:pPr>
        <w:spacing w:after="0" w:line="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One Kendall Square</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Building 300, Suite 201</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Cambridge, MA 02139</w:t>
      </w:r>
    </w:p>
    <w:p>
      <w:pPr>
        <w:spacing w:after="0" w:line="2"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(617) 914-8420</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ectPr>
          <w:pgSz w:w="11900" w:h="16838" w:orient="portrait"/>
          <w:cols w:equalWidth="0" w:num="1">
            <w:col w:w="11080"/>
          </w:cols>
          <w:pgMar w:left="320" w:top="206" w:right="499" w:bottom="1440" w:gutter="0" w:footer="0" w:header="0"/>
          <w:type w:val="continuous"/>
        </w:sectPr>
      </w:pPr>
    </w:p>
    <w:p>
      <w:pPr>
        <w:spacing w:after="0" w:line="20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8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1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427"/>
        </w:trPr>
        <w:tc>
          <w:tcPr>
            <w:tcW w:w="8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Trading</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41"/>
        </w:trPr>
        <w:tc>
          <w:tcPr>
            <w:tcW w:w="880" w:type="dxa"/>
            <w:vAlign w:val="bottom"/>
          </w:tcPr>
          <w:p>
            <w:pPr>
              <w:spacing w:after="0"/>
              <w:rPr>
                <w:sz w:val="20"/>
                <w:szCs w:val="20"/>
                <w:color w:val="auto"/>
              </w:rPr>
            </w:pPr>
          </w:p>
        </w:tc>
        <w:tc>
          <w:tcPr>
            <w:tcW w:w="4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Title of each class</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symbol(s)</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89"/>
              </w:rPr>
              <w:t>on which registered</w:t>
            </w:r>
          </w:p>
        </w:tc>
      </w:tr>
      <w:tr>
        <w:trPr>
          <w:trHeight w:val="234"/>
        </w:trPr>
        <w:tc>
          <w:tcPr>
            <w:tcW w:w="880" w:type="dxa"/>
            <w:vAlign w:val="bottom"/>
          </w:tcPr>
          <w:p>
            <w:pPr>
              <w:spacing w:after="0"/>
              <w:rPr>
                <w:sz w:val="20"/>
                <w:szCs w:val="20"/>
                <w:color w:val="auto"/>
              </w:rPr>
            </w:pPr>
          </w:p>
        </w:tc>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160" w:type="dxa"/>
            <w:vAlign w:val="bottom"/>
          </w:tcPr>
          <w:p>
            <w:pPr>
              <w:spacing w:after="0"/>
              <w:rPr>
                <w:sz w:val="20"/>
                <w:szCs w:val="20"/>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AVRO</w:t>
            </w:r>
          </w:p>
        </w:tc>
        <w:tc>
          <w:tcPr>
            <w:tcW w:w="140" w:type="dxa"/>
            <w:vAlign w:val="bottom"/>
          </w:tcPr>
          <w:p>
            <w:pPr>
              <w:spacing w:after="0"/>
              <w:rPr>
                <w:sz w:val="20"/>
                <w:szCs w:val="20"/>
                <w:color w:val="auto"/>
              </w:rPr>
            </w:pPr>
          </w:p>
        </w:tc>
        <w:tc>
          <w:tcPr>
            <w:tcW w:w="38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Nasdaq Global Select Market</w:t>
            </w:r>
          </w:p>
        </w:tc>
      </w:tr>
    </w:tbl>
    <w:p>
      <w:pPr>
        <w:spacing w:after="0" w:line="197"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748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80"/>
          </w:cols>
          <w:pgMar w:left="320" w:top="206" w:right="4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ind w:right="480" w:firstLine="546"/>
        <w:spacing w:after="0" w:line="308" w:lineRule="auto"/>
        <w:rPr>
          <w:sz w:val="20"/>
          <w:szCs w:val="20"/>
          <w:color w:val="auto"/>
        </w:rPr>
      </w:pPr>
      <w:r>
        <w:rPr>
          <w:rFonts w:ascii="Arial" w:cs="Arial" w:eastAsia="Arial" w:hAnsi="Arial"/>
          <w:sz w:val="17"/>
          <w:szCs w:val="17"/>
          <w:color w:val="auto"/>
        </w:rPr>
        <w:t>On June 10, 2021, AVROBIO, Inc. (the “Company”) held its previously announced 2021 Annual Meeting of Stockholders (the “Meeting”), at which a quorum was present. The proposals voted on at the Meeting and the final voting results for each proposal are as follows:</w:t>
      </w:r>
    </w:p>
    <w:p>
      <w:pPr>
        <w:spacing w:after="0" w:line="38" w:lineRule="exact"/>
        <w:rPr>
          <w:sz w:val="20"/>
          <w:szCs w:val="20"/>
          <w:color w:val="auto"/>
        </w:rPr>
      </w:pPr>
    </w:p>
    <w:p>
      <w:pPr>
        <w:ind w:right="380" w:firstLine="554"/>
        <w:spacing w:after="0" w:line="277" w:lineRule="auto"/>
        <w:tabs>
          <w:tab w:leader="none" w:pos="726"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stockholders elected the three director nominees listed below to serve as Class III directors until the Company’s 2024 annual meeting of stockholders, with the votes cast as follows: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Director Nominee</w:t>
            </w:r>
          </w:p>
        </w:tc>
        <w:tc>
          <w:tcPr>
            <w:tcW w:w="17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Votes For</w:t>
            </w:r>
          </w:p>
        </w:tc>
        <w:tc>
          <w:tcPr>
            <w:tcW w:w="16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Votes Withheld</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Broker Non-</w:t>
            </w:r>
          </w:p>
        </w:tc>
        <w:tc>
          <w:tcPr>
            <w:tcW w:w="0" w:type="dxa"/>
            <w:vAlign w:val="bottom"/>
          </w:tcPr>
          <w:p>
            <w:pPr>
              <w:spacing w:after="0"/>
              <w:rPr>
                <w:sz w:val="1"/>
                <w:szCs w:val="1"/>
                <w:color w:val="auto"/>
              </w:rPr>
            </w:pPr>
          </w:p>
        </w:tc>
      </w:tr>
      <w:tr>
        <w:trPr>
          <w:trHeight w:val="171"/>
        </w:trPr>
        <w:tc>
          <w:tcPr>
            <w:tcW w:w="4900" w:type="dxa"/>
            <w:vAlign w:val="bottom"/>
            <w:gridSpan w:val="2"/>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Votes</w:t>
            </w:r>
          </w:p>
        </w:tc>
        <w:tc>
          <w:tcPr>
            <w:tcW w:w="0" w:type="dxa"/>
            <w:vAlign w:val="bottom"/>
          </w:tcPr>
          <w:p>
            <w:pPr>
              <w:spacing w:after="0"/>
              <w:rPr>
                <w:sz w:val="1"/>
                <w:szCs w:val="1"/>
                <w:color w:val="auto"/>
              </w:rPr>
            </w:pPr>
          </w:p>
        </w:tc>
      </w:tr>
      <w:tr>
        <w:trPr>
          <w:trHeight w:val="223"/>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Bruce Booth, D.Phil.</w:t>
            </w:r>
          </w:p>
        </w:tc>
        <w:tc>
          <w:tcPr>
            <w:tcW w:w="4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w w:val="95"/>
              </w:rPr>
              <w:t>20,796,891</w:t>
            </w:r>
          </w:p>
        </w:tc>
        <w:tc>
          <w:tcPr>
            <w:tcW w:w="6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w w:val="94"/>
              </w:rPr>
              <w:t>9,809,137</w:t>
            </w:r>
          </w:p>
        </w:tc>
        <w:tc>
          <w:tcPr>
            <w:tcW w:w="6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w w:val="92"/>
              </w:rPr>
              <w:t>4,923,328</w:t>
            </w:r>
          </w:p>
        </w:tc>
        <w:tc>
          <w:tcPr>
            <w:tcW w:w="2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gridSpan w:val="2"/>
          </w:tcPr>
          <w:p>
            <w:pPr>
              <w:spacing w:after="0"/>
              <w:rPr>
                <w:sz w:val="20"/>
                <w:szCs w:val="20"/>
                <w:color w:val="auto"/>
              </w:rPr>
            </w:pPr>
            <w:r>
              <w:rPr>
                <w:rFonts w:ascii="Arial" w:cs="Arial" w:eastAsia="Arial" w:hAnsi="Arial"/>
                <w:sz w:val="18"/>
                <w:szCs w:val="18"/>
                <w:color w:val="auto"/>
              </w:rPr>
              <w:t>Phillip Donenberg</w:t>
            </w:r>
          </w:p>
        </w:tc>
        <w:tc>
          <w:tcPr>
            <w:tcW w:w="1080" w:type="dxa"/>
            <w:vAlign w:val="bottom"/>
          </w:tcPr>
          <w:p>
            <w:pPr>
              <w:jc w:val="right"/>
              <w:ind w:right="115"/>
              <w:spacing w:after="0"/>
              <w:rPr>
                <w:sz w:val="20"/>
                <w:szCs w:val="20"/>
                <w:color w:val="auto"/>
              </w:rPr>
            </w:pPr>
            <w:r>
              <w:rPr>
                <w:rFonts w:ascii="Arial" w:cs="Arial" w:eastAsia="Arial" w:hAnsi="Arial"/>
                <w:sz w:val="18"/>
                <w:szCs w:val="18"/>
                <w:color w:val="auto"/>
                <w:w w:val="95"/>
              </w:rPr>
              <w:t>23,034,280</w:t>
            </w:r>
          </w:p>
        </w:tc>
        <w:tc>
          <w:tcPr>
            <w:tcW w:w="620" w:type="dxa"/>
            <w:vAlign w:val="bottom"/>
          </w:tcPr>
          <w:p>
            <w:pPr>
              <w:spacing w:after="0"/>
              <w:rPr>
                <w:sz w:val="19"/>
                <w:szCs w:val="19"/>
                <w:color w:val="auto"/>
              </w:rPr>
            </w:pPr>
          </w:p>
        </w:tc>
        <w:tc>
          <w:tcPr>
            <w:tcW w:w="1000" w:type="dxa"/>
            <w:vAlign w:val="bottom"/>
          </w:tcPr>
          <w:p>
            <w:pPr>
              <w:jc w:val="right"/>
              <w:ind w:right="135"/>
              <w:spacing w:after="0"/>
              <w:rPr>
                <w:sz w:val="20"/>
                <w:szCs w:val="20"/>
                <w:color w:val="auto"/>
              </w:rPr>
            </w:pPr>
            <w:r>
              <w:rPr>
                <w:rFonts w:ascii="Arial" w:cs="Arial" w:eastAsia="Arial" w:hAnsi="Arial"/>
                <w:sz w:val="18"/>
                <w:szCs w:val="18"/>
                <w:color w:val="auto"/>
                <w:w w:val="94"/>
              </w:rPr>
              <w:t>7,571,748</w:t>
            </w:r>
          </w:p>
        </w:tc>
        <w:tc>
          <w:tcPr>
            <w:tcW w:w="620" w:type="dxa"/>
            <w:vAlign w:val="bottom"/>
          </w:tcPr>
          <w:p>
            <w:pPr>
              <w:spacing w:after="0"/>
              <w:rPr>
                <w:sz w:val="19"/>
                <w:szCs w:val="19"/>
                <w:color w:val="auto"/>
              </w:rPr>
            </w:pPr>
          </w:p>
        </w:tc>
        <w:tc>
          <w:tcPr>
            <w:tcW w:w="980" w:type="dxa"/>
            <w:vAlign w:val="bottom"/>
          </w:tcPr>
          <w:p>
            <w:pPr>
              <w:jc w:val="right"/>
              <w:ind w:right="137"/>
              <w:spacing w:after="0"/>
              <w:rPr>
                <w:sz w:val="20"/>
                <w:szCs w:val="20"/>
                <w:color w:val="auto"/>
              </w:rPr>
            </w:pPr>
            <w:r>
              <w:rPr>
                <w:rFonts w:ascii="Arial" w:cs="Arial" w:eastAsia="Arial" w:hAnsi="Arial"/>
                <w:sz w:val="18"/>
                <w:szCs w:val="18"/>
                <w:color w:val="auto"/>
                <w:w w:val="92"/>
              </w:rPr>
              <w:t>4,923,328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Geoff MacKay</w:t>
            </w:r>
          </w:p>
        </w:tc>
        <w:tc>
          <w:tcPr>
            <w:tcW w:w="10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w w:val="95"/>
              </w:rPr>
              <w:t>23,680,999</w:t>
            </w:r>
          </w:p>
        </w:tc>
        <w:tc>
          <w:tcPr>
            <w:tcW w:w="6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w w:val="94"/>
              </w:rPr>
              <w:t>6,925,029</w:t>
            </w: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w w:val="92"/>
              </w:rPr>
              <w:t>4,923,328</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20" w:firstLine="554"/>
        <w:spacing w:after="0" w:line="277" w:lineRule="auto"/>
        <w:tabs>
          <w:tab w:leader="none" w:pos="72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stockholders ratified the appointment of Ernst &amp; Young LLP as the Company’s independent registered public accounting firm for the fiscal year ending December 31, 2021, with the votes cast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Votes For</w:t>
            </w: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Votes Against</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Abstentions</w:t>
            </w: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c>
          <w:tcPr>
            <w:tcW w:w="1700" w:type="dxa"/>
            <w:vAlign w:val="bottom"/>
          </w:tcPr>
          <w:p>
            <w:pPr>
              <w:spacing w:after="0"/>
              <w:rPr>
                <w:sz w:val="14"/>
                <w:szCs w:val="14"/>
                <w:color w:val="auto"/>
              </w:rPr>
            </w:pPr>
          </w:p>
        </w:tc>
      </w:tr>
      <w:tr>
        <w:trPr>
          <w:trHeight w:val="224"/>
        </w:trPr>
        <w:tc>
          <w:tcPr>
            <w:tcW w:w="1700" w:type="dxa"/>
            <w:vAlign w:val="bottom"/>
          </w:tcPr>
          <w:p>
            <w:pPr>
              <w:spacing w:after="0"/>
              <w:rPr>
                <w:sz w:val="19"/>
                <w:szCs w:val="19"/>
                <w:color w:val="auto"/>
              </w:rPr>
            </w:pPr>
          </w:p>
        </w:tc>
        <w:tc>
          <w:tcPr>
            <w:tcW w:w="1740" w:type="dxa"/>
            <w:vAlign w:val="bottom"/>
            <w:tcBorders>
              <w:top w:val="single" w:sz="8" w:color="auto"/>
            </w:tcBorders>
          </w:tcPr>
          <w:p>
            <w:pPr>
              <w:jc w:val="right"/>
              <w:ind w:right="379"/>
              <w:spacing w:after="0"/>
              <w:rPr>
                <w:sz w:val="20"/>
                <w:szCs w:val="20"/>
                <w:color w:val="auto"/>
              </w:rPr>
            </w:pPr>
            <w:r>
              <w:rPr>
                <w:rFonts w:ascii="Arial" w:cs="Arial" w:eastAsia="Arial" w:hAnsi="Arial"/>
                <w:sz w:val="18"/>
                <w:szCs w:val="18"/>
                <w:color w:val="auto"/>
              </w:rPr>
              <w:t>35,480,674</w:t>
            </w:r>
          </w:p>
        </w:tc>
        <w:tc>
          <w:tcPr>
            <w:tcW w:w="100" w:type="dxa"/>
            <w:vAlign w:val="bottom"/>
          </w:tcPr>
          <w:p>
            <w:pPr>
              <w:spacing w:after="0"/>
              <w:rPr>
                <w:sz w:val="19"/>
                <w:szCs w:val="19"/>
                <w:color w:val="auto"/>
              </w:rPr>
            </w:pPr>
          </w:p>
        </w:tc>
        <w:tc>
          <w:tcPr>
            <w:tcW w:w="1800" w:type="dxa"/>
            <w:vAlign w:val="bottom"/>
            <w:tcBorders>
              <w:top w:val="single" w:sz="8" w:color="auto"/>
            </w:tcBorders>
          </w:tcPr>
          <w:p>
            <w:pPr>
              <w:jc w:val="right"/>
              <w:ind w:right="579"/>
              <w:spacing w:after="0"/>
              <w:rPr>
                <w:sz w:val="20"/>
                <w:szCs w:val="20"/>
                <w:color w:val="auto"/>
              </w:rPr>
            </w:pPr>
            <w:r>
              <w:rPr>
                <w:rFonts w:ascii="Arial" w:cs="Arial" w:eastAsia="Arial" w:hAnsi="Arial"/>
                <w:sz w:val="18"/>
                <w:szCs w:val="18"/>
                <w:color w:val="auto"/>
              </w:rPr>
              <w:t>11,851</w:t>
            </w:r>
          </w:p>
        </w:tc>
        <w:tc>
          <w:tcPr>
            <w:tcW w:w="100" w:type="dxa"/>
            <w:vAlign w:val="bottom"/>
          </w:tcPr>
          <w:p>
            <w:pPr>
              <w:spacing w:after="0"/>
              <w:rPr>
                <w:sz w:val="19"/>
                <w:szCs w:val="19"/>
                <w:color w:val="auto"/>
              </w:rPr>
            </w:pPr>
          </w:p>
        </w:tc>
        <w:tc>
          <w:tcPr>
            <w:tcW w:w="1580" w:type="dxa"/>
            <w:vAlign w:val="bottom"/>
            <w:tcBorders>
              <w:top w:val="single" w:sz="8" w:color="auto"/>
            </w:tcBorders>
          </w:tcPr>
          <w:p>
            <w:pPr>
              <w:jc w:val="right"/>
              <w:ind w:right="459"/>
              <w:spacing w:after="0"/>
              <w:rPr>
                <w:sz w:val="20"/>
                <w:szCs w:val="20"/>
                <w:color w:val="auto"/>
              </w:rPr>
            </w:pPr>
            <w:r>
              <w:rPr>
                <w:rFonts w:ascii="Arial" w:cs="Arial" w:eastAsia="Arial" w:hAnsi="Arial"/>
                <w:sz w:val="18"/>
                <w:szCs w:val="18"/>
                <w:color w:val="auto"/>
              </w:rPr>
              <w:t>36,831</w:t>
            </w:r>
          </w:p>
        </w:tc>
        <w:tc>
          <w:tcPr>
            <w:tcW w:w="120" w:type="dxa"/>
            <w:vAlign w:val="bottom"/>
          </w:tcPr>
          <w:p>
            <w:pPr>
              <w:spacing w:after="0"/>
              <w:rPr>
                <w:sz w:val="19"/>
                <w:szCs w:val="19"/>
                <w:color w:val="auto"/>
              </w:rPr>
            </w:pPr>
          </w:p>
        </w:tc>
        <w:tc>
          <w:tcPr>
            <w:tcW w:w="2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700" w:type="dxa"/>
            <w:vAlign w:val="bottom"/>
          </w:tcPr>
          <w:p>
            <w:pPr>
              <w:spacing w:after="0"/>
              <w:rPr>
                <w:sz w:val="19"/>
                <w:szCs w:val="19"/>
                <w:color w:val="auto"/>
              </w:rPr>
            </w:pPr>
          </w:p>
        </w:tc>
      </w:tr>
      <w:tr>
        <w:trPr>
          <w:trHeight w:val="1356"/>
        </w:trPr>
        <w:tc>
          <w:tcPr>
            <w:tcW w:w="170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6400" w:type="dxa"/>
            <w:vAlign w:val="bottom"/>
            <w:gridSpan w:val="2"/>
          </w:tcPr>
          <w:p>
            <w:pPr>
              <w:ind w:left="2080"/>
              <w:spacing w:after="0"/>
              <w:rPr>
                <w:sz w:val="20"/>
                <w:szCs w:val="20"/>
                <w:color w:val="auto"/>
              </w:rPr>
            </w:pPr>
            <w:r>
              <w:rPr>
                <w:rFonts w:ascii="Arial" w:cs="Arial" w:eastAsia="Arial" w:hAnsi="Arial"/>
                <w:sz w:val="18"/>
                <w:szCs w:val="18"/>
                <w:color w:val="auto"/>
              </w:rPr>
              <w:t>AVROBIO, INC.</w:t>
            </w:r>
          </w:p>
        </w:tc>
      </w:tr>
      <w:tr>
        <w:trPr>
          <w:trHeight w:val="439"/>
        </w:trPr>
        <w:tc>
          <w:tcPr>
            <w:tcW w:w="3540" w:type="dxa"/>
            <w:vAlign w:val="bottom"/>
          </w:tcPr>
          <w:p>
            <w:pPr>
              <w:spacing w:after="0"/>
              <w:rPr>
                <w:sz w:val="20"/>
                <w:szCs w:val="20"/>
                <w:color w:val="auto"/>
              </w:rPr>
            </w:pPr>
            <w:r>
              <w:rPr>
                <w:rFonts w:ascii="Arial" w:cs="Arial" w:eastAsia="Arial" w:hAnsi="Arial"/>
                <w:sz w:val="18"/>
                <w:szCs w:val="18"/>
                <w:color w:val="auto"/>
              </w:rPr>
              <w:t>Date: June 14, 2021</w:t>
            </w:r>
          </w:p>
        </w:tc>
        <w:tc>
          <w:tcPr>
            <w:tcW w:w="2700" w:type="dxa"/>
            <w:vAlign w:val="bottom"/>
          </w:tcPr>
          <w:p>
            <w:pPr>
              <w:ind w:left="2080"/>
              <w:spacing w:after="0"/>
              <w:rPr>
                <w:sz w:val="20"/>
                <w:szCs w:val="20"/>
                <w:color w:val="auto"/>
              </w:rPr>
            </w:pPr>
            <w:r>
              <w:rPr>
                <w:rFonts w:ascii="Arial" w:cs="Arial" w:eastAsia="Arial" w:hAnsi="Arial"/>
                <w:sz w:val="18"/>
                <w:szCs w:val="18"/>
                <w:color w:val="auto"/>
              </w:rPr>
              <w:t>By:</w:t>
            </w: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Geoff MacKay</w:t>
            </w:r>
          </w:p>
        </w:tc>
      </w:tr>
      <w:tr>
        <w:trPr>
          <w:trHeight w:val="215"/>
        </w:trPr>
        <w:tc>
          <w:tcPr>
            <w:tcW w:w="35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Geoff MacKay</w:t>
            </w:r>
          </w:p>
        </w:tc>
      </w:tr>
      <w:tr>
        <w:trPr>
          <w:trHeight w:val="230"/>
        </w:trPr>
        <w:tc>
          <w:tcPr>
            <w:tcW w:w="35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1" w:lineRule="exact"/>
        <w:rPr>
          <w:sz w:val="20"/>
          <w:szCs w:val="20"/>
          <w:color w:val="auto"/>
        </w:rPr>
      </w:pPr>
    </w:p>
    <w:sectPr>
      <w:pgSz w:w="11900" w:h="16838" w:orient="portrait"/>
      <w:cols w:equalWidth="0" w:num="1">
        <w:col w:w="11200"/>
      </w:cols>
      <w:pgMar w:left="320" w:top="35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2021-06-14T15:32:16Z</dcterms:created>
  <dcterms:modified xsi:type="dcterms:W3CDTF">2021-06-14T15:32:16Z</dcterms:modified>
</cp:coreProperties>
</file>