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5"/>
          <w:szCs w:val="25"/>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154305"/>
                    </a:xfrm>
                    <a:prstGeom prst="rect">
                      <a:avLst/>
                    </a:prstGeom>
                    <a:noFill/>
                  </pic:spPr>
                </pic:pic>
              </a:graphicData>
            </a:graphic>
          </wp:anchor>
        </w:drawing>
        <w:t>SECURITIES AND EXCHANGE COMMISSION</w:t>
      </w:r>
    </w:p>
    <w:p>
      <w:pPr>
        <w:spacing w:after="0" w:line="2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6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color w:val="auto"/>
        </w:rPr>
        <w:t>SCHEDULE 13G/A*</w:t>
      </w:r>
    </w:p>
    <w:p>
      <w:pPr>
        <w:spacing w:after="0" w:line="3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(Rule 13d-102)</w:t>
      </w:r>
    </w:p>
    <w:p>
      <w:pPr>
        <w:spacing w:after="0" w:line="20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INFORMATION TO BE INCLUDED</w:t>
      </w:r>
    </w:p>
    <w:p>
      <w:pPr>
        <w:spacing w:after="0" w:line="2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IN STATEMENTS FILED PURSUANT</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TO RULES 13d-1(b), (c), AND</w:t>
      </w:r>
    </w:p>
    <w:p>
      <w:pPr>
        <w:spacing w:after="0" w:line="9" w:lineRule="exact"/>
        <w:rPr>
          <w:sz w:val="24"/>
          <w:szCs w:val="24"/>
          <w:color w:val="auto"/>
        </w:rPr>
      </w:pPr>
    </w:p>
    <w:p>
      <w:pPr>
        <w:jc w:val="both"/>
        <w:ind w:left="4240" w:right="4160" w:hanging="26"/>
        <w:spacing w:after="0" w:line="250" w:lineRule="auto"/>
        <w:tabs>
          <w:tab w:leader="none" w:pos="446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AMENDMENTS THERETO FILED PURSUANT TO RULE 13d-2</w:t>
      </w:r>
    </w:p>
    <w:p>
      <w:pPr>
        <w:ind w:left="4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NO.  1 )*</w:t>
      </w:r>
    </w:p>
    <w:p>
      <w:pPr>
        <w:spacing w:after="0" w:line="18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43"/>
          <w:szCs w:val="43"/>
          <w:color w:val="auto"/>
        </w:rPr>
        <w:t>AVROBIO,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1" w:lineRule="exact"/>
        <w:rPr>
          <w:sz w:val="24"/>
          <w:szCs w:val="24"/>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05455M100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8"/>
          <w:szCs w:val="18"/>
          <w:color w:val="auto"/>
        </w:rPr>
        <w:t>(CUSIP Number)</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Decenber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jc w:val="both"/>
        <w:ind w:right="9980" w:firstLine="8"/>
        <w:spacing w:after="0" w:line="226" w:lineRule="exact"/>
        <w:tabs>
          <w:tab w:leader="none" w:pos="207"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Rule 13d-1(b)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Rule 13d-1(c)</w:t>
      </w: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05" w:lineRule="exact"/>
        <w:rPr>
          <w:sz w:val="24"/>
          <w:szCs w:val="24"/>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161925</wp:posOffset>
            </wp:positionV>
            <wp:extent cx="71577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612140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22" w:right="37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57"/>
        </w:trPr>
        <w:tc>
          <w:tcPr>
            <w:tcW w:w="142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70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420" w:type="dxa"/>
            <w:vAlign w:val="bottom"/>
            <w:tcBorders>
              <w:left w:val="single" w:sz="8" w:color="auto"/>
              <w:right w:val="single" w:sz="8" w:color="auto"/>
            </w:tcBorders>
            <w:vMerge w:val="continue"/>
          </w:tcPr>
          <w:p>
            <w:pPr>
              <w:spacing w:after="0"/>
              <w:rPr>
                <w:sz w:val="24"/>
                <w:szCs w:val="24"/>
                <w:color w:val="auto"/>
              </w:rPr>
            </w:pPr>
          </w:p>
        </w:tc>
        <w:tc>
          <w:tcPr>
            <w:tcW w:w="970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BML Investment Partners, L.P.</w:t>
            </w:r>
          </w:p>
        </w:tc>
        <w:tc>
          <w:tcPr>
            <w:tcW w:w="10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20" w:type="dxa"/>
            <w:vAlign w:val="bottom"/>
            <w:tcBorders>
              <w:left w:val="single" w:sz="8" w:color="auto"/>
              <w:bottom w:val="single" w:sz="8" w:color="auto"/>
              <w:right w:val="single" w:sz="8" w:color="auto"/>
            </w:tcBorders>
          </w:tcPr>
          <w:p>
            <w:pPr>
              <w:spacing w:after="0"/>
              <w:rPr>
                <w:sz w:val="14"/>
                <w:szCs w:val="14"/>
                <w:color w:val="auto"/>
              </w:rPr>
            </w:pPr>
          </w:p>
        </w:tc>
        <w:tc>
          <w:tcPr>
            <w:tcW w:w="9600" w:type="dxa"/>
            <w:vAlign w:val="bottom"/>
            <w:tcBorders>
              <w:bottom w:val="single" w:sz="8" w:color="auto"/>
            </w:tcBorders>
            <w:gridSpan w:val="5"/>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7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0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20" w:type="dxa"/>
            <w:vAlign w:val="bottom"/>
            <w:tcBorders>
              <w:left w:val="single" w:sz="8" w:color="auto"/>
              <w:right w:val="single" w:sz="8" w:color="auto"/>
            </w:tcBorders>
            <w:vMerge w:val="continue"/>
          </w:tcPr>
          <w:p>
            <w:pPr>
              <w:spacing w:after="0"/>
              <w:rPr>
                <w:sz w:val="23"/>
                <w:szCs w:val="23"/>
                <w:color w:val="auto"/>
              </w:rPr>
            </w:pPr>
          </w:p>
        </w:tc>
        <w:tc>
          <w:tcPr>
            <w:tcW w:w="820" w:type="dxa"/>
            <w:vAlign w:val="bottom"/>
            <w:gridSpan w:val="2"/>
          </w:tcPr>
          <w:p>
            <w:pPr>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2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00" w:type="dxa"/>
            <w:vAlign w:val="bottom"/>
            <w:gridSpan w:val="4"/>
            <w:shd w:val="clear" w:color="auto" w:fill="BFBFBF"/>
          </w:tcPr>
          <w:p>
            <w:pPr>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83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20" w:type="dxa"/>
            <w:vAlign w:val="bottom"/>
            <w:tcBorders>
              <w:left w:val="single" w:sz="8" w:color="auto"/>
              <w:right w:val="single" w:sz="8" w:color="auto"/>
            </w:tcBorders>
            <w:vMerge w:val="continue"/>
          </w:tcPr>
          <w:p>
            <w:pPr>
              <w:spacing w:after="0"/>
              <w:rPr>
                <w:sz w:val="24"/>
                <w:szCs w:val="24"/>
                <w:color w:val="auto"/>
              </w:rPr>
            </w:pPr>
          </w:p>
        </w:tc>
        <w:tc>
          <w:tcPr>
            <w:tcW w:w="620" w:type="dxa"/>
            <w:vAlign w:val="bottom"/>
            <w:tcBorders>
              <w:right w:val="single" w:sz="8" w:color="BFBFBF"/>
            </w:tcBorders>
            <w:shd w:val="clear" w:color="auto" w:fill="BFBFBF"/>
          </w:tcPr>
          <w:p>
            <w:pPr>
              <w:spacing w:after="0"/>
              <w:rPr>
                <w:sz w:val="24"/>
                <w:szCs w:val="24"/>
                <w:color w:val="auto"/>
              </w:rPr>
            </w:pPr>
          </w:p>
        </w:tc>
        <w:tc>
          <w:tcPr>
            <w:tcW w:w="200" w:type="dxa"/>
            <w:vAlign w:val="bottom"/>
            <w:shd w:val="clear" w:color="auto" w:fill="BFBFBF"/>
          </w:tcPr>
          <w:p>
            <w:pPr>
              <w:spacing w:after="0"/>
              <w:rPr>
                <w:sz w:val="24"/>
                <w:szCs w:val="24"/>
                <w:color w:val="auto"/>
              </w:rPr>
            </w:pPr>
          </w:p>
        </w:tc>
        <w:tc>
          <w:tcPr>
            <w:tcW w:w="4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20" w:type="dxa"/>
            <w:vAlign w:val="bottom"/>
            <w:tcBorders>
              <w:left w:val="single" w:sz="8" w:color="auto"/>
              <w:bottom w:val="single" w:sz="8" w:color="auto"/>
              <w:right w:val="single" w:sz="8" w:color="auto"/>
            </w:tcBorders>
          </w:tcPr>
          <w:p>
            <w:pPr>
              <w:spacing w:after="0"/>
              <w:rPr>
                <w:sz w:val="23"/>
                <w:szCs w:val="23"/>
                <w:color w:val="auto"/>
              </w:rPr>
            </w:pPr>
          </w:p>
        </w:tc>
        <w:tc>
          <w:tcPr>
            <w:tcW w:w="620" w:type="dxa"/>
            <w:vAlign w:val="bottom"/>
            <w:tcBorders>
              <w:bottom w:val="single" w:sz="8" w:color="auto"/>
              <w:right w:val="single" w:sz="8" w:color="BFBFBF"/>
            </w:tcBorders>
            <w:shd w:val="clear" w:color="auto" w:fill="BFBFBF"/>
          </w:tcPr>
          <w:p>
            <w:pPr>
              <w:spacing w:after="0"/>
              <w:rPr>
                <w:sz w:val="23"/>
                <w:szCs w:val="23"/>
                <w:color w:val="auto"/>
              </w:rPr>
            </w:pPr>
          </w:p>
        </w:tc>
        <w:tc>
          <w:tcPr>
            <w:tcW w:w="200" w:type="dxa"/>
            <w:vAlign w:val="bottom"/>
            <w:tcBorders>
              <w:bottom w:val="single" w:sz="8" w:color="auto"/>
            </w:tcBorders>
            <w:shd w:val="clear" w:color="auto" w:fill="BFBFBF"/>
          </w:tcPr>
          <w:p>
            <w:pPr>
              <w:spacing w:after="0"/>
              <w:rPr>
                <w:sz w:val="23"/>
                <w:szCs w:val="23"/>
                <w:color w:val="auto"/>
              </w:rPr>
            </w:pPr>
          </w:p>
        </w:tc>
        <w:tc>
          <w:tcPr>
            <w:tcW w:w="46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830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20" w:type="dxa"/>
            <w:vAlign w:val="bottom"/>
            <w:tcBorders>
              <w:bottom w:val="single" w:sz="8" w:color="auto"/>
            </w:tcBorders>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7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0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2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20" w:type="dxa"/>
            <w:vAlign w:val="bottom"/>
            <w:tcBorders>
              <w:left w:val="single" w:sz="8" w:color="auto"/>
              <w:bottom w:val="single" w:sz="8" w:color="auto"/>
              <w:right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20" w:type="dxa"/>
            <w:vAlign w:val="bottom"/>
            <w:tcBorders>
              <w:left w:val="single" w:sz="8" w:color="auto"/>
            </w:tcBorders>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0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20" w:type="dxa"/>
            <w:vAlign w:val="bottom"/>
            <w:tcBorders>
              <w:lef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20" w:type="dxa"/>
            <w:vAlign w:val="bottom"/>
            <w:tcBorders>
              <w:left w:val="single" w:sz="8" w:color="auto"/>
            </w:tcBorders>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20" w:type="dxa"/>
            <w:vAlign w:val="bottom"/>
            <w:tcBorders>
              <w:left w:val="single" w:sz="8" w:color="auto"/>
            </w:tcBorders>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0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200" w:type="dxa"/>
            <w:vAlign w:val="bottom"/>
          </w:tcPr>
          <w:p>
            <w:pPr>
              <w:spacing w:after="0"/>
              <w:rPr>
                <w:sz w:val="19"/>
                <w:szCs w:val="19"/>
                <w:color w:val="auto"/>
              </w:rPr>
            </w:pPr>
          </w:p>
        </w:tc>
        <w:tc>
          <w:tcPr>
            <w:tcW w:w="46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4,001,627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20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200" w:type="dxa"/>
            <w:vAlign w:val="bottom"/>
            <w:tcBorders>
              <w:bottom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00" w:type="dxa"/>
            <w:vAlign w:val="bottom"/>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200" w:type="dxa"/>
            <w:vAlign w:val="bottom"/>
          </w:tcPr>
          <w:p>
            <w:pPr>
              <w:spacing w:after="0"/>
              <w:rPr>
                <w:sz w:val="18"/>
                <w:szCs w:val="18"/>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84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20" w:type="dxa"/>
            <w:vAlign w:val="bottom"/>
            <w:tcBorders>
              <w:left w:val="single" w:sz="8" w:color="auto"/>
            </w:tcBorders>
            <w:vMerge w:val="restart"/>
          </w:tcPr>
          <w:p>
            <w:pPr>
              <w:jc w:val="center"/>
              <w:ind w:left="491"/>
              <w:spacing w:after="0"/>
              <w:rPr>
                <w:sz w:val="20"/>
                <w:szCs w:val="20"/>
                <w:color w:val="auto"/>
              </w:rPr>
            </w:pPr>
            <w:r>
              <w:rPr>
                <w:rFonts w:ascii="Times New Roman" w:cs="Times New Roman" w:eastAsia="Times New Roman" w:hAnsi="Times New Roman"/>
                <w:sz w:val="18"/>
                <w:szCs w:val="18"/>
                <w:b w:val="1"/>
                <w:bCs w:val="1"/>
                <w:color w:val="auto"/>
              </w:rPr>
              <w:t>WITH</w:t>
            </w:r>
          </w:p>
        </w:tc>
        <w:tc>
          <w:tcPr>
            <w:tcW w:w="6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Borders>
              <w:right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8300" w:type="dxa"/>
            <w:vAlign w:val="bottom"/>
          </w:tcPr>
          <w:p>
            <w:pPr>
              <w:ind w:left="6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20" w:type="dxa"/>
            <w:vAlign w:val="bottom"/>
            <w:tcBorders>
              <w:left w:val="single" w:sz="8" w:color="auto"/>
            </w:tcBorders>
            <w:vMerge w:val="continue"/>
          </w:tcPr>
          <w:p>
            <w:pPr>
              <w:spacing w:after="0"/>
              <w:rPr>
                <w:sz w:val="4"/>
                <w:szCs w:val="4"/>
                <w:color w:val="auto"/>
              </w:rPr>
            </w:pPr>
          </w:p>
        </w:tc>
        <w:tc>
          <w:tcPr>
            <w:tcW w:w="620" w:type="dxa"/>
            <w:vAlign w:val="bottom"/>
            <w:tcBorders>
              <w:righ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shd w:val="clear" w:color="auto" w:fill="000000"/>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20" w:type="dxa"/>
            <w:vAlign w:val="bottom"/>
            <w:tcBorders>
              <w:lef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20" w:type="dxa"/>
            <w:vAlign w:val="bottom"/>
            <w:tcBorders>
              <w:left w:val="single" w:sz="8" w:color="auto"/>
            </w:tcBorders>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0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20" w:type="dxa"/>
            <w:vAlign w:val="bottom"/>
            <w:tcBorders>
              <w:lef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4,001,627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20" w:type="dxa"/>
            <w:vAlign w:val="bottom"/>
            <w:tcBorders>
              <w:left w:val="single" w:sz="8" w:color="auto"/>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7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0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2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4,001,627</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20" w:type="dxa"/>
            <w:vAlign w:val="bottom"/>
            <w:tcBorders>
              <w:left w:val="single" w:sz="8" w:color="auto"/>
              <w:bottom w:val="single" w:sz="8" w:color="auto"/>
              <w:right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7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0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2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20" w:type="dxa"/>
            <w:vAlign w:val="bottom"/>
            <w:tcBorders>
              <w:left w:val="single" w:sz="8" w:color="auto"/>
              <w:right w:val="single" w:sz="8" w:color="auto"/>
            </w:tcBorders>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8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20" w:type="dxa"/>
            <w:vAlign w:val="bottom"/>
            <w:tcBorders>
              <w:left w:val="single" w:sz="8" w:color="auto"/>
              <w:bottom w:val="single" w:sz="8" w:color="auto"/>
              <w:right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8320" w:type="dxa"/>
            <w:vAlign w:val="bottom"/>
            <w:tcBorders>
              <w:bottom w:val="single" w:sz="8" w:color="auto"/>
            </w:tcBorders>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7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0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20" w:type="dxa"/>
            <w:vAlign w:val="bottom"/>
            <w:tcBorders>
              <w:left w:val="single" w:sz="8" w:color="auto"/>
              <w:right w:val="single" w:sz="8" w:color="auto"/>
            </w:tcBorders>
            <w:vMerge w:val="continue"/>
          </w:tcPr>
          <w:p>
            <w:pPr>
              <w:spacing w:after="0"/>
              <w:rPr>
                <w:sz w:val="24"/>
                <w:szCs w:val="24"/>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9.0%</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20" w:type="dxa"/>
            <w:vAlign w:val="bottom"/>
            <w:tcBorders>
              <w:left w:val="single" w:sz="8" w:color="auto"/>
              <w:bottom w:val="single" w:sz="8" w:color="auto"/>
              <w:right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7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0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2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PN</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20" w:type="dxa"/>
            <w:vAlign w:val="bottom"/>
            <w:tcBorders>
              <w:left w:val="single" w:sz="8" w:color="auto"/>
              <w:bottom w:val="single" w:sz="8" w:color="auto"/>
              <w:right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420" w:type="dxa"/>
            <w:vAlign w:val="bottom"/>
            <w:tcBorders>
              <w:bottom w:val="single" w:sz="8" w:color="auto"/>
            </w:tcBorders>
          </w:tcPr>
          <w:p>
            <w:pPr>
              <w:spacing w:after="0"/>
              <w:rPr>
                <w:sz w:val="18"/>
                <w:szCs w:val="18"/>
                <w:color w:val="auto"/>
              </w:rPr>
            </w:pPr>
          </w:p>
        </w:tc>
        <w:tc>
          <w:tcPr>
            <w:tcW w:w="9700" w:type="dxa"/>
            <w:vAlign w:val="bottom"/>
            <w:tcBorders>
              <w:bottom w:val="single" w:sz="8" w:color="auto"/>
            </w:tcBorders>
            <w:gridSpan w:val="6"/>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7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20" w:type="dxa"/>
            <w:vAlign w:val="bottom"/>
            <w:tcBorders>
              <w:right w:val="single" w:sz="8" w:color="auto"/>
            </w:tcBorders>
            <w:vMerge w:val="continue"/>
          </w:tcPr>
          <w:p>
            <w:pPr>
              <w:spacing w:after="0"/>
              <w:rPr>
                <w:sz w:val="24"/>
                <w:szCs w:val="24"/>
                <w:color w:val="auto"/>
              </w:rPr>
            </w:pPr>
          </w:p>
        </w:tc>
        <w:tc>
          <w:tcPr>
            <w:tcW w:w="970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Braden M Leonard</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20" w:type="dxa"/>
            <w:vAlign w:val="bottom"/>
            <w:tcBorders>
              <w:bottom w:val="single" w:sz="8" w:color="auto"/>
              <w:right w:val="single" w:sz="8" w:color="auto"/>
            </w:tcBorders>
          </w:tcPr>
          <w:p>
            <w:pPr>
              <w:spacing w:after="0"/>
              <w:rPr>
                <w:sz w:val="14"/>
                <w:szCs w:val="14"/>
                <w:color w:val="auto"/>
              </w:rPr>
            </w:pPr>
          </w:p>
        </w:tc>
        <w:tc>
          <w:tcPr>
            <w:tcW w:w="9700" w:type="dxa"/>
            <w:vAlign w:val="bottom"/>
            <w:tcBorders>
              <w:bottom w:val="single" w:sz="8" w:color="auto"/>
            </w:tcBorders>
            <w:gridSpan w:val="6"/>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7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20" w:type="dxa"/>
            <w:vAlign w:val="bottom"/>
            <w:tcBorders>
              <w:right w:val="single" w:sz="8" w:color="auto"/>
            </w:tcBorders>
            <w:vMerge w:val="continue"/>
          </w:tcPr>
          <w:p>
            <w:pPr>
              <w:spacing w:after="0"/>
              <w:rPr>
                <w:sz w:val="23"/>
                <w:szCs w:val="23"/>
                <w:color w:val="auto"/>
              </w:rPr>
            </w:pPr>
          </w:p>
        </w:tc>
        <w:tc>
          <w:tcPr>
            <w:tcW w:w="820" w:type="dxa"/>
            <w:vAlign w:val="bottom"/>
            <w:gridSpan w:val="2"/>
          </w:tcPr>
          <w:p>
            <w:pPr>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2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00" w:type="dxa"/>
            <w:vAlign w:val="bottom"/>
            <w:gridSpan w:val="4"/>
            <w:shd w:val="clear" w:color="auto" w:fill="BFBFBF"/>
          </w:tcPr>
          <w:p>
            <w:pPr>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83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20" w:type="dxa"/>
            <w:vAlign w:val="bottom"/>
            <w:tcBorders>
              <w:right w:val="single" w:sz="8" w:color="auto"/>
            </w:tcBorders>
            <w:vMerge w:val="continue"/>
          </w:tcPr>
          <w:p>
            <w:pPr>
              <w:spacing w:after="0"/>
              <w:rPr>
                <w:sz w:val="24"/>
                <w:szCs w:val="24"/>
                <w:color w:val="auto"/>
              </w:rPr>
            </w:pPr>
          </w:p>
        </w:tc>
        <w:tc>
          <w:tcPr>
            <w:tcW w:w="620" w:type="dxa"/>
            <w:vAlign w:val="bottom"/>
            <w:tcBorders>
              <w:right w:val="single" w:sz="8" w:color="BFBFBF"/>
            </w:tcBorders>
            <w:shd w:val="clear" w:color="auto" w:fill="BFBFBF"/>
          </w:tcPr>
          <w:p>
            <w:pPr>
              <w:spacing w:after="0"/>
              <w:rPr>
                <w:sz w:val="24"/>
                <w:szCs w:val="24"/>
                <w:color w:val="auto"/>
              </w:rPr>
            </w:pPr>
          </w:p>
        </w:tc>
        <w:tc>
          <w:tcPr>
            <w:tcW w:w="200" w:type="dxa"/>
            <w:vAlign w:val="bottom"/>
            <w:shd w:val="clear" w:color="auto" w:fill="BFBFBF"/>
          </w:tcPr>
          <w:p>
            <w:pPr>
              <w:spacing w:after="0"/>
              <w:rPr>
                <w:sz w:val="24"/>
                <w:szCs w:val="24"/>
                <w:color w:val="auto"/>
              </w:rPr>
            </w:pPr>
          </w:p>
        </w:tc>
        <w:tc>
          <w:tcPr>
            <w:tcW w:w="4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20" w:type="dxa"/>
            <w:vAlign w:val="bottom"/>
            <w:tcBorders>
              <w:bottom w:val="single" w:sz="8" w:color="auto"/>
              <w:right w:val="single" w:sz="8" w:color="auto"/>
            </w:tcBorders>
          </w:tcPr>
          <w:p>
            <w:pPr>
              <w:spacing w:after="0"/>
              <w:rPr>
                <w:sz w:val="23"/>
                <w:szCs w:val="23"/>
                <w:color w:val="auto"/>
              </w:rPr>
            </w:pPr>
          </w:p>
        </w:tc>
        <w:tc>
          <w:tcPr>
            <w:tcW w:w="9700" w:type="dxa"/>
            <w:vAlign w:val="bottom"/>
            <w:tcBorders>
              <w:bottom w:val="single" w:sz="8" w:color="auto"/>
            </w:tcBorders>
            <w:gridSpan w:val="6"/>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1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7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20" w:type="dxa"/>
            <w:vAlign w:val="bottom"/>
            <w:tcBorders>
              <w:right w:val="single" w:sz="8" w:color="auto"/>
            </w:tcBorders>
            <w:vMerge w:val="continue"/>
          </w:tcPr>
          <w:p>
            <w:pPr>
              <w:spacing w:after="0"/>
              <w:rPr>
                <w:sz w:val="24"/>
                <w:szCs w:val="24"/>
                <w:color w:val="auto"/>
              </w:rPr>
            </w:pPr>
          </w:p>
        </w:tc>
        <w:tc>
          <w:tcPr>
            <w:tcW w:w="13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United States</w:t>
            </w: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20" w:type="dxa"/>
            <w:vAlign w:val="bottom"/>
            <w:tcBorders>
              <w:bottom w:val="single" w:sz="8" w:color="auto"/>
              <w:right w:val="single" w:sz="8" w:color="auto"/>
            </w:tcBorders>
          </w:tcPr>
          <w:p>
            <w:pPr>
              <w:spacing w:after="0"/>
              <w:rPr>
                <w:sz w:val="14"/>
                <w:szCs w:val="14"/>
                <w:color w:val="auto"/>
              </w:rPr>
            </w:pPr>
          </w:p>
        </w:tc>
        <w:tc>
          <w:tcPr>
            <w:tcW w:w="820" w:type="dxa"/>
            <w:vAlign w:val="bottom"/>
            <w:tcBorders>
              <w:bottom w:val="single" w:sz="8" w:color="auto"/>
            </w:tcBorders>
            <w:gridSpan w:val="2"/>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40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2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460" w:type="dxa"/>
            <w:vAlign w:val="bottom"/>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18"/>
                <w:szCs w:val="18"/>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4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4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2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4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8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8"/>
        </w:trPr>
        <w:tc>
          <w:tcPr>
            <w:tcW w:w="1420" w:type="dxa"/>
            <w:vAlign w:val="bottom"/>
          </w:tcPr>
          <w:p>
            <w:pPr>
              <w:jc w:val="center"/>
              <w:ind w:left="491"/>
              <w:spacing w:after="0"/>
              <w:rPr>
                <w:sz w:val="20"/>
                <w:szCs w:val="20"/>
                <w:color w:val="auto"/>
              </w:rPr>
            </w:pPr>
            <w:r>
              <w:rPr>
                <w:rFonts w:ascii="Times New Roman" w:cs="Times New Roman" w:eastAsia="Times New Roman" w:hAnsi="Times New Roman"/>
                <w:sz w:val="18"/>
                <w:szCs w:val="18"/>
                <w:b w:val="1"/>
                <w:bCs w:val="1"/>
                <w:color w:val="auto"/>
              </w:rPr>
              <w:t>WITH</w:t>
            </w: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1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4,001,627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-3034030</wp:posOffset>
            </wp:positionV>
            <wp:extent cx="7132320" cy="3957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957320"/>
                    </a:xfrm>
                    <a:prstGeom prst="rect">
                      <a:avLst/>
                    </a:prstGeom>
                    <a:noFill/>
                  </pic:spPr>
                </pic:pic>
              </a:graphicData>
            </a:graphic>
          </wp:anchor>
        </w:drawing>
      </w:r>
    </w:p>
    <w:p>
      <w:pPr>
        <w:spacing w:after="0" w:line="159"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SOLE DISPOSITIVE POWER</w:t>
      </w:r>
    </w:p>
    <w:p>
      <w:pPr>
        <w:ind w:left="2780" w:hanging="504"/>
        <w:spacing w:after="0" w:line="182" w:lineRule="auto"/>
        <w:tabs>
          <w:tab w:leader="none" w:pos="2780" w:val="left"/>
        </w:tabs>
        <w:numPr>
          <w:ilvl w:val="0"/>
          <w:numId w:val="3"/>
        </w:numPr>
        <w:rPr>
          <w:rFonts w:ascii="Times New Roman" w:cs="Times New Roman" w:eastAsia="Times New Roman" w:hAnsi="Times New Roman"/>
          <w:sz w:val="50"/>
          <w:szCs w:val="50"/>
          <w:b w:val="1"/>
          <w:bCs w:val="1"/>
          <w:color w:val="auto"/>
          <w:vertAlign w:val="superscript"/>
        </w:rPr>
      </w:pPr>
      <w:r>
        <w:rPr>
          <w:rFonts w:ascii="Times New Roman" w:cs="Times New Roman" w:eastAsia="Times New Roman" w:hAnsi="Times New Roman"/>
          <w:sz w:val="16"/>
          <w:szCs w:val="16"/>
          <w:color w:val="auto"/>
        </w:rPr>
        <w:t>400,000</w:t>
      </w:r>
    </w:p>
    <w:p>
      <w:pPr>
        <w:ind w:left="2720" w:hanging="444"/>
        <w:spacing w:after="0" w:line="182" w:lineRule="auto"/>
        <w:tabs>
          <w:tab w:leader="none" w:pos="2720" w:val="left"/>
        </w:tabs>
        <w:numPr>
          <w:ilvl w:val="0"/>
          <w:numId w:val="4"/>
        </w:numPr>
        <w:rPr>
          <w:rFonts w:ascii="Times New Roman" w:cs="Times New Roman" w:eastAsia="Times New Roman" w:hAnsi="Times New Roman"/>
          <w:sz w:val="48"/>
          <w:szCs w:val="48"/>
          <w:b w:val="1"/>
          <w:bCs w:val="1"/>
          <w:color w:val="auto"/>
          <w:vertAlign w:val="subscript"/>
        </w:rPr>
      </w:pPr>
      <w:r>
        <w:rPr>
          <w:rFonts w:ascii="Times New Roman" w:cs="Times New Roman" w:eastAsia="Times New Roman" w:hAnsi="Times New Roman"/>
          <w:sz w:val="16"/>
          <w:szCs w:val="16"/>
          <w:b w:val="1"/>
          <w:bCs w:val="1"/>
          <w:color w:val="auto"/>
        </w:rPr>
        <w:t>SHARED DISPOSITIVE POWER</w:t>
      </w:r>
    </w:p>
    <w:p>
      <w:pPr>
        <w:sectPr>
          <w:pgSz w:w="11900" w:h="16838" w:orient="portrait"/>
          <w:cols w:equalWidth="0" w:num="1">
            <w:col w:w="11240"/>
          </w:cols>
          <w:pgMar w:left="320" w:top="336" w:right="339" w:bottom="0" w:gutter="0" w:footer="0" w:header="0"/>
        </w:sectPr>
      </w:pPr>
    </w:p>
    <w:bookmarkStart w:id="2" w:name="page3"/>
    <w:bookmarkEnd w:id="2"/>
    <w:p>
      <w:pPr>
        <w:ind w:left="2240"/>
        <w:spacing w:after="0"/>
        <w:rPr>
          <w:sz w:val="20"/>
          <w:szCs w:val="20"/>
          <w:color w:val="auto"/>
        </w:rPr>
      </w:pPr>
      <w:r>
        <w:rPr>
          <w:rFonts w:ascii="Times New Roman" w:cs="Times New Roman" w:eastAsia="Times New Roman" w:hAnsi="Times New Roman"/>
          <w:sz w:val="18"/>
          <w:szCs w:val="18"/>
          <w:color w:val="auto"/>
        </w:rPr>
        <w:t>4,001,627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-119380</wp:posOffset>
            </wp:positionV>
            <wp:extent cx="7132320" cy="24257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425700"/>
                    </a:xfrm>
                    <a:prstGeom prst="rect">
                      <a:avLst/>
                    </a:prstGeom>
                    <a:noFill/>
                  </pic:spPr>
                </pic:pic>
              </a:graphicData>
            </a:graphic>
          </wp:anchor>
        </w:drawing>
      </w:r>
    </w:p>
    <w:p>
      <w:pPr>
        <w:spacing w:after="0" w:line="32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p>
      <w:pPr>
        <w:ind w:left="940" w:hanging="858"/>
        <w:spacing w:after="0" w:line="182" w:lineRule="auto"/>
        <w:tabs>
          <w:tab w:leader="none" w:pos="940" w:val="left"/>
        </w:tabs>
        <w:numPr>
          <w:ilvl w:val="0"/>
          <w:numId w:val="5"/>
        </w:numPr>
        <w:rPr>
          <w:rFonts w:ascii="Times New Roman" w:cs="Times New Roman" w:eastAsia="Times New Roman" w:hAnsi="Times New Roman"/>
          <w:sz w:val="50"/>
          <w:szCs w:val="50"/>
          <w:b w:val="1"/>
          <w:bCs w:val="1"/>
          <w:color w:val="auto"/>
          <w:vertAlign w:val="superscript"/>
        </w:rPr>
      </w:pPr>
      <w:r>
        <w:rPr>
          <w:rFonts w:ascii="Times New Roman" w:cs="Times New Roman" w:eastAsia="Times New Roman" w:hAnsi="Times New Roman"/>
          <w:sz w:val="16"/>
          <w:szCs w:val="16"/>
          <w:color w:val="auto"/>
        </w:rPr>
        <w:t>4,401,627</w:t>
      </w:r>
    </w:p>
    <w:p>
      <w:pPr>
        <w:spacing w:after="0" w:line="19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b w:val="1"/>
          <w:bCs w:val="1"/>
          <w:color w:val="auto"/>
        </w:rPr>
        <w:t>CHECK IF THE AGGREGATE AMOUNT IN ROW (9) EXCLUDES CERTAIN SHARES (SEE INSTRUCTIONS)</w:t>
      </w:r>
    </w:p>
    <w:p>
      <w:pPr>
        <w:spacing w:after="0" w:line="379" w:lineRule="exact"/>
        <w:tabs>
          <w:tab w:leader="none" w:pos="860" w:val="left"/>
        </w:tabs>
        <w:rPr>
          <w:sz w:val="20"/>
          <w:szCs w:val="20"/>
          <w:color w:val="auto"/>
        </w:rPr>
      </w:pPr>
      <w:r>
        <w:rPr>
          <w:rFonts w:ascii="Times New Roman" w:cs="Times New Roman" w:eastAsia="Times New Roman" w:hAnsi="Times New Roman"/>
          <w:sz w:val="32"/>
          <w:szCs w:val="32"/>
          <w:b w:val="1"/>
          <w:bCs w:val="1"/>
          <w:color w:val="auto"/>
        </w:rPr>
        <w:t>10</w:t>
      </w:r>
      <w:r>
        <w:rPr>
          <w:sz w:val="20"/>
          <w:szCs w:val="20"/>
          <w:color w:val="auto"/>
        </w:rPr>
        <w:tab/>
      </w:r>
      <w:r>
        <w:rPr>
          <w:rFonts w:ascii="MS PGothic" w:cs="MS PGothic" w:eastAsia="MS PGothic" w:hAnsi="MS PGothic"/>
          <w:sz w:val="36"/>
          <w:szCs w:val="36"/>
          <w:color w:val="auto"/>
          <w:vertAlign w:val="subscript"/>
        </w:rPr>
        <w:t>☐</w:t>
      </w:r>
    </w:p>
    <w:p>
      <w:pPr>
        <w:spacing w:after="0" w:line="23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p>
      <w:pPr>
        <w:ind w:left="20"/>
        <w:spacing w:after="0" w:line="181" w:lineRule="auto"/>
        <w:tabs>
          <w:tab w:leader="none" w:pos="920" w:val="left"/>
        </w:tabs>
        <w:rPr>
          <w:sz w:val="20"/>
          <w:szCs w:val="20"/>
          <w:color w:val="auto"/>
        </w:rPr>
      </w:pPr>
      <w:r>
        <w:rPr>
          <w:rFonts w:ascii="Times New Roman" w:cs="Times New Roman" w:eastAsia="Times New Roman" w:hAnsi="Times New Roman"/>
          <w:sz w:val="27"/>
          <w:szCs w:val="27"/>
          <w:b w:val="1"/>
          <w:bCs w:val="1"/>
          <w:color w:val="auto"/>
          <w:vertAlign w:val="superscript"/>
        </w:rPr>
        <w:t>11</w:t>
      </w:r>
      <w:r>
        <w:rPr>
          <w:sz w:val="20"/>
          <w:szCs w:val="20"/>
          <w:color w:val="auto"/>
        </w:rPr>
        <w:tab/>
      </w:r>
      <w:r>
        <w:rPr>
          <w:rFonts w:ascii="Times New Roman" w:cs="Times New Roman" w:eastAsia="Times New Roman" w:hAnsi="Times New Roman"/>
          <w:sz w:val="14"/>
          <w:szCs w:val="14"/>
          <w:color w:val="auto"/>
        </w:rPr>
        <w:t>9.9%</w:t>
      </w:r>
    </w:p>
    <w:p>
      <w:pPr>
        <w:spacing w:after="0" w:line="38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p>
      <w:pPr>
        <w:spacing w:after="0" w:line="181" w:lineRule="auto"/>
        <w:tabs>
          <w:tab w:leader="none" w:pos="920" w:val="left"/>
        </w:tabs>
        <w:rPr>
          <w:sz w:val="20"/>
          <w:szCs w:val="20"/>
          <w:color w:val="auto"/>
        </w:rPr>
      </w:pPr>
      <w:r>
        <w:rPr>
          <w:rFonts w:ascii="Times New Roman" w:cs="Times New Roman" w:eastAsia="Times New Roman" w:hAnsi="Times New Roman"/>
          <w:sz w:val="27"/>
          <w:szCs w:val="27"/>
          <w:b w:val="1"/>
          <w:bCs w:val="1"/>
          <w:color w:val="auto"/>
          <w:vertAlign w:val="superscript"/>
        </w:rPr>
        <w:t>12</w:t>
      </w:r>
      <w:r>
        <w:rPr>
          <w:sz w:val="20"/>
          <w:szCs w:val="20"/>
          <w:color w:val="auto"/>
        </w:rPr>
        <w:tab/>
      </w:r>
      <w:r>
        <w:rPr>
          <w:rFonts w:ascii="Times New Roman" w:cs="Times New Roman" w:eastAsia="Times New Roman" w:hAnsi="Times New Roman"/>
          <w:sz w:val="14"/>
          <w:szCs w:val="14"/>
          <w:color w:val="auto"/>
        </w:rPr>
        <w:t>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488950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820"/>
          </w:cols>
          <w:pgMar w:left="860" w:top="121" w:right="1219" w:bottom="1440" w:gutter="0" w:footer="0" w:header="0"/>
        </w:sectPr>
      </w:pPr>
    </w:p>
    <w:bookmarkStart w:id="3" w:name="page4"/>
    <w:bookmarkEnd w:id="3"/>
    <w:p>
      <w:pPr>
        <w:jc w:val="right"/>
        <w:ind w:right="7939"/>
        <w:spacing w:after="0"/>
        <w:tabs>
          <w:tab w:leader="none" w:pos="450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Name of Issuer:</w:t>
      </w:r>
    </w:p>
    <w:p>
      <w:pPr>
        <w:spacing w:after="0" w:line="225" w:lineRule="exact"/>
        <w:rPr>
          <w:sz w:val="20"/>
          <w:szCs w:val="20"/>
          <w:color w:val="auto"/>
        </w:rPr>
      </w:pPr>
    </w:p>
    <w:p>
      <w:pPr>
        <w:jc w:val="right"/>
        <w:ind w:right="7899"/>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1(b).</w:t>
        <w:tab/>
        <w:t>Address of Issuer's Principal Executive Offices:</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100 Technology Square, Sixth Floor, Cambridge, MA 02139</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2(a).</w:t>
        <w:tab/>
        <w:t>Name of Person Filing:</w:t>
      </w:r>
    </w:p>
    <w:p>
      <w:pPr>
        <w:spacing w:after="0" w:line="200" w:lineRule="exact"/>
        <w:rPr>
          <w:sz w:val="20"/>
          <w:szCs w:val="20"/>
          <w:color w:val="auto"/>
        </w:rPr>
      </w:pPr>
    </w:p>
    <w:p>
      <w:pPr>
        <w:spacing w:after="0" w:line="24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BML Investment Partners, L.P.</w:t>
      </w:r>
    </w:p>
    <w:p>
      <w:pPr>
        <w:spacing w:after="0" w:line="200" w:lineRule="exact"/>
        <w:rPr>
          <w:sz w:val="20"/>
          <w:szCs w:val="20"/>
          <w:color w:val="auto"/>
        </w:rPr>
      </w:pPr>
    </w:p>
    <w:p>
      <w:pPr>
        <w:spacing w:after="0" w:line="23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2(b).</w:t>
      </w:r>
      <w:r>
        <w:rPr>
          <w:sz w:val="20"/>
          <w:szCs w:val="20"/>
          <w:color w:val="auto"/>
        </w:rPr>
        <w:tab/>
      </w:r>
      <w:r>
        <w:rPr>
          <w:rFonts w:ascii="Times New Roman" w:cs="Times New Roman" w:eastAsia="Times New Roman" w:hAnsi="Times New Roman"/>
          <w:sz w:val="17"/>
          <w:szCs w:val="17"/>
          <w:b w:val="1"/>
          <w:bCs w:val="1"/>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65 E Cedar, Suite 2</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Zionsville, IN 46077</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2(c).</w:t>
      </w:r>
      <w:r>
        <w:rPr>
          <w:sz w:val="20"/>
          <w:szCs w:val="20"/>
          <w:color w:val="auto"/>
        </w:rPr>
        <w:tab/>
      </w:r>
      <w:r>
        <w:rPr>
          <w:rFonts w:ascii="Times New Roman" w:cs="Times New Roman" w:eastAsia="Times New Roman" w:hAnsi="Times New Roman"/>
          <w:sz w:val="17"/>
          <w:szCs w:val="17"/>
          <w:b w:val="1"/>
          <w:bCs w:val="1"/>
          <w:color w:val="auto"/>
        </w:rPr>
        <w:t>Citizenship:</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Delaware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2(d).</w:t>
      </w:r>
      <w:r>
        <w:rPr>
          <w:sz w:val="20"/>
          <w:szCs w:val="20"/>
          <w:color w:val="auto"/>
        </w:rPr>
        <w:tab/>
      </w:r>
      <w:r>
        <w:rPr>
          <w:rFonts w:ascii="Times New Roman" w:cs="Times New Roman" w:eastAsia="Times New Roman" w:hAnsi="Times New Roman"/>
          <w:sz w:val="17"/>
          <w:szCs w:val="17"/>
          <w:b w:val="1"/>
          <w:bCs w:val="1"/>
          <w:color w:val="auto"/>
        </w:rPr>
        <w:t>Title of Class of Securities: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Common Stock, par value $0.0001 per share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2(e).</w:t>
      </w:r>
      <w:r>
        <w:rPr>
          <w:sz w:val="20"/>
          <w:szCs w:val="20"/>
          <w:color w:val="auto"/>
        </w:rPr>
        <w:tab/>
      </w:r>
      <w:r>
        <w:rPr>
          <w:rFonts w:ascii="Times New Roman" w:cs="Times New Roman" w:eastAsia="Times New Roman" w:hAnsi="Times New Roman"/>
          <w:sz w:val="17"/>
          <w:szCs w:val="17"/>
          <w:b w:val="1"/>
          <w:bCs w:val="1"/>
          <w:color w:val="auto"/>
        </w:rPr>
        <w:t>CUSIP Number: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05455M100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4" w:name="page5"/>
    <w:bookmarkEnd w:id="4"/>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If This Statement Is Filed Pursuant to Sections 240.13d-1(b) or</w:t>
      </w:r>
    </w:p>
    <w:p>
      <w:pPr>
        <w:spacing w:after="0" w:line="3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240.13d-2(b) or (c), Check Whether the Person Filing Is a(n):</w:t>
      </w:r>
    </w:p>
    <w:p>
      <w:pPr>
        <w:spacing w:after="0" w:line="166" w:lineRule="exact"/>
        <w:rPr>
          <w:sz w:val="20"/>
          <w:szCs w:val="20"/>
          <w:color w:val="auto"/>
        </w:rPr>
      </w:pPr>
    </w:p>
    <w:p>
      <w:pPr>
        <w:ind w:left="1300" w:hanging="320"/>
        <w:spacing w:after="0" w:line="207" w:lineRule="exact"/>
        <w:tabs>
          <w:tab w:leader="none" w:pos="130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225" w:lineRule="exact"/>
        <w:rPr>
          <w:rFonts w:ascii="Times New Roman" w:cs="Times New Roman" w:eastAsia="Times New Roman" w:hAnsi="Times New Roman"/>
          <w:sz w:val="18"/>
          <w:szCs w:val="18"/>
          <w:color w:val="auto"/>
        </w:rPr>
      </w:pPr>
    </w:p>
    <w:p>
      <w:pPr>
        <w:ind w:left="1300" w:hanging="320"/>
        <w:spacing w:after="0" w:line="207" w:lineRule="exact"/>
        <w:tabs>
          <w:tab w:leader="none" w:pos="130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225" w:lineRule="exact"/>
        <w:rPr>
          <w:rFonts w:ascii="Times New Roman" w:cs="Times New Roman" w:eastAsia="Times New Roman" w:hAnsi="Times New Roman"/>
          <w:sz w:val="18"/>
          <w:szCs w:val="18"/>
          <w:color w:val="auto"/>
        </w:rPr>
      </w:pPr>
    </w:p>
    <w:p>
      <w:pPr>
        <w:ind w:left="1300" w:hanging="320"/>
        <w:spacing w:after="0" w:line="207" w:lineRule="exact"/>
        <w:tabs>
          <w:tab w:leader="none" w:pos="130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225" w:lineRule="exact"/>
        <w:rPr>
          <w:rFonts w:ascii="Times New Roman" w:cs="Times New Roman" w:eastAsia="Times New Roman" w:hAnsi="Times New Roman"/>
          <w:sz w:val="18"/>
          <w:szCs w:val="18"/>
          <w:color w:val="auto"/>
        </w:rPr>
      </w:pPr>
    </w:p>
    <w:p>
      <w:pPr>
        <w:ind w:left="1300" w:hanging="320"/>
        <w:spacing w:after="0" w:line="207" w:lineRule="exact"/>
        <w:tabs>
          <w:tab w:leader="none" w:pos="130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225" w:lineRule="exact"/>
        <w:rPr>
          <w:rFonts w:ascii="Times New Roman" w:cs="Times New Roman" w:eastAsia="Times New Roman" w:hAnsi="Times New Roman"/>
          <w:sz w:val="18"/>
          <w:szCs w:val="18"/>
          <w:color w:val="auto"/>
        </w:rPr>
      </w:pPr>
    </w:p>
    <w:p>
      <w:pPr>
        <w:ind w:left="1300" w:hanging="320"/>
        <w:spacing w:after="0" w:line="207" w:lineRule="exact"/>
        <w:tabs>
          <w:tab w:leader="none" w:pos="130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adviser in accordance with Section 240.13d-1(b)(1)(ii)(E);</w:t>
      </w:r>
    </w:p>
    <w:p>
      <w:pPr>
        <w:spacing w:after="0" w:line="225" w:lineRule="exact"/>
        <w:rPr>
          <w:rFonts w:ascii="Times New Roman" w:cs="Times New Roman" w:eastAsia="Times New Roman" w:hAnsi="Times New Roman"/>
          <w:sz w:val="18"/>
          <w:szCs w:val="18"/>
          <w:color w:val="auto"/>
        </w:rPr>
      </w:pPr>
    </w:p>
    <w:p>
      <w:pPr>
        <w:ind w:left="1300" w:hanging="320"/>
        <w:spacing w:after="0" w:line="207" w:lineRule="exact"/>
        <w:tabs>
          <w:tab w:leader="none" w:pos="130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Employee benefit plan or endowment fund in accordance with Section 240.13d-1(b)(1)(ii)(F);</w:t>
      </w:r>
    </w:p>
    <w:p>
      <w:pPr>
        <w:spacing w:after="0" w:line="225" w:lineRule="exact"/>
        <w:rPr>
          <w:rFonts w:ascii="Times New Roman" w:cs="Times New Roman" w:eastAsia="Times New Roman" w:hAnsi="Times New Roman"/>
          <w:sz w:val="18"/>
          <w:szCs w:val="18"/>
          <w:color w:val="auto"/>
        </w:rPr>
      </w:pPr>
    </w:p>
    <w:p>
      <w:pPr>
        <w:ind w:left="1300" w:hanging="320"/>
        <w:spacing w:after="0" w:line="207" w:lineRule="exact"/>
        <w:tabs>
          <w:tab w:leader="none" w:pos="130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Parent holding company or control person in accordance with Section 240.13d-1(b)(1)(ii)(G);</w:t>
      </w:r>
    </w:p>
    <w:p>
      <w:pPr>
        <w:spacing w:after="0" w:line="225" w:lineRule="exact"/>
        <w:rPr>
          <w:rFonts w:ascii="Times New Roman" w:cs="Times New Roman" w:eastAsia="Times New Roman" w:hAnsi="Times New Roman"/>
          <w:sz w:val="18"/>
          <w:szCs w:val="18"/>
          <w:color w:val="auto"/>
        </w:rPr>
      </w:pPr>
    </w:p>
    <w:p>
      <w:pPr>
        <w:ind w:left="1300" w:hanging="320"/>
        <w:spacing w:after="0" w:line="207" w:lineRule="exact"/>
        <w:tabs>
          <w:tab w:leader="none" w:pos="130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Savings association as defined in Section 3(b) of the Federal Deposit Insurance Act (12 U.S.C. 1813);</w:t>
      </w:r>
    </w:p>
    <w:p>
      <w:pPr>
        <w:spacing w:after="0" w:line="225" w:lineRule="exact"/>
        <w:rPr>
          <w:rFonts w:ascii="Times New Roman" w:cs="Times New Roman" w:eastAsia="Times New Roman" w:hAnsi="Times New Roman"/>
          <w:sz w:val="18"/>
          <w:szCs w:val="18"/>
          <w:color w:val="auto"/>
        </w:rPr>
      </w:pPr>
    </w:p>
    <w:p>
      <w:pPr>
        <w:ind w:left="1300" w:hanging="320"/>
        <w:spacing w:after="0" w:line="245" w:lineRule="exact"/>
        <w:tabs>
          <w:tab w:leader="none" w:pos="130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Church plan that is excluded from the definition of an investment company under Section 3(c)(14) of the Investment Company Act of 1940 (15 U.S.C. 80a-3);</w:t>
      </w:r>
    </w:p>
    <w:p>
      <w:pPr>
        <w:spacing w:after="0" w:line="158" w:lineRule="exact"/>
        <w:rPr>
          <w:rFonts w:ascii="Times New Roman" w:cs="Times New Roman" w:eastAsia="Times New Roman" w:hAnsi="Times New Roman"/>
          <w:sz w:val="18"/>
          <w:szCs w:val="18"/>
          <w:color w:val="auto"/>
        </w:rPr>
      </w:pPr>
    </w:p>
    <w:p>
      <w:pPr>
        <w:ind w:left="1300" w:hanging="320"/>
        <w:spacing w:after="0" w:line="207" w:lineRule="exact"/>
        <w:tabs>
          <w:tab w:leader="none" w:pos="130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non-U.S. institution in accordance with Section 240.13d-1(b)(1)(ii)(J);</w:t>
      </w:r>
    </w:p>
    <w:p>
      <w:pPr>
        <w:spacing w:after="0" w:line="225" w:lineRule="exact"/>
        <w:rPr>
          <w:rFonts w:ascii="Times New Roman" w:cs="Times New Roman" w:eastAsia="Times New Roman" w:hAnsi="Times New Roman"/>
          <w:sz w:val="18"/>
          <w:szCs w:val="18"/>
          <w:color w:val="auto"/>
        </w:rPr>
      </w:pPr>
    </w:p>
    <w:p>
      <w:pPr>
        <w:ind w:left="1300" w:hanging="320"/>
        <w:spacing w:after="0" w:line="207" w:lineRule="exact"/>
        <w:tabs>
          <w:tab w:leader="none" w:pos="130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Section 240.13d-1(b)(1)(ii)(K). If filing as a non-U.S. institution in accordance with Section 240.13d-1(b)</w:t>
      </w:r>
    </w:p>
    <w:p>
      <w:pPr>
        <w:spacing w:after="0" w:line="6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(1)(ii)(J), please specify the type of institution: ____________________________ .</w:t>
      </w:r>
    </w:p>
    <w:p>
      <w:pPr>
        <w:spacing w:after="0" w:line="20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229" w:lineRule="exact"/>
        <w:rPr>
          <w:sz w:val="20"/>
          <w:szCs w:val="20"/>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4,401,627</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9.9</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400,000</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4,401,627</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400,000</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4,401,627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5" w:name="page6"/>
    <w:bookmarkEnd w:id="5"/>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229" w:lineRule="exact"/>
        <w:rPr>
          <w:sz w:val="20"/>
          <w:szCs w:val="20"/>
          <w:color w:val="auto"/>
        </w:rPr>
      </w:pPr>
    </w:p>
    <w:p>
      <w:pPr>
        <w:ind w:left="980" w:right="140"/>
        <w:spacing w:after="0" w:line="239"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N/A</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Identification and Classification of the Subsidiary Which Acquired the Security Being Reported on by the Parent Holding Company.</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N/A</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N/A</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N/A</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Certification.</w:t>
      </w:r>
    </w:p>
    <w:p>
      <w:pPr>
        <w:spacing w:after="0" w:line="229" w:lineRule="exact"/>
        <w:rPr>
          <w:sz w:val="20"/>
          <w:szCs w:val="20"/>
          <w:color w:val="auto"/>
        </w:rPr>
      </w:pPr>
    </w:p>
    <w:p>
      <w:pPr>
        <w:ind w:right="20" w:firstLine="972"/>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372110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6" w:name="page7"/>
    <w:bookmarkEnd w:id="6"/>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correct.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7, 2024</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BML Capital Management, LLC</w:t>
      </w:r>
    </w:p>
    <w:p>
      <w:pPr>
        <w:spacing w:after="0" w:line="27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Braden M Leonard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Braden M Leonard</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474980</wp:posOffset>
            </wp:positionV>
            <wp:extent cx="7136130"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38100"/>
                    </a:xfrm>
                    <a:prstGeom prst="rect">
                      <a:avLst/>
                    </a:prstGeom>
                    <a:noFill/>
                  </pic:spPr>
                </pic:pic>
              </a:graphicData>
            </a:graphic>
          </wp:anchor>
        </w:drawing>
      </w:r>
    </w:p>
    <w:sectPr>
      <w:pgSz w:w="11900" w:h="16838" w:orient="portrait"/>
      <w:cols w:equalWidth="0" w:num="1">
        <w:col w:w="11140"/>
      </w:cols>
      <w:pgMar w:left="32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Letter"/>
      <w:start w:val="4"/>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7"/>
      <w:numFmt w:val="bullet"/>
      <w:start w:val="1"/>
    </w:lvl>
  </w:abstractNum>
  <w:abstractNum w:abstractNumId="3">
    <w:nsid w:val="3D1B58BA"/>
    <w:multiLevelType w:val="hybridMultilevel"/>
    <w:lvl w:ilvl="0">
      <w:lvlJc w:val="left"/>
      <w:lvlText w:val="8"/>
      <w:numFmt w:val="bullet"/>
      <w:start w:val="1"/>
    </w:lvl>
  </w:abstractNum>
  <w:abstractNum w:abstractNumId="4">
    <w:nsid w:val="507ED7AB"/>
    <w:multiLevelType w:val="hybridMultilevel"/>
    <w:lvl w:ilvl="0">
      <w:lvlJc w:val="left"/>
      <w:lvlText w:val="9"/>
      <w:numFmt w:val="bullet"/>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2024-02-07T09:39:13Z</dcterms:created>
  <dcterms:modified xsi:type="dcterms:W3CDTF">2024-02-07T09:39:13Z</dcterms:modified>
</cp:coreProperties>
</file>