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568960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132715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165100</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3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0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May 07,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217170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Tectonic Therapeutic, Inc.</w:t>
      </w:r>
    </w:p>
    <w:p>
      <w:pPr>
        <w:spacing w:after="0" w:line="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250190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tbl>
      <w:tblPr>
        <w:tblLayout w:type="fixed"/>
        <w:tblInd w:w="1160" w:type="dxa"/>
        <w:tblCellMar>
          <w:top w:w="0" w:type="dxa"/>
          <w:left w:w="0" w:type="dxa"/>
          <w:bottom w:w="0" w:type="dxa"/>
          <w:right w:w="0" w:type="dxa"/>
        </w:tblCellMar>
      </w:tblPr>
      <w:tr>
        <w:trPr>
          <w:trHeight w:val="222"/>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260" w:type="dxa"/>
            <w:vAlign w:val="bottom"/>
          </w:tcPr>
          <w:p>
            <w:pPr>
              <w:jc w:val="right"/>
              <w:ind w:right="1321"/>
              <w:spacing w:after="0"/>
              <w:rPr>
                <w:sz w:val="20"/>
                <w:szCs w:val="20"/>
                <w:color w:val="auto"/>
              </w:rPr>
            </w:pPr>
            <w:r>
              <w:rPr>
                <w:rFonts w:ascii="Times New Roman" w:cs="Times New Roman" w:eastAsia="Times New Roman" w:hAnsi="Times New Roman"/>
                <w:sz w:val="18"/>
                <w:szCs w:val="18"/>
                <w:b w:val="1"/>
                <w:bCs w:val="1"/>
                <w:color w:val="auto"/>
              </w:rPr>
              <w:t>001-38537</w:t>
            </w:r>
          </w:p>
        </w:tc>
        <w:tc>
          <w:tcPr>
            <w:tcW w:w="2040" w:type="dxa"/>
            <w:vAlign w:val="bottom"/>
          </w:tcPr>
          <w:p>
            <w:pPr>
              <w:jc w:val="right"/>
              <w:ind w:right="4"/>
              <w:spacing w:after="0"/>
              <w:rPr>
                <w:sz w:val="20"/>
                <w:szCs w:val="20"/>
                <w:color w:val="auto"/>
              </w:rPr>
            </w:pPr>
            <w:r>
              <w:rPr>
                <w:rFonts w:ascii="Times New Roman" w:cs="Times New Roman" w:eastAsia="Times New Roman" w:hAnsi="Times New Roman"/>
                <w:sz w:val="18"/>
                <w:szCs w:val="18"/>
                <w:b w:val="1"/>
                <w:bCs w:val="1"/>
                <w:color w:val="auto"/>
              </w:rPr>
              <w:t>81-0710585</w:t>
            </w:r>
          </w:p>
        </w:tc>
      </w:tr>
      <w:tr>
        <w:trPr>
          <w:trHeight w:val="149"/>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3"/>
                <w:szCs w:val="13"/>
                <w:b w:val="1"/>
                <w:bCs w:val="1"/>
                <w:color w:val="auto"/>
              </w:rPr>
              <w:t>(State or Other Jurisdiction</w:t>
            </w:r>
          </w:p>
        </w:tc>
        <w:tc>
          <w:tcPr>
            <w:tcW w:w="3260" w:type="dxa"/>
            <w:vAlign w:val="bottom"/>
          </w:tcPr>
          <w:p>
            <w:pPr>
              <w:jc w:val="center"/>
              <w:ind w:right="241"/>
              <w:spacing w:after="0"/>
              <w:rPr>
                <w:sz w:val="20"/>
                <w:szCs w:val="20"/>
                <w:color w:val="auto"/>
              </w:rPr>
            </w:pPr>
            <w:r>
              <w:rPr>
                <w:rFonts w:ascii="Times New Roman" w:cs="Times New Roman" w:eastAsia="Times New Roman" w:hAnsi="Times New Roman"/>
                <w:sz w:val="13"/>
                <w:szCs w:val="13"/>
                <w:b w:val="1"/>
                <w:bCs w:val="1"/>
                <w:color w:val="auto"/>
              </w:rPr>
              <w:t>(Commission File Number)</w:t>
            </w: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(IRS Employer</w:t>
            </w:r>
          </w:p>
        </w:tc>
      </w:tr>
      <w:tr>
        <w:trPr>
          <w:trHeight w:val="178"/>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3"/>
                <w:szCs w:val="13"/>
                <w:b w:val="1"/>
                <w:bCs w:val="1"/>
                <w:color w:val="auto"/>
              </w:rPr>
              <w:t>of Incorporation)</w:t>
            </w:r>
          </w:p>
        </w:tc>
        <w:tc>
          <w:tcPr>
            <w:tcW w:w="3260" w:type="dxa"/>
            <w:vAlign w:val="bottom"/>
          </w:tcPr>
          <w:p>
            <w:pPr>
              <w:spacing w:after="0"/>
              <w:rPr>
                <w:sz w:val="15"/>
                <w:szCs w:val="15"/>
                <w:color w:val="auto"/>
              </w:rPr>
            </w:pPr>
          </w:p>
        </w:tc>
        <w:tc>
          <w:tcPr>
            <w:tcW w:w="2040" w:type="dxa"/>
            <w:vAlign w:val="bottom"/>
          </w:tcPr>
          <w:p>
            <w:pPr>
              <w:jc w:val="center"/>
              <w:ind w:left="904"/>
              <w:spacing w:after="0"/>
              <w:rPr>
                <w:sz w:val="20"/>
                <w:szCs w:val="20"/>
                <w:color w:val="auto"/>
              </w:rPr>
            </w:pPr>
            <w:r>
              <w:rPr>
                <w:rFonts w:ascii="Times New Roman" w:cs="Times New Roman" w:eastAsia="Times New Roman" w:hAnsi="Times New Roman"/>
                <w:sz w:val="13"/>
                <w:szCs w:val="13"/>
                <w:b w:val="1"/>
                <w:bCs w:val="1"/>
                <w:color w:val="auto"/>
              </w:rPr>
              <w:t>Identification No.)</w:t>
            </w:r>
          </w:p>
        </w:tc>
      </w:tr>
      <w:tr>
        <w:trPr>
          <w:trHeight w:val="397"/>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8"/>
                <w:szCs w:val="18"/>
                <w:b w:val="1"/>
                <w:bCs w:val="1"/>
                <w:color w:val="auto"/>
                <w:w w:val="99"/>
              </w:rPr>
              <w:t>490 Arsenal Way</w:t>
            </w:r>
          </w:p>
        </w:tc>
        <w:tc>
          <w:tcPr>
            <w:tcW w:w="326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216"/>
        </w:trPr>
        <w:tc>
          <w:tcPr>
            <w:tcW w:w="3000" w:type="dxa"/>
            <w:vAlign w:val="bottom"/>
          </w:tcPr>
          <w:p>
            <w:pPr>
              <w:jc w:val="center"/>
              <w:ind w:right="620"/>
              <w:spacing w:after="0"/>
              <w:rPr>
                <w:sz w:val="20"/>
                <w:szCs w:val="20"/>
                <w:color w:val="auto"/>
              </w:rPr>
            </w:pPr>
            <w:r>
              <w:rPr>
                <w:rFonts w:ascii="Times New Roman" w:cs="Times New Roman" w:eastAsia="Times New Roman" w:hAnsi="Times New Roman"/>
                <w:sz w:val="18"/>
                <w:szCs w:val="18"/>
                <w:b w:val="1"/>
                <w:bCs w:val="1"/>
                <w:color w:val="auto"/>
                <w:w w:val="99"/>
              </w:rPr>
              <w:t>Suite 200</w:t>
            </w:r>
          </w:p>
        </w:tc>
        <w:tc>
          <w:tcPr>
            <w:tcW w:w="3260" w:type="dxa"/>
            <w:vAlign w:val="bottom"/>
          </w:tcPr>
          <w:p>
            <w:pPr>
              <w:spacing w:after="0"/>
              <w:rPr>
                <w:sz w:val="18"/>
                <w:szCs w:val="18"/>
                <w:color w:val="auto"/>
              </w:rPr>
            </w:pPr>
          </w:p>
        </w:tc>
        <w:tc>
          <w:tcPr>
            <w:tcW w:w="2040" w:type="dxa"/>
            <w:vAlign w:val="bottom"/>
          </w:tcPr>
          <w:p>
            <w:pPr>
              <w:spacing w:after="0"/>
              <w:rPr>
                <w:sz w:val="18"/>
                <w:szCs w:val="18"/>
                <w:color w:val="auto"/>
              </w:rPr>
            </w:pPr>
          </w:p>
        </w:tc>
      </w:tr>
      <w:tr>
        <w:trPr>
          <w:trHeight w:val="222"/>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8"/>
                <w:szCs w:val="18"/>
                <w:b w:val="1"/>
                <w:bCs w:val="1"/>
                <w:color w:val="auto"/>
              </w:rPr>
              <w:t>Watertown, Massachusetts</w:t>
            </w:r>
          </w:p>
        </w:tc>
        <w:tc>
          <w:tcPr>
            <w:tcW w:w="3260" w:type="dxa"/>
            <w:vAlign w:val="bottom"/>
          </w:tcPr>
          <w:p>
            <w:pPr>
              <w:spacing w:after="0"/>
              <w:rPr>
                <w:sz w:val="19"/>
                <w:szCs w:val="19"/>
                <w:color w:val="auto"/>
              </w:rPr>
            </w:pPr>
          </w:p>
        </w:tc>
        <w:tc>
          <w:tcPr>
            <w:tcW w:w="2040" w:type="dxa"/>
            <w:vAlign w:val="bottom"/>
          </w:tcPr>
          <w:p>
            <w:pPr>
              <w:jc w:val="right"/>
              <w:ind w:right="224"/>
              <w:spacing w:after="0"/>
              <w:rPr>
                <w:sz w:val="20"/>
                <w:szCs w:val="20"/>
                <w:color w:val="auto"/>
              </w:rPr>
            </w:pPr>
            <w:r>
              <w:rPr>
                <w:rFonts w:ascii="Times New Roman" w:cs="Times New Roman" w:eastAsia="Times New Roman" w:hAnsi="Times New Roman"/>
                <w:sz w:val="18"/>
                <w:szCs w:val="18"/>
                <w:b w:val="1"/>
                <w:bCs w:val="1"/>
                <w:color w:val="auto"/>
              </w:rPr>
              <w:t>02472</w:t>
            </w:r>
          </w:p>
        </w:tc>
      </w:tr>
      <w:tr>
        <w:trPr>
          <w:trHeight w:val="178"/>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c>
          <w:tcPr>
            <w:tcW w:w="3260" w:type="dxa"/>
            <w:vAlign w:val="bottom"/>
          </w:tcPr>
          <w:p>
            <w:pPr>
              <w:spacing w:after="0"/>
              <w:rPr>
                <w:sz w:val="15"/>
                <w:szCs w:val="15"/>
                <w:color w:val="auto"/>
              </w:rPr>
            </w:pP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(Zip Code)</w:t>
            </w:r>
          </w:p>
        </w:tc>
      </w:tr>
    </w:tbl>
    <w:p>
      <w:pPr>
        <w:spacing w:after="0" w:line="200" w:lineRule="exact"/>
        <w:rPr>
          <w:sz w:val="24"/>
          <w:szCs w:val="24"/>
          <w:color w:val="auto"/>
        </w:rPr>
      </w:pPr>
    </w:p>
    <w:p>
      <w:pPr>
        <w:spacing w:after="0" w:line="210"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(339) 666-3320</w:t>
      </w: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258445</wp:posOffset>
            </wp:positionV>
            <wp:extent cx="14230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54"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7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120" w:type="dxa"/>
            <w:vAlign w:val="bottom"/>
          </w:tcPr>
          <w:p>
            <w:pPr>
              <w:spacing w:after="0"/>
              <w:rPr>
                <w:sz w:val="18"/>
                <w:szCs w:val="18"/>
                <w:color w:val="auto"/>
              </w:rPr>
            </w:pPr>
          </w:p>
        </w:tc>
        <w:tc>
          <w:tcPr>
            <w:tcW w:w="5040" w:type="dxa"/>
            <w:vAlign w:val="bottom"/>
          </w:tcPr>
          <w:p>
            <w:pPr>
              <w:spacing w:after="0"/>
              <w:rPr>
                <w:sz w:val="18"/>
                <w:szCs w:val="18"/>
                <w:color w:val="auto"/>
              </w:rPr>
            </w:pPr>
          </w:p>
        </w:tc>
      </w:tr>
      <w:tr>
        <w:trPr>
          <w:trHeight w:val="238"/>
        </w:trPr>
        <w:tc>
          <w:tcPr>
            <w:tcW w:w="4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120" w:type="dxa"/>
            <w:vAlign w:val="bottom"/>
          </w:tcPr>
          <w:p>
            <w:pPr>
              <w:spacing w:after="0"/>
              <w:rPr>
                <w:sz w:val="20"/>
                <w:szCs w:val="20"/>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Symbol(s)</w:t>
            </w:r>
          </w:p>
        </w:tc>
        <w:tc>
          <w:tcPr>
            <w:tcW w:w="120" w:type="dxa"/>
            <w:vAlign w:val="bottom"/>
          </w:tcPr>
          <w:p>
            <w:pPr>
              <w:spacing w:after="0"/>
              <w:rPr>
                <w:sz w:val="20"/>
                <w:szCs w:val="20"/>
                <w:color w:val="auto"/>
              </w:rPr>
            </w:pPr>
          </w:p>
        </w:tc>
        <w:tc>
          <w:tcPr>
            <w:tcW w:w="5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4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Common Stock, $0.0001 par value per share</w:t>
            </w:r>
          </w:p>
        </w:tc>
        <w:tc>
          <w:tcPr>
            <w:tcW w:w="12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TECX</w:t>
            </w:r>
          </w:p>
        </w:tc>
        <w:tc>
          <w:tcPr>
            <w:tcW w:w="120" w:type="dxa"/>
            <w:vAlign w:val="bottom"/>
          </w:tcPr>
          <w:p>
            <w:pPr>
              <w:spacing w:after="0"/>
              <w:rPr>
                <w:sz w:val="19"/>
                <w:szCs w:val="19"/>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179" w:lineRule="exact"/>
        <w:rPr>
          <w:sz w:val="24"/>
          <w:szCs w:val="24"/>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6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2" w:lineRule="exact"/>
        <w:rPr>
          <w:sz w:val="24"/>
          <w:szCs w:val="24"/>
          <w:color w:val="auto"/>
        </w:rPr>
      </w:pPr>
    </w:p>
    <w:p>
      <w:pPr>
        <w:ind w:right="1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612775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213"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May 7, 2026, Tectonic Therapeutic, Inc. announced its financial results for the quarter ended March 31, 2026 and provided a general business update.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full text of the press release is furnished as Exhibit 99.1 to this Current Report on Form 8-K.</w:t>
      </w:r>
    </w:p>
    <w:p>
      <w:pPr>
        <w:spacing w:after="0" w:line="207"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information in this Current Report on Form 8-K, including Exhibit 99.1 attached hereto, is furnished to comply with Item 2.02 of Form 8-K, and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expressly set forth by specific reference in such a filing.</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 Exhibits.</w:t>
      </w:r>
    </w:p>
    <w:p>
      <w:pPr>
        <w:spacing w:after="0" w:line="200" w:lineRule="exact"/>
        <w:rPr>
          <w:sz w:val="20"/>
          <w:szCs w:val="20"/>
          <w:color w:val="auto"/>
        </w:rPr>
      </w:pPr>
    </w:p>
    <w:p>
      <w:pPr>
        <w:spacing w:after="0" w:line="259" w:lineRule="exact"/>
        <w:rPr>
          <w:sz w:val="20"/>
          <w:szCs w:val="20"/>
          <w:color w:val="auto"/>
        </w:rPr>
      </w:pPr>
    </w:p>
    <w:p>
      <w:pPr>
        <w:ind w:left="20"/>
        <w:spacing w:after="0"/>
        <w:tabs>
          <w:tab w:leader="none" w:pos="60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8"/>
          <w:szCs w:val="18"/>
          <w:u w:val="single" w:color="auto"/>
          <w:color w:val="0000FF"/>
        </w:rPr>
        <w:t>Press Release of Tectonic Therapeutic, Inc. dated May 7,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390525</wp:posOffset>
            </wp:positionH>
            <wp:positionV relativeFrom="paragraph">
              <wp:posOffset>-7620</wp:posOffset>
            </wp:positionV>
            <wp:extent cx="286829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868295" cy="8255"/>
                    </a:xfrm>
                    <a:prstGeom prst="rect">
                      <a:avLst/>
                    </a:prstGeom>
                    <a:noFill/>
                  </pic:spPr>
                </pic:pic>
              </a:graphicData>
            </a:graphic>
          </wp:anchor>
        </w:drawing>
      </w:r>
    </w:p>
    <w:p>
      <w:pPr>
        <w:spacing w:after="0" w:line="57" w:lineRule="exact"/>
        <w:rPr>
          <w:sz w:val="20"/>
          <w:szCs w:val="20"/>
          <w:color w:val="auto"/>
        </w:rPr>
      </w:pPr>
    </w:p>
    <w:p>
      <w:pPr>
        <w:ind w:left="20"/>
        <w:spacing w:after="0"/>
        <w:tabs>
          <w:tab w:leader="none" w:pos="60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1059180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089" w:right="41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tabs>
          <w:tab w:leader="none" w:pos="660" w:val="left"/>
          <w:tab w:leader="none" w:pos="5620" w:val="left"/>
          <w:tab w:leader="none" w:pos="6060" w:val="left"/>
        </w:tabs>
        <w:rPr>
          <w:sz w:val="20"/>
          <w:szCs w:val="20"/>
          <w:color w:val="auto"/>
        </w:rPr>
      </w:pPr>
      <w:r>
        <w:rPr>
          <w:rFonts w:ascii="Times New Roman" w:cs="Times New Roman" w:eastAsia="Times New Roman" w:hAnsi="Times New Roman"/>
          <w:sz w:val="18"/>
          <w:szCs w:val="18"/>
          <w:color w:val="auto"/>
        </w:rPr>
        <w:t>Date:</w:t>
        <w:tab/>
        <w:t>May 07,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Daniel Lochner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17145</wp:posOffset>
            </wp:positionV>
            <wp:extent cx="327469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274695" cy="8890"/>
                    </a:xfrm>
                    <a:prstGeom prst="rect">
                      <a:avLst/>
                    </a:prstGeom>
                    <a:noFill/>
                  </pic:spPr>
                </pic:pic>
              </a:graphicData>
            </a:graphic>
          </wp:anchor>
        </w:drawing>
      </w:r>
    </w:p>
    <w:p>
      <w:pPr>
        <w:spacing w:after="0" w:line="16"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Daniel Lochner</w:t>
      </w:r>
    </w:p>
    <w:p>
      <w:pPr>
        <w:spacing w:after="0" w:line="2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713105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5" w:right="379" w:bottom="1440" w:gutter="0" w:footer="0" w:header="0"/>
        </w:sectPr>
      </w:pPr>
    </w:p>
    <w:bookmarkStart w:id="3" w:name="page4"/>
    <w:bookmarkEnd w:id="3"/>
    <w:p>
      <w:pPr>
        <w:ind w:left="10320"/>
        <w:spacing w:after="0"/>
        <w:rPr>
          <w:sz w:val="20"/>
          <w:szCs w:val="20"/>
          <w:color w:val="auto"/>
        </w:rPr>
      </w:pPr>
      <w:r>
        <w:rPr>
          <w:rFonts w:ascii="Times New Roman" w:cs="Times New Roman" w:eastAsia="Times New Roman" w:hAnsi="Times New Roman"/>
          <w:sz w:val="17"/>
          <w:szCs w:val="17"/>
          <w:b w:val="1"/>
          <w:bCs w:val="1"/>
          <w:color w:val="auto"/>
        </w:rPr>
        <w:t>Exhibit 99.1</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3"/>
          <w:szCs w:val="23"/>
          <w:b w:val="1"/>
          <w:bCs w:val="1"/>
          <w:color w:val="auto"/>
        </w:rPr>
        <w:t>Tectonic Therapeutic Announces First Quarter 2026 Financial Results and Recent Business Highlights</w:t>
      </w:r>
    </w:p>
    <w:p>
      <w:pPr>
        <w:spacing w:after="0" w:line="131" w:lineRule="exact"/>
        <w:rPr>
          <w:sz w:val="20"/>
          <w:szCs w:val="20"/>
          <w:color w:val="auto"/>
        </w:rPr>
      </w:pPr>
    </w:p>
    <w:p>
      <w:pPr>
        <w:ind w:left="1020" w:right="380" w:hanging="503"/>
        <w:spacing w:after="0" w:line="282" w:lineRule="auto"/>
        <w:tabs>
          <w:tab w:leader="none" w:pos="10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TX45 APEX Phase 2 patient enrollment in PH-HFpEF is nearing completion with topline results anticipated in late Q4 2026 or early Q1 2027</w:t>
      </w:r>
    </w:p>
    <w:p>
      <w:pPr>
        <w:spacing w:after="0" w:line="53" w:lineRule="exact"/>
        <w:rPr>
          <w:rFonts w:ascii="Times New Roman" w:cs="Times New Roman" w:eastAsia="Times New Roman" w:hAnsi="Times New Roman"/>
          <w:sz w:val="18"/>
          <w:szCs w:val="18"/>
          <w:color w:val="auto"/>
        </w:rPr>
      </w:pPr>
    </w:p>
    <w:p>
      <w:pPr>
        <w:ind w:left="1020" w:right="620" w:hanging="503"/>
        <w:spacing w:after="0" w:line="312" w:lineRule="auto"/>
        <w:tabs>
          <w:tab w:leader="none" w:pos="102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TX2100 advanced into Phase 1a healthy volunteer clinical trial in February 2026 as a potential treatment for Hereditary Hemorrhagic Telangiectasia (“HHT”), and as of April 2026, four cohorts have been dosed with topline results expected by the end of Q3 2026</w:t>
      </w:r>
    </w:p>
    <w:p>
      <w:pPr>
        <w:spacing w:after="0" w:line="31" w:lineRule="exact"/>
        <w:rPr>
          <w:rFonts w:ascii="Times New Roman" w:cs="Times New Roman" w:eastAsia="Times New Roman" w:hAnsi="Times New Roman"/>
          <w:sz w:val="17"/>
          <w:szCs w:val="17"/>
          <w:color w:val="auto"/>
        </w:rPr>
      </w:pPr>
    </w:p>
    <w:p>
      <w:pPr>
        <w:ind w:left="1020" w:right="300" w:hanging="503"/>
        <w:spacing w:after="0" w:line="266" w:lineRule="auto"/>
        <w:tabs>
          <w:tab w:leader="none" w:pos="10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Initiated TX45 ALPINE Phase 2 clinical trial in Pulmonary Hypertension in Heart Failure associated with Interstitial Lung Disease (“PH-ILD,” Group 3 PH), with first site activated and screening underway in February 2026, expanding TX45 into a second pulmonary hypertension indication. As of March 2026, the first patient was screened</w:t>
      </w:r>
    </w:p>
    <w:p>
      <w:pPr>
        <w:spacing w:after="0" w:line="67" w:lineRule="exact"/>
        <w:rPr>
          <w:rFonts w:ascii="Times New Roman" w:cs="Times New Roman" w:eastAsia="Times New Roman" w:hAnsi="Times New Roman"/>
          <w:sz w:val="18"/>
          <w:szCs w:val="18"/>
          <w:color w:val="auto"/>
        </w:rPr>
      </w:pPr>
    </w:p>
    <w:p>
      <w:pPr>
        <w:ind w:left="1020" w:right="420" w:hanging="503"/>
        <w:spacing w:after="0" w:line="282" w:lineRule="auto"/>
        <w:tabs>
          <w:tab w:leader="none" w:pos="10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Strengthened leadership with the appointment of François Nader, M.D., as Chair of the Board and Jessica Chutter, as independent board director, enhancing governance and strategic oversight as the Company advances its pipeline</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and cash equivalents were $236.9 million as of March 31, 2026, expected to provide cash runway into Q4 2028</w:t>
      </w:r>
    </w:p>
    <w:p>
      <w:pPr>
        <w:spacing w:after="0" w:line="225"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WATERTOWN, Mass., May 7, 2026 (GLOBE NEWSWIRE) -- Tectonic Therapeutic, Inc. (NASDAQ: TECX) (“Tectonic” or the “Company”), a clinical stage biotechnology company focused on the discovery and development of therapeutic proteins and antibodies that modulate the activity of G-protein coupled receptors (GPCRs), today announced financial results for the first quarter ended March 31, 2026, and provided an overview of recent business highlights.</w:t>
      </w:r>
    </w:p>
    <w:p>
      <w:pPr>
        <w:spacing w:after="0" w:line="180"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"During Q1 2026, we made meaningful progress advancing both TX45 and TX2100 across key clinical milestones, including dosing the first subjects in our Phase 1a trial of TX2100 in HHT, continued dosing of patients in the TX45 APEX Phase 2 trial and initiating our TX45 ALPINE Phase 2 trial in PH-ILD ," said Alise Reicin, M.D., President and Chief Executive Officer of Tectonic Therapeutic. "We believe TX2100 represents a novel, first-in-class approach in a disease with significant unmet need. Looking ahead, we remain focused on executing our ongoing clinical trials and advancing both programs toward important topline readouts.”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Business Highlights</w:t>
      </w:r>
    </w:p>
    <w:p>
      <w:pPr>
        <w:spacing w:after="0" w:line="117" w:lineRule="exact"/>
        <w:rPr>
          <w:sz w:val="20"/>
          <w:szCs w:val="20"/>
          <w:color w:val="auto"/>
        </w:rPr>
      </w:pPr>
    </w:p>
    <w:p>
      <w:pPr>
        <w:ind w:left="1020" w:right="100" w:hanging="503"/>
        <w:spacing w:after="0" w:line="259"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Initiated Phase 1a Clinical Trial of TX2100 in HHT: </w:t>
      </w:r>
      <w:r>
        <w:rPr>
          <w:rFonts w:ascii="Times New Roman" w:cs="Times New Roman" w:eastAsia="Times New Roman" w:hAnsi="Times New Roman"/>
          <w:sz w:val="18"/>
          <w:szCs w:val="18"/>
          <w:color w:val="auto"/>
        </w:rPr>
        <w:t>In February 2026, the Company initiated dosing in its Phase 1a clinical trial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TX2100 in healthy volunteers. The randomized, placebo-controlled, double-blind, ascending-dose trial is intended to characterize safety and tolerability, with pharmacokinetics assessed as a secondary endpoint. TX2100 is a VHH-Fc antagonist of the APJ (apelin) receptor, a GPCR involved in pro-angiogenic signaling, and is being developed as a potential treatment for HHT. As of April 2026, the Company has dosed four cohorts of healthy volunteers.</w:t>
      </w:r>
    </w:p>
    <w:p>
      <w:pPr>
        <w:spacing w:after="0" w:line="71" w:lineRule="exact"/>
        <w:rPr>
          <w:rFonts w:ascii="Times New Roman" w:cs="Times New Roman" w:eastAsia="Times New Roman" w:hAnsi="Times New Roman"/>
          <w:sz w:val="18"/>
          <w:szCs w:val="18"/>
          <w:color w:val="auto"/>
        </w:rPr>
      </w:pPr>
    </w:p>
    <w:p>
      <w:pPr>
        <w:ind w:left="1020" w:right="40" w:hanging="503"/>
        <w:spacing w:after="0" w:line="262"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Conducted KOL Webinar Focused on TX2100 in HHT: </w:t>
      </w:r>
      <w:r>
        <w:rPr>
          <w:rFonts w:ascii="Times New Roman" w:cs="Times New Roman" w:eastAsia="Times New Roman" w:hAnsi="Times New Roman"/>
          <w:sz w:val="18"/>
          <w:szCs w:val="18"/>
          <w:color w:val="auto"/>
        </w:rPr>
        <w:t>In February 2026, the Company hosted a virtual KOL event featuring Hanny Al-Samkari, M.D. (Massachusetts General Hospital, Harvard Medical School), which reviewed the clinical landscape, unmet need, and therapeutic rationale for TX2100 in HHT, including mechanistic insights and supporting preclinical data. A replay of the webinar is available here</w:t>
      </w:r>
      <w:r>
        <w:rPr>
          <w:rFonts w:ascii="Times New Roman" w:cs="Times New Roman" w:eastAsia="Times New Roman" w:hAnsi="Times New Roman"/>
          <w:sz w:val="18"/>
          <w:szCs w:val="18"/>
          <w:u w:val="single" w:color="auto"/>
          <w:color w:val="467886"/>
        </w:rPr>
        <w:t>.</w:t>
      </w:r>
    </w:p>
    <w:p>
      <w:pPr>
        <w:spacing w:after="0" w:line="68" w:lineRule="exact"/>
        <w:rPr>
          <w:rFonts w:ascii="Times New Roman" w:cs="Times New Roman" w:eastAsia="Times New Roman" w:hAnsi="Times New Roman"/>
          <w:sz w:val="18"/>
          <w:szCs w:val="18"/>
          <w:color w:val="auto"/>
        </w:rPr>
      </w:pPr>
    </w:p>
    <w:p>
      <w:pPr>
        <w:ind w:left="1020" w:right="20" w:hanging="503"/>
        <w:spacing w:after="0" w:line="259"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Initiated Phase 2 Clinical Trial of TX45 in PH-ILD: </w:t>
      </w:r>
      <w:r>
        <w:rPr>
          <w:rFonts w:ascii="Times New Roman" w:cs="Times New Roman" w:eastAsia="Times New Roman" w:hAnsi="Times New Roman"/>
          <w:sz w:val="18"/>
          <w:szCs w:val="18"/>
          <w:color w:val="auto"/>
        </w:rPr>
        <w:t>In February 2026, the Company began clinical execution of its Phase 2 clinical trial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TX45 in patients with PH-ILD, with the first site activated and screening initiated. The 16-week, open-label trial is expected to enroll up to 25 patients and will evaluate change from baseline in pulmonary vascular resistance (“PVR”) at Week 16 as the primary endpoint. TX45 is administered subcutaneously every four weeks and is designed to address multiple aspects of PH-ILD pathophysiology, including vasodilation, inflammation, vascular remodeling, and fibrosis.</w:t>
      </w:r>
    </w:p>
    <w:p>
      <w:pPr>
        <w:spacing w:after="0" w:line="71" w:lineRule="exact"/>
        <w:rPr>
          <w:rFonts w:ascii="Times New Roman" w:cs="Times New Roman" w:eastAsia="Times New Roman" w:hAnsi="Times New Roman"/>
          <w:sz w:val="18"/>
          <w:szCs w:val="18"/>
          <w:color w:val="auto"/>
        </w:rPr>
      </w:pPr>
    </w:p>
    <w:p>
      <w:pPr>
        <w:ind w:left="1020" w:hanging="503"/>
        <w:spacing w:after="0" w:line="262"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Appointed François Nader, M.D., as Chair of the Board: </w:t>
      </w:r>
      <w:r>
        <w:rPr>
          <w:rFonts w:ascii="Times New Roman" w:cs="Times New Roman" w:eastAsia="Times New Roman" w:hAnsi="Times New Roman"/>
          <w:sz w:val="18"/>
          <w:szCs w:val="18"/>
          <w:color w:val="auto"/>
        </w:rPr>
        <w:t>In February 2026, the Company appointed François Nader, M.D., as Chair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Board. Dr. Nader brings extensive biopharmaceutical leadership and public company experience, including serving as CEO of NPS Pharmaceuticals and overseeing its ~$5.2 billion acquisition by Shire, strengthening the Company’s board as it advances its clinical pipeline and strategic priorities.</w:t>
      </w:r>
    </w:p>
    <w:p>
      <w:pPr>
        <w:spacing w:after="0" w:line="68" w:lineRule="exact"/>
        <w:rPr>
          <w:rFonts w:ascii="Times New Roman" w:cs="Times New Roman" w:eastAsia="Times New Roman" w:hAnsi="Times New Roman"/>
          <w:sz w:val="18"/>
          <w:szCs w:val="18"/>
          <w:color w:val="auto"/>
        </w:rPr>
      </w:pPr>
    </w:p>
    <w:p>
      <w:pPr>
        <w:ind w:left="1020" w:right="100" w:hanging="503"/>
        <w:spacing w:after="0" w:line="262"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Appointed Jessica Chutter, as Independent Board Director: </w:t>
      </w:r>
      <w:r>
        <w:rPr>
          <w:rFonts w:ascii="Times New Roman" w:cs="Times New Roman" w:eastAsia="Times New Roman" w:hAnsi="Times New Roman"/>
          <w:sz w:val="18"/>
          <w:szCs w:val="18"/>
          <w:color w:val="auto"/>
        </w:rPr>
        <w:t>In April 2026, the Company appointed Jessica Chutter to its Board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Directors effective as of the Company’s 2026 annual meeting of stockholders. Ms. Chutter brings more than four decades of experience in healthcare investment banking, most recently at Morgan Stanley, with deep expertise advising biotechnology and pharmaceutical companies on strategic positioning and capital market execution, further strengthening the Company’s board.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Upcoming Milestones</w:t>
      </w:r>
    </w:p>
    <w:p>
      <w:pPr>
        <w:spacing w:after="0" w:line="117" w:lineRule="exact"/>
        <w:rPr>
          <w:sz w:val="20"/>
          <w:szCs w:val="20"/>
          <w:color w:val="auto"/>
        </w:rPr>
      </w:pPr>
    </w:p>
    <w:p>
      <w:pPr>
        <w:ind w:left="1020" w:right="100" w:hanging="503"/>
        <w:spacing w:after="0" w:line="268"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TX2100 Phase 1a Results Expected in 3Q 2026 with Phase 2 Planned in Early 2027: </w:t>
      </w:r>
      <w:r>
        <w:rPr>
          <w:rFonts w:ascii="Times New Roman" w:cs="Times New Roman" w:eastAsia="Times New Roman" w:hAnsi="Times New Roman"/>
          <w:sz w:val="18"/>
          <w:szCs w:val="18"/>
          <w:color w:val="auto"/>
        </w:rPr>
        <w:t>The Company now expects to report topline results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from the ongoing Phase 1a trial of TX2100 in healthy volunteers by the end of the third quarter of 2026. Subject to favorable safety, tolerability and pharmacokinetic results, the Company plans to advance TX2100 into a Phase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375285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30" w:right="339" w:bottom="1440" w:gutter="0" w:footer="0" w:header="0"/>
        </w:sectPr>
      </w:pPr>
    </w:p>
    <w:bookmarkStart w:id="4" w:name="page5"/>
    <w:bookmarkEnd w:id="4"/>
    <w:p>
      <w:pPr>
        <w:ind w:left="1020" w:right="480"/>
        <w:spacing w:after="0" w:line="282" w:lineRule="auto"/>
        <w:rPr>
          <w:sz w:val="20"/>
          <w:szCs w:val="20"/>
          <w:color w:val="auto"/>
        </w:rPr>
      </w:pPr>
      <w:r>
        <w:rPr>
          <w:rFonts w:ascii="Times New Roman" w:cs="Times New Roman" w:eastAsia="Times New Roman" w:hAnsi="Times New Roman"/>
          <w:sz w:val="18"/>
          <w:szCs w:val="18"/>
          <w:color w:val="auto"/>
        </w:rPr>
        <w:t>proof-of-concept trial in patients with moderate-to-severe HHT in early 2027, with endpoints expected to include epistaxis, anemia and hematologic support, and other HHT measures.</w:t>
      </w:r>
    </w:p>
    <w:p>
      <w:pPr>
        <w:spacing w:after="0" w:line="50" w:lineRule="exact"/>
        <w:rPr>
          <w:sz w:val="20"/>
          <w:szCs w:val="20"/>
          <w:color w:val="auto"/>
        </w:rPr>
      </w:pPr>
    </w:p>
    <w:p>
      <w:pPr>
        <w:ind w:left="1020" w:hanging="503"/>
        <w:spacing w:after="0" w:line="259"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TX45 APEX Phase 2 Trial Ongoing with Results Expected Late Q4 2026 or Early Q1 2027: </w:t>
      </w:r>
      <w:r>
        <w:rPr>
          <w:rFonts w:ascii="Times New Roman" w:cs="Times New Roman" w:eastAsia="Times New Roman" w:hAnsi="Times New Roman"/>
          <w:sz w:val="18"/>
          <w:szCs w:val="18"/>
          <w:color w:val="auto"/>
        </w:rPr>
        <w:t>The global, randomized, placebo-controlled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24-week APEX Phase 2 trial is ongoing, evaluating subcutaneous TX45 in patients with pulmonary hypertension associated with heart failure with preserved ejection fraction (PH-HFpEF), including an enriched population with combined pre- and post-capillary pulmonary hypertension (CpcPH). The primary endpoint is change in pulmonary vascular resistance (PVR) from baseline in the CpcPH subgroup (PVR ≥3 Wood Units). APEX patient enrollment is nearing completion with topline data anticipated in late Q4 2026 or early Q1 2027.</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 of Financial and Operating Results</w:t>
      </w:r>
    </w:p>
    <w:p>
      <w:pPr>
        <w:spacing w:after="0" w:line="117" w:lineRule="exact"/>
        <w:rPr>
          <w:sz w:val="20"/>
          <w:szCs w:val="20"/>
          <w:color w:val="auto"/>
        </w:rPr>
      </w:pPr>
    </w:p>
    <w:p>
      <w:pPr>
        <w:ind w:left="1020" w:right="40" w:hanging="503"/>
        <w:spacing w:after="0" w:line="262"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Cash Position: </w:t>
      </w:r>
      <w:r>
        <w:rPr>
          <w:rFonts w:ascii="Times New Roman" w:cs="Times New Roman" w:eastAsia="Times New Roman" w:hAnsi="Times New Roman"/>
          <w:sz w:val="18"/>
          <w:szCs w:val="18"/>
          <w:color w:val="auto"/>
        </w:rPr>
        <w:t>As of March 31, 2026, cash and cash equivalents were $236.9 million, compared to $253.8 million as of December 31, 2025.</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Tectonic anticipates that, based on current operating assumptions, its current cash and cash equivalents will provide a cash runway into Q4 2028, including through the Phase 2 readout for TX45 in PH-HFpEF and PH-ILD, and the progression of TX2100 for HHT into clinical development.</w:t>
      </w:r>
    </w:p>
    <w:p>
      <w:pPr>
        <w:spacing w:after="0" w:line="68" w:lineRule="exact"/>
        <w:rPr>
          <w:rFonts w:ascii="Times New Roman" w:cs="Times New Roman" w:eastAsia="Times New Roman" w:hAnsi="Times New Roman"/>
          <w:sz w:val="18"/>
          <w:szCs w:val="18"/>
          <w:color w:val="auto"/>
        </w:rPr>
      </w:pPr>
    </w:p>
    <w:p>
      <w:pPr>
        <w:ind w:left="1020" w:hanging="503"/>
        <w:spacing w:after="0" w:line="262"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Research and Development Expenses: </w:t>
      </w:r>
      <w:r>
        <w:rPr>
          <w:rFonts w:ascii="Times New Roman" w:cs="Times New Roman" w:eastAsia="Times New Roman" w:hAnsi="Times New Roman"/>
          <w:sz w:val="18"/>
          <w:szCs w:val="18"/>
          <w:color w:val="auto"/>
        </w:rPr>
        <w:t>Research and development expenses were $20.9 million for the three months ended March 31, 2026,</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 compared to $13.0 million for the three months ended March 31, 2025. The increase was primarily the result of CRO and CDMO costs related to the ongoing Phase 2 clinical trial of TX45 and employee-related expenses due to an increase in non-cash, stock-based compensation expense and increase in headcount.</w:t>
      </w:r>
    </w:p>
    <w:p>
      <w:pPr>
        <w:spacing w:after="0" w:line="68" w:lineRule="exact"/>
        <w:rPr>
          <w:rFonts w:ascii="Times New Roman" w:cs="Times New Roman" w:eastAsia="Times New Roman" w:hAnsi="Times New Roman"/>
          <w:sz w:val="18"/>
          <w:szCs w:val="18"/>
          <w:color w:val="auto"/>
        </w:rPr>
      </w:pPr>
    </w:p>
    <w:p>
      <w:pPr>
        <w:ind w:left="1020" w:right="20" w:hanging="503"/>
        <w:spacing w:after="0" w:line="268"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General and Administrative Expenses: </w:t>
      </w:r>
      <w:r>
        <w:rPr>
          <w:rFonts w:ascii="Times New Roman" w:cs="Times New Roman" w:eastAsia="Times New Roman" w:hAnsi="Times New Roman"/>
          <w:sz w:val="18"/>
          <w:szCs w:val="18"/>
          <w:color w:val="auto"/>
        </w:rPr>
        <w:t>General and administrative expenses were $6.4 million for the three months ended March 31, 2026,</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 compared to $5.3 million for the three months ended March 31, 2025. The increase was primarily the result of higher employee-related expenses driven by higher non-cash, stock-based compensation.</w:t>
      </w:r>
    </w:p>
    <w:p>
      <w:pPr>
        <w:spacing w:after="0" w:line="62" w:lineRule="exact"/>
        <w:rPr>
          <w:rFonts w:ascii="Times New Roman" w:cs="Times New Roman" w:eastAsia="Times New Roman" w:hAnsi="Times New Roman"/>
          <w:sz w:val="18"/>
          <w:szCs w:val="18"/>
          <w:color w:val="auto"/>
        </w:rPr>
      </w:pPr>
    </w:p>
    <w:p>
      <w:pPr>
        <w:ind w:left="1020" w:right="180" w:hanging="503"/>
        <w:spacing w:after="0" w:line="286"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Net Loss:</w:t>
      </w:r>
      <w:r>
        <w:rPr>
          <w:rFonts w:ascii="Times New Roman" w:cs="Times New Roman" w:eastAsia="Times New Roman" w:hAnsi="Times New Roman"/>
          <w:sz w:val="18"/>
          <w:szCs w:val="18"/>
          <w:color w:val="auto"/>
        </w:rPr>
        <w:t>For the three months ended March 31, 2026, the Company had a net loss of $25.2 million compared to a net loss of $15.9 million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 the three months ended March 31, 2025.</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Group 2 Pulmonary Hypertension in HFpEF</w:t>
      </w:r>
    </w:p>
    <w:p>
      <w:pPr>
        <w:spacing w:after="0" w:line="31" w:lineRule="exact"/>
        <w:rPr>
          <w:sz w:val="20"/>
          <w:szCs w:val="20"/>
          <w:color w:val="auto"/>
        </w:rPr>
      </w:pPr>
    </w:p>
    <w:p>
      <w:pPr>
        <w:ind w:right="40"/>
        <w:spacing w:after="0" w:line="251" w:lineRule="auto"/>
        <w:rPr>
          <w:sz w:val="20"/>
          <w:szCs w:val="20"/>
          <w:color w:val="auto"/>
        </w:rPr>
      </w:pPr>
      <w:r>
        <w:rPr>
          <w:rFonts w:ascii="Times New Roman" w:cs="Times New Roman" w:eastAsia="Times New Roman" w:hAnsi="Times New Roman"/>
          <w:sz w:val="18"/>
          <w:szCs w:val="18"/>
          <w:color w:val="auto"/>
        </w:rPr>
        <w:t>The World Health Organization has defined 5 groups of pulmonary hypertension (“PH”). Tectonic is focused on the Group 2 subtype, a condition that develops due to left-sided heart disease, specifically PH-HFpEF. In patients with PH-HFpEF, chronic heart failure leads to increased blood pressure in the pulmonary arteries, exerting severe strain on the right side of the heart, which adapts poorly to the increased pressure. This increased pulmonary pressure gradually causes worsening exercise capacity, shortness of breath and right-sided heart failure, which can lead to death. PH-HFpEF is further segmented based on pulmonary hemodynamics into Isolated, post-capillary PH (“IpcPH”) and CpcPH. CpcPH is more severe, accounts for about one third to one half of the 1.4 million PH-HFpEF patients in the U.S. and is characterized by additional, abnormal changes to the pulmonary vasculature, leading to an increase in PVR. Although several Group 1 PH (Pulmonary Arterial Hypertension, “PAH”) medications have been explored in Group 2 PH, to date, no medications have been approved for its treatment.</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Group 3 Pulmonary Hypertension and PH-ILD</w:t>
      </w:r>
    </w:p>
    <w:p>
      <w:pPr>
        <w:spacing w:after="0" w:line="31" w:lineRule="exact"/>
        <w:rPr>
          <w:sz w:val="20"/>
          <w:szCs w:val="20"/>
          <w:color w:val="auto"/>
        </w:rPr>
      </w:pPr>
    </w:p>
    <w:p>
      <w:pPr>
        <w:ind w:right="160"/>
        <w:spacing w:after="0" w:line="253" w:lineRule="auto"/>
        <w:rPr>
          <w:sz w:val="20"/>
          <w:szCs w:val="20"/>
          <w:color w:val="auto"/>
        </w:rPr>
      </w:pPr>
      <w:r>
        <w:rPr>
          <w:rFonts w:ascii="Times New Roman" w:cs="Times New Roman" w:eastAsia="Times New Roman" w:hAnsi="Times New Roman"/>
          <w:sz w:val="18"/>
          <w:szCs w:val="18"/>
          <w:color w:val="auto"/>
        </w:rPr>
        <w:t>Group 3 is PH due to chronic lung disease and Tectonic is focused on a Group 3 subtype, called PH-ILD where PH develops in patients who have ILD. ILD is a group of rare conditions causing inflammation and scarring in the lungs. It is believed that a combination of factors leads to the formation of PH-ILD, including lung fibrosis, chronic hypoxia, vascular remodeling and other factors that lead to worsening exercise capacity. PH-ILD has worse survival than ILD without PH. There are currently two approved treatments for PH-ILD, both of which contain the active ingredient treprostinil administered via nebulizer or dry powder inhaler.</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TX45, a long-acting Fc-relaxin fusion protein</w:t>
      </w:r>
    </w:p>
    <w:p>
      <w:pPr>
        <w:spacing w:after="0" w:line="31"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TX45 is an Fc-relaxin fusion protein with optimized pharmacokinetics and biophysical properties that activates the RXFP1 receptor, the G-protein coupled receptor target of the hormone relaxin. Relaxin is an endogenous protein, expressed at low levels in both men and women that is a pulmonary and systemic vasodilator with lusitropic, anti-fibrotic and anti-inflammatory activity. In normal human physiology, relaxin is upregulated during pregnancy where it exerts vasodilative effects, reduces systemic and pulmonary vascular resistance and increases cardiac output to accommodate the increased demand for oxygen and nutrients from the developing fetus. Relaxin also exerts anti-fibrotic effects on pelvic ligaments to facilitate delivery of the baby.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Hereditary Hemorrhagic Telangiectasia (HHT)</w:t>
      </w:r>
    </w:p>
    <w:p>
      <w:pPr>
        <w:spacing w:after="0" w:line="31" w:lineRule="exact"/>
        <w:rPr>
          <w:sz w:val="20"/>
          <w:szCs w:val="20"/>
          <w:color w:val="auto"/>
        </w:rPr>
      </w:pPr>
    </w:p>
    <w:p>
      <w:pPr>
        <w:ind w:right="80"/>
        <w:spacing w:after="0" w:line="252" w:lineRule="auto"/>
        <w:rPr>
          <w:sz w:val="20"/>
          <w:szCs w:val="20"/>
          <w:color w:val="auto"/>
        </w:rPr>
      </w:pPr>
      <w:r>
        <w:rPr>
          <w:rFonts w:ascii="Times New Roman" w:cs="Times New Roman" w:eastAsia="Times New Roman" w:hAnsi="Times New Roman"/>
          <w:sz w:val="18"/>
          <w:szCs w:val="18"/>
          <w:color w:val="auto"/>
        </w:rPr>
        <w:t>HHT is a rare, inherited vascular disorder affecting an estimated 75,000 people in the United States. HHT is the second most common inherited bleeding disorder and a disease for which there are currently no approved therapies. It is characterized by fragile, abnormal blood vessels that lead to recurrent bleeding, which can reduce quality of life, result in emergency room visits and hospitalizations, as well as chronic anemia requiring frequent iron infusions and/or blood transfusions. Many patients with HHT also develop arteriovenous malformations (AVMs) in vital organs such as the lungs, brain, and liver that, if left untreated, are at risk of rupturing and can result in serious and potentially life-threatening complications including lung or brain hemorrhage, stroke, heart failure, or death. Despite being a rare disease and the second most common inherited bleeding disorder, there are currently no approved therapies.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521335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42"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About TX2100, a VHH-Fc fusion antagonist antibody</w:t>
      </w:r>
    </w:p>
    <w:p>
      <w:pPr>
        <w:spacing w:after="0" w:line="31" w:lineRule="exact"/>
        <w:rPr>
          <w:sz w:val="20"/>
          <w:szCs w:val="20"/>
          <w:color w:val="auto"/>
        </w:rPr>
      </w:pPr>
    </w:p>
    <w:p>
      <w:pPr>
        <w:ind w:right="200"/>
        <w:spacing w:after="0" w:line="252" w:lineRule="auto"/>
        <w:rPr>
          <w:sz w:val="20"/>
          <w:szCs w:val="20"/>
          <w:color w:val="auto"/>
        </w:rPr>
      </w:pPr>
      <w:r>
        <w:rPr>
          <w:rFonts w:ascii="Times New Roman" w:cs="Times New Roman" w:eastAsia="Times New Roman" w:hAnsi="Times New Roman"/>
          <w:sz w:val="18"/>
          <w:szCs w:val="18"/>
          <w:color w:val="auto"/>
        </w:rPr>
        <w:t>TX2100, is a VHH-Fc fusion antagonist antibody that binds to the APJ receptor (also known as the apelin receptor; APLNR), a GPCR that mediates signaling by the pro-angiogenic peptide hormone apelin. APJ represents a differentiated approach for the potential treatment of HHT. APJ is a selective anti-angiogenic target that is primarily expressed in endothelial cells and is generally quiescent under normal physiological conditions, but is upregulated during pathologic angiogenesis, including in HHT preclinical models.TX2100 is designed as a selective APJ antagonist intended to inhibit disease-associated angiogenic signaling with the goal of providing a more favorable safety profile compared to less selective anti-angiogenic approaches. Anti-angiogenic agents have demonstrated activity in HHT preclinical models and in patients, and APJ antagonism has shown activity in multiple HHT preclinical models, supporting development of TX2100 for this indication.</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Tectonic</w:t>
      </w:r>
    </w:p>
    <w:p>
      <w:pPr>
        <w:spacing w:after="0" w:line="31" w:lineRule="exact"/>
        <w:rPr>
          <w:sz w:val="20"/>
          <w:szCs w:val="20"/>
          <w:color w:val="auto"/>
        </w:rPr>
      </w:pPr>
    </w:p>
    <w:p>
      <w:pPr>
        <w:ind w:right="60"/>
        <w:spacing w:after="0" w:line="252" w:lineRule="auto"/>
        <w:rPr>
          <w:sz w:val="20"/>
          <w:szCs w:val="20"/>
          <w:color w:val="auto"/>
        </w:rPr>
      </w:pPr>
      <w:r>
        <w:rPr>
          <w:rFonts w:ascii="Times New Roman" w:cs="Times New Roman" w:eastAsia="Times New Roman" w:hAnsi="Times New Roman"/>
          <w:sz w:val="18"/>
          <w:szCs w:val="18"/>
          <w:color w:val="auto"/>
        </w:rPr>
        <w:t xml:space="preserve">Tectonic Therapeutic is a clinical-stage biotechnology company focused on the discovery and development of therapeutic proteins and antibodies that modulate the activity of GPCRs. Leveraging its proprietary technology platform called GEODe™ (GPCRs Engineered for Optimal Discovery), Tectonic is focused on developing biologic medicines that overcome the existing challenges of GPCR-targeted drug discovery and harness the human body to modify the course of disease. Tectonic focuses on areas of significant unmet medical need, often where therapeutic options are poor or nonexistent, as these are areas where new medicines have the potential to improve patient quality of life. Tectonic is headquartered in Watertown, Massachusetts. For more information, please visit </w:t>
      </w:r>
      <w:r>
        <w:rPr>
          <w:rFonts w:ascii="Times New Roman" w:cs="Times New Roman" w:eastAsia="Times New Roman" w:hAnsi="Times New Roman"/>
          <w:sz w:val="18"/>
          <w:szCs w:val="18"/>
          <w:u w:val="single" w:color="auto"/>
          <w:color w:val="467886"/>
        </w:rPr>
        <w:t>https://tectonictx.com/</w:t>
      </w:r>
      <w:r>
        <w:rPr>
          <w:rFonts w:ascii="Times New Roman" w:cs="Times New Roman" w:eastAsia="Times New Roman" w:hAnsi="Times New Roman"/>
          <w:sz w:val="18"/>
          <w:szCs w:val="18"/>
          <w:color w:val="auto"/>
        </w:rPr>
        <w:t>and follow @TectonicTx on X (formerly Twitter) and LinkedIn.</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31"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This press release contains “forward-looking statements” within the meaning of the “safe harbor” provisions of the Private Securities Litigation Reform Act of 1995. All statements in this press release other than statements of historical facts are “forward-looking statements.” These statements may be identified by words such as “aims,” “anticipates,” “believes,” “could,” “estimates,” “expects,” “forecasts,” “goal,” “intends,” “may,” “plans,” “possible,” “potential,” “seeks,” “will” and variations of these words or similar expressions that are intended to identify forward-looking statements, although not all forward-looking statements contain these words. Forward-looking statements in this press release include, but are not limited to, statements regarding: the design, objectives, initiation, timing, progress and results of current and future preclinical studies and clinical trials of Tectonic’s product candidates, including the ongoing Phase 2 clinical trials for its lead product candidate, TX45, in Group 2 PH-HFpEF and in Group 3 PH-ILD and the ongoing Phase 1 clinical trial for TX2100; and the Company’s expected cash runway. These forward-looking statements are based on Tectonic’s expectations and assumptions as of the date of this press release. Each of these forward-looking statements involves risks and uncertainties that could cause Tectonic’s clinical development programs, future results or performance to differ materially from those expressed or implied by the forward-looking statements. Many factors may cause differences between current expectations and actual results, including: the potential that success in preclinical testing and earlier clinical trials does not ensure that later clinical trials will generate the same results or otherwise provide adequate data to demonstrate the efficacy and safety of a product candidate; the impacts of macroeconomic conditions, including the conflict in Ukraine and the conflict in the Middle East, heightened inflation and uncertain credit and financial markets, on Tectonic’s business, clinical trials and financial position; unexpected safety or efficacy data observed during preclinical studies or clinical trials; clinical trial site activation or enrollment rates that are lower than expected; Tectonic’s ability to realize the benefits of its collaborations and license agreements; changes in expected or existing competition; changes in the regulatory environment; the uncertainties and timing of the regulatory approval process; and unexpected litigation or other disputes. Other factors that may cause Tectonic’s actual results to differ from those expressed or implied in the forward-looking statements in this press release are identified under the heading “Risk Factors” in Tectonic’s quarterly report on Form 10-Q filed for the quarter ended March 31, 2026 and in other filings that Tectonic makes and will make with the SEC in the future. Tectonic expressly disclaims any obligation to update any forward-looking statements contained herein, whether as a result of any new information, future events, changed circumstances or otherwise, except as otherwise required by law.</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Investors</w:t>
      </w:r>
      <w:r>
        <w:rPr>
          <w:rFonts w:ascii="Times New Roman" w:cs="Times New Roman" w:eastAsia="Times New Roman" w:hAnsi="Times New Roman"/>
          <w:sz w:val="18"/>
          <w:szCs w:val="18"/>
          <w:color w:val="auto"/>
        </w:rPr>
        <w: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Dan Ferry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LifeSci Advisors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467886"/>
        </w:rPr>
        <w:t>daniel@lifesciadvisors.com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(617) 430-7576</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Media</w:t>
      </w:r>
      <w:r>
        <w:rPr>
          <w:rFonts w:ascii="Times New Roman" w:cs="Times New Roman" w:eastAsia="Times New Roman" w:hAnsi="Times New Roman"/>
          <w:sz w:val="18"/>
          <w:szCs w:val="18"/>
          <w:color w:val="auto"/>
        </w:rPr>
        <w: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Kathryn Morris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Yates Network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467886"/>
        </w:rPr>
        <w:t>kathryn@theyatesnetwork.com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(914) 204-6412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1082040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30" w:right="339" w:bottom="1440" w:gutter="0" w:footer="0" w:header="0"/>
        </w:sectPr>
      </w:pPr>
    </w:p>
    <w:bookmarkStart w:id="6" w:name="page7"/>
    <w:bookmarkEnd w:id="6"/>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Tectonic Therapeutic, Inc.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 and Comprehensive Loss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 thousands, except per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9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880" w:type="dxa"/>
            <w:vAlign w:val="bottom"/>
            <w:gridSpan w:val="6"/>
          </w:tcPr>
          <w:p>
            <w:pPr>
              <w:jc w:val="right"/>
              <w:ind w:right="98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210"/>
        </w:trPr>
        <w:tc>
          <w:tcPr>
            <w:tcW w:w="6920" w:type="dxa"/>
            <w:vAlign w:val="bottom"/>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1520" w:type="dxa"/>
            <w:vAlign w:val="bottom"/>
            <w:tcBorders>
              <w:top w:val="single" w:sz="8" w:color="auto"/>
              <w:bottom w:val="single" w:sz="8" w:color="auto"/>
            </w:tcBorders>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8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1500" w:type="dxa"/>
            <w:vAlign w:val="bottom"/>
            <w:tcBorders>
              <w:top w:val="single" w:sz="8" w:color="auto"/>
              <w:bottom w:val="single" w:sz="8" w:color="auto"/>
            </w:tcBorders>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18"/>
                <w:szCs w:val="18"/>
                <w:color w:val="auto"/>
              </w:rPr>
            </w:pPr>
          </w:p>
        </w:tc>
      </w:tr>
      <w:tr>
        <w:trPr>
          <w:trHeight w:val="209"/>
        </w:trPr>
        <w:tc>
          <w:tcPr>
            <w:tcW w:w="69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440" w:type="dxa"/>
            <w:vAlign w:val="bottom"/>
            <w:shd w:val="clear" w:color="auto" w:fill="CFF0FC"/>
          </w:tcPr>
          <w:p>
            <w:pPr>
              <w:spacing w:after="0"/>
              <w:rPr>
                <w:sz w:val="18"/>
                <w:szCs w:val="18"/>
                <w:color w:val="auto"/>
              </w:rPr>
            </w:pPr>
          </w:p>
        </w:tc>
        <w:tc>
          <w:tcPr>
            <w:tcW w:w="15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5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9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20,871</w:t>
            </w:r>
          </w:p>
        </w:tc>
        <w:tc>
          <w:tcPr>
            <w:tcW w:w="180" w:type="dxa"/>
            <w:vAlign w:val="bottom"/>
          </w:tcPr>
          <w:p>
            <w:pPr>
              <w:spacing w:after="0"/>
              <w:rPr>
                <w:sz w:val="18"/>
                <w:szCs w:val="18"/>
                <w:color w:val="auto"/>
              </w:rPr>
            </w:pPr>
          </w:p>
        </w:tc>
        <w:tc>
          <w:tcPr>
            <w:tcW w:w="5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13,036</w:t>
            </w:r>
          </w:p>
        </w:tc>
        <w:tc>
          <w:tcPr>
            <w:tcW w:w="100" w:type="dxa"/>
            <w:vAlign w:val="bottom"/>
          </w:tcPr>
          <w:p>
            <w:pPr>
              <w:spacing w:after="0"/>
              <w:rPr>
                <w:sz w:val="18"/>
                <w:szCs w:val="18"/>
                <w:color w:val="auto"/>
              </w:rPr>
            </w:pPr>
          </w:p>
        </w:tc>
      </w:tr>
      <w:tr>
        <w:trPr>
          <w:trHeight w:val="216"/>
        </w:trPr>
        <w:tc>
          <w:tcPr>
            <w:tcW w:w="692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440" w:type="dxa"/>
            <w:vAlign w:val="bottom"/>
            <w:tcBorders>
              <w:bottom w:val="single" w:sz="8" w:color="auto"/>
            </w:tcBorders>
            <w:shd w:val="clear" w:color="auto" w:fill="CFF0FC"/>
          </w:tcPr>
          <w:p>
            <w:pPr>
              <w:spacing w:after="0"/>
              <w:rPr>
                <w:sz w:val="18"/>
                <w:szCs w:val="18"/>
                <w:color w:val="auto"/>
              </w:rPr>
            </w:pPr>
          </w:p>
        </w:tc>
        <w:tc>
          <w:tcPr>
            <w:tcW w:w="1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6,430</w:t>
            </w:r>
          </w:p>
        </w:tc>
        <w:tc>
          <w:tcPr>
            <w:tcW w:w="18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440" w:type="dxa"/>
            <w:vAlign w:val="bottom"/>
            <w:tcBorders>
              <w:bottom w:val="single" w:sz="8" w:color="auto"/>
            </w:tcBorders>
            <w:shd w:val="clear" w:color="auto" w:fill="CFF0FC"/>
          </w:tcPr>
          <w:p>
            <w:pPr>
              <w:spacing w:after="0"/>
              <w:rPr>
                <w:sz w:val="18"/>
                <w:szCs w:val="18"/>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5,262</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69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44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27,301</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18,298</w:t>
            </w:r>
          </w:p>
        </w:tc>
        <w:tc>
          <w:tcPr>
            <w:tcW w:w="100" w:type="dxa"/>
            <w:vAlign w:val="bottom"/>
          </w:tcPr>
          <w:p>
            <w:pPr>
              <w:spacing w:after="0"/>
              <w:rPr>
                <w:sz w:val="18"/>
                <w:szCs w:val="18"/>
                <w:color w:val="auto"/>
              </w:rPr>
            </w:pPr>
          </w:p>
        </w:tc>
      </w:tr>
      <w:tr>
        <w:trPr>
          <w:trHeight w:val="210"/>
        </w:trPr>
        <w:tc>
          <w:tcPr>
            <w:tcW w:w="6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440" w:type="dxa"/>
            <w:vAlign w:val="bottom"/>
            <w:shd w:val="clear" w:color="auto" w:fill="CFF0FC"/>
          </w:tcPr>
          <w:p>
            <w:pPr>
              <w:spacing w:after="0"/>
              <w:rPr>
                <w:sz w:val="18"/>
                <w:szCs w:val="18"/>
                <w:color w:val="auto"/>
              </w:rPr>
            </w:pPr>
          </w:p>
        </w:tc>
        <w:tc>
          <w:tcPr>
            <w:tcW w:w="17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(27,301)</w:t>
            </w:r>
          </w:p>
        </w:tc>
        <w:tc>
          <w:tcPr>
            <w:tcW w:w="14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6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(18,298)</w:t>
            </w:r>
          </w:p>
        </w:tc>
      </w:tr>
      <w:tr>
        <w:trPr>
          <w:trHeight w:val="216"/>
        </w:trPr>
        <w:tc>
          <w:tcPr>
            <w:tcW w:w="692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(expense), net:</w:t>
            </w:r>
          </w:p>
        </w:tc>
        <w:tc>
          <w:tcPr>
            <w:tcW w:w="4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9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Interest income</w:t>
            </w:r>
          </w:p>
        </w:tc>
        <w:tc>
          <w:tcPr>
            <w:tcW w:w="440" w:type="dxa"/>
            <w:vAlign w:val="bottom"/>
            <w:shd w:val="clear" w:color="auto" w:fill="CFF0FC"/>
          </w:tcPr>
          <w:p>
            <w:pPr>
              <w:spacing w:after="0"/>
              <w:rPr>
                <w:sz w:val="18"/>
                <w:szCs w:val="18"/>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2,181</w:t>
            </w: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2,444</w:t>
            </w:r>
          </w:p>
        </w:tc>
        <w:tc>
          <w:tcPr>
            <w:tcW w:w="100" w:type="dxa"/>
            <w:vAlign w:val="bottom"/>
            <w:shd w:val="clear" w:color="auto" w:fill="CFF0FC"/>
          </w:tcPr>
          <w:p>
            <w:pPr>
              <w:spacing w:after="0"/>
              <w:rPr>
                <w:sz w:val="18"/>
                <w:szCs w:val="18"/>
                <w:color w:val="auto"/>
              </w:rPr>
            </w:pPr>
          </w:p>
        </w:tc>
      </w:tr>
      <w:tr>
        <w:trPr>
          <w:trHeight w:val="216"/>
        </w:trPr>
        <w:tc>
          <w:tcPr>
            <w:tcW w:w="69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Interest expense</w:t>
            </w:r>
          </w:p>
        </w:tc>
        <w:tc>
          <w:tcPr>
            <w:tcW w:w="440" w:type="dxa"/>
            <w:vAlign w:val="bottom"/>
          </w:tcPr>
          <w:p>
            <w:pPr>
              <w:spacing w:after="0"/>
              <w:rPr>
                <w:sz w:val="18"/>
                <w:szCs w:val="18"/>
                <w:color w:val="auto"/>
              </w:rPr>
            </w:pPr>
          </w:p>
        </w:tc>
        <w:tc>
          <w:tcPr>
            <w:tcW w:w="1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w:t>
            </w: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(20)</w:t>
            </w:r>
          </w:p>
        </w:tc>
      </w:tr>
      <w:tr>
        <w:trPr>
          <w:trHeight w:val="216"/>
        </w:trPr>
        <w:tc>
          <w:tcPr>
            <w:tcW w:w="69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Other expense</w:t>
            </w:r>
          </w:p>
        </w:tc>
        <w:tc>
          <w:tcPr>
            <w:tcW w:w="440" w:type="dxa"/>
            <w:vAlign w:val="bottom"/>
            <w:shd w:val="clear" w:color="auto" w:fill="CFF0FC"/>
          </w:tcPr>
          <w:p>
            <w:pPr>
              <w:spacing w:after="0"/>
              <w:rPr>
                <w:sz w:val="18"/>
                <w:szCs w:val="18"/>
                <w:color w:val="auto"/>
              </w:rPr>
            </w:pPr>
          </w:p>
        </w:tc>
        <w:tc>
          <w:tcPr>
            <w:tcW w:w="17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(113)</w:t>
            </w:r>
          </w:p>
        </w:tc>
        <w:tc>
          <w:tcPr>
            <w:tcW w:w="14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6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(32)</w:t>
            </w:r>
          </w:p>
        </w:tc>
      </w:tr>
      <w:tr>
        <w:trPr>
          <w:trHeight w:val="210"/>
        </w:trPr>
        <w:tc>
          <w:tcPr>
            <w:tcW w:w="6920" w:type="dxa"/>
            <w:vAlign w:val="bottom"/>
            <w:tcBorders>
              <w:top w:val="single" w:sz="8" w:color="CFF0FC"/>
            </w:tcBorders>
          </w:tcPr>
          <w:p>
            <w:pPr>
              <w:ind w:left="260"/>
              <w:spacing w:after="0"/>
              <w:rPr>
                <w:sz w:val="20"/>
                <w:szCs w:val="20"/>
                <w:color w:val="auto"/>
              </w:rPr>
            </w:pPr>
            <w:r>
              <w:rPr>
                <w:rFonts w:ascii="Times New Roman" w:cs="Times New Roman" w:eastAsia="Times New Roman" w:hAnsi="Times New Roman"/>
                <w:sz w:val="18"/>
                <w:szCs w:val="18"/>
                <w:color w:val="auto"/>
              </w:rPr>
              <w:t>Total other income, net</w:t>
            </w:r>
          </w:p>
        </w:tc>
        <w:tc>
          <w:tcPr>
            <w:tcW w:w="440" w:type="dxa"/>
            <w:vAlign w:val="bottom"/>
            <w:tcBorders>
              <w:top w:val="single" w:sz="8" w:color="auto"/>
              <w:bottom w:val="single" w:sz="8" w:color="auto"/>
            </w:tcBorders>
          </w:tcPr>
          <w:p>
            <w:pPr>
              <w:spacing w:after="0"/>
              <w:rPr>
                <w:sz w:val="18"/>
                <w:szCs w:val="18"/>
                <w:color w:val="auto"/>
              </w:rPr>
            </w:pPr>
          </w:p>
        </w:tc>
        <w:tc>
          <w:tcPr>
            <w:tcW w:w="1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2,060</w:t>
            </w:r>
          </w:p>
        </w:tc>
        <w:tc>
          <w:tcPr>
            <w:tcW w:w="180" w:type="dxa"/>
            <w:vAlign w:val="bottom"/>
            <w:tcBorders>
              <w:top w:val="single" w:sz="8" w:color="CFF0FC"/>
            </w:tcBorders>
          </w:tcPr>
          <w:p>
            <w:pPr>
              <w:spacing w:after="0"/>
              <w:rPr>
                <w:sz w:val="18"/>
                <w:szCs w:val="18"/>
                <w:color w:val="auto"/>
              </w:rPr>
            </w:pPr>
          </w:p>
        </w:tc>
        <w:tc>
          <w:tcPr>
            <w:tcW w:w="140" w:type="dxa"/>
            <w:vAlign w:val="bottom"/>
            <w:tcBorders>
              <w:top w:val="single" w:sz="8" w:color="CFF0FC"/>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1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2,392</w:t>
            </w:r>
          </w:p>
        </w:tc>
        <w:tc>
          <w:tcPr>
            <w:tcW w:w="100" w:type="dxa"/>
            <w:vAlign w:val="bottom"/>
            <w:tcBorders>
              <w:top w:val="single" w:sz="8" w:color="CFF0FC"/>
            </w:tcBorders>
          </w:tcPr>
          <w:p>
            <w:pPr>
              <w:spacing w:after="0"/>
              <w:rPr>
                <w:sz w:val="18"/>
                <w:szCs w:val="18"/>
                <w:color w:val="auto"/>
              </w:rPr>
            </w:pPr>
          </w:p>
        </w:tc>
      </w:tr>
      <w:tr>
        <w:trPr>
          <w:trHeight w:val="209"/>
        </w:trPr>
        <w:tc>
          <w:tcPr>
            <w:tcW w:w="6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w:t>
            </w:r>
          </w:p>
        </w:tc>
        <w:tc>
          <w:tcPr>
            <w:tcW w:w="440" w:type="dxa"/>
            <w:vAlign w:val="bottom"/>
            <w:shd w:val="clear" w:color="auto" w:fill="CFF0FC"/>
          </w:tcPr>
          <w:p>
            <w:pPr>
              <w:spacing w:after="0"/>
              <w:rPr>
                <w:sz w:val="18"/>
                <w:szCs w:val="18"/>
                <w:color w:val="auto"/>
              </w:rPr>
            </w:pPr>
          </w:p>
        </w:tc>
        <w:tc>
          <w:tcPr>
            <w:tcW w:w="17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(25,241)</w:t>
            </w:r>
          </w:p>
        </w:tc>
        <w:tc>
          <w:tcPr>
            <w:tcW w:w="14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6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(15,906)</w:t>
            </w:r>
          </w:p>
        </w:tc>
      </w:tr>
      <w:tr>
        <w:trPr>
          <w:trHeight w:val="209"/>
        </w:trPr>
        <w:tc>
          <w:tcPr>
            <w:tcW w:w="692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Other comprehensive loss:</w:t>
            </w:r>
          </w:p>
        </w:tc>
        <w:tc>
          <w:tcPr>
            <w:tcW w:w="440" w:type="dxa"/>
            <w:vAlign w:val="bottom"/>
            <w:tcBorders>
              <w:top w:val="single" w:sz="8" w:color="auto"/>
            </w:tcBorders>
          </w:tcPr>
          <w:p>
            <w:pPr>
              <w:spacing w:after="0"/>
              <w:rPr>
                <w:sz w:val="18"/>
                <w:szCs w:val="18"/>
                <w:color w:val="auto"/>
              </w:rPr>
            </w:pPr>
          </w:p>
        </w:tc>
        <w:tc>
          <w:tcPr>
            <w:tcW w:w="1520" w:type="dxa"/>
            <w:vAlign w:val="bottom"/>
            <w:tcBorders>
              <w:top w:val="single" w:sz="8" w:color="auto"/>
            </w:tcBorders>
          </w:tcPr>
          <w:p>
            <w:pPr>
              <w:spacing w:after="0"/>
              <w:rPr>
                <w:sz w:val="18"/>
                <w:szCs w:val="18"/>
                <w:color w:val="auto"/>
              </w:rPr>
            </w:pPr>
          </w:p>
        </w:tc>
        <w:tc>
          <w:tcPr>
            <w:tcW w:w="180" w:type="dxa"/>
            <w:vAlign w:val="bottom"/>
            <w:tcBorders>
              <w:top w:val="single" w:sz="8" w:color="CFF0FC"/>
            </w:tcBorders>
          </w:tcPr>
          <w:p>
            <w:pPr>
              <w:spacing w:after="0"/>
              <w:rPr>
                <w:sz w:val="18"/>
                <w:szCs w:val="18"/>
                <w:color w:val="auto"/>
              </w:rPr>
            </w:pPr>
          </w:p>
        </w:tc>
        <w:tc>
          <w:tcPr>
            <w:tcW w:w="140" w:type="dxa"/>
            <w:vAlign w:val="bottom"/>
            <w:tcBorders>
              <w:top w:val="single" w:sz="8" w:color="CFF0FC"/>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500" w:type="dxa"/>
            <w:vAlign w:val="bottom"/>
            <w:tcBorders>
              <w:top w:val="single" w:sz="8" w:color="auto"/>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r>
      <w:tr>
        <w:trPr>
          <w:trHeight w:val="216"/>
        </w:trPr>
        <w:tc>
          <w:tcPr>
            <w:tcW w:w="69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440" w:type="dxa"/>
            <w:vAlign w:val="bottom"/>
            <w:shd w:val="clear" w:color="auto" w:fill="CFF0FC"/>
          </w:tcPr>
          <w:p>
            <w:pPr>
              <w:spacing w:after="0"/>
              <w:rPr>
                <w:sz w:val="18"/>
                <w:szCs w:val="18"/>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6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w:t>
            </w:r>
          </w:p>
        </w:tc>
      </w:tr>
      <w:tr>
        <w:trPr>
          <w:trHeight w:val="20"/>
        </w:trPr>
        <w:tc>
          <w:tcPr>
            <w:tcW w:w="6920" w:type="dxa"/>
            <w:vAlign w:val="bottom"/>
            <w:shd w:val="clear" w:color="auto" w:fill="CFF0FC"/>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09"/>
        </w:trPr>
        <w:tc>
          <w:tcPr>
            <w:tcW w:w="6920" w:type="dxa"/>
            <w:vAlign w:val="bottom"/>
          </w:tcPr>
          <w:p>
            <w:pPr>
              <w:spacing w:after="0"/>
              <w:rPr>
                <w:sz w:val="20"/>
                <w:szCs w:val="20"/>
                <w:color w:val="auto"/>
              </w:rPr>
            </w:pPr>
            <w:r>
              <w:rPr>
                <w:rFonts w:ascii="Times New Roman" w:cs="Times New Roman" w:eastAsia="Times New Roman" w:hAnsi="Times New Roman"/>
                <w:sz w:val="18"/>
                <w:szCs w:val="18"/>
                <w:color w:val="auto"/>
              </w:rPr>
              <w:t>Comprehensive loss</w:t>
            </w: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(25,204)</w:t>
            </w:r>
          </w:p>
        </w:tc>
        <w:tc>
          <w:tcPr>
            <w:tcW w:w="5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(15,913)</w:t>
            </w:r>
          </w:p>
        </w:tc>
      </w:tr>
      <w:tr>
        <w:trPr>
          <w:trHeight w:val="20"/>
        </w:trPr>
        <w:tc>
          <w:tcPr>
            <w:tcW w:w="69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7"/>
        </w:trPr>
        <w:tc>
          <w:tcPr>
            <w:tcW w:w="692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Net loss per share, basic and diluted</w:t>
            </w:r>
          </w:p>
        </w:tc>
        <w:tc>
          <w:tcPr>
            <w:tcW w:w="440" w:type="dxa"/>
            <w:vAlign w:val="bottom"/>
            <w:shd w:val="clear" w:color="auto" w:fill="CFF0FC"/>
          </w:tcPr>
          <w:p>
            <w:pPr>
              <w:jc w:val="right"/>
              <w:ind w:right="25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gridSpan w:val="2"/>
            <w:shd w:val="clear" w:color="auto" w:fill="CFF0FC"/>
          </w:tcPr>
          <w:p>
            <w:pPr>
              <w:jc w:val="right"/>
              <w:ind w:right="120"/>
              <w:spacing w:after="0" w:line="196" w:lineRule="exact"/>
              <w:rPr>
                <w:sz w:val="20"/>
                <w:szCs w:val="20"/>
                <w:color w:val="auto"/>
              </w:rPr>
            </w:pPr>
            <w:r>
              <w:rPr>
                <w:rFonts w:ascii="Times New Roman" w:cs="Times New Roman" w:eastAsia="Times New Roman" w:hAnsi="Times New Roman"/>
                <w:sz w:val="18"/>
                <w:szCs w:val="18"/>
                <w:color w:val="auto"/>
              </w:rPr>
              <w:t>(1.34)</w:t>
            </w:r>
          </w:p>
        </w:tc>
        <w:tc>
          <w:tcPr>
            <w:tcW w:w="580" w:type="dxa"/>
            <w:vAlign w:val="bottom"/>
            <w:gridSpan w:val="2"/>
            <w:shd w:val="clear" w:color="auto" w:fill="CFF0FC"/>
          </w:tcPr>
          <w:p>
            <w:pPr>
              <w:jc w:val="right"/>
              <w:ind w:right="34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shd w:val="clear" w:color="auto" w:fill="CFF0FC"/>
          </w:tcPr>
          <w:p>
            <w:pPr>
              <w:jc w:val="right"/>
              <w:ind w:right="40"/>
              <w:spacing w:after="0" w:line="196" w:lineRule="exact"/>
              <w:rPr>
                <w:sz w:val="20"/>
                <w:szCs w:val="20"/>
                <w:color w:val="auto"/>
              </w:rPr>
            </w:pPr>
            <w:r>
              <w:rPr>
                <w:rFonts w:ascii="Times New Roman" w:cs="Times New Roman" w:eastAsia="Times New Roman" w:hAnsi="Times New Roman"/>
                <w:sz w:val="18"/>
                <w:szCs w:val="18"/>
                <w:color w:val="auto"/>
              </w:rPr>
              <w:t>(0.93)</w:t>
            </w:r>
          </w:p>
        </w:tc>
      </w:tr>
      <w:tr>
        <w:trPr>
          <w:trHeight w:val="197"/>
        </w:trPr>
        <w:tc>
          <w:tcPr>
            <w:tcW w:w="6920" w:type="dxa"/>
            <w:vAlign w:val="bottom"/>
            <w:tcBorders>
              <w:top w:val="single" w:sz="8" w:color="CFF0FC"/>
            </w:tcBorders>
          </w:tcPr>
          <w:p>
            <w:pPr>
              <w:spacing w:after="0" w:line="196" w:lineRule="exact"/>
              <w:rPr>
                <w:sz w:val="20"/>
                <w:szCs w:val="20"/>
                <w:color w:val="auto"/>
              </w:rPr>
            </w:pPr>
            <w:r>
              <w:rPr>
                <w:rFonts w:ascii="Times New Roman" w:cs="Times New Roman" w:eastAsia="Times New Roman" w:hAnsi="Times New Roman"/>
                <w:sz w:val="18"/>
                <w:szCs w:val="18"/>
                <w:color w:val="auto"/>
              </w:rPr>
              <w:t>Weighted-average common shares outstanding, basic and diluted</w:t>
            </w:r>
          </w:p>
        </w:tc>
        <w:tc>
          <w:tcPr>
            <w:tcW w:w="440" w:type="dxa"/>
            <w:vAlign w:val="bottom"/>
            <w:tcBorders>
              <w:top w:val="single" w:sz="8" w:color="auto"/>
              <w:bottom w:val="single" w:sz="8" w:color="auto"/>
            </w:tcBorders>
          </w:tcPr>
          <w:p>
            <w:pPr>
              <w:spacing w:after="0"/>
              <w:rPr>
                <w:sz w:val="17"/>
                <w:szCs w:val="17"/>
                <w:color w:val="auto"/>
              </w:rPr>
            </w:pPr>
          </w:p>
        </w:tc>
        <w:tc>
          <w:tcPr>
            <w:tcW w:w="152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18,769,004</w:t>
            </w:r>
          </w:p>
        </w:tc>
        <w:tc>
          <w:tcPr>
            <w:tcW w:w="180" w:type="dxa"/>
            <w:vAlign w:val="bottom"/>
            <w:tcBorders>
              <w:top w:val="single" w:sz="8" w:color="CFF0FC"/>
            </w:tcBorders>
          </w:tcPr>
          <w:p>
            <w:pPr>
              <w:spacing w:after="0"/>
              <w:rPr>
                <w:sz w:val="17"/>
                <w:szCs w:val="17"/>
                <w:color w:val="auto"/>
              </w:rPr>
            </w:pPr>
          </w:p>
        </w:tc>
        <w:tc>
          <w:tcPr>
            <w:tcW w:w="140" w:type="dxa"/>
            <w:vAlign w:val="bottom"/>
            <w:tcBorders>
              <w:top w:val="single" w:sz="8" w:color="CFF0FC"/>
            </w:tcBorders>
          </w:tcPr>
          <w:p>
            <w:pPr>
              <w:spacing w:after="0"/>
              <w:rPr>
                <w:sz w:val="17"/>
                <w:szCs w:val="17"/>
                <w:color w:val="auto"/>
              </w:rPr>
            </w:pPr>
          </w:p>
        </w:tc>
        <w:tc>
          <w:tcPr>
            <w:tcW w:w="440" w:type="dxa"/>
            <w:vAlign w:val="bottom"/>
            <w:tcBorders>
              <w:top w:val="single" w:sz="8" w:color="auto"/>
              <w:bottom w:val="single" w:sz="8" w:color="auto"/>
            </w:tcBorders>
          </w:tcPr>
          <w:p>
            <w:pPr>
              <w:spacing w:after="0"/>
              <w:rPr>
                <w:sz w:val="17"/>
                <w:szCs w:val="17"/>
                <w:color w:val="auto"/>
              </w:rPr>
            </w:pPr>
          </w:p>
        </w:tc>
        <w:tc>
          <w:tcPr>
            <w:tcW w:w="150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17,157,661</w:t>
            </w:r>
          </w:p>
        </w:tc>
        <w:tc>
          <w:tcPr>
            <w:tcW w:w="100" w:type="dxa"/>
            <w:vAlign w:val="bottom"/>
            <w:tcBorders>
              <w:top w:val="single" w:sz="8" w:color="CFF0FC"/>
            </w:tcBorders>
          </w:tcPr>
          <w:p>
            <w:pPr>
              <w:spacing w:after="0"/>
              <w:rPr>
                <w:sz w:val="17"/>
                <w:szCs w:val="17"/>
                <w:color w:val="auto"/>
              </w:rPr>
            </w:pPr>
          </w:p>
        </w:tc>
      </w:tr>
      <w:tr>
        <w:trPr>
          <w:trHeight w:val="20"/>
        </w:trPr>
        <w:tc>
          <w:tcPr>
            <w:tcW w:w="69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5190490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5636895</wp:posOffset>
            </wp:positionH>
            <wp:positionV relativeFrom="paragraph">
              <wp:posOffset>-1910715</wp:posOffset>
            </wp:positionV>
            <wp:extent cx="6858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-1910715</wp:posOffset>
            </wp:positionV>
            <wp:extent cx="6858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5636895</wp:posOffset>
            </wp:positionH>
            <wp:positionV relativeFrom="paragraph">
              <wp:posOffset>-1071245</wp:posOffset>
            </wp:positionV>
            <wp:extent cx="6858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-1071245</wp:posOffset>
            </wp:positionV>
            <wp:extent cx="6858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5636895</wp:posOffset>
            </wp:positionH>
            <wp:positionV relativeFrom="paragraph">
              <wp:posOffset>-779145</wp:posOffset>
            </wp:positionV>
            <wp:extent cx="6858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-779145</wp:posOffset>
            </wp:positionV>
            <wp:extent cx="6858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5636895</wp:posOffset>
            </wp:positionH>
            <wp:positionV relativeFrom="paragraph">
              <wp:posOffset>-496570</wp:posOffset>
            </wp:positionV>
            <wp:extent cx="6858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-496570</wp:posOffset>
            </wp:positionV>
            <wp:extent cx="6858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5636895</wp:posOffset>
            </wp:positionH>
            <wp:positionV relativeFrom="paragraph">
              <wp:posOffset>-187960</wp:posOffset>
            </wp:positionV>
            <wp:extent cx="6858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5636895</wp:posOffset>
            </wp:positionH>
            <wp:positionV relativeFrom="paragraph">
              <wp:posOffset>-170815</wp:posOffset>
            </wp:positionV>
            <wp:extent cx="6858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240"/>
          </w:cols>
          <w:pgMar w:left="320" w:top="1062" w:right="3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16"/>
        </w:trPr>
        <w:tc>
          <w:tcPr>
            <w:tcW w:w="2780" w:type="dxa"/>
            <w:vAlign w:val="bottom"/>
          </w:tcPr>
          <w:p>
            <w:pPr>
              <w:spacing w:after="0"/>
              <w:rPr>
                <w:sz w:val="18"/>
                <w:szCs w:val="18"/>
                <w:color w:val="auto"/>
              </w:rPr>
            </w:pPr>
          </w:p>
        </w:tc>
        <w:tc>
          <w:tcPr>
            <w:tcW w:w="4440" w:type="dxa"/>
            <w:vAlign w:val="bottom"/>
            <w:gridSpan w:val="2"/>
          </w:tcPr>
          <w:p>
            <w:pPr>
              <w:jc w:val="center"/>
              <w:ind w:left="1110"/>
              <w:spacing w:after="0"/>
              <w:rPr>
                <w:sz w:val="20"/>
                <w:szCs w:val="20"/>
                <w:color w:val="auto"/>
              </w:rPr>
            </w:pPr>
            <w:r>
              <w:rPr>
                <w:rFonts w:ascii="Times New Roman" w:cs="Times New Roman" w:eastAsia="Times New Roman" w:hAnsi="Times New Roman"/>
                <w:sz w:val="18"/>
                <w:szCs w:val="18"/>
                <w:b w:val="1"/>
                <w:bCs w:val="1"/>
                <w:color w:val="auto"/>
              </w:rPr>
              <w:t>Tectonic Therapeutic, Inc.</w:t>
            </w:r>
          </w:p>
        </w:tc>
        <w:tc>
          <w:tcPr>
            <w:tcW w:w="7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2780" w:type="dxa"/>
            <w:vAlign w:val="bottom"/>
          </w:tcPr>
          <w:p>
            <w:pPr>
              <w:spacing w:after="0"/>
              <w:rPr>
                <w:sz w:val="18"/>
                <w:szCs w:val="18"/>
                <w:color w:val="auto"/>
              </w:rPr>
            </w:pPr>
          </w:p>
        </w:tc>
        <w:tc>
          <w:tcPr>
            <w:tcW w:w="5160" w:type="dxa"/>
            <w:vAlign w:val="bottom"/>
            <w:gridSpan w:val="3"/>
          </w:tcPr>
          <w:p>
            <w:pPr>
              <w:jc w:val="center"/>
              <w:ind w:left="450"/>
              <w:spacing w:after="0"/>
              <w:rPr>
                <w:sz w:val="20"/>
                <w:szCs w:val="20"/>
                <w:color w:val="auto"/>
              </w:rPr>
            </w:pPr>
            <w:r>
              <w:rPr>
                <w:rFonts w:ascii="Times New Roman" w:cs="Times New Roman" w:eastAsia="Times New Roman" w:hAnsi="Times New Roman"/>
                <w:sz w:val="18"/>
                <w:szCs w:val="18"/>
                <w:b w:val="1"/>
                <w:bCs w:val="1"/>
                <w:color w:val="auto"/>
              </w:rPr>
              <w:t>Select Condensed Consolidated Balance Sheet Data</w:t>
            </w:r>
          </w:p>
        </w:tc>
        <w:tc>
          <w:tcPr>
            <w:tcW w:w="3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278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2180" w:type="dxa"/>
            <w:vAlign w:val="bottom"/>
          </w:tcPr>
          <w:p>
            <w:pPr>
              <w:jc w:val="center"/>
              <w:ind w:right="970"/>
              <w:spacing w:after="0"/>
              <w:rPr>
                <w:sz w:val="20"/>
                <w:szCs w:val="20"/>
                <w:color w:val="auto"/>
              </w:rPr>
            </w:pPr>
            <w:r>
              <w:rPr>
                <w:rFonts w:ascii="Times New Roman" w:cs="Times New Roman" w:eastAsia="Times New Roman" w:hAnsi="Times New Roman"/>
                <w:sz w:val="18"/>
                <w:szCs w:val="18"/>
                <w:b w:val="1"/>
                <w:bCs w:val="1"/>
                <w:color w:val="auto"/>
                <w:w w:val="98"/>
              </w:rPr>
              <w:t>(in thousands)</w:t>
            </w:r>
          </w:p>
        </w:tc>
        <w:tc>
          <w:tcPr>
            <w:tcW w:w="7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278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2180" w:type="dxa"/>
            <w:vAlign w:val="bottom"/>
          </w:tcPr>
          <w:p>
            <w:pPr>
              <w:jc w:val="center"/>
              <w:ind w:right="910"/>
              <w:spacing w:after="0"/>
              <w:rPr>
                <w:sz w:val="20"/>
                <w:szCs w:val="20"/>
                <w:color w:val="auto"/>
              </w:rPr>
            </w:pPr>
            <w:r>
              <w:rPr>
                <w:rFonts w:ascii="Times New Roman" w:cs="Times New Roman" w:eastAsia="Times New Roman" w:hAnsi="Times New Roman"/>
                <w:sz w:val="18"/>
                <w:szCs w:val="18"/>
                <w:b w:val="1"/>
                <w:bCs w:val="1"/>
                <w:color w:val="auto"/>
                <w:w w:val="99"/>
              </w:rPr>
              <w:t>(unaudited)</w:t>
            </w:r>
          </w:p>
        </w:tc>
        <w:tc>
          <w:tcPr>
            <w:tcW w:w="7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8"/>
        </w:trPr>
        <w:tc>
          <w:tcPr>
            <w:tcW w:w="278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218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7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540" w:type="dxa"/>
            <w:vAlign w:val="bottom"/>
            <w:gridSpan w:val="2"/>
          </w:tcPr>
          <w:p>
            <w:pPr>
              <w:ind w:left="280"/>
              <w:spacing w:after="0"/>
              <w:rPr>
                <w:sz w:val="20"/>
                <w:szCs w:val="20"/>
                <w:color w:val="auto"/>
              </w:rPr>
            </w:pPr>
            <w:r>
              <w:rPr>
                <w:rFonts w:ascii="Times New Roman" w:cs="Times New Roman" w:eastAsia="Times New Roman" w:hAnsi="Times New Roman"/>
                <w:sz w:val="18"/>
                <w:szCs w:val="18"/>
                <w:b w:val="1"/>
                <w:bCs w:val="1"/>
                <w:color w:val="auto"/>
              </w:rPr>
              <w:t>December 31, 2025</w:t>
            </w:r>
          </w:p>
        </w:tc>
      </w:tr>
      <w:tr>
        <w:trPr>
          <w:trHeight w:val="210"/>
        </w:trPr>
        <w:tc>
          <w:tcPr>
            <w:tcW w:w="278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218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24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2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4440" w:type="dxa"/>
            <w:vAlign w:val="bottom"/>
            <w:gridSpan w:val="2"/>
            <w:shd w:val="clear" w:color="auto" w:fill="CFF0FC"/>
          </w:tcPr>
          <w:p>
            <w:pPr>
              <w:jc w:val="right"/>
              <w:ind w:right="199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236,894</w:t>
            </w:r>
          </w:p>
        </w:tc>
        <w:tc>
          <w:tcPr>
            <w:tcW w:w="76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253,798</w:t>
            </w:r>
          </w:p>
        </w:tc>
        <w:tc>
          <w:tcPr>
            <w:tcW w:w="120" w:type="dxa"/>
            <w:vAlign w:val="bottom"/>
            <w:shd w:val="clear" w:color="auto" w:fill="CFF0FC"/>
          </w:tcPr>
          <w:p>
            <w:pPr>
              <w:spacing w:after="0"/>
              <w:rPr>
                <w:sz w:val="18"/>
                <w:szCs w:val="18"/>
                <w:color w:val="auto"/>
              </w:rPr>
            </w:pPr>
          </w:p>
        </w:tc>
      </w:tr>
      <w:tr>
        <w:trPr>
          <w:trHeight w:val="216"/>
        </w:trPr>
        <w:tc>
          <w:tcPr>
            <w:tcW w:w="2780" w:type="dxa"/>
            <w:vAlign w:val="bottom"/>
          </w:tcPr>
          <w:p>
            <w:pPr>
              <w:spacing w:after="0"/>
              <w:rPr>
                <w:sz w:val="20"/>
                <w:szCs w:val="20"/>
                <w:color w:val="auto"/>
              </w:rPr>
            </w:pPr>
            <w:r>
              <w:rPr>
                <w:rFonts w:ascii="Times New Roman" w:cs="Times New Roman" w:eastAsia="Times New Roman" w:hAnsi="Times New Roman"/>
                <w:sz w:val="18"/>
                <w:szCs w:val="18"/>
                <w:color w:val="auto"/>
              </w:rPr>
              <w:t>Working capital*</w:t>
            </w:r>
          </w:p>
        </w:tc>
        <w:tc>
          <w:tcPr>
            <w:tcW w:w="226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226,933</w:t>
            </w:r>
          </w:p>
        </w:tc>
        <w:tc>
          <w:tcPr>
            <w:tcW w:w="3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247,693</w:t>
            </w:r>
          </w:p>
        </w:tc>
        <w:tc>
          <w:tcPr>
            <w:tcW w:w="120" w:type="dxa"/>
            <w:vAlign w:val="bottom"/>
          </w:tcPr>
          <w:p>
            <w:pPr>
              <w:spacing w:after="0"/>
              <w:rPr>
                <w:sz w:val="18"/>
                <w:szCs w:val="18"/>
                <w:color w:val="auto"/>
              </w:rPr>
            </w:pPr>
          </w:p>
        </w:tc>
      </w:tr>
      <w:tr>
        <w:trPr>
          <w:trHeight w:val="216"/>
        </w:trPr>
        <w:tc>
          <w:tcPr>
            <w:tcW w:w="2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2260" w:type="dxa"/>
            <w:vAlign w:val="bottom"/>
            <w:shd w:val="clear" w:color="auto" w:fill="CFF0FC"/>
          </w:tcPr>
          <w:p>
            <w:pPr>
              <w:spacing w:after="0"/>
              <w:rPr>
                <w:sz w:val="18"/>
                <w:szCs w:val="18"/>
                <w:color w:val="auto"/>
              </w:rPr>
            </w:pPr>
          </w:p>
        </w:tc>
        <w:tc>
          <w:tcPr>
            <w:tcW w:w="218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246,577</w:t>
            </w:r>
          </w:p>
        </w:tc>
        <w:tc>
          <w:tcPr>
            <w:tcW w:w="3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2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261,038</w:t>
            </w:r>
          </w:p>
        </w:tc>
        <w:tc>
          <w:tcPr>
            <w:tcW w:w="120" w:type="dxa"/>
            <w:vAlign w:val="bottom"/>
            <w:shd w:val="clear" w:color="auto" w:fill="CFF0FC"/>
          </w:tcPr>
          <w:p>
            <w:pPr>
              <w:spacing w:after="0"/>
              <w:rPr>
                <w:sz w:val="18"/>
                <w:szCs w:val="18"/>
                <w:color w:val="auto"/>
              </w:rPr>
            </w:pPr>
          </w:p>
        </w:tc>
      </w:tr>
      <w:tr>
        <w:trPr>
          <w:trHeight w:val="234"/>
        </w:trPr>
        <w:tc>
          <w:tcPr>
            <w:tcW w:w="2780" w:type="dxa"/>
            <w:vAlign w:val="bottom"/>
          </w:tcPr>
          <w:p>
            <w:pPr>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26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230,417</w:t>
            </w:r>
          </w:p>
        </w:tc>
        <w:tc>
          <w:tcPr>
            <w:tcW w:w="3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251,329</w:t>
            </w:r>
          </w:p>
        </w:tc>
        <w:tc>
          <w:tcPr>
            <w:tcW w:w="120" w:type="dxa"/>
            <w:vAlign w:val="bottom"/>
          </w:tcPr>
          <w:p>
            <w:pPr>
              <w:spacing w:after="0"/>
              <w:rPr>
                <w:sz w:val="20"/>
                <w:szCs w:val="20"/>
                <w:color w:val="auto"/>
              </w:rPr>
            </w:pPr>
          </w:p>
        </w:tc>
      </w:tr>
    </w:tbl>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*Working capital is defined as current assets less 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681990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46" w:right="339" w:bottom="1440" w:gutter="0" w:footer="0" w:header="0"/>
        </w:sectPr>
      </w:pPr>
    </w:p>
    <w:bookmarkStart w:id="8" w:name="page9"/>
    <w:bookmarkEnd w:id="8"/>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2026-05-07T15:34:38Z</dcterms:created>
  <dcterms:modified xsi:type="dcterms:W3CDTF">2026-05-07T15:34:38Z</dcterms:modified>
</cp:coreProperties>
</file>