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83-0710585</w:t>
            </w:r>
          </w:p>
        </w:tc>
      </w:tr>
      <w:tr>
        <w:trPr>
          <w:trHeight w:val="149"/>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40" w:type="dxa"/>
            <w:vAlign w:val="bottom"/>
          </w:tcPr>
          <w:p>
            <w:pPr>
              <w:jc w:val="center"/>
              <w:ind w:left="36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40" w:type="dxa"/>
            <w:vAlign w:val="bottom"/>
          </w:tcPr>
          <w:p>
            <w:pPr>
              <w:jc w:val="center"/>
              <w:ind w:left="363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4840" w:type="dxa"/>
            <w:vAlign w:val="bottom"/>
          </w:tcPr>
          <w:p>
            <w:pPr>
              <w:spacing w:after="0"/>
              <w:rPr>
                <w:sz w:val="24"/>
                <w:szCs w:val="24"/>
                <w:color w:val="auto"/>
              </w:rPr>
            </w:pPr>
          </w:p>
        </w:tc>
      </w:tr>
      <w:tr>
        <w:trPr>
          <w:trHeight w:val="21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210</w:t>
            </w:r>
          </w:p>
        </w:tc>
        <w:tc>
          <w:tcPr>
            <w:tcW w:w="4840" w:type="dxa"/>
            <w:vAlign w:val="bottom"/>
          </w:tcPr>
          <w:p>
            <w:pPr>
              <w:spacing w:after="0"/>
              <w:rPr>
                <w:sz w:val="18"/>
                <w:szCs w:val="18"/>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484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3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20" w:type="dxa"/>
            <w:vAlign w:val="bottom"/>
          </w:tcPr>
          <w:p>
            <w:pPr>
              <w:spacing w:after="0"/>
              <w:rPr>
                <w:sz w:val="24"/>
                <w:szCs w:val="24"/>
                <w:color w:val="auto"/>
              </w:rPr>
            </w:pPr>
          </w:p>
        </w:tc>
        <w:tc>
          <w:tcPr>
            <w:tcW w:w="4840" w:type="dxa"/>
            <w:vAlign w:val="bottom"/>
          </w:tcPr>
          <w:p>
            <w:pPr>
              <w:jc w:val="center"/>
              <w:ind w:right="1878"/>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tc>
      </w:tr>
      <w:tr>
        <w:trPr>
          <w:trHeight w:val="216"/>
        </w:trPr>
        <w:tc>
          <w:tcPr>
            <w:tcW w:w="2520" w:type="dxa"/>
            <w:vAlign w:val="bottom"/>
          </w:tcPr>
          <w:p>
            <w:pPr>
              <w:spacing w:after="0"/>
              <w:rPr>
                <w:sz w:val="18"/>
                <w:szCs w:val="18"/>
                <w:color w:val="auto"/>
              </w:rPr>
            </w:pPr>
          </w:p>
        </w:tc>
        <w:tc>
          <w:tcPr>
            <w:tcW w:w="4840" w:type="dxa"/>
            <w:vAlign w:val="bottom"/>
          </w:tcPr>
          <w:p>
            <w:pPr>
              <w:jc w:val="center"/>
              <w:ind w:right="1878"/>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tc>
      </w:tr>
      <w:tr>
        <w:trPr>
          <w:trHeight w:val="214"/>
        </w:trPr>
        <w:tc>
          <w:tcPr>
            <w:tcW w:w="2520" w:type="dxa"/>
            <w:vAlign w:val="bottom"/>
          </w:tcPr>
          <w:p>
            <w:pPr>
              <w:spacing w:after="0"/>
              <w:rPr>
                <w:sz w:val="18"/>
                <w:szCs w:val="18"/>
                <w:color w:val="auto"/>
              </w:rPr>
            </w:pPr>
          </w:p>
        </w:tc>
        <w:tc>
          <w:tcPr>
            <w:tcW w:w="4840" w:type="dxa"/>
            <w:vAlign w:val="bottom"/>
          </w:tcPr>
          <w:p>
            <w:pPr>
              <w:jc w:val="center"/>
              <w:ind w:right="1858"/>
              <w:spacing w:after="0"/>
              <w:rPr>
                <w:sz w:val="20"/>
                <w:szCs w:val="20"/>
                <w:color w:val="auto"/>
              </w:rPr>
            </w:pPr>
            <w:r>
              <w:rPr>
                <w:rFonts w:ascii="Times New Roman" w:cs="Times New Roman" w:eastAsia="Times New Roman" w:hAnsi="Times New Roman"/>
                <w:sz w:val="18"/>
                <w:szCs w:val="18"/>
                <w:b w:val="1"/>
                <w:bCs w:val="1"/>
                <w:color w:val="auto"/>
                <w:w w:val="99"/>
              </w:rPr>
              <w:t>2024 Employee Stock Purchase Plan</w:t>
            </w:r>
          </w:p>
        </w:tc>
      </w:tr>
      <w:tr>
        <w:trPr>
          <w:trHeight w:val="190"/>
        </w:trPr>
        <w:tc>
          <w:tcPr>
            <w:tcW w:w="2520" w:type="dxa"/>
            <w:vAlign w:val="bottom"/>
          </w:tcPr>
          <w:p>
            <w:pPr>
              <w:spacing w:after="0"/>
              <w:rPr>
                <w:sz w:val="16"/>
                <w:szCs w:val="16"/>
                <w:color w:val="auto"/>
              </w:rPr>
            </w:pPr>
          </w:p>
        </w:tc>
        <w:tc>
          <w:tcPr>
            <w:tcW w:w="4840" w:type="dxa"/>
            <w:vAlign w:val="bottom"/>
          </w:tcPr>
          <w:p>
            <w:pPr>
              <w:jc w:val="center"/>
              <w:ind w:right="1858"/>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Lochner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490 Arsenal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210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(339) 666-3320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 A. Recht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Courtney T. Thorne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Katherine Denby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jc w:val="center"/>
        <w:spacing w:after="0" w:line="181" w:lineRule="auto"/>
        <w:rPr>
          <w:sz w:val="20"/>
          <w:szCs w:val="20"/>
          <w:color w:val="auto"/>
        </w:rPr>
      </w:pPr>
      <w:r>
        <w:rPr>
          <w:rFonts w:ascii="Times New Roman" w:cs="Times New Roman" w:eastAsia="Times New Roman" w:hAnsi="Times New Roman"/>
          <w:sz w:val="18"/>
          <w:szCs w:val="18"/>
          <w:b w:val="1"/>
          <w:bCs w:val="1"/>
          <w:color w:val="auto"/>
        </w:rPr>
        <w:t>500 Boylston Street, 14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937-2300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23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This Post-Effective Amendment No. 1 (the “Amendment”), which relates to the Registration Statement filed on Form S-8, File No. 333-281690 (the “Original Registration Statement”) filed with the Securities and Exchange Commission on August 21, 2024 by Tectonic Therapeutic, Inc., a Delaware corporation (the “Registrant”), is being filed solely to file a Consent of Ernst &amp; Young LLP, independent registered public accounting firm of AVROBIO, Inc. attached as Exhibit 23.2 hereto. Except as described herein, this Amendment does not update, amend or modify any other information, statement or disclosure contained in the Original Registration Statement, and all other portions of the Original Registration Statement, as previously filed, remain unchanged. No additional securities are to be registered, and registration fees were paid upon filing of the Original Registration Statement.</w:t>
      </w:r>
    </w:p>
    <w:p>
      <w:pPr>
        <w:sectPr>
          <w:pgSz w:w="11900" w:h="16838" w:orient="portrait"/>
          <w:cols w:equalWidth="0" w:num="1">
            <w:col w:w="10940"/>
          </w:cols>
          <w:pgMar w:left="440" w:top="266" w:right="51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00" w:type="dxa"/>
            <w:vAlign w:val="bottom"/>
            <w:gridSpan w:val="20"/>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1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90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3"/>
                <w:szCs w:val="23"/>
                <w:color w:val="auto"/>
              </w:rPr>
            </w:pPr>
          </w:p>
        </w:tc>
        <w:tc>
          <w:tcPr>
            <w:tcW w:w="10100" w:type="dxa"/>
            <w:vAlign w:val="bottom"/>
            <w:tcBorders>
              <w:top w:val="single" w:sz="8" w:color="auto"/>
            </w:tcBorders>
            <w:gridSpan w:val="20"/>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Fourth Amended and Restated Certificate of Incorporation, as amended through June 20, 2024 (incorporated by reference to Exhibit 3.1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the Registrant’s Quarterly Report on Form 10-Q (File No. 001-38537), filed with the SEC on August 14, 2024).</w:t>
              </w:r>
            </w:hyperlink>
          </w:p>
        </w:tc>
        <w:tc>
          <w:tcPr>
            <w:tcW w:w="1920" w:type="dxa"/>
            <w:vAlign w:val="bottom"/>
            <w:tcBorders>
              <w:top w:val="single" w:sz="8" w:color="0000EE"/>
            </w:tcBorders>
            <w:gridSpan w:val="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9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Amended and Restated Bylaws (incorporated by reference to Exhibit 3.2 to the Registrant’s Current Report on Form 8-K (File</w:t>
              </w:r>
            </w:hyperlink>
          </w:p>
        </w:tc>
        <w:tc>
          <w:tcPr>
            <w:tcW w:w="1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No. 001-38537), filed with the SEC on June 25, 2018).</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39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Opinion of Cooley LLP.</w:t>
              </w:r>
            </w:hyperlink>
          </w:p>
        </w:tc>
        <w:tc>
          <w:tcPr>
            <w:tcW w:w="61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80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 of Tectonic Therapeutic, Inc.</w:t>
            </w:r>
          </w:p>
        </w:tc>
        <w:tc>
          <w:tcPr>
            <w:tcW w:w="20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70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 of AVROBIO, Inc.</w:t>
            </w:r>
          </w:p>
        </w:tc>
        <w:tc>
          <w:tcPr>
            <w:tcW w:w="30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4"/>
                <w:szCs w:val="24"/>
                <w:color w:val="auto"/>
              </w:rPr>
            </w:pPr>
          </w:p>
        </w:tc>
        <w:tc>
          <w:tcPr>
            <w:tcW w:w="42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Consent of Cooley LLP. Reference is made to Exhibit 5.1.</w:t>
              </w:r>
            </w:hyperlink>
          </w:p>
        </w:tc>
        <w:tc>
          <w:tcPr>
            <w:tcW w:w="59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6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Power of Attorney (included on signature page to the Original Registration Statement).</w:t>
              </w:r>
            </w:hyperlink>
          </w:p>
        </w:tc>
        <w:tc>
          <w:tcPr>
            <w:tcW w:w="38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97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Tectonic Therapeutic, Inc. 2019 Equity Incentive Plan and forms of award agreements thereunder (incorporated by reference to Exhibit</w:t>
              </w:r>
            </w:hyperlink>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42</w:t>
              </w:r>
              <w:r>
                <w:rPr>
                  <w:rFonts w:ascii="Times New Roman" w:cs="Times New Roman" w:eastAsia="Times New Roman" w:hAnsi="Times New Roman"/>
                  <w:sz w:val="18"/>
                  <w:szCs w:val="18"/>
                  <w:color w:val="0000EE"/>
                  <w:w w:val="99"/>
                </w:rPr>
                <w:t xml:space="preserve"> to the Registrant’s Registration Statement on Form S-4, filed with the SEC on February 14, 2024).</w:t>
              </w:r>
            </w:hyperlink>
          </w:p>
        </w:tc>
        <w:tc>
          <w:tcPr>
            <w:tcW w:w="2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Tectonic Therapeutic, Inc. 2024 Equity Incentive Plan (incorporated by reference to Exhibit 10.6 to the Registrant’s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8-K (File No. 001-38537), filed with the SEC on June 20, 2024).</w:t>
              </w:r>
            </w:hyperlink>
          </w:p>
        </w:tc>
        <w:tc>
          <w:tcPr>
            <w:tcW w:w="4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Forms of Option Grant Notice, Option Agreement and Notice of Exercise under Tectonic Therapeutic, Inc. 2024 Equity Incentive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(incorporated by reference to Exhibit 10.7 to the Registrant’s Current Report on Form 8-K (File No. 001-38537), filed with the SEC on</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June 20, 2024).</w:t>
              </w:r>
            </w:hyperlink>
          </w:p>
        </w:tc>
        <w:tc>
          <w:tcPr>
            <w:tcW w:w="89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4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Tectonic Therapeutic, Inc. 2024 Employee Stock Purchase Plan (incorporated by reference to Exhibit 10.8 to the Registrant’s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Report on Form 8-K (File No. 001-38537), filed with the SEC on June 20, 2024).</w:t>
              </w:r>
            </w:hyperlink>
          </w:p>
        </w:tc>
        <w:tc>
          <w:tcPr>
            <w:tcW w:w="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58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Filing Fee Table.</w:t>
              </w:r>
            </w:hyperlink>
          </w:p>
        </w:tc>
        <w:tc>
          <w:tcPr>
            <w:tcW w:w="42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Original Registration Statement.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 Effective Amendment No. 1 to be signed on its behalf by the undersigned, thereunto duly authorized, in the City of Watertown, Commonwealth of Massachusetts, on August 27,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Alise Reicin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7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8"/>
                <w:szCs w:val="18"/>
                <w:color w:val="auto"/>
                <w:w w:val="99"/>
              </w:rPr>
              <w:t>/s/ Daniel Lochner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Daniel Lochner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8"/>
              </w:rPr>
              <w:t>Stefan Vitorovic</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Timothy A. Springer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Praveen Tipirneni</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2024</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Phillip B. Donenberg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5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Daniel Lochner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7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Daniel Lochner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60" w:type="dxa"/>
            <w:vAlign w:val="bottom"/>
            <w:gridSpan w:val="3"/>
          </w:tcPr>
          <w:p>
            <w:pPr>
              <w:jc w:val="right"/>
              <w:ind w:right="35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S-8/A of our report dated April 12, 2024 relating to the financial statements of Tectonic Therapeutic, Inc. appearing in the Current Report on Form 8-K filed on June 20, 2024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27, 2024</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Amendment No. 1 to the Registration Statement (Form S-8 No. 333-281690) pertaining to the 2019 Equity Incentive Plan, 2024 Equity Incentive Plan, and 2024 Employee Stock Purchase Plan of Tectonic Therapeutic, Inc. of our report dated March 14, 2024, with respect to the consolidated financial statements of AVROBIO, Inc. included in its Annual Report (Form 10-K) for the year ended December 31, 2023,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27,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8" Type="http://schemas.openxmlformats.org/officeDocument/2006/relationships/hyperlink" Target="http://www.sec.gov/Archives/edgar/data/1681087/000119312524200609/d878693dex31.htm" TargetMode="External"/><Relationship Id="rId19" Type="http://schemas.openxmlformats.org/officeDocument/2006/relationships/hyperlink" Target="http://www.sec.gov/Archives/edgar/data/1681087/000119312518202460/d153924dex32.htm" TargetMode="External"/><Relationship Id="rId20" Type="http://schemas.openxmlformats.org/officeDocument/2006/relationships/hyperlink" Target="http://www.sec.gov/Archives/edgar/data/1681087/000119312524204504/d820499dex51.htm" TargetMode="External"/><Relationship Id="rId21" Type="http://schemas.openxmlformats.org/officeDocument/2006/relationships/hyperlink" Target="http://www.sec.gov/Archives/edgar/data/1681087/000119312524204504/d820499ds8.htm#sig" TargetMode="External"/><Relationship Id="rId22" Type="http://schemas.openxmlformats.org/officeDocument/2006/relationships/hyperlink" Target="http://www.sec.gov/Archives/edgar/data/1681087/000119312524034461/d770053dex1042.htm" TargetMode="External"/><Relationship Id="rId23" Type="http://schemas.openxmlformats.org/officeDocument/2006/relationships/hyperlink" Target="http://www.sec.gov/Archives/edgar/data/1681087/000119312524164480/d852858dex106.htm" TargetMode="External"/><Relationship Id="rId24" Type="http://schemas.openxmlformats.org/officeDocument/2006/relationships/hyperlink" Target="http://www.sec.gov/Archives/edgar/data/1681087/000119312524164480/d852858dex107.htm" TargetMode="External"/><Relationship Id="rId25" Type="http://schemas.openxmlformats.org/officeDocument/2006/relationships/hyperlink" Target="http://www.sec.gov/Archives/edgar/data/1681087/000119312524164480/d852858dex108.htm" TargetMode="External"/><Relationship Id="rId26" Type="http://schemas.openxmlformats.org/officeDocument/2006/relationships/hyperlink" Target="http://www.sec.gov/Archives/edgar/data/1681087/000119312524204504/d82049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2024-08-27T15:14:17Z</dcterms:created>
  <dcterms:modified xsi:type="dcterms:W3CDTF">2024-08-27T15:14:17Z</dcterms:modified>
</cp:coreProperties>
</file>