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490 Arsenal 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210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20, 2025, Tectonic Therapeutic, Inc. announced its financial results for the fourth quarter and full year ended December 31, 2024 and provided a general business update. The full text of the press release is furnished as Exhibit 99.1 to this Current Report on Form 8-K.</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Tectonic Therapeutic, Inc. dated 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wp:posOffset>
            </wp:positionV>
            <wp:extent cx="3013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13710" cy="8255"/>
                    </a:xfrm>
                    <a:prstGeom prst="rect">
                      <a:avLst/>
                    </a:prstGeom>
                    <a:noFill/>
                  </pic:spPr>
                </pic:pic>
              </a:graphicData>
            </a:graphic>
          </wp:anchor>
        </w:drawing>
      </w:r>
    </w:p>
    <w:p>
      <w:pPr>
        <w:spacing w:after="0" w:line="57"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7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3" w:lineRule="exact"/>
        <w:rPr>
          <w:sz w:val="20"/>
          <w:szCs w:val="20"/>
          <w:color w:val="auto"/>
        </w:rPr>
      </w:pPr>
    </w:p>
    <w:p>
      <w:pPr>
        <w:jc w:val="center"/>
        <w:ind w:right="240"/>
        <w:spacing w:after="0" w:line="284" w:lineRule="auto"/>
        <w:rPr>
          <w:sz w:val="20"/>
          <w:szCs w:val="20"/>
          <w:color w:val="auto"/>
        </w:rPr>
      </w:pPr>
      <w:r>
        <w:rPr>
          <w:rFonts w:ascii="Times New Roman" w:cs="Times New Roman" w:eastAsia="Times New Roman" w:hAnsi="Times New Roman"/>
          <w:sz w:val="23"/>
          <w:szCs w:val="23"/>
          <w:b w:val="1"/>
          <w:bCs w:val="1"/>
          <w:color w:val="auto"/>
        </w:rPr>
        <w:t>Tectonic Therapeutic Announces Fourth Quarter and Full Year 2024 Financial Results and Recent Business Highlights</w:t>
      </w:r>
    </w:p>
    <w:p>
      <w:pPr>
        <w:spacing w:after="0" w:line="269" w:lineRule="exact"/>
        <w:rPr>
          <w:sz w:val="20"/>
          <w:szCs w:val="20"/>
          <w:color w:val="auto"/>
        </w:rPr>
      </w:pPr>
    </w:p>
    <w:p>
      <w:pPr>
        <w:ind w:left="1580" w:right="440" w:hanging="515"/>
        <w:spacing w:after="0" w:line="266"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TX45 Phase 1b trial interim analysis demonstrated meaningful improvements in both left ventricular function and pulmonary hemodynamics in patients with Group 2 Pulmonary Hypertension in Heart Failure with Preserved Ejection Fraction (“PH-HFpEF”)</w:t>
      </w:r>
    </w:p>
    <w:p>
      <w:pPr>
        <w:spacing w:after="0" w:line="67" w:lineRule="exact"/>
        <w:rPr>
          <w:rFonts w:ascii="Times New Roman" w:cs="Times New Roman" w:eastAsia="Times New Roman" w:hAnsi="Times New Roman"/>
          <w:sz w:val="18"/>
          <w:szCs w:val="18"/>
          <w:color w:val="auto"/>
        </w:rPr>
      </w:pPr>
    </w:p>
    <w:p>
      <w:pPr>
        <w:ind w:left="1580" w:right="440" w:hanging="515"/>
        <w:spacing w:after="0" w:line="282"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TX45 Phase 1b interim results support endpoints and patient population in ongoing APEX Phase 2 trial, with topline results expected in 2026</w:t>
      </w:r>
    </w:p>
    <w:p>
      <w:pPr>
        <w:spacing w:after="0" w:line="53" w:lineRule="exact"/>
        <w:rPr>
          <w:rFonts w:ascii="Times New Roman" w:cs="Times New Roman" w:eastAsia="Times New Roman" w:hAnsi="Times New Roman"/>
          <w:sz w:val="18"/>
          <w:szCs w:val="18"/>
          <w:color w:val="auto"/>
        </w:rPr>
      </w:pPr>
    </w:p>
    <w:p>
      <w:pPr>
        <w:ind w:left="1580" w:hanging="515"/>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TX45 Phase 1b Part B trial enrolled its first subject with Heart Failure with reduced Ejection Fraction (“HFrEF”) in March 2025</w:t>
      </w:r>
    </w:p>
    <w:p>
      <w:pPr>
        <w:spacing w:after="0" w:line="117" w:lineRule="exact"/>
        <w:rPr>
          <w:rFonts w:ascii="Times New Roman" w:cs="Times New Roman" w:eastAsia="Times New Roman" w:hAnsi="Times New Roman"/>
          <w:sz w:val="18"/>
          <w:szCs w:val="18"/>
          <w:color w:val="auto"/>
        </w:rPr>
      </w:pPr>
    </w:p>
    <w:p>
      <w:pPr>
        <w:ind w:left="1580" w:right="380" w:hanging="515"/>
        <w:spacing w:after="0" w:line="282"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$141.2 million as of December 31, 2024 and February 2025 private placement gross proceeds of approximately $185.0 million, together expected to provide a cash runway into Q4’28</w:t>
      </w:r>
    </w:p>
    <w:p>
      <w:pPr>
        <w:spacing w:after="0" w:line="378"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WATERTOWN, MA, March 20, 2025 (GLOBE NEWSWIRE) -- Tectonic Therapeutic, Inc. (NASDAQ: TECX) (“Tectonic”), a clinical stage biotechnology company focused on the discovery and development of therapeutic proteins and antibodies that modulate the activity of G-protein coupled receptors (“GPCRs”), today announced financial results for the fourth quarter and full year ended December 31, 2024, and provided an overview of recent business highlights.</w:t>
      </w:r>
    </w:p>
    <w:p>
      <w:pPr>
        <w:spacing w:after="0" w:line="180"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“2024 was an important year for Tectonic as we transitioned to a public company, and 2025 is already off to an excellent start,” said Alise Reicin, M.D., President and Chief Executive Officer of Tectonic. “We are very pleased to have recently reported positive interim results from our ongoing Phase 1b trial of TX45, which we believe supports the endpoints and patient population included in our ongoing APEX Phase 2 trial. We look forward to presenting detailed results at an upcoming medical meeting as well as continuing to advance both the APEX Phase 2 trial and Part B of the Phase 1b trial.”</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333" w:lineRule="exact"/>
        <w:rPr>
          <w:sz w:val="20"/>
          <w:szCs w:val="20"/>
          <w:color w:val="auto"/>
        </w:rPr>
      </w:pPr>
    </w:p>
    <w:p>
      <w:pPr>
        <w:ind w:left="1580" w:right="20" w:hanging="515"/>
        <w:spacing w:after="0" w:line="256"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Positive TX45 Phase 1b Part A Interim Trial Results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January 2025, Tectonic announced positive interim results from Part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Phase 1b trial of TX45 in patients with Group 2 pulmonary hypertension in HFpEF. Results demonstrated that TX45 achieved 17.9% reduction in Pulmonary Capillary Wedge Pressure (“PCWP”) in the total study population of PH-HFpEF and &gt;30% reduction in Pulmonary Vascular Resistance (“PVR”) in Combined pre- and post-capillary PH (“CpcPH”), a subpopulation with more severe disease. In addition, results demonstrated that TX45 achieved 17.4% improvement in Cardiac Output in the total study population of PH-HFpEF. Full results from the Phase 1b Part A trial are planned to be presented at a future medical meeting this year.</w:t>
      </w:r>
    </w:p>
    <w:p>
      <w:pPr>
        <w:spacing w:after="0" w:line="74" w:lineRule="exact"/>
        <w:rPr>
          <w:rFonts w:ascii="Times New Roman" w:cs="Times New Roman" w:eastAsia="Times New Roman" w:hAnsi="Times New Roman"/>
          <w:sz w:val="18"/>
          <w:szCs w:val="18"/>
          <w:color w:val="auto"/>
        </w:rPr>
      </w:pPr>
    </w:p>
    <w:p>
      <w:pPr>
        <w:jc w:val="both"/>
        <w:ind w:left="1580" w:right="320" w:hanging="515"/>
        <w:spacing w:after="0" w:line="268"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Completed Approximately $185.0 Million Private Placement: </w:t>
      </w:r>
      <w:r>
        <w:rPr>
          <w:rFonts w:ascii="Times New Roman" w:cs="Times New Roman" w:eastAsia="Times New Roman" w:hAnsi="Times New Roman"/>
          <w:sz w:val="18"/>
          <w:szCs w:val="18"/>
          <w:color w:val="auto"/>
        </w:rPr>
        <w:t>In February 2025, Tectonic entered into a securities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a private investment in public equity financing (“PIPE”) that resulted in gross proceeds of approximately $185.0 million.</w:t>
      </w:r>
    </w:p>
    <w:p>
      <w:pPr>
        <w:spacing w:after="0" w:line="62" w:lineRule="exact"/>
        <w:rPr>
          <w:rFonts w:ascii="Times New Roman" w:cs="Times New Roman" w:eastAsia="Times New Roman" w:hAnsi="Times New Roman"/>
          <w:sz w:val="18"/>
          <w:szCs w:val="18"/>
          <w:color w:val="auto"/>
        </w:rPr>
      </w:pPr>
    </w:p>
    <w:p>
      <w:pPr>
        <w:ind w:left="1580" w:right="180" w:hanging="515"/>
        <w:spacing w:after="0" w:line="262"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Hosted Key Opinion Leader (KOL) Webinar:</w:t>
      </w:r>
      <w:r>
        <w:rPr>
          <w:rFonts w:ascii="Times New Roman" w:cs="Times New Roman" w:eastAsia="Times New Roman" w:hAnsi="Times New Roman"/>
          <w:sz w:val="18"/>
          <w:szCs w:val="18"/>
          <w:color w:val="auto"/>
        </w:rPr>
        <w:t>In December 2024, Tectonic hosted a KOL webinar featuring John R. Teerlink,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MD, FHFSA (University of California San Francisco) and Raymond L. Benza, MD, FACC, FAHA, FACP (Icahn School of Medicine at Mount Sinai), who discussed the unmet medical need and current treatment landscape for patients with Group 2 PH-HFpEF. A replay of the webinar can be accessed here.</w:t>
      </w:r>
    </w:p>
    <w:p>
      <w:pPr>
        <w:spacing w:after="0" w:line="68" w:lineRule="exact"/>
        <w:rPr>
          <w:rFonts w:ascii="Times New Roman" w:cs="Times New Roman" w:eastAsia="Times New Roman" w:hAnsi="Times New Roman"/>
          <w:sz w:val="18"/>
          <w:szCs w:val="18"/>
          <w:color w:val="auto"/>
        </w:rPr>
      </w:pPr>
    </w:p>
    <w:p>
      <w:pPr>
        <w:ind w:left="1580" w:right="180" w:hanging="515"/>
        <w:spacing w:after="0" w:line="268"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Presented Positive TX45 Phase 1a Results at AHA 2024: </w:t>
      </w:r>
      <w:r>
        <w:rPr>
          <w:rFonts w:ascii="Times New Roman" w:cs="Times New Roman" w:eastAsia="Times New Roman" w:hAnsi="Times New Roman"/>
          <w:sz w:val="18"/>
          <w:szCs w:val="18"/>
          <w:color w:val="auto"/>
        </w:rPr>
        <w:t>In November 2024, detailed results from the Phase 1a trial of TX45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presented in a poster at the American Heart Association (AHA) Scientific Sessions. A copy of the poster presentation can be found here.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Upcoming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13" w:right="339" w:bottom="1440" w:gutter="0" w:footer="0" w:header="0"/>
        </w:sectPr>
      </w:pPr>
    </w:p>
    <w:bookmarkStart w:id="4" w:name="page5"/>
    <w:bookmarkEnd w:id="4"/>
    <w:p>
      <w:pPr>
        <w:spacing w:after="0" w:line="82" w:lineRule="exact"/>
        <w:rPr>
          <w:sz w:val="20"/>
          <w:szCs w:val="20"/>
          <w:color w:val="auto"/>
        </w:rPr>
      </w:pPr>
    </w:p>
    <w:p>
      <w:pPr>
        <w:jc w:val="both"/>
        <w:ind w:left="1020" w:right="220" w:hanging="515"/>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1b Part B Results Expected 2H’25</w:t>
      </w:r>
      <w:r>
        <w:rPr>
          <w:rFonts w:ascii="Times New Roman" w:cs="Times New Roman" w:eastAsia="Times New Roman" w:hAnsi="Times New Roman"/>
          <w:sz w:val="18"/>
          <w:szCs w:val="18"/>
          <w:color w:val="auto"/>
        </w:rPr>
        <w:t>: Part B of the TX45 Phase 1b hemodynamic clinical trial evaluating single doses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TX45 in subjects with Pulmonary Hypertension in Heart Failure with reduced Ejection Fraction (“PH-HFrEF”) enrolled its first patient in March, with topline trial results expected in the second half of 2025.</w:t>
      </w:r>
    </w:p>
    <w:p>
      <w:pPr>
        <w:spacing w:after="0" w:line="62" w:lineRule="exact"/>
        <w:rPr>
          <w:rFonts w:ascii="Times New Roman" w:cs="Times New Roman" w:eastAsia="Times New Roman" w:hAnsi="Times New Roman"/>
          <w:sz w:val="18"/>
          <w:szCs w:val="18"/>
          <w:color w:val="auto"/>
        </w:rPr>
      </w:pPr>
    </w:p>
    <w:p>
      <w:pPr>
        <w:ind w:left="1020" w:right="180" w:hanging="515"/>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Ongoing TX45 APEX Phase 2 Clinical Trial Results Expected in 2026</w:t>
      </w:r>
      <w:r>
        <w:rPr>
          <w:rFonts w:ascii="Times New Roman" w:cs="Times New Roman" w:eastAsia="Times New Roman" w:hAnsi="Times New Roman"/>
          <w:sz w:val="18"/>
          <w:szCs w:val="18"/>
          <w:color w:val="auto"/>
        </w:rPr>
        <w:t>: The global, 24-week APEX Phase 2 clinical trial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double-blind, randomized, placebo-controlled study designed to evaluate the safety and efficacy of TX45 administered subcutaneously in subjects with PH-HFpEF, with topline trial results expected in 2026.</w:t>
      </w:r>
    </w:p>
    <w:p>
      <w:pPr>
        <w:spacing w:after="0" w:line="62" w:lineRule="exact"/>
        <w:rPr>
          <w:rFonts w:ascii="Times New Roman" w:cs="Times New Roman" w:eastAsia="Times New Roman" w:hAnsi="Times New Roman"/>
          <w:sz w:val="18"/>
          <w:szCs w:val="18"/>
          <w:color w:val="auto"/>
        </w:rPr>
      </w:pPr>
    </w:p>
    <w:p>
      <w:pPr>
        <w:ind w:left="1020" w:hanging="515"/>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TX2100 GPCR Antagonist for Hereditary Hemorrhagic Telangiectasia (“HHT”) Phase 1 Initiation Expected Q4’25 or Q1’26: </w:t>
      </w:r>
      <w:r>
        <w:rPr>
          <w:rFonts w:ascii="Times New Roman" w:cs="Times New Roman" w:eastAsia="Times New Roman" w:hAnsi="Times New Roman"/>
          <w:sz w:val="18"/>
          <w:szCs w:val="18"/>
          <w:color w:val="auto"/>
        </w:rPr>
        <w:t>TX2100 is a GPCR targeting biotherapeutic being developed as a potential treatment for HHT, the second-most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genetic bleeding disorder. TX2100 remains on track to initiate a Phase 1 clinical trial in Q4’2025 or Q1’2026 following the conclusion of favorable IND enabling studies. A 4-week non-human primate (NHP) dose-range study with a functionally equivalent precursor to TX2100 showed no treatment-related toxicity at doses up to 100 mg/kg. A formulation supporting TX2100 SC dosing has been identified. Both IND enabling NHP GLP toxicology studies and technical development activities to generate GMP drug supply and drug product for TX2100 is expected to start in Q2’2025.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p>
      <w:pPr>
        <w:spacing w:after="0" w:line="117" w:lineRule="exact"/>
        <w:rPr>
          <w:sz w:val="20"/>
          <w:szCs w:val="20"/>
          <w:color w:val="auto"/>
        </w:rPr>
      </w:pPr>
    </w:p>
    <w:p>
      <w:pPr>
        <w:ind w:left="1020" w:right="140" w:hanging="515"/>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As of December 31, 2024, cash and cash equivalents were $141.2 million, compared to $159.1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Tectonic anticipates that, based on current operating assumptions, its current cash and cash equivalents will provide a cash runway into Q4’28, including through key Phase 1b and Phase 2 readouts for TX45, and the progression of the HHT program into clinical development.</w:t>
      </w:r>
    </w:p>
    <w:p>
      <w:pPr>
        <w:spacing w:after="0" w:line="68" w:lineRule="exact"/>
        <w:rPr>
          <w:rFonts w:ascii="Times New Roman" w:cs="Times New Roman" w:eastAsia="Times New Roman" w:hAnsi="Times New Roman"/>
          <w:sz w:val="18"/>
          <w:szCs w:val="18"/>
          <w:color w:val="auto"/>
        </w:rPr>
      </w:pPr>
    </w:p>
    <w:p>
      <w:pPr>
        <w:ind w:left="1020" w:right="100" w:hanging="515"/>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 Research and development expenses were $9.2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 as compared to $7.1 million for the three months ended December 31, 2023. The increase was primarily due to higher contract research organization and contract development manufacturing organization costs related to the progression of the Phase 1b and Phase 2 clinical trials of TX45, and early planning and development manufacturing activity for TX2100, respectively. Tectonic also incurred higher employee-related expenses due to an increase in non-cash stock-based compensation during the period.</w:t>
      </w:r>
    </w:p>
    <w:p>
      <w:pPr>
        <w:spacing w:after="0" w:line="74" w:lineRule="exact"/>
        <w:rPr>
          <w:rFonts w:ascii="Times New Roman" w:cs="Times New Roman" w:eastAsia="Times New Roman" w:hAnsi="Times New Roman"/>
          <w:sz w:val="18"/>
          <w:szCs w:val="18"/>
          <w:color w:val="auto"/>
        </w:rPr>
      </w:pPr>
    </w:p>
    <w:p>
      <w:pPr>
        <w:ind w:left="1020" w:right="280" w:hanging="515"/>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 General and administrative expenses were $4.8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 as compared to $2.3 million for the three months ended December 31, 2023. The increase was primarily a result of higher audit, legal and professional services to support operations as a public company. Tectonic also incurred higher employee-related expenses due to an increase in non-cash stock-based compensation during the period.</w:t>
      </w:r>
    </w:p>
    <w:p>
      <w:pPr>
        <w:spacing w:after="0" w:line="68" w:lineRule="exact"/>
        <w:rPr>
          <w:rFonts w:ascii="Times New Roman" w:cs="Times New Roman" w:eastAsia="Times New Roman" w:hAnsi="Times New Roman"/>
          <w:sz w:val="18"/>
          <w:szCs w:val="18"/>
          <w:color w:val="auto"/>
        </w:rPr>
      </w:pPr>
    </w:p>
    <w:p>
      <w:pPr>
        <w:ind w:left="1020" w:right="80" w:hanging="515"/>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For the three months ended December 31, 2024, the Company had a net loss of $12.4 million compared to a net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$7.9 million for the three months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Group 2 Pulmonary Hypertension in HFpEF</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World Health Organization has defined 5 groups of pulmonary hypertension (“PH”). Tectonic is focused on the Group 2 subtype, a condition that develops due to left-sided heart disease, specifically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CpcPH. CpcPH is more severe, accounts for about one third to one half of the 1.4 million PH-HFpEF patients in the U.S. and is characterized by additional, abnormal changes to the pulmonary vasculature, leading to an increase in PVR. Although several Group 1 PH (Pulmonary Arterial Hypertension, “PAH”) medications have been explored in Group 2 PH, to date, no medications have been approved for its treatment.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TX45, a long-acting Fc-relaxin fusion protein</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668020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440" w:right="39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About TX2100</w:t>
      </w:r>
    </w:p>
    <w:p>
      <w:pPr>
        <w:spacing w:after="0" w:line="31" w:lineRule="exact"/>
        <w:rPr>
          <w:sz w:val="20"/>
          <w:szCs w:val="20"/>
          <w:color w:val="auto"/>
        </w:rPr>
      </w:pPr>
    </w:p>
    <w:p>
      <w:pPr>
        <w:ind w:left="760" w:right="60"/>
        <w:spacing w:after="0" w:line="252" w:lineRule="auto"/>
        <w:rPr>
          <w:sz w:val="20"/>
          <w:szCs w:val="20"/>
          <w:color w:val="auto"/>
        </w:rPr>
      </w:pPr>
      <w:r>
        <w:rPr>
          <w:rFonts w:ascii="Times New Roman" w:cs="Times New Roman" w:eastAsia="Times New Roman" w:hAnsi="Times New Roman"/>
          <w:sz w:val="18"/>
          <w:szCs w:val="18"/>
          <w:color w:val="auto"/>
        </w:rPr>
        <w:t>TX2100 is a GPCR-targeting biotherapeutic that is being developed to treat HHT, the second most common genetic bleeding disorder. In HHT, loss-of-function mutations in the BMP9/10-Endoglin-ALK1-SMAD4 signaling pathway lead to increased expression of factors that promote abnormal blood vessel formation. The abnormal blood vessel formations found in HHT, also known as telangiectasias and arterio-venous malformations or “AVMs”, are prone to spontaneous recurrent and severe bleeding episodes that can be life-threatening, yet there are no approved therapies to treat these patients. The target GPCR for TX2100 is a receptor for an angiogenic factor known to be upregulated in animal models of HHT. By blocking the signaling of this receptor, Tectonic anticipates it can reduce bleeding resulting from the abnormal blood vessel formation seen in HHT.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About Tectonic</w:t>
      </w:r>
    </w:p>
    <w:p>
      <w:pPr>
        <w:spacing w:after="0" w:line="31" w:lineRule="exact"/>
        <w:rPr>
          <w:sz w:val="20"/>
          <w:szCs w:val="20"/>
          <w:color w:val="auto"/>
        </w:rPr>
      </w:pPr>
    </w:p>
    <w:p>
      <w:pPr>
        <w:ind w:left="760" w:right="120"/>
        <w:spacing w:after="0" w:line="252" w:lineRule="auto"/>
        <w:rPr>
          <w:sz w:val="20"/>
          <w:szCs w:val="20"/>
          <w:color w:val="auto"/>
        </w:rPr>
      </w:pPr>
      <w:r>
        <w:rPr>
          <w:rFonts w:ascii="Times New Roman" w:cs="Times New Roman" w:eastAsia="Times New Roman" w:hAnsi="Times New Roman"/>
          <w:sz w:val="18"/>
          <w:szCs w:val="18"/>
          <w:color w:val="auto"/>
        </w:rPr>
        <w:t xml:space="preserve">Tectonic is a clinical 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cs="Times New Roman" w:eastAsia="Times New Roman" w:hAnsi="Times New Roman"/>
          <w:sz w:val="18"/>
          <w:szCs w:val="18"/>
          <w:u w:val="single" w:color="auto"/>
          <w:color w:val="467886"/>
        </w:rPr>
        <w:t>www.tectonictx.com</w:t>
      </w:r>
      <w:r>
        <w:rPr>
          <w:rFonts w:ascii="Times New Roman" w:cs="Times New Roman" w:eastAsia="Times New Roman" w:hAnsi="Times New Roman"/>
          <w:sz w:val="18"/>
          <w:szCs w:val="18"/>
          <w:color w:val="auto"/>
        </w:rPr>
        <w:t xml:space="preserve"> and follow on </w:t>
      </w:r>
      <w:r>
        <w:rPr>
          <w:rFonts w:ascii="Times New Roman" w:cs="Times New Roman" w:eastAsia="Times New Roman" w:hAnsi="Times New Roman"/>
          <w:sz w:val="18"/>
          <w:szCs w:val="18"/>
          <w:u w:val="single" w:color="auto"/>
          <w:color w:val="467886"/>
        </w:rPr>
        <w:t>LinkedIn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1b and Phase 2 clinical trials for its lead program, TX45, in Group 2 PH-HFpEF; the proposed initiation of a Phase 1 clinical trial for its development candidate for a second program in HHT, including its preclinical studies and anticipated endpoints; and the Company’s expected cash runway.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w:t>
      </w:r>
      <w:r>
        <w:rPr>
          <w:rFonts w:ascii="Times New Roman" w:cs="Times New Roman" w:eastAsia="Times New Roman" w:hAnsi="Times New Roman"/>
          <w:sz w:val="18"/>
          <w:szCs w:val="18"/>
          <w:i w:val="1"/>
          <w:iCs w:val="1"/>
          <w:color w:val="auto"/>
        </w:rPr>
        <w:t>Ukraine</w:t>
      </w:r>
      <w:r>
        <w:rPr>
          <w:rFonts w:ascii="Times New Roman" w:cs="Times New Roman" w:eastAsia="Times New Roman" w:hAnsi="Times New Roman"/>
          <w:sz w:val="18"/>
          <w:szCs w:val="18"/>
          <w:color w:val="auto"/>
        </w:rPr>
        <w:t xml:space="preserve"> and the conflict in the </w:t>
      </w:r>
      <w:r>
        <w:rPr>
          <w:rFonts w:ascii="Times New Roman" w:cs="Times New Roman" w:eastAsia="Times New Roman" w:hAnsi="Times New Roman"/>
          <w:sz w:val="18"/>
          <w:szCs w:val="18"/>
          <w:i w:val="1"/>
          <w:iCs w:val="1"/>
          <w:color w:val="auto"/>
        </w:rPr>
        <w:t>Middle East</w:t>
      </w:r>
      <w:r>
        <w:rPr>
          <w:rFonts w:ascii="Times New Roman" w:cs="Times New Roman" w:eastAsia="Times New Roman" w:hAnsi="Times New Roman"/>
          <w:sz w:val="18"/>
          <w:szCs w:val="18"/>
          <w:color w:val="auto"/>
        </w:rPr>
        <w:t xml:space="preserve">,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 the SEC on November 7, 2024,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t>
      </w:r>
      <w:r>
        <w:rPr>
          <w:rFonts w:ascii="Times New Roman" w:cs="Times New Roman" w:eastAsia="Times New Roman" w:hAnsi="Times New Roman"/>
          <w:sz w:val="18"/>
          <w:szCs w:val="18"/>
          <w:u w:val="single" w:color="auto"/>
          <w:color w:val="467886"/>
        </w:rPr>
        <w:t>www.tectonictx.com</w:t>
      </w:r>
      <w:r>
        <w:rPr>
          <w:rFonts w:ascii="Times New Roman" w:cs="Times New Roman" w:eastAsia="Times New Roman" w:hAnsi="Times New Roman"/>
          <w:sz w:val="18"/>
          <w:szCs w:val="18"/>
          <w:color w:val="467886"/>
        </w:rPr>
        <w:t xml:space="preserve"> </w:t>
      </w:r>
      <w:r>
        <w:rPr>
          <w:rFonts w:ascii="Times New Roman" w:cs="Times New Roman" w:eastAsia="Times New Roman" w:hAnsi="Times New Roman"/>
          <w:sz w:val="18"/>
          <w:szCs w:val="18"/>
          <w:color w:val="000000"/>
        </w:rPr>
        <w:t>and follow @TectonicTx on X (formerly Twitter) and LinkedIn.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Ferry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daniel@lifesciadvisors.com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 430-7576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 Morris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Barbara@theyatesnetwork.com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 204-6412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00" w:type="dxa"/>
            <w:vAlign w:val="bottom"/>
          </w:tcPr>
          <w:p>
            <w:pPr>
              <w:spacing w:after="0"/>
              <w:rPr>
                <w:sz w:val="18"/>
                <w:szCs w:val="18"/>
                <w:color w:val="auto"/>
              </w:rPr>
            </w:pPr>
          </w:p>
        </w:tc>
        <w:tc>
          <w:tcPr>
            <w:tcW w:w="278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49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9,155</w:t>
            </w:r>
          </w:p>
        </w:tc>
        <w:tc>
          <w:tcPr>
            <w:tcW w:w="26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26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41,364</w:t>
            </w:r>
          </w:p>
        </w:tc>
        <w:tc>
          <w:tcPr>
            <w:tcW w:w="2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36,966</w:t>
            </w:r>
          </w:p>
        </w:tc>
        <w:tc>
          <w:tcPr>
            <w:tcW w:w="120" w:type="dxa"/>
            <w:vAlign w:val="bottom"/>
          </w:tcPr>
          <w:p>
            <w:pPr>
              <w:spacing w:after="0"/>
              <w:rPr>
                <w:sz w:val="17"/>
                <w:szCs w:val="17"/>
                <w:color w:val="auto"/>
              </w:rPr>
            </w:pPr>
          </w:p>
        </w:tc>
      </w:tr>
      <w:tr>
        <w:trPr>
          <w:trHeight w:val="203"/>
        </w:trPr>
        <w:tc>
          <w:tcPr>
            <w:tcW w:w="4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2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13,989</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58,015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44,648</w:t>
            </w:r>
          </w:p>
        </w:tc>
        <w:tc>
          <w:tcPr>
            <w:tcW w:w="120" w:type="dxa"/>
            <w:vAlign w:val="bottom"/>
          </w:tcPr>
          <w:p>
            <w:pPr>
              <w:spacing w:after="0"/>
              <w:rPr>
                <w:sz w:val="17"/>
                <w:szCs w:val="17"/>
                <w:color w:val="auto"/>
              </w:rPr>
            </w:pPr>
          </w:p>
        </w:tc>
      </w:tr>
      <w:tr>
        <w:trPr>
          <w:trHeight w:val="19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(13,989 )</w:t>
            </w: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(9,372 )</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(58,015 )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(44,648 )</w:t>
            </w: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Change in fair value of SAFE liabilities</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(3,610 )</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20" w:type="dxa"/>
            <w:vAlign w:val="bottom"/>
            <w:shd w:val="clear" w:color="auto" w:fill="CFF0FC"/>
          </w:tcPr>
          <w:p>
            <w:pPr>
              <w:spacing w:after="0"/>
              <w:rPr>
                <w:sz w:val="17"/>
                <w:szCs w:val="17"/>
                <w:color w:val="auto"/>
              </w:rPr>
            </w:pPr>
          </w:p>
        </w:tc>
      </w:tr>
      <w:tr>
        <w:trPr>
          <w:trHeight w:val="203"/>
        </w:trPr>
        <w:tc>
          <w:tcPr>
            <w:tcW w:w="4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issuance of SAFEs</w:t>
            </w:r>
          </w:p>
        </w:tc>
        <w:tc>
          <w:tcPr>
            <w:tcW w:w="18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(255 )</w:t>
            </w:r>
          </w:p>
        </w:tc>
        <w:tc>
          <w:tcPr>
            <w:tcW w:w="3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(255 )</w:t>
            </w:r>
          </w:p>
        </w:tc>
      </w:tr>
      <w:tr>
        <w:trPr>
          <w:trHeight w:val="203"/>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shd w:val="clear" w:color="auto" w:fill="CFF0FC"/>
          </w:tcPr>
          <w:p>
            <w:pPr>
              <w:spacing w:after="0"/>
              <w:rPr>
                <w:sz w:val="17"/>
                <w:szCs w:val="17"/>
                <w:color w:val="auto"/>
              </w:rPr>
            </w:pPr>
          </w:p>
        </w:tc>
      </w:tr>
      <w:tr>
        <w:trPr>
          <w:trHeight w:val="203"/>
        </w:trPr>
        <w:tc>
          <w:tcPr>
            <w:tcW w:w="4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(23 )</w:t>
            </w:r>
          </w:p>
        </w:tc>
        <w:tc>
          <w:tcPr>
            <w:tcW w:w="4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(34 )</w:t>
            </w: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(107 )</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(152 )</w:t>
            </w:r>
          </w:p>
        </w:tc>
      </w:tr>
      <w:tr>
        <w:trPr>
          <w:trHeight w:val="203"/>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expense</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(96 )</w:t>
            </w: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(511 )</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shd w:val="clear" w:color="auto" w:fill="CFF0FC"/>
          </w:tcPr>
          <w:p>
            <w:pPr>
              <w:spacing w:after="0"/>
              <w:rPr>
                <w:sz w:val="17"/>
                <w:szCs w:val="17"/>
                <w:color w:val="auto"/>
              </w:rPr>
            </w:pPr>
          </w:p>
        </w:tc>
      </w:tr>
      <w:tr>
        <w:trPr>
          <w:trHeight w:val="196"/>
        </w:trPr>
        <w:tc>
          <w:tcPr>
            <w:tcW w:w="49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other income, net</w:t>
            </w: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26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20" w:type="dxa"/>
            <w:vAlign w:val="bottom"/>
            <w:tcBorders>
              <w:top w:val="single" w:sz="8" w:color="CFF0FC"/>
            </w:tcBorders>
          </w:tcPr>
          <w:p>
            <w:pPr>
              <w:spacing w:after="0"/>
              <w:rPr>
                <w:sz w:val="17"/>
                <w:szCs w:val="17"/>
                <w:color w:val="auto"/>
              </w:rPr>
            </w:pPr>
          </w:p>
        </w:tc>
      </w:tr>
      <w:tr>
        <w:trPr>
          <w:trHeight w:val="23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(12,373 )</w:t>
            </w:r>
          </w:p>
        </w:tc>
        <w:tc>
          <w:tcPr>
            <w:tcW w:w="4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(7,869 )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(57,982 )</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(42,823 )</w:t>
            </w:r>
          </w:p>
        </w:tc>
      </w:tr>
      <w:tr>
        <w:trPr>
          <w:trHeight w:val="183"/>
        </w:trPr>
        <w:tc>
          <w:tcPr>
            <w:tcW w:w="4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03"/>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49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(12,290 )</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(7,880 )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(57,973 )</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(42,834 )</w:t>
            </w:r>
          </w:p>
        </w:tc>
      </w:tr>
      <w:tr>
        <w:trPr>
          <w:trHeight w:val="20"/>
        </w:trPr>
        <w:tc>
          <w:tcPr>
            <w:tcW w:w="4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(0.84 )</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(5.01 )</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(6.83 )</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(33.76 )</w:t>
            </w:r>
          </w:p>
        </w:tc>
      </w:tr>
      <w:tr>
        <w:trPr>
          <w:trHeight w:val="183"/>
        </w:trPr>
        <w:tc>
          <w:tcPr>
            <w:tcW w:w="4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basic and diluted</w:t>
            </w: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14,792,618</w:t>
            </w:r>
          </w:p>
        </w:tc>
        <w:tc>
          <w:tcPr>
            <w:tcW w:w="260" w:type="dxa"/>
            <w:vAlign w:val="bottom"/>
            <w:tcBorders>
              <w:top w:val="single" w:sz="8" w:color="CFF0FC"/>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1,570,254</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8,490,171</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1,268,512</w:t>
            </w:r>
          </w:p>
        </w:tc>
        <w:tc>
          <w:tcPr>
            <w:tcW w:w="120" w:type="dxa"/>
            <w:vAlign w:val="bottom"/>
            <w:tcBorders>
              <w:top w:val="single" w:sz="8" w:color="CFF0FC"/>
            </w:tcBorders>
          </w:tcPr>
          <w:p>
            <w:pPr>
              <w:spacing w:after="0"/>
              <w:rPr>
                <w:sz w:val="15"/>
                <w:szCs w:val="15"/>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83"/>
        </w:trPr>
        <w:tc>
          <w:tcPr>
            <w:tcW w:w="4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-2914015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-2914015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-2914015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-2914015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-1868170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-1868170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-1868170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-1593850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-1576705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-1576705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-1576705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-1310640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-1310640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-1310640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-1310640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-1019175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-1002030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-1019175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-1002030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-1019175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-1002030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 Condensed Consolidated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30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7620</wp:posOffset>
            </wp:positionV>
            <wp:extent cx="2194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gridSpan w:val="2"/>
          </w:tcPr>
          <w:p>
            <w:pPr>
              <w:ind w:left="8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141,239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28,769</w:t>
            </w:r>
          </w:p>
        </w:tc>
        <w:tc>
          <w:tcPr>
            <w:tcW w:w="10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135,247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(10,004 )</w:t>
            </w:r>
          </w:p>
        </w:tc>
      </w:tr>
      <w:tr>
        <w:trPr>
          <w:trHeight w:val="216"/>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152,905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00" w:type="dxa"/>
            <w:vAlign w:val="bottom"/>
            <w:shd w:val="clear" w:color="auto" w:fill="CFF0FC"/>
          </w:tcPr>
          <w:p>
            <w:pPr>
              <w:spacing w:after="0"/>
              <w:rPr>
                <w:sz w:val="18"/>
                <w:szCs w:val="18"/>
                <w:color w:val="auto"/>
              </w:rPr>
            </w:pPr>
          </w:p>
        </w:tc>
      </w:tr>
      <w:tr>
        <w:trPr>
          <w:trHeight w:val="23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140,776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(84,636 )</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2025-03-20T15:22:47Z</dcterms:created>
  <dcterms:modified xsi:type="dcterms:W3CDTF">2025-03-20T15:22:47Z</dcterms:modified>
</cp:coreProperties>
</file>