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49345ddef14a.htm"/>
        <w:bookmarkStart w:id="1" w:name="ksd949345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No.__)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0"/>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z w:val="20"/>
              </w:rPr>
            </w:pPr>
            <w:r>
              <w:rPr>
                <w:rFonts w:ascii="Times New Roman" w:hAnsi="Times New Roman"/>
                <w:b/>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z w:val="20"/>
              </w:rPr>
            </w:pPr>
            <w:r>
              <w:rPr>
                <w:rFonts w:ascii="Times New Roman" w:hAnsi="Times New Roman"/>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z w:val="20"/>
              </w:rPr>
            </w:pPr>
            <w:r>
              <w:rPr>
                <w:rFonts w:ascii="Times New Roman" w:hAnsi="Times New Roman"/>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3028315" cy="8451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28315" cy="8451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490 Arsenal Way </w:t>
      </w:r>
    </w:p>
    <w:p>
      <w:pPr>
        <w:pStyle w:val="TextBody"/>
        <w:bidi w:val="0"/>
        <w:spacing w:before="0" w:after="0"/>
        <w:jc w:val="center"/>
        <w:rPr>
          <w:rFonts w:ascii="Times New Roman" w:hAnsi="Times New Roman"/>
          <w:b/>
          <w:sz w:val="20"/>
        </w:rPr>
      </w:pPr>
      <w:r>
        <w:rPr>
          <w:rFonts w:ascii="Times New Roman" w:hAnsi="Times New Roman"/>
          <w:b/>
          <w:sz w:val="20"/>
        </w:rPr>
        <w:t xml:space="preserve">Suite 210 </w:t>
      </w:r>
    </w:p>
    <w:p>
      <w:pPr>
        <w:pStyle w:val="TextBody"/>
        <w:bidi w:val="0"/>
        <w:spacing w:before="0" w:after="0"/>
        <w:jc w:val="center"/>
        <w:rPr>
          <w:rFonts w:ascii="Times New Roman" w:hAnsi="Times New Roman"/>
          <w:b/>
          <w:sz w:val="20"/>
        </w:rPr>
      </w:pPr>
      <w:r>
        <w:rPr>
          <w:rFonts w:ascii="Times New Roman" w:hAnsi="Times New Roman"/>
          <w:b/>
          <w:sz w:val="20"/>
        </w:rPr>
        <w:t xml:space="preserve">Watertown, MA 02472 </w:t>
      </w:r>
    </w:p>
    <w:p>
      <w:pPr>
        <w:pStyle w:val="TextBody"/>
        <w:bidi w:val="0"/>
        <w:spacing w:before="240" w:after="0"/>
        <w:jc w:val="center"/>
        <w:rPr>
          <w:rFonts w:ascii="Times New Roman" w:hAnsi="Times New Roman"/>
          <w:b/>
          <w:sz w:val="20"/>
        </w:rPr>
      </w:pPr>
      <w:bookmarkStart w:id="2" w:name="toc949345_2"/>
      <w:bookmarkEnd w:id="2"/>
      <w:r>
        <w:rPr>
          <w:rFonts w:ascii="Times New Roman" w:hAnsi="Times New Roman"/>
          <w:b/>
          <w:sz w:val="20"/>
        </w:rPr>
        <w:t xml:space="preserve">NOTICE OF ANNUAL MEETING OF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To Be Held On June 6, 2025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the Annual Meeting of Stockholders (the “Annual Meeting”) of Tectonic Therapeutic, Inc., a Delaware corporation (the “Company”). The meeting will be held on Friday, June 6, 2025 at 8:00 a.m. Eastern Time. The Annual Meeting will be a virtual meeting of stockholders, which will be conducted only via a live audio webcast. You will be able to attend the Annual Meeting, submit your questions and vote online during the meeting by visiting www.virtualshareholdermeeting.com/TECX2025. A complete list of record stockholders will be available for examination on a reasonably accessible electronic network by any stockholder for any purpose germane to the Annual Meeting for a period of ten days ending on the day before the Annual Meeting date. If you would like to view the list, please email us at info@tectonictx.com. The meeting will be held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the Board’s two nominees for Class I director named as nominees in this Proxy Statement to hold office until the 2028 Annual Meeting of Stockholders and their successors are duly elected and qualified, or until their earlier death, resignation or removal.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2.</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by the Audit Committee of the Board of Deloitte &amp; Touche LLP as the Company’s independent registered public accounting firm for the fiscal year ending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an advisory basis, the compensation of the Company’s Named Executive Officers, as disclosed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indicate, on an advisory basis, the preferred frequency of stockholder advisory votes on the compensation of the Company’s Named Executive Officers. </w:t>
            </w:r>
          </w:p>
        </w:tc>
      </w:tr>
    </w:tbl>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75"/>
        <w:gridCol w:w="200"/>
        <w:gridCol w:w="99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5.</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conduct any other business properly brought before the Annual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items of business are more fully described in the Proxy Statement accompanying this Notice.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will be held virtually through a live webcast. Stockholders of record at the close of business on April 14, 2025 and their proxy holders will be able to attend the Annual Meeting, submit questions and vote during the live webcast by visiting www.virtualshareholdermeeting.com/TECX2025 and entering the 16-digit Control Number included in your Notice of Internet Availability or in the instructions that you received via email. Please refer to the additional logistical details and recommendations in the accompanying proxy statement. You may log-in beginning at 7:45 a.m. Eastern Time, on Friday, June 6, 2025.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Only stockholders of record at the close of business on April 14, 2025 and their proxy holders may vote at the meeting or any adjournment thereof.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 Alise Reicin </w:t>
      </w:r>
    </w:p>
    <w:p>
      <w:pPr>
        <w:pStyle w:val="TextBody"/>
        <w:bidi w:val="0"/>
        <w:spacing w:before="240" w:after="0"/>
        <w:jc w:val="left"/>
        <w:rPr>
          <w:rFonts w:ascii="Times New Roman" w:hAnsi="Times New Roman"/>
          <w:sz w:val="20"/>
        </w:rPr>
      </w:pPr>
      <w:r>
        <w:rPr>
          <w:rFonts w:ascii="Times New Roman" w:hAnsi="Times New Roman"/>
          <w:sz w:val="20"/>
        </w:rPr>
        <w:t xml:space="preserve">Alise Reicin </w:t>
      </w:r>
    </w:p>
    <w:p>
      <w:pPr>
        <w:pStyle w:val="TextBody"/>
        <w:bidi w:val="0"/>
        <w:spacing w:before="0" w:after="0"/>
        <w:jc w:val="left"/>
        <w:rPr>
          <w:rFonts w:ascii="Times New Roman" w:hAnsi="Times New Roman"/>
          <w:sz w:val="20"/>
        </w:rPr>
      </w:pPr>
      <w:r>
        <w:rPr>
          <w:rFonts w:ascii="Times New Roman" w:hAnsi="Times New Roman"/>
          <w:sz w:val="20"/>
        </w:rPr>
        <w:t xml:space="preserve">President and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Watertown, Massachusetts </w:t>
      </w:r>
    </w:p>
    <w:p>
      <w:pPr>
        <w:pStyle w:val="TextBody"/>
        <w:bidi w:val="0"/>
        <w:spacing w:before="0" w:after="0"/>
        <w:jc w:val="left"/>
        <w:rPr>
          <w:rFonts w:ascii="Times New Roman" w:hAnsi="Times New Roman"/>
          <w:sz w:val="20"/>
        </w:rPr>
      </w:pPr>
      <w:r>
        <w:rPr>
          <w:rFonts w:ascii="Times New Roman" w:hAnsi="Times New Roman"/>
          <w:sz w:val="20"/>
        </w:rPr>
        <w:t xml:space="preserve">April 25, 2025 </w:t>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Important Notice Regarding the Availability of Proxy Materials for the Stockholders’ Meeting to Be Held on Friday, June 6, 2025 at 8:00 a.m. Eastern Time at www.virtualshareholdermeeting.com/TECX2025. </w:t>
      </w:r>
    </w:p>
    <w:p>
      <w:pPr>
        <w:pStyle w:val="TextBody"/>
        <w:pBdr/>
        <w:bidi w:val="0"/>
        <w:spacing w:before="24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The proxy statement and annual report to stockholders are available at www.proxyvote.com. </w:t>
      </w:r>
    </w:p>
    <w:p>
      <w:pPr>
        <w:pStyle w:val="TextBody"/>
        <w:bidi w:val="0"/>
        <w:spacing w:before="0" w:after="0"/>
        <w:jc w:val="left"/>
        <w:rPr/>
      </w:pPr>
      <w:r>
        <w:rPr/>
        <w:t> </w:t>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You are cordially invited to attend the meeting online. Whether or not you expect to attend the meeting, please vote over the telephone or the internet as instructed in these materials, or, if you receive a paper proxy card by mail, by completing and returning the proxy mailed to you, as promptly as possible in order to ensure your representation at the meeting. Even if you have voted by proxy, you may still vote online if you attend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
      <w:bookmarkEnd w:id="3"/>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95"/>
        <w:gridCol w:w="120"/>
        <w:gridCol w:w="96"/>
        <w:gridCol w:w="419"/>
        <w:gridCol w:w="75"/>
      </w:tblGrid>
      <w:tr>
        <w:trPr/>
        <w:tc>
          <w:tcPr>
            <w:tcW w:w="9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1">
              <w:r>
                <w:rPr>
                  <w:rStyle w:val="InternetLink"/>
                  <w:rFonts w:ascii="Times New Roman" w:hAnsi="Times New Roman"/>
                  <w:sz w:val="20"/>
                </w:rPr>
                <w:t>SCHEDULE 14A</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2">
              <w:r>
                <w:rPr>
                  <w:rStyle w:val="InternetLink"/>
                  <w:rFonts w:ascii="Times New Roman" w:hAnsi="Times New Roman"/>
                  <w:sz w:val="20"/>
                </w:rPr>
                <w:t>NOTICE OF ANNUAL MEETING OF STOCKHOLDERS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3">
              <w:r>
                <w:rPr>
                  <w:rStyle w:val="InternetLink"/>
                  <w:rFonts w:ascii="Times New Roman" w:hAnsi="Times New Roman"/>
                  <w:sz w:val="20"/>
                </w:rPr>
                <w:t>PROXY STATEMENT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4">
              <w:r>
                <w:rPr>
                  <w:rStyle w:val="InternetLink"/>
                  <w:rFonts w:ascii="Times New Roman" w:hAnsi="Times New Roman"/>
                  <w:sz w:val="20"/>
                </w:rPr>
                <w:t>QUESTIONS AND ANSWERS ABOUT THESE PROXY MATERIALS AND VOTING</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5">
              <w:r>
                <w:rPr>
                  <w:rStyle w:val="InternetLink"/>
                  <w:rFonts w:ascii="Times New Roman" w:hAnsi="Times New Roman"/>
                  <w:sz w:val="20"/>
                </w:rPr>
                <w:t>PROPOSAL 1: ELECTION OF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6">
              <w:r>
                <w:rPr>
                  <w:rStyle w:val="InternetLink"/>
                  <w:rFonts w:ascii="Times New Roman" w:hAnsi="Times New Roman"/>
                  <w:sz w:val="20"/>
                </w:rPr>
                <w:t>Nominees for Election to the Board of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7">
              <w:r>
                <w:rPr>
                  <w:rStyle w:val="InternetLink"/>
                  <w:rFonts w:ascii="Times New Roman" w:hAnsi="Times New Roman"/>
                  <w:sz w:val="20"/>
                </w:rPr>
                <w:t>Our Board of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8">
              <w:r>
                <w:rPr>
                  <w:rStyle w:val="InternetLink"/>
                  <w:rFonts w:ascii="Times New Roman" w:hAnsi="Times New Roman"/>
                  <w:sz w:val="20"/>
                </w:rPr>
                <w:t>Class I Director Nominees for Election at the Annual Meeting</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9">
              <w:r>
                <w:rPr>
                  <w:rStyle w:val="InternetLink"/>
                  <w:rFonts w:ascii="Times New Roman" w:hAnsi="Times New Roman"/>
                  <w:sz w:val="20"/>
                </w:rPr>
                <w:t>The Board of Directors and Certain Governance Matters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10">
              <w:r>
                <w:rPr>
                  <w:rStyle w:val="InternetLink"/>
                  <w:rFonts w:ascii="Times New Roman" w:hAnsi="Times New Roman"/>
                  <w:sz w:val="20"/>
                </w:rPr>
                <w:t>Director Nomination Process and Qualifications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11">
              <w:r>
                <w:rPr>
                  <w:rStyle w:val="InternetLink"/>
                  <w:rFonts w:ascii="Times New Roman" w:hAnsi="Times New Roman"/>
                  <w:sz w:val="20"/>
                </w:rPr>
                <w:t>Nominations by Stockholders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12">
              <w:r>
                <w:rPr>
                  <w:rStyle w:val="InternetLink"/>
                  <w:rFonts w:ascii="Times New Roman" w:hAnsi="Times New Roman"/>
                  <w:sz w:val="20"/>
                </w:rPr>
                <w:t>Director Independence and Independence Determinations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13">
              <w:r>
                <w:rPr>
                  <w:rStyle w:val="InternetLink"/>
                  <w:rFonts w:ascii="Times New Roman" w:hAnsi="Times New Roman"/>
                  <w:sz w:val="20"/>
                </w:rPr>
                <w:t>Board Leadership Structure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14">
              <w:r>
                <w:rPr>
                  <w:rStyle w:val="InternetLink"/>
                  <w:rFonts w:ascii="Times New Roman" w:hAnsi="Times New Roman"/>
                  <w:sz w:val="20"/>
                </w:rPr>
                <w:t>Board’s Role in Risk Oversight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15">
              <w:r>
                <w:rPr>
                  <w:rStyle w:val="InternetLink"/>
                  <w:rFonts w:ascii="Times New Roman" w:hAnsi="Times New Roman"/>
                  <w:sz w:val="20"/>
                </w:rPr>
                <w:t>Board and Committee Meetings and Attendance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16">
              <w:r>
                <w:rPr>
                  <w:rStyle w:val="InternetLink"/>
                  <w:rFonts w:ascii="Times New Roman" w:hAnsi="Times New Roman"/>
                  <w:sz w:val="20"/>
                </w:rPr>
                <w:t>Board Committees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17">
              <w:r>
                <w:rPr>
                  <w:rStyle w:val="InternetLink"/>
                  <w:rFonts w:ascii="Times New Roman" w:hAnsi="Times New Roman"/>
                  <w:sz w:val="20"/>
                </w:rPr>
                <w:t>Committee Charters and Corporate Governance Guidelines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18">
              <w:r>
                <w:rPr>
                  <w:rStyle w:val="InternetLink"/>
                  <w:rFonts w:ascii="Times New Roman" w:hAnsi="Times New Roman"/>
                  <w:sz w:val="20"/>
                </w:rPr>
                <w:t>Executive Sessions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19">
              <w:r>
                <w:rPr>
                  <w:rStyle w:val="InternetLink"/>
                  <w:rFonts w:ascii="Times New Roman" w:hAnsi="Times New Roman"/>
                  <w:sz w:val="20"/>
                </w:rPr>
                <w:t>Board’s Oversight of Strategy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20">
              <w:r>
                <w:rPr>
                  <w:rStyle w:val="InternetLink"/>
                  <w:rFonts w:ascii="Times New Roman" w:hAnsi="Times New Roman"/>
                  <w:sz w:val="20"/>
                </w:rPr>
                <w:t>Communications with the Board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21">
              <w:r>
                <w:rPr>
                  <w:rStyle w:val="InternetLink"/>
                  <w:rFonts w:ascii="Times New Roman" w:hAnsi="Times New Roman"/>
                  <w:sz w:val="20"/>
                </w:rPr>
                <w:t>Code of Business Conduct and Ethics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22">
              <w:r>
                <w:rPr>
                  <w:rStyle w:val="InternetLink"/>
                  <w:rFonts w:ascii="Times New Roman" w:hAnsi="Times New Roman"/>
                  <w:sz w:val="20"/>
                </w:rPr>
                <w:t>Insider Trading Policy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23">
              <w:r>
                <w:rPr>
                  <w:rStyle w:val="InternetLink"/>
                  <w:rFonts w:ascii="Times New Roman" w:hAnsi="Times New Roman"/>
                  <w:sz w:val="20"/>
                </w:rPr>
                <w:t>Hedging and Pledging Policy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24">
              <w:r>
                <w:rPr>
                  <w:rStyle w:val="InternetLink"/>
                  <w:rFonts w:ascii="Times New Roman" w:hAnsi="Times New Roman"/>
                  <w:sz w:val="20"/>
                </w:rPr>
                <w:t>PROPOSAL 2: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25">
              <w:r>
                <w:rPr>
                  <w:rStyle w:val="InternetLink"/>
                  <w:rFonts w:ascii="Times New Roman" w:hAnsi="Times New Roman"/>
                  <w:sz w:val="20"/>
                </w:rPr>
                <w:t>Principal Accountant Fees and Services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26">
              <w:r>
                <w:rPr>
                  <w:rStyle w:val="InternetLink"/>
                  <w:rFonts w:ascii="Times New Roman" w:hAnsi="Times New Roman"/>
                  <w:sz w:val="20"/>
                </w:rPr>
                <w:t>Pre-Approval Policies and Procedures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27">
              <w:r>
                <w:rPr>
                  <w:rStyle w:val="InternetLink"/>
                  <w:rFonts w:ascii="Times New Roman" w:hAnsi="Times New Roman"/>
                  <w:sz w:val="20"/>
                </w:rPr>
                <w:t>Audit Committee Report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28">
              <w:r>
                <w:rPr>
                  <w:rStyle w:val="InternetLink"/>
                  <w:rFonts w:ascii="Times New Roman" w:hAnsi="Times New Roman"/>
                  <w:sz w:val="20"/>
                </w:rPr>
                <w:t>PROPOSAL 3: ADVISORY VOTE ON EXECUTIVE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29">
              <w:r>
                <w:rPr>
                  <w:rStyle w:val="InternetLink"/>
                  <w:rFonts w:ascii="Times New Roman" w:hAnsi="Times New Roman"/>
                  <w:sz w:val="20"/>
                </w:rPr>
                <w:t>PROPOSAL 4: ADVISORY VOTE ON THE FREQUENCY OF SOLICITATION OF ADVISORY STOCKHOLDER APPROVAL OF EXECUTIVE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30">
              <w:r>
                <w:rPr>
                  <w:rStyle w:val="InternetLink"/>
                  <w:rFonts w:ascii="Times New Roman" w:hAnsi="Times New Roman"/>
                  <w:sz w:val="20"/>
                </w:rPr>
                <w:t>EXECUTIVE OFFICERS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31">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32">
              <w:r>
                <w:rPr>
                  <w:rStyle w:val="InternetLink"/>
                  <w:rFonts w:ascii="Times New Roman" w:hAnsi="Times New Roman"/>
                  <w:sz w:val="20"/>
                </w:rPr>
                <w:t>Fiscal Year 2024 Summary Compensation Table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33">
              <w:r>
                <w:rPr>
                  <w:rStyle w:val="InternetLink"/>
                  <w:rFonts w:ascii="Times New Roman" w:hAnsi="Times New Roman"/>
                  <w:sz w:val="20"/>
                </w:rPr>
                <w:t>Base Salary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34">
              <w:r>
                <w:rPr>
                  <w:rStyle w:val="InternetLink"/>
                  <w:rFonts w:ascii="Times New Roman" w:hAnsi="Times New Roman"/>
                  <w:sz w:val="20"/>
                </w:rPr>
                <w:t>Non-Equity Incentive Plan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35">
              <w:r>
                <w:rPr>
                  <w:rStyle w:val="InternetLink"/>
                  <w:rFonts w:ascii="Times New Roman" w:hAnsi="Times New Roman"/>
                  <w:sz w:val="20"/>
                </w:rPr>
                <w:t>Equity-Based Incentive Awards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36">
              <w:r>
                <w:rPr>
                  <w:rStyle w:val="InternetLink"/>
                  <w:rFonts w:ascii="Times New Roman" w:hAnsi="Times New Roman"/>
                  <w:sz w:val="20"/>
                </w:rPr>
                <w:t>Outstanding Equity Awards at Fiscal Year End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37">
              <w:r>
                <w:rPr>
                  <w:rStyle w:val="InternetLink"/>
                  <w:rFonts w:ascii="Times New Roman" w:hAnsi="Times New Roman"/>
                  <w:sz w:val="20"/>
                </w:rPr>
                <w:t>Employment Arrangements with Our Executive Officers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38">
              <w:r>
                <w:rPr>
                  <w:rStyle w:val="InternetLink"/>
                  <w:rFonts w:ascii="Times New Roman" w:hAnsi="Times New Roman"/>
                  <w:sz w:val="20"/>
                </w:rPr>
                <w:t>Potential Payments and Benefits upon a Termination or Change in Control</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39">
              <w:r>
                <w:rPr>
                  <w:rStyle w:val="InternetLink"/>
                  <w:rFonts w:ascii="Times New Roman" w:hAnsi="Times New Roman"/>
                  <w:sz w:val="20"/>
                </w:rPr>
                <w:t>Health and Welfare and Retirement Benefits; Perquisites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40">
              <w:r>
                <w:rPr>
                  <w:rStyle w:val="InternetLink"/>
                  <w:rFonts w:ascii="Times New Roman" w:hAnsi="Times New Roman"/>
                  <w:sz w:val="20"/>
                </w:rPr>
                <w:t>Retirement Benefits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41">
              <w:r>
                <w:rPr>
                  <w:rStyle w:val="InternetLink"/>
                  <w:rFonts w:ascii="Times New Roman" w:hAnsi="Times New Roman"/>
                  <w:sz w:val="20"/>
                </w:rPr>
                <w:t>Equity Incentive Plans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42">
              <w:r>
                <w:rPr>
                  <w:rStyle w:val="InternetLink"/>
                  <w:rFonts w:ascii="Times New Roman" w:hAnsi="Times New Roman"/>
                  <w:sz w:val="20"/>
                </w:rPr>
                <w:t>2024 Equity Incentive Plan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43">
              <w:r>
                <w:rPr>
                  <w:rStyle w:val="InternetLink"/>
                  <w:rFonts w:ascii="Times New Roman" w:hAnsi="Times New Roman"/>
                  <w:sz w:val="20"/>
                </w:rPr>
                <w:t>2024 Employee Stock Purchase Plan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44">
              <w:r>
                <w:rPr>
                  <w:rStyle w:val="InternetLink"/>
                  <w:rFonts w:ascii="Times New Roman" w:hAnsi="Times New Roman"/>
                  <w:sz w:val="20"/>
                </w:rPr>
                <w:t>2019 Equity Incentive Plan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45">
              <w:r>
                <w:rPr>
                  <w:rStyle w:val="InternetLink"/>
                  <w:rFonts w:ascii="Times New Roman" w:hAnsi="Times New Roman"/>
                  <w:sz w:val="20"/>
                </w:rPr>
                <w:t>Clawback Policy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46">
              <w:r>
                <w:rPr>
                  <w:rStyle w:val="InternetLink"/>
                  <w:rFonts w:ascii="Times New Roman" w:hAnsi="Times New Roman"/>
                  <w:sz w:val="20"/>
                </w:rPr>
                <w:t>Smaller Reporting Company Status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949345_47">
              <w:r>
                <w:rPr>
                  <w:rStyle w:val="InternetLink"/>
                  <w:rFonts w:ascii="Times New Roman" w:hAnsi="Times New Roman"/>
                  <w:sz w:val="20"/>
                </w:rPr>
                <w:t>Pay Versus Performance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949345_48">
              <w:r>
                <w:rPr>
                  <w:rStyle w:val="InternetLink"/>
                  <w:rFonts w:ascii="Times New Roman" w:hAnsi="Times New Roman"/>
                  <w:sz w:val="20"/>
                </w:rPr>
                <w:t>Policies and Practices Related to the Grant of Certain Equity Awards Close in Time to the Release of Material Nonpublic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49345_49">
              <w:r>
                <w:rPr>
                  <w:rStyle w:val="InternetLink"/>
                  <w:rFonts w:ascii="Times New Roman" w:hAnsi="Times New Roman"/>
                  <w:sz w:val="20"/>
                </w:rPr>
                <w:t>Non-Employee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49345_50">
              <w:r>
                <w:rPr>
                  <w:rStyle w:val="InternetLink"/>
                  <w:rFonts w:ascii="Times New Roman" w:hAnsi="Times New Roman"/>
                  <w:sz w:val="20"/>
                </w:rPr>
                <w:t>Non-Employee Director Compensation Policy After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49345_51">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49345_52">
              <w:r>
                <w:rPr>
                  <w:rStyle w:val="InternetLink"/>
                  <w:rFonts w:ascii="Times New Roman" w:hAnsi="Times New Roman"/>
                  <w:sz w:val="20"/>
                </w:rPr>
                <w:t>CERTAIN RELATIONSHIPS AND RELATED PERSON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49345_53">
              <w:r>
                <w:rPr>
                  <w:rStyle w:val="InternetLink"/>
                  <w:rFonts w:ascii="Times New Roman" w:hAnsi="Times New Roman"/>
                  <w:sz w:val="20"/>
                </w:rPr>
                <w:t>Legacy Tectonic’s Transactions and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49345_54">
              <w:r>
                <w:rPr>
                  <w:rStyle w:val="InternetLink"/>
                  <w:rFonts w:ascii="Times New Roman" w:hAnsi="Times New Roman"/>
                  <w:sz w:val="20"/>
                </w:rPr>
                <w:t>Support Agreements Under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49345_55">
              <w:r>
                <w:rPr>
                  <w:rStyle w:val="InternetLink"/>
                  <w:rFonts w:ascii="Times New Roman" w:hAnsi="Times New Roman"/>
                  <w:sz w:val="20"/>
                </w:rPr>
                <w:t>February 2025 Private Placement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49345_56">
              <w:r>
                <w:rPr>
                  <w:rStyle w:val="InternetLink"/>
                  <w:rFonts w:ascii="Times New Roman" w:hAnsi="Times New Roman"/>
                  <w:sz w:val="20"/>
                </w:rPr>
                <w:t>Indemnification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49345_57">
              <w:r>
                <w:rPr>
                  <w:rStyle w:val="InternetLink"/>
                  <w:rFonts w:ascii="Times New Roman" w:hAnsi="Times New Roman"/>
                  <w:sz w:val="20"/>
                </w:rPr>
                <w:t>OTHER INFORMATION FOR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49345_58">
              <w:r>
                <w:rPr>
                  <w:rStyle w:val="InternetLink"/>
                  <w:rFonts w:ascii="Times New Roman" w:hAnsi="Times New Roman"/>
                  <w:sz w:val="20"/>
                </w:rPr>
                <w:t>Stockholder Proposals for the 2026 Annual Meeting of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49345_59">
              <w:r>
                <w:rPr>
                  <w:rStyle w:val="InternetLink"/>
                  <w:rFonts w:ascii="Times New Roman" w:hAnsi="Times New Roman"/>
                  <w:sz w:val="20"/>
                </w:rPr>
                <w:t>Householding of Proxy Materials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49345_60">
              <w:r>
                <w:rPr>
                  <w:rStyle w:val="InternetLink"/>
                  <w:rFonts w:ascii="Times New Roman" w:hAnsi="Times New Roman"/>
                  <w:sz w:val="20"/>
                </w:rPr>
                <w:t>Additional Filings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49345_61">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3028315" cy="8451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28315" cy="8451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490 Arsenal Way </w:t>
      </w:r>
    </w:p>
    <w:p>
      <w:pPr>
        <w:pStyle w:val="TextBody"/>
        <w:bidi w:val="0"/>
        <w:spacing w:before="0" w:after="0"/>
        <w:jc w:val="center"/>
        <w:rPr>
          <w:rFonts w:ascii="Times New Roman" w:hAnsi="Times New Roman"/>
          <w:b/>
          <w:sz w:val="20"/>
        </w:rPr>
      </w:pPr>
      <w:r>
        <w:rPr>
          <w:rFonts w:ascii="Times New Roman" w:hAnsi="Times New Roman"/>
          <w:b/>
          <w:sz w:val="20"/>
        </w:rPr>
        <w:t xml:space="preserve">Suite 210 </w:t>
      </w:r>
    </w:p>
    <w:p>
      <w:pPr>
        <w:pStyle w:val="TextBody"/>
        <w:bidi w:val="0"/>
        <w:spacing w:before="0" w:after="0"/>
        <w:jc w:val="center"/>
        <w:rPr>
          <w:rFonts w:ascii="Times New Roman" w:hAnsi="Times New Roman"/>
          <w:b/>
          <w:sz w:val="20"/>
        </w:rPr>
      </w:pPr>
      <w:r>
        <w:rPr>
          <w:rFonts w:ascii="Times New Roman" w:hAnsi="Times New Roman"/>
          <w:b/>
          <w:sz w:val="20"/>
        </w:rPr>
        <w:t xml:space="preserve">Watertown, MA 02472 </w:t>
      </w:r>
    </w:p>
    <w:p>
      <w:pPr>
        <w:pStyle w:val="TextBody"/>
        <w:bidi w:val="0"/>
        <w:spacing w:before="240" w:after="0"/>
        <w:jc w:val="center"/>
        <w:rPr>
          <w:rFonts w:ascii="Times New Roman" w:hAnsi="Times New Roman"/>
          <w:b/>
          <w:sz w:val="20"/>
        </w:rPr>
      </w:pPr>
      <w:bookmarkStart w:id="4" w:name="toc949345_3"/>
      <w:bookmarkEnd w:id="4"/>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2025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JUNE 6, 2025 </w:t>
      </w:r>
    </w:p>
    <w:p>
      <w:pPr>
        <w:pStyle w:val="TextBody"/>
        <w:bidi w:val="0"/>
        <w:spacing w:before="240" w:after="0"/>
        <w:jc w:val="left"/>
        <w:rPr>
          <w:rFonts w:ascii="Times New Roman" w:hAnsi="Times New Roman"/>
          <w:sz w:val="20"/>
        </w:rPr>
      </w:pPr>
      <w:r>
        <w:rPr>
          <w:rFonts w:ascii="Times New Roman" w:hAnsi="Times New Roman"/>
          <w:sz w:val="20"/>
        </w:rPr>
        <w:t xml:space="preserve">We have sent you this Proxy Statement and the enclosed Proxy Card because the Board of Directors (the “Board”) of Tectonic Therapeutic, Inc. (referred to herein as the “Company”, “Tectonic”, “we”, “us” or “our”) is soliciting your proxy to vote at our 2025 Annual Meeting of Stockholders (the “Annual Meeting”) to be held virtually on June 6, 2025, at 8:00 a.m. Eastern Time, by visiting www.virtualshareholdermeeting.com/TECX2025.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Proxy Statement summarizes information about the proposals to be considered at the Annual Meeting and other information you may find useful in determining how to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Proxy Card is the means by which you actually authorize another person to vote your shares in accordance with your instructions.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solicitations by mail, our directors, officers and regular employees, without additional remuneration, may solicit proxies by telephone, e-mail and personal interviews. We have also retained Broadridge Financial Solutions, Inc. (“Broadridge”) to solicit proxies on our behalf as well. All costs of solicitation of proxies will be borne by us. Brokers, custodians and fiduciaries will be requested to forward proxy soliciting material to the owners of stock held in their names, and we will reimburse them for their reasonable out-of-pocket expenses incurred in connection with the distribution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The only outstanding voting securities of Tectonic are shares of common stock, $0.0001 par value per share (the “Common Stock”), of which there were 18,671,229 shares outstanding as of April 14, 2025 (the “Record Date”). The holders of a majority of the shares of common stock issued and outstanding and entitled to vote, present in person or represented by proxy, are required to hold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949345_4"/>
      <w:bookmarkEnd w:id="5"/>
      <w:r>
        <w:rPr>
          <w:rFonts w:ascii="Times New Roman" w:hAnsi="Times New Roman"/>
          <w:b/>
          <w:sz w:val="20"/>
        </w:rPr>
        <w:t xml:space="preserve">QUESTIONS AND ANSWERS ABOUT THESE PROXY MATERIALS AND VOTING </w:t>
      </w:r>
    </w:p>
    <w:p>
      <w:pPr>
        <w:pStyle w:val="TextBody"/>
        <w:bidi w:val="0"/>
        <w:spacing w:before="240" w:after="0"/>
        <w:jc w:val="left"/>
        <w:rPr>
          <w:rFonts w:ascii="Times New Roman" w:hAnsi="Times New Roman"/>
          <w:sz w:val="20"/>
        </w:rPr>
      </w:pPr>
      <w:r>
        <w:rPr>
          <w:rFonts w:ascii="Times New Roman" w:hAnsi="Times New Roman"/>
          <w:b/>
          <w:sz w:val="20"/>
        </w:rPr>
        <w:t>Why did I receive</w:t>
      </w:r>
      <w:r>
        <w:rPr>
          <w:rFonts w:ascii="Times New Roman" w:hAnsi="Times New Roman"/>
          <w:sz w:val="20"/>
        </w:rPr>
        <w:t> </w:t>
      </w:r>
      <w:r>
        <w:rPr>
          <w:rFonts w:ascii="Times New Roman" w:hAnsi="Times New Roman"/>
          <w:b/>
          <w:sz w:val="20"/>
        </w:rPr>
        <w:t xml:space="preserve">a notice regarding the availability of proxy materials on the internet?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rules adopted by the Securities and Exchange Commission (the “SEC”), we have elected to provide access to our proxy materials over the internet. Accordingly, we have sent you a Notice of Internet Availability of Proxy Materials (the “Notice”) because the Board is soliciting your proxy to vote at the 2025 Annual Meeting of Stockholders,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 </w:t>
      </w:r>
    </w:p>
    <w:p>
      <w:pPr>
        <w:pStyle w:val="TextBody"/>
        <w:bidi w:val="0"/>
        <w:spacing w:before="240" w:after="0"/>
        <w:jc w:val="left"/>
        <w:rPr>
          <w:rFonts w:ascii="Times New Roman" w:hAnsi="Times New Roman"/>
          <w:sz w:val="20"/>
        </w:rPr>
      </w:pPr>
      <w:r>
        <w:rPr>
          <w:rFonts w:ascii="Times New Roman" w:hAnsi="Times New Roman"/>
          <w:sz w:val="20"/>
        </w:rPr>
        <w:t xml:space="preserve">We intend to first mail the Notice and make this proxy statement and the form of proxy available to stockholders on or about April 25, 2025.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attend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This year’s Annual Meeting will be a virtual meeting, which will be conducted entirely online via audio webcast to allow greater participation. You may attend, vote and ask questions at the Annual Meeting by following the instructions provided on the Notice or proxy card to log in to www.virtualshareholdermeeting.com/TECX2025. If you are a stockholder of record, you will be asked to provide the 16-digit control number from your Notice or proxy card. If you are a beneficial owner of shares registered in the name of your broker, bank or other agent, follow the instructions from your broker or bank. </w:t>
      </w:r>
    </w:p>
    <w:p>
      <w:pPr>
        <w:pStyle w:val="TextBody"/>
        <w:bidi w:val="0"/>
        <w:spacing w:before="240" w:after="0"/>
        <w:jc w:val="left"/>
        <w:rPr>
          <w:rFonts w:ascii="Times New Roman" w:hAnsi="Times New Roman"/>
          <w:sz w:val="20"/>
        </w:rPr>
      </w:pPr>
      <w:r>
        <w:rPr>
          <w:rFonts w:ascii="Times New Roman" w:hAnsi="Times New Roman"/>
          <w:sz w:val="20"/>
        </w:rPr>
        <w:t xml:space="preserve">The audio webcast of the Annual Meeting will begin promptly at 8:00 a.m. Eastern Time. We encourage you to access the meeting prior to the start time. Online check-in will begin at 7:45 a.m. Eastern Time, and you should allow reasonable time for the check-in procedures. </w:t>
      </w:r>
    </w:p>
    <w:p>
      <w:pPr>
        <w:pStyle w:val="TextBody"/>
        <w:bidi w:val="0"/>
        <w:spacing w:before="240" w:after="0"/>
        <w:jc w:val="left"/>
        <w:rPr>
          <w:rFonts w:ascii="Times New Roman" w:hAnsi="Times New Roman"/>
          <w:sz w:val="20"/>
        </w:rPr>
      </w:pPr>
      <w:r>
        <w:rPr>
          <w:rFonts w:ascii="Times New Roman" w:hAnsi="Times New Roman"/>
          <w:sz w:val="20"/>
        </w:rPr>
        <w:t xml:space="preserve">You are entitled to attend the Annual Meeting if you were a stockholder as of the close of business on the Record Date, or hold a valid proxy for the meeting. To be admitted to the Annual Meeting, you will need to visit www.virtualshareholdermeeting.com/TECX2025 and enter the 16-digit Control Number found next to the label “Control Number” on your Notice or proxy card, or in the email sending you the Proxy Statement. If you are a beneficial stockholder, you should contact the bank, broker or other institution where you hold your account well in advance of the meeting if you have questions about obtaining your control number/ proxy to vote.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participate in the Annual Meeting, it is important that you vote your shares.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cannot find my Control Number? </w:t>
      </w:r>
    </w:p>
    <w:p>
      <w:pPr>
        <w:pStyle w:val="TextBody"/>
        <w:bidi w:val="0"/>
        <w:spacing w:before="120" w:after="0"/>
        <w:jc w:val="left"/>
        <w:rPr>
          <w:rFonts w:ascii="Times New Roman" w:hAnsi="Times New Roman"/>
          <w:sz w:val="20"/>
        </w:rPr>
      </w:pPr>
      <w:r>
        <w:rPr>
          <w:rFonts w:ascii="Times New Roman" w:hAnsi="Times New Roman"/>
          <w:sz w:val="20"/>
        </w:rPr>
        <w:t xml:space="preserve">Please note that if you do not have your Control Number and you are a registered stockholder, you will be able to login as a guest. To view the meeting webcast visit www.virtualshareholdermeeting.com/TECX2025 and register as a guest. If you login as a guest, you will not be able to vote your shares or ask questions during the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(that is, you hold your shares in an account at a bank, broker or other holder of record), you will need to contact that bank, broker or other holder of record to obtain your Control Number prior to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Where can we get technical assistance if we are having trouble accessing the meeting or during the meeting? </w:t>
      </w:r>
    </w:p>
    <w:p>
      <w:pPr>
        <w:pStyle w:val="TextBody"/>
        <w:bidi w:val="0"/>
        <w:spacing w:before="120" w:after="0"/>
        <w:jc w:val="left"/>
        <w:rPr>
          <w:rFonts w:ascii="Times New Roman" w:hAnsi="Times New Roman"/>
          <w:sz w:val="20"/>
        </w:rPr>
      </w:pPr>
      <w:r>
        <w:rPr>
          <w:rFonts w:ascii="Times New Roman" w:hAnsi="Times New Roman"/>
          <w:sz w:val="20"/>
        </w:rPr>
        <w:t xml:space="preserve">If you have difficulty accessing the meeting or during the meeting, please refer to the technical support telephone number posted on the virtual meeting website login page, where technicians will be available to help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 the Annual Meeting, how do we ask questions of management and the Board? </w:t>
      </w:r>
    </w:p>
    <w:p>
      <w:pPr>
        <w:pStyle w:val="TextBody"/>
        <w:bidi w:val="0"/>
        <w:spacing w:before="120" w:after="0"/>
        <w:jc w:val="left"/>
        <w:rPr>
          <w:rFonts w:ascii="Times New Roman" w:hAnsi="Times New Roman"/>
          <w:sz w:val="20"/>
        </w:rPr>
      </w:pPr>
      <w:r>
        <w:rPr>
          <w:rFonts w:ascii="Times New Roman" w:hAnsi="Times New Roman"/>
          <w:sz w:val="20"/>
        </w:rPr>
        <w:t>During a designated question and answer period at the Annual Meeting, we plan to respond to appropriate questions submitted by stockholders within the rules of conduct for the Annual Meeting as the allotted time permits. If we receive substantially similar questions, we will group such questions together and provide a single response to avoid repetition. Questions that are not relevant to the proposals to be voted on at the Annual Meeting will not be responded to. Questions may be submitted during the Annual Meeting through www.virtualshareholdermeeting.com/TECX2025</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Who can vote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Only stockholders of record at the close of business on the Record Date will be entitled to vote at the Annual Meeting.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on the Record Date your shares were registered directly in your name with Tectonic’s transfer agent, Computershare Trust Company N.A., then you are a stockholder of record. As a stockholder of record, you may vote online at the meeting or vote by proxy. Whether or not you plan to attend the meeting, we urge you to fill out and return your vote by proxy over the telephone, vote by proxy through the internet or vote by proxy using a proxy card that you may request or that we may elect to deliver at a later time to ensure your vote is counted.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a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on the Record Date your shares were held, not in your name, but rather in an account at a brokerage firm, bank or other similar organization, then you are the beneficial owner of shares held in “street name” and the Notice should be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Notice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 </w:t>
      </w:r>
    </w:p>
    <w:p>
      <w:pPr>
        <w:pStyle w:val="TextBody"/>
        <w:bidi w:val="0"/>
        <w:spacing w:before="360" w:after="0"/>
        <w:jc w:val="left"/>
        <w:rPr>
          <w:rFonts w:ascii="Times New Roman" w:hAnsi="Times New Roman"/>
          <w:b/>
          <w:sz w:val="20"/>
        </w:rPr>
      </w:pPr>
      <w:r>
        <w:rPr>
          <w:rFonts w:ascii="Times New Roman" w:hAnsi="Times New Roman"/>
          <w:b/>
          <w:sz w:val="20"/>
        </w:rPr>
        <w:t xml:space="preserve">What am I voting on? </w:t>
      </w:r>
    </w:p>
    <w:p>
      <w:pPr>
        <w:pStyle w:val="TextBody"/>
        <w:bidi w:val="0"/>
        <w:spacing w:before="120" w:after="0"/>
        <w:jc w:val="left"/>
        <w:rPr>
          <w:rFonts w:ascii="Times New Roman" w:hAnsi="Times New Roman"/>
          <w:sz w:val="20"/>
        </w:rPr>
      </w:pPr>
      <w:r>
        <w:rPr>
          <w:rFonts w:ascii="Times New Roman" w:hAnsi="Times New Roman"/>
          <w:sz w:val="20"/>
        </w:rPr>
        <w:t xml:space="preserve">There are four matters scheduled for a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the Board’s two nominees for director named as nominees in this Proxy Statement to serve until the 2028 Annual Meeting of Stockholders and their successors are duly elected and qualified, or until their earlier death, resignation or removal (Proposal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by the Audit Committee of the Board of Deloitte &amp; Touche LLP as the Company’s independent registered public accounting firm for the fiscal year ending December 31, 2025 (Proposal 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an advisory basis, the compensation of the Company’s Named Executive Officers, as disclosed in this Proxy Statement (Proposal 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indicate, on an advisory basis, the preferred frequency of stockholder advisory votes on the compensation of the Company’s Named Executive Officers (Proposal 4); and </w:t>
            </w:r>
          </w:p>
        </w:tc>
      </w:tr>
    </w:tbl>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75"/>
        <w:gridCol w:w="110"/>
        <w:gridCol w:w="60"/>
        <w:gridCol w:w="9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conduct any other business properly brought before the Annual Meeting or any adjournment or postponement thereof.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What if another matter is properly brought before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Board does not know of any other matters to be brought before the meeting. If other matters are presented, the proxy holders have discretionary authority to vote all proxies in accordance with their best judgment. Discretionary authority for them to do so is provided for in the proxy card.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vote? </w:t>
      </w:r>
    </w:p>
    <w:p>
      <w:pPr>
        <w:pStyle w:val="TextBody"/>
        <w:bidi w:val="0"/>
        <w:spacing w:before="120" w:after="0"/>
        <w:jc w:val="left"/>
        <w:rPr>
          <w:rFonts w:ascii="Times New Roman" w:hAnsi="Times New Roman"/>
          <w:sz w:val="20"/>
        </w:rPr>
      </w:pPr>
      <w:r>
        <w:rPr>
          <w:rFonts w:ascii="Times New Roman" w:hAnsi="Times New Roman"/>
          <w:sz w:val="20"/>
        </w:rPr>
        <w:t xml:space="preserve">For Proposal 1, you may either vote “For” all the nominees to the Board or you may “Withhold” your vote for any nominee to the Board that you specify. With regard to your advisory vote on how frequently we should solicit stockholder advisory approval of executive compensation, you may vote for any one of the following: one year, two years or three years, or you may abstain from voting on that matter. For each of the other matters to be voted on, you may vote “For” or “Against” or abstain from voting.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noted below: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vote at the Annual Meeting or you may vote by proxy over the telephone, through the internet or using a proxy card that you may request or that we may elect to deliver at a later time. Whether or not you plan to attend the Annual Meeting, we urge you to vote by proxy to ensure your vote is counted. You may still attend the Annual Meeting and vote at the Annual Meeting even if you have already voted by proxy. This is only required if you want to change your original vote, since votes will not be double counted.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9"/>
        <w:gridCol w:w="120"/>
        <w:gridCol w:w="1484"/>
        <w:gridCol w:w="120"/>
        <w:gridCol w:w="1845"/>
        <w:gridCol w:w="120"/>
        <w:gridCol w:w="3907"/>
      </w:tblGrid>
      <w:tr>
        <w:trPr/>
        <w:tc>
          <w:tcPr>
            <w:tcW w:w="26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7" w:type="dxa"/>
            <w:tcBorders/>
            <w:vAlign w:val="center"/>
          </w:tcPr>
          <w:p>
            <w:pPr>
              <w:pStyle w:val="TableContents"/>
              <w:bidi w:val="0"/>
              <w:spacing w:before="0" w:after="283"/>
              <w:jc w:val="left"/>
              <w:rPr>
                <w:sz w:val="4"/>
                <w:szCs w:val="4"/>
              </w:rPr>
            </w:pPr>
            <w:r>
              <w:rPr>
                <w:sz w:val="4"/>
                <w:szCs w:val="4"/>
              </w:rPr>
            </w:r>
          </w:p>
        </w:tc>
      </w:tr>
      <w:tr>
        <w:trPr/>
        <w:tc>
          <w:tcPr>
            <w:tcW w:w="2609"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By Internet</w:t>
            </w:r>
          </w:p>
        </w:tc>
        <w:tc>
          <w:tcPr>
            <w:tcW w:w="120" w:type="dxa"/>
            <w:tcBorders/>
            <w:vAlign w:val="center"/>
          </w:tcPr>
          <w:p>
            <w:pPr>
              <w:pStyle w:val="TableContents"/>
              <w:bidi w:val="0"/>
              <w:spacing w:before="0" w:after="283"/>
              <w:jc w:val="left"/>
              <w:rPr/>
            </w:pPr>
            <w:r>
              <w:rPr/>
              <w:t>  </w:t>
            </w:r>
          </w:p>
        </w:tc>
        <w:tc>
          <w:tcPr>
            <w:tcW w:w="1484"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By Telephone</w:t>
            </w:r>
          </w:p>
        </w:tc>
        <w:tc>
          <w:tcPr>
            <w:tcW w:w="120" w:type="dxa"/>
            <w:tcBorders/>
            <w:vAlign w:val="center"/>
          </w:tcPr>
          <w:p>
            <w:pPr>
              <w:pStyle w:val="TableContents"/>
              <w:bidi w:val="0"/>
              <w:spacing w:before="0" w:after="283"/>
              <w:jc w:val="left"/>
              <w:rPr/>
            </w:pPr>
            <w:r>
              <w:rPr/>
              <w:t>  </w:t>
            </w:r>
          </w:p>
        </w:tc>
        <w:tc>
          <w:tcPr>
            <w:tcW w:w="184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By Mail</w:t>
            </w:r>
          </w:p>
        </w:tc>
        <w:tc>
          <w:tcPr>
            <w:tcW w:w="120" w:type="dxa"/>
            <w:tcBorders/>
            <w:vAlign w:val="center"/>
          </w:tcPr>
          <w:p>
            <w:pPr>
              <w:pStyle w:val="TableContents"/>
              <w:bidi w:val="0"/>
              <w:spacing w:before="0" w:after="283"/>
              <w:jc w:val="left"/>
              <w:rPr/>
            </w:pPr>
            <w:r>
              <w:rPr/>
              <w:t>  </w:t>
            </w:r>
          </w:p>
        </w:tc>
        <w:tc>
          <w:tcPr>
            <w:tcW w:w="3907"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During the Meeting</w:t>
            </w:r>
          </w:p>
        </w:tc>
      </w:tr>
      <w:tr>
        <w:trPr/>
        <w:tc>
          <w:tcPr>
            <w:tcW w:w="2609" w:type="dxa"/>
            <w:tcBorders/>
            <w:vAlign w:val="center"/>
          </w:tcPr>
          <w:p>
            <w:pPr>
              <w:pStyle w:val="TableContents"/>
              <w:bidi w:val="0"/>
              <w:spacing w:before="0" w:after="283"/>
              <w:jc w:val="left"/>
              <w:rPr/>
            </w:pPr>
            <w:r>
              <w:rPr/>
              <w:t>You may vote your shares from any location in the world at www.proxyvote.com (you will need the control number printed on your Notice or proxy card)</w:t>
            </w:r>
          </w:p>
        </w:tc>
        <w:tc>
          <w:tcPr>
            <w:tcW w:w="12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left"/>
              <w:rPr/>
            </w:pPr>
            <w:r>
              <w:rPr/>
              <w:t>You may vote your shares by calling 1-800-690-6903 and following the instructions on your proxy card.</w:t>
            </w:r>
          </w:p>
        </w:tc>
        <w:tc>
          <w:tcPr>
            <w:tcW w:w="120"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283"/>
              <w:jc w:val="left"/>
              <w:rPr/>
            </w:pPr>
            <w:r>
              <w:rPr/>
              <w:t>If you received a proxy card by mail, you may vote by completing, dating and signing the proxy card and promptly mailing it in the postage-paid envelope provided.</w:t>
            </w:r>
          </w:p>
        </w:tc>
        <w:tc>
          <w:tcPr>
            <w:tcW w:w="120" w:type="dxa"/>
            <w:tcBorders/>
            <w:vAlign w:val="center"/>
          </w:tcPr>
          <w:p>
            <w:pPr>
              <w:pStyle w:val="TableContents"/>
              <w:bidi w:val="0"/>
              <w:spacing w:before="0" w:after="283"/>
              <w:jc w:val="left"/>
              <w:rPr/>
            </w:pPr>
            <w:r>
              <w:rPr/>
              <w:t>  </w:t>
            </w:r>
          </w:p>
        </w:tc>
        <w:tc>
          <w:tcPr>
            <w:tcW w:w="3907" w:type="dxa"/>
            <w:tcBorders/>
            <w:vAlign w:val="center"/>
          </w:tcPr>
          <w:p>
            <w:pPr>
              <w:pStyle w:val="TableContents"/>
              <w:bidi w:val="0"/>
              <w:spacing w:before="0" w:after="283"/>
              <w:jc w:val="left"/>
              <w:rPr/>
            </w:pPr>
            <w:r>
              <w:rPr/>
              <w:t>To vote at the meeting, visit www.virtualshareholdermeeting.com/</w:t>
              <w:br/>
              <w:t>TECX2025 (you will need the control number printed on your Notice or proxy registration confirmation email)</w:t>
            </w:r>
          </w:p>
        </w:tc>
      </w:tr>
    </w:tbl>
    <w:p>
      <w:pPr>
        <w:pStyle w:val="TextBody"/>
        <w:bidi w:val="0"/>
        <w:spacing w:before="240" w:after="0"/>
        <w:jc w:val="left"/>
        <w:rPr>
          <w:rFonts w:ascii="Times New Roman" w:hAnsi="Times New Roman"/>
          <w:sz w:val="20"/>
        </w:rPr>
      </w:pPr>
      <w:r>
        <w:rPr>
          <w:rFonts w:ascii="Times New Roman" w:hAnsi="Times New Roman"/>
          <w:sz w:val="20"/>
        </w:rPr>
        <w:t xml:space="preserve">Internet and telephone voting facilities for stockholders of record will be available for 24 hours a day and will close at 11:59 p.m. Eastern Time on June 5, 2025.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of record and do not vote by completing your proxy card, by telephone, through the internet or online at the Annual Meeting, your shares will not be voted. </w:t>
      </w:r>
    </w:p>
    <w:p>
      <w:pPr>
        <w:pStyle w:val="TextBody"/>
        <w:bidi w:val="0"/>
        <w:spacing w:before="240" w:after="0"/>
        <w:jc w:val="left"/>
        <w:rPr>
          <w:rFonts w:ascii="Times New Roman" w:hAnsi="Times New Roman"/>
          <w:sz w:val="20"/>
        </w:rPr>
      </w:pPr>
      <w:r>
        <w:rPr>
          <w:rFonts w:ascii="Times New Roman" w:hAnsi="Times New Roman"/>
          <w:sz w:val="20"/>
        </w:rPr>
        <w:t xml:space="preserve">If you return a signed and dated proxy card or otherwise vote without marking voting selections, your shares will be voted, as applicable, “For” the election of both nominees for director, “For” the advisory vote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executive compensation, “For” “One Year” as the preferred frequency of advisory votes to approve executive compensation, and “For” the ratification of the appointment by the Audit Committee of the Board of Deloitte &amp; Touche LLP as our independent registered public accounting firm for the fiscal year ending December 31, 2025. If any other matter is properly presented at the meeting, your proxy holder (one of the individuals named on your proxy card) will vote your shares using that individual’s best judgment.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Notice containing voting instructions from that organization rather than from Tectonic. You must follow these instructions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Notice of Availability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Notice of Availability or voting instruction form, and you wish to vote prior to or at the virtual Annual Meeting, you must follow the instructions from your broker, bank or other stockholder of record, including any requirement to obtain your 16-digit control number. Many brokers, banks and other stockholders of record allow a beneficial owner to obtain their 16-digit control number either online or by mail, and we recommend that you contact your broker, bank or other stockholder of record to do so. </w:t>
      </w:r>
    </w:p>
    <w:p>
      <w:pPr>
        <w:pStyle w:val="TextBody"/>
        <w:bidi w:val="0"/>
        <w:spacing w:before="0" w:after="0"/>
        <w:jc w:val="left"/>
        <w:rPr/>
      </w:pPr>
      <w:r>
        <w:rPr/>
        <w:t> </w:t>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votes do I have?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Common Stock you owned as of the Record Date is entitled to one vote. </w:t>
      </w:r>
    </w:p>
    <w:p>
      <w:pPr>
        <w:pStyle w:val="TextBody"/>
        <w:bidi w:val="0"/>
        <w:spacing w:before="360" w:after="0"/>
        <w:jc w:val="left"/>
        <w:rPr>
          <w:rFonts w:ascii="Times New Roman" w:hAnsi="Times New Roman"/>
          <w:b/>
          <w:sz w:val="20"/>
        </w:rPr>
      </w:pPr>
      <w:r>
        <w:rPr>
          <w:rFonts w:ascii="Times New Roman" w:hAnsi="Times New Roman"/>
          <w:b/>
          <w:sz w:val="20"/>
        </w:rPr>
        <w:t xml:space="preserve">If I am a stockholder of record and I do not vote, or if I return a proxy card or otherwise vote without giving specific voting instructions, what happens?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and do not vote by completing your proxy card, by telephone, through the internet or online at the Annual Meeting, your shares will not be voted. </w:t>
      </w:r>
    </w:p>
    <w:p>
      <w:pPr>
        <w:pStyle w:val="TextBody"/>
        <w:bidi w:val="0"/>
        <w:spacing w:before="240" w:after="0"/>
        <w:jc w:val="left"/>
        <w:rPr>
          <w:rFonts w:ascii="Times New Roman" w:hAnsi="Times New Roman"/>
          <w:sz w:val="20"/>
        </w:rPr>
      </w:pPr>
      <w:r>
        <w:rPr>
          <w:rFonts w:ascii="Times New Roman" w:hAnsi="Times New Roman"/>
          <w:sz w:val="20"/>
        </w:rPr>
        <w:t xml:space="preserve">If you return a signed and dated proxy card or otherwise vote without marking voting selections, your shares will be voted, as applicable, “For” the election of both nominees for director, “For” the advisory vote on executive compensation, “For” “One Year” as the preferred frequency of advisory votes to approve executive compensation, and “For” the ratification of the appointment by the Audit Committee of the Board of Deloitte &amp; Touche LLP as our independent registered public accounting firm for the fiscal year ending December 31, 2025. If any other matter is properly presented at the meeting, your proxy holder (one of the individuals named on your proxy card) will vote your shares using that individual’s best judgment. </w:t>
      </w:r>
    </w:p>
    <w:p>
      <w:pPr>
        <w:pStyle w:val="TextBody"/>
        <w:bidi w:val="0"/>
        <w:spacing w:before="240" w:after="0"/>
        <w:jc w:val="left"/>
        <w:rPr>
          <w:rFonts w:ascii="Times New Roman" w:hAnsi="Times New Roman"/>
          <w:sz w:val="20"/>
        </w:rPr>
      </w:pPr>
      <w:r>
        <w:rPr>
          <w:rFonts w:ascii="Times New Roman" w:hAnsi="Times New Roman"/>
          <w:sz w:val="20"/>
        </w:rPr>
        <w:t xml:space="preserve">If I am a beneficial owner of shares held in street name and I do not provide my broker or bank with voting instructions, what happens?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street name and you do not instruct your broker, bank or other agent how to vote your shares, your broker, bank or other agent may still be able to vote your shares in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discretion. Brokers, banks and other securities intermediaries may use their discretion to vote your “uninstructed” shares with respect to matters considered to be “routine,” but not with respect to “non-routine” matters. In this regard, Proposal 1, Proposal 3 and Proposal 4 are considered to be “non-routine,” meaning that your broker may not vote your shares on those proposals in the absence of your voting instructions. Proposal 2 and Proposal 5 are considered to be a “routine” matter, meaning that if you do not return voting instructions to your broker by its deadline, your shares may be voted by your broker in its discretion on Proposal 2 and Proposal 5.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you are a beneficial owner of shares held in street name, and you do not plan to attend the Annual Meeting, in order to ensure your shares are voted in the way you would prefer, you </w:t>
      </w:r>
      <w:r>
        <w:rPr>
          <w:rFonts w:ascii="Times New Roman" w:hAnsi="Times New Roman"/>
          <w:b/>
          <w:i/>
          <w:sz w:val="20"/>
          <w:u w:val="single"/>
        </w:rPr>
        <w:t>must</w:t>
      </w:r>
      <w:r>
        <w:rPr>
          <w:rFonts w:ascii="Times New Roman" w:hAnsi="Times New Roman"/>
          <w:b/>
          <w:i/>
          <w:sz w:val="20"/>
        </w:rPr>
        <w:t xml:space="preserve"> provide voting instructions to your broker, bank or other agent by the deadline provided in the materials you receive from your broker, bank or other agent.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when a beneficial owner of shares held in street name does not give voting instructions to his or her broker, bank or other securities intermediary holding his or her shares as to how to vote on matters deemed to be “non-routine,” the broker, bank or other such agent cannot vote the shares. When there is at least one “routine” matter that the broker, bank or other securities intermediary votes on, the shares that are un-voted on “non-routine” matters are counted as “broker non-votes.” Proposal 2 is a “routine” matter and we therefore expect brokers, banks or other securities intermediaries to vote on this proposal. Proposal 1, Proposal 3 and Proposal 4 are considered to be “non-routine” and we therefore expect broker non-votes to exist in connection with that proposal. </w:t>
      </w:r>
    </w:p>
    <w:p>
      <w:pPr>
        <w:pStyle w:val="TextBody"/>
        <w:bidi w:val="0"/>
        <w:spacing w:before="240" w:after="0"/>
        <w:jc w:val="left"/>
        <w:rPr>
          <w:rFonts w:ascii="Times New Roman" w:hAnsi="Times New Roman"/>
          <w:b/>
          <w:i/>
          <w:sz w:val="20"/>
        </w:rPr>
      </w:pPr>
      <w:r>
        <w:rPr>
          <w:rFonts w:ascii="Times New Roman" w:hAnsi="Times New Roman"/>
          <w:b/>
          <w:i/>
          <w:sz w:val="20"/>
        </w:rPr>
        <w:t xml:space="preserve">As a reminder, if you are a beneficial owner of shares held in street name, in order to ensure your shares are voted in the way you would prefer, you </w:t>
      </w:r>
      <w:r>
        <w:rPr>
          <w:rFonts w:ascii="Times New Roman" w:hAnsi="Times New Roman"/>
          <w:b/>
          <w:i/>
          <w:sz w:val="20"/>
          <w:u w:val="single"/>
        </w:rPr>
        <w:t>must</w:t>
      </w:r>
      <w:r>
        <w:rPr>
          <w:rFonts w:ascii="Times New Roman" w:hAnsi="Times New Roman"/>
          <w:b/>
          <w:i/>
          <w:sz w:val="20"/>
        </w:rPr>
        <w:t xml:space="preserve"> provide voting instructions to your broker, bank or other agent by the deadline provided in the materials you receive from your broker, bank or other agent. </w:t>
      </w:r>
    </w:p>
    <w:p>
      <w:pPr>
        <w:pStyle w:val="TextBody"/>
        <w:bidi w:val="0"/>
        <w:spacing w:before="360" w:after="0"/>
        <w:jc w:val="left"/>
        <w:rPr>
          <w:rFonts w:ascii="Times New Roman" w:hAnsi="Times New Roman"/>
          <w:b/>
          <w:sz w:val="20"/>
        </w:rPr>
      </w:pPr>
      <w:r>
        <w:rPr>
          <w:rFonts w:ascii="Times New Roman" w:hAnsi="Times New Roman"/>
          <w:b/>
          <w:sz w:val="20"/>
        </w:rPr>
        <w:t xml:space="preserve">Who is paying for this 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Tectonic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also reimburse brokerage firms, banks and other agents for the cost of forwarding proxy materials to beneficial owners. In addition, we have hired Broadridge to solicit proxies. We expect to pay Broadridge a fee of $35,000 plus reasonable expenses for these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 it mean if I receive more than one Notice? </w:t>
      </w:r>
    </w:p>
    <w:p>
      <w:pPr>
        <w:pStyle w:val="TextBody"/>
        <w:bidi w:val="0"/>
        <w:spacing w:before="120" w:after="0"/>
        <w:jc w:val="left"/>
        <w:rPr>
          <w:rFonts w:ascii="Times New Roman" w:hAnsi="Times New Roman"/>
          <w:sz w:val="20"/>
        </w:rPr>
      </w:pPr>
      <w:r>
        <w:rPr>
          <w:rFonts w:ascii="Times New Roman" w:hAnsi="Times New Roman"/>
          <w:sz w:val="20"/>
        </w:rPr>
        <w:t xml:space="preserve">If you receive more than one Notice, your shares may be registered in more than one name or in different accounts. Please follow the voting instructions on the Notices to ensure that all of your shares are voted. </w:t>
      </w:r>
    </w:p>
    <w:p>
      <w:pPr>
        <w:pStyle w:val="TextBody"/>
        <w:bidi w:val="0"/>
        <w:spacing w:before="360" w:after="0"/>
        <w:jc w:val="left"/>
        <w:rPr>
          <w:rFonts w:ascii="Times New Roman" w:hAnsi="Times New Roman"/>
          <w:b/>
          <w:sz w:val="20"/>
        </w:rPr>
      </w:pPr>
      <w:r>
        <w:rPr>
          <w:rFonts w:ascii="Times New Roman" w:hAnsi="Times New Roman"/>
          <w:b/>
          <w:sz w:val="20"/>
        </w:rPr>
        <w:t xml:space="preserve">Can I change my vote after submitting my proxy? </w:t>
      </w:r>
    </w:p>
    <w:p>
      <w:pPr>
        <w:pStyle w:val="TextBody"/>
        <w:bidi w:val="0"/>
        <w:spacing w:before="12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Yes. You can revoke your proxy at any time before the final vote at the Annual Meeting. If you are the record holder of your shares, you may revoke your proxy in any one of the following ways: </w:t>
      </w:r>
    </w:p>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card with a later date.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grant a subsequent proxy by telephone or through the internet.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timely written notice that you are revoking your proxy to the Company’s Corporate Secretary at 490 Arsenal Way, Suite 210, Watertown, Massachusetts 02472. Such notice will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considered timely if it is received at the indicated address by the close of business on the business day one week preceding the date of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Annual Meeting and vote online. Simply attending the Annual Meeting will not, by itself, revoke your proxy.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most current proxy card or telephone or internet proxy is the one that is counted.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by your broker, bank or other agent, you should follow the instructions provided by your broker, bank or other agent. </w:t>
      </w:r>
    </w:p>
    <w:p>
      <w:pPr>
        <w:pStyle w:val="TextBody"/>
        <w:bidi w:val="0"/>
        <w:spacing w:before="360" w:after="0"/>
        <w:jc w:val="left"/>
        <w:rPr>
          <w:rFonts w:ascii="Times New Roman" w:hAnsi="Times New Roman"/>
          <w:b/>
          <w:sz w:val="20"/>
        </w:rPr>
      </w:pPr>
      <w:r>
        <w:rPr>
          <w:rFonts w:ascii="Times New Roman" w:hAnsi="Times New Roman"/>
          <w:b/>
          <w:sz w:val="20"/>
        </w:rPr>
        <w:t xml:space="preserve">What vote is required for adoption or approval of each proposal and how will votes be counted?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38"/>
        <w:gridCol w:w="120"/>
        <w:gridCol w:w="1159"/>
        <w:gridCol w:w="120"/>
        <w:gridCol w:w="1786"/>
        <w:gridCol w:w="120"/>
        <w:gridCol w:w="868"/>
        <w:gridCol w:w="120"/>
        <w:gridCol w:w="800"/>
        <w:gridCol w:w="120"/>
        <w:gridCol w:w="1454"/>
      </w:tblGrid>
      <w:tr>
        <w:trPr/>
        <w:tc>
          <w:tcPr>
            <w:tcW w:w="35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r>
      <w:tr>
        <w:trPr/>
        <w:tc>
          <w:tcPr>
            <w:tcW w:w="3538"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Proposal</w:t>
            </w:r>
          </w:p>
        </w:tc>
        <w:tc>
          <w:tcPr>
            <w:tcW w:w="120" w:type="dxa"/>
            <w:tcBorders/>
            <w:vAlign w:val="center"/>
          </w:tcPr>
          <w:p>
            <w:pPr>
              <w:pStyle w:val="TableContents"/>
              <w:bidi w:val="0"/>
              <w:spacing w:before="0" w:after="283"/>
              <w:jc w:val="left"/>
              <w:rPr/>
            </w:pPr>
            <w:r>
              <w:rPr/>
              <w:t>  </w:t>
            </w:r>
          </w:p>
        </w:tc>
        <w:tc>
          <w:tcPr>
            <w:tcW w:w="1159"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Vote</w:t>
            </w:r>
          </w:p>
          <w:p>
            <w:pPr>
              <w:pStyle w:val="TableContents"/>
              <w:bidi w:val="0"/>
              <w:spacing w:before="0" w:after="20"/>
              <w:jc w:val="center"/>
              <w:rPr>
                <w:rFonts w:ascii="Times New Roman" w:hAnsi="Times New Roman"/>
                <w:b/>
                <w:sz w:val="16"/>
              </w:rPr>
            </w:pPr>
            <w:r>
              <w:rPr>
                <w:rFonts w:ascii="Times New Roman" w:hAnsi="Times New Roman"/>
                <w:b/>
                <w:sz w:val="16"/>
              </w:rPr>
              <w:t>Required for</w:t>
              <w:br/>
              <w:t>Approval</w:t>
            </w:r>
          </w:p>
        </w:tc>
        <w:tc>
          <w:tcPr>
            <w:tcW w:w="120" w:type="dxa"/>
            <w:tcBorders/>
            <w:vAlign w:val="center"/>
          </w:tcPr>
          <w:p>
            <w:pPr>
              <w:pStyle w:val="TableContents"/>
              <w:bidi w:val="0"/>
              <w:spacing w:before="0" w:after="283"/>
              <w:jc w:val="left"/>
              <w:rPr/>
            </w:pPr>
            <w:r>
              <w:rPr/>
              <w:t>  </w:t>
            </w:r>
          </w:p>
        </w:tc>
        <w:tc>
          <w:tcPr>
            <w:tcW w:w="178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Voting Options</w:t>
            </w:r>
          </w:p>
        </w:tc>
        <w:tc>
          <w:tcPr>
            <w:tcW w:w="120" w:type="dxa"/>
            <w:tcBorders/>
            <w:vAlign w:val="center"/>
          </w:tcPr>
          <w:p>
            <w:pPr>
              <w:pStyle w:val="TableContents"/>
              <w:bidi w:val="0"/>
              <w:spacing w:before="0" w:after="283"/>
              <w:jc w:val="left"/>
              <w:rPr/>
            </w:pPr>
            <w:r>
              <w:rPr/>
              <w:t>  </w:t>
            </w:r>
          </w:p>
        </w:tc>
        <w:tc>
          <w:tcPr>
            <w:tcW w:w="86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Effect of</w:t>
              <w:br/>
              <w:t>Abstentions</w:t>
            </w:r>
          </w:p>
        </w:tc>
        <w:tc>
          <w:tcPr>
            <w:tcW w:w="12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Effect of</w:t>
              <w:br/>
              <w:t>Broker</w:t>
              <w:br/>
              <w:t>Non-Votes</w:t>
            </w:r>
          </w:p>
        </w:tc>
        <w:tc>
          <w:tcPr>
            <w:tcW w:w="120" w:type="dxa"/>
            <w:tcBorders/>
            <w:vAlign w:val="center"/>
          </w:tcPr>
          <w:p>
            <w:pPr>
              <w:pStyle w:val="TableContents"/>
              <w:bidi w:val="0"/>
              <w:spacing w:before="0" w:after="283"/>
              <w:jc w:val="left"/>
              <w:rPr/>
            </w:pPr>
            <w:r>
              <w:rPr/>
              <w:t>  </w:t>
            </w:r>
          </w:p>
        </w:tc>
        <w:tc>
          <w:tcPr>
            <w:tcW w:w="145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Board</w:t>
              <w:br/>
              <w:t>Recommendation</w:t>
            </w:r>
          </w:p>
        </w:tc>
      </w:tr>
      <w:tr>
        <w:trPr/>
        <w:tc>
          <w:tcPr>
            <w:tcW w:w="3538" w:type="dxa"/>
            <w:tcBorders/>
            <w:vAlign w:val="center"/>
          </w:tcPr>
          <w:p>
            <w:pPr>
              <w:pStyle w:val="TableContents"/>
              <w:bidi w:val="0"/>
              <w:spacing w:before="0" w:after="283"/>
              <w:jc w:val="left"/>
              <w:rPr/>
            </w:pPr>
            <w:r>
              <w:rPr>
                <w:u w:val="single"/>
              </w:rPr>
              <w:t>Proposal 1</w:t>
            </w:r>
            <w:r>
              <w:rPr/>
              <w:t>: Election of Directors named in this Proxy Statement</w:t>
            </w:r>
          </w:p>
        </w:tc>
        <w:tc>
          <w:tcPr>
            <w:tcW w:w="120"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left"/>
              <w:rPr/>
            </w:pPr>
            <w:r>
              <w:rPr/>
              <w:t>Plurality of the votes cast and entitled to vote</w:t>
            </w:r>
          </w:p>
        </w:tc>
        <w:tc>
          <w:tcPr>
            <w:tcW w:w="120"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left"/>
              <w:rPr/>
            </w:pPr>
            <w:r>
              <w:rPr/>
              <w:t>FOR or WITHHOLD</w:t>
            </w:r>
          </w:p>
        </w:tc>
        <w:tc>
          <w:tcPr>
            <w:tcW w:w="120"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left"/>
              <w:rPr/>
            </w:pPr>
            <w:r>
              <w:rPr/>
              <w:t>FOR all nominees</w:t>
            </w:r>
          </w:p>
        </w:tc>
      </w:tr>
      <w:tr>
        <w:trPr/>
        <w:tc>
          <w:tcPr>
            <w:tcW w:w="3538" w:type="dxa"/>
            <w:tcBorders/>
            <w:vAlign w:val="center"/>
          </w:tcPr>
          <w:p>
            <w:pPr>
              <w:pStyle w:val="TableContents"/>
              <w:bidi w:val="0"/>
              <w:spacing w:before="0" w:after="283"/>
              <w:jc w:val="left"/>
              <w:rPr>
                <w:sz w:val="4"/>
                <w:szCs w:val="4"/>
              </w:rPr>
            </w:pPr>
            <w:r>
              <w:rPr>
                <w:sz w:val="4"/>
                <w:szCs w:val="4"/>
              </w:rPr>
            </w:r>
          </w:p>
        </w:tc>
        <w:tc>
          <w:tcPr>
            <w:tcW w:w="1279" w:type="dxa"/>
            <w:gridSpan w:val="2"/>
            <w:tcBorders/>
            <w:vAlign w:val="center"/>
          </w:tcPr>
          <w:p>
            <w:pPr>
              <w:pStyle w:val="TableContents"/>
              <w:bidi w:val="0"/>
              <w:spacing w:before="0" w:after="283"/>
              <w:jc w:val="left"/>
              <w:rPr>
                <w:sz w:val="4"/>
                <w:szCs w:val="4"/>
              </w:rPr>
            </w:pPr>
            <w:r>
              <w:rPr>
                <w:sz w:val="4"/>
                <w:szCs w:val="4"/>
              </w:rPr>
            </w:r>
          </w:p>
        </w:tc>
        <w:tc>
          <w:tcPr>
            <w:tcW w:w="1906" w:type="dxa"/>
            <w:gridSpan w:val="2"/>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1574" w:type="dxa"/>
            <w:gridSpan w:val="2"/>
            <w:tcBorders/>
            <w:vAlign w:val="center"/>
          </w:tcPr>
          <w:p>
            <w:pPr>
              <w:pStyle w:val="TableContents"/>
              <w:bidi w:val="0"/>
              <w:spacing w:before="0" w:after="283"/>
              <w:jc w:val="left"/>
              <w:rPr>
                <w:sz w:val="4"/>
                <w:szCs w:val="4"/>
              </w:rPr>
            </w:pPr>
            <w:r>
              <w:rPr>
                <w:sz w:val="4"/>
                <w:szCs w:val="4"/>
              </w:rPr>
            </w:r>
          </w:p>
        </w:tc>
      </w:tr>
      <w:tr>
        <w:trPr/>
        <w:tc>
          <w:tcPr>
            <w:tcW w:w="3538" w:type="dxa"/>
            <w:tcBorders/>
            <w:vAlign w:val="center"/>
          </w:tcPr>
          <w:p>
            <w:pPr>
              <w:pStyle w:val="TableContents"/>
              <w:bidi w:val="0"/>
              <w:spacing w:before="0" w:after="283"/>
              <w:jc w:val="left"/>
              <w:rPr/>
            </w:pPr>
            <w:r>
              <w:rPr>
                <w:u w:val="single"/>
              </w:rPr>
              <w:t>Proposal 2</w:t>
            </w:r>
            <w:r>
              <w:rPr/>
              <w:t>: Ratification of the appointment of Deloitte &amp; Touche LLP as the Company’s independent registered public accounting firm for the fiscal year ending December 31, 2025</w:t>
            </w:r>
          </w:p>
        </w:tc>
        <w:tc>
          <w:tcPr>
            <w:tcW w:w="120"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left"/>
              <w:rPr/>
            </w:pPr>
            <w:r>
              <w:rPr/>
              <w:t>Majority of the votes properly cast</w:t>
            </w:r>
          </w:p>
        </w:tc>
        <w:tc>
          <w:tcPr>
            <w:tcW w:w="120"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left"/>
              <w:rPr/>
            </w:pPr>
            <w:r>
              <w:rPr/>
              <w:t>FOR, AGAINST or ABSTAIN</w:t>
            </w:r>
          </w:p>
        </w:tc>
        <w:tc>
          <w:tcPr>
            <w:tcW w:w="120"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left"/>
              <w:rPr/>
            </w:pPr>
            <w:r>
              <w:rPr/>
              <w:t>FOR</w:t>
            </w:r>
          </w:p>
        </w:tc>
      </w:tr>
      <w:tr>
        <w:trPr/>
        <w:tc>
          <w:tcPr>
            <w:tcW w:w="3538" w:type="dxa"/>
            <w:tcBorders/>
            <w:vAlign w:val="center"/>
          </w:tcPr>
          <w:p>
            <w:pPr>
              <w:pStyle w:val="TableContents"/>
              <w:bidi w:val="0"/>
              <w:spacing w:before="0" w:after="283"/>
              <w:jc w:val="left"/>
              <w:rPr>
                <w:sz w:val="4"/>
                <w:szCs w:val="4"/>
              </w:rPr>
            </w:pPr>
            <w:r>
              <w:rPr>
                <w:sz w:val="4"/>
                <w:szCs w:val="4"/>
              </w:rPr>
            </w:r>
          </w:p>
        </w:tc>
        <w:tc>
          <w:tcPr>
            <w:tcW w:w="1279" w:type="dxa"/>
            <w:gridSpan w:val="2"/>
            <w:tcBorders/>
            <w:vAlign w:val="center"/>
          </w:tcPr>
          <w:p>
            <w:pPr>
              <w:pStyle w:val="TableContents"/>
              <w:bidi w:val="0"/>
              <w:spacing w:before="0" w:after="283"/>
              <w:jc w:val="left"/>
              <w:rPr>
                <w:sz w:val="4"/>
                <w:szCs w:val="4"/>
              </w:rPr>
            </w:pPr>
            <w:r>
              <w:rPr>
                <w:sz w:val="4"/>
                <w:szCs w:val="4"/>
              </w:rPr>
            </w:r>
          </w:p>
        </w:tc>
        <w:tc>
          <w:tcPr>
            <w:tcW w:w="1906" w:type="dxa"/>
            <w:gridSpan w:val="2"/>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1574" w:type="dxa"/>
            <w:gridSpan w:val="2"/>
            <w:tcBorders/>
            <w:vAlign w:val="center"/>
          </w:tcPr>
          <w:p>
            <w:pPr>
              <w:pStyle w:val="TableContents"/>
              <w:bidi w:val="0"/>
              <w:spacing w:before="0" w:after="283"/>
              <w:jc w:val="left"/>
              <w:rPr>
                <w:sz w:val="4"/>
                <w:szCs w:val="4"/>
              </w:rPr>
            </w:pPr>
            <w:r>
              <w:rPr>
                <w:sz w:val="4"/>
                <w:szCs w:val="4"/>
              </w:rPr>
            </w:r>
          </w:p>
        </w:tc>
      </w:tr>
      <w:tr>
        <w:trPr/>
        <w:tc>
          <w:tcPr>
            <w:tcW w:w="3538" w:type="dxa"/>
            <w:tcBorders/>
            <w:vAlign w:val="center"/>
          </w:tcPr>
          <w:p>
            <w:pPr>
              <w:pStyle w:val="TableContents"/>
              <w:bidi w:val="0"/>
              <w:spacing w:before="0" w:after="283"/>
              <w:jc w:val="left"/>
              <w:rPr/>
            </w:pPr>
            <w:r>
              <w:rPr>
                <w:u w:val="single"/>
              </w:rPr>
              <w:t>Proposal 3</w:t>
            </w:r>
            <w:r>
              <w:rPr/>
              <w:t>: Advisory approval of the compensation of the Company’s Named Executive Officers</w:t>
            </w:r>
          </w:p>
        </w:tc>
        <w:tc>
          <w:tcPr>
            <w:tcW w:w="120"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left"/>
              <w:rPr/>
            </w:pPr>
            <w:r>
              <w:rPr/>
              <w:t>Majority of the votes properly cast</w:t>
            </w:r>
          </w:p>
        </w:tc>
        <w:tc>
          <w:tcPr>
            <w:tcW w:w="120"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left"/>
              <w:rPr/>
            </w:pPr>
            <w:r>
              <w:rPr/>
              <w:t>FOR, AGAINST or ABSTAIN</w:t>
            </w:r>
          </w:p>
        </w:tc>
        <w:tc>
          <w:tcPr>
            <w:tcW w:w="120"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left"/>
              <w:rPr/>
            </w:pPr>
            <w:r>
              <w:rPr/>
              <w:t>FOR</w:t>
            </w:r>
          </w:p>
        </w:tc>
      </w:tr>
      <w:tr>
        <w:trPr/>
        <w:tc>
          <w:tcPr>
            <w:tcW w:w="3538" w:type="dxa"/>
            <w:tcBorders/>
            <w:vAlign w:val="center"/>
          </w:tcPr>
          <w:p>
            <w:pPr>
              <w:pStyle w:val="TableContents"/>
              <w:bidi w:val="0"/>
              <w:spacing w:before="0" w:after="283"/>
              <w:jc w:val="left"/>
              <w:rPr>
                <w:sz w:val="4"/>
                <w:szCs w:val="4"/>
              </w:rPr>
            </w:pPr>
            <w:r>
              <w:rPr>
                <w:sz w:val="4"/>
                <w:szCs w:val="4"/>
              </w:rPr>
            </w:r>
          </w:p>
        </w:tc>
        <w:tc>
          <w:tcPr>
            <w:tcW w:w="1279" w:type="dxa"/>
            <w:gridSpan w:val="2"/>
            <w:tcBorders/>
            <w:vAlign w:val="center"/>
          </w:tcPr>
          <w:p>
            <w:pPr>
              <w:pStyle w:val="TableContents"/>
              <w:bidi w:val="0"/>
              <w:spacing w:before="0" w:after="283"/>
              <w:jc w:val="left"/>
              <w:rPr>
                <w:sz w:val="4"/>
                <w:szCs w:val="4"/>
              </w:rPr>
            </w:pPr>
            <w:r>
              <w:rPr>
                <w:sz w:val="4"/>
                <w:szCs w:val="4"/>
              </w:rPr>
            </w:r>
          </w:p>
        </w:tc>
        <w:tc>
          <w:tcPr>
            <w:tcW w:w="1906" w:type="dxa"/>
            <w:gridSpan w:val="2"/>
            <w:tcBorders/>
            <w:vAlign w:val="center"/>
          </w:tcPr>
          <w:p>
            <w:pPr>
              <w:pStyle w:val="TableContents"/>
              <w:bidi w:val="0"/>
              <w:spacing w:before="0" w:after="283"/>
              <w:jc w:val="left"/>
              <w:rPr>
                <w:sz w:val="4"/>
                <w:szCs w:val="4"/>
              </w:rPr>
            </w:pPr>
            <w:r>
              <w:rPr>
                <w:sz w:val="4"/>
                <w:szCs w:val="4"/>
              </w:rPr>
            </w:r>
          </w:p>
        </w:tc>
        <w:tc>
          <w:tcPr>
            <w:tcW w:w="988"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1574" w:type="dxa"/>
            <w:gridSpan w:val="2"/>
            <w:tcBorders/>
            <w:vAlign w:val="center"/>
          </w:tcPr>
          <w:p>
            <w:pPr>
              <w:pStyle w:val="TableContents"/>
              <w:bidi w:val="0"/>
              <w:spacing w:before="0" w:after="283"/>
              <w:jc w:val="left"/>
              <w:rPr>
                <w:sz w:val="4"/>
                <w:szCs w:val="4"/>
              </w:rPr>
            </w:pPr>
            <w:r>
              <w:rPr>
                <w:sz w:val="4"/>
                <w:szCs w:val="4"/>
              </w:rPr>
            </w:r>
          </w:p>
        </w:tc>
      </w:tr>
      <w:tr>
        <w:trPr/>
        <w:tc>
          <w:tcPr>
            <w:tcW w:w="3538" w:type="dxa"/>
            <w:tcBorders/>
            <w:vAlign w:val="center"/>
          </w:tcPr>
          <w:p>
            <w:pPr>
              <w:pStyle w:val="TableContents"/>
              <w:bidi w:val="0"/>
              <w:spacing w:before="0" w:after="283"/>
              <w:jc w:val="left"/>
              <w:rPr/>
            </w:pPr>
            <w:r>
              <w:rPr>
                <w:u w:val="single"/>
              </w:rPr>
              <w:t>Proposal 4</w:t>
            </w:r>
            <w:r>
              <w:rPr/>
              <w:t>: Advisory vote on the frequency of stockholder advisory votes on executive compensation</w:t>
            </w:r>
          </w:p>
        </w:tc>
        <w:tc>
          <w:tcPr>
            <w:tcW w:w="120"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left"/>
              <w:rPr/>
            </w:pPr>
            <w:r>
              <w:rPr/>
              <w:t>Majority of the votes properly cast</w:t>
            </w:r>
          </w:p>
        </w:tc>
        <w:tc>
          <w:tcPr>
            <w:tcW w:w="120"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left"/>
              <w:rPr/>
            </w:pPr>
            <w:r>
              <w:rPr/>
              <w:t>ONE YEAR, TWO YEARS, THREE YEARS or ABSTAIN</w:t>
            </w:r>
          </w:p>
        </w:tc>
        <w:tc>
          <w:tcPr>
            <w:tcW w:w="120"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left"/>
              <w:rPr/>
            </w:pPr>
            <w:r>
              <w:rPr/>
              <w:t>FOR EVERY “ONE YEAR”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Who will count the vote? </w:t>
      </w:r>
    </w:p>
    <w:p>
      <w:pPr>
        <w:pStyle w:val="TextBody"/>
        <w:bidi w:val="0"/>
        <w:spacing w:before="120" w:after="0"/>
        <w:jc w:val="left"/>
        <w:rPr>
          <w:rFonts w:ascii="Times New Roman" w:hAnsi="Times New Roman"/>
          <w:sz w:val="20"/>
        </w:rPr>
      </w:pPr>
      <w:r>
        <w:rPr>
          <w:rFonts w:ascii="Times New Roman" w:hAnsi="Times New Roman"/>
          <w:sz w:val="20"/>
        </w:rPr>
        <w:t xml:space="preserve">Representatives of Broadridge will tabulate the votes and act as inspectors of election.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quorum requirement? </w:t>
      </w:r>
    </w:p>
    <w:p>
      <w:pPr>
        <w:pStyle w:val="TextBody"/>
        <w:bidi w:val="0"/>
        <w:spacing w:before="120" w:after="0"/>
        <w:jc w:val="left"/>
        <w:rPr>
          <w:rFonts w:ascii="Times New Roman" w:hAnsi="Times New Roman"/>
          <w:sz w:val="20"/>
        </w:rPr>
      </w:pPr>
      <w:r>
        <w:rPr>
          <w:rFonts w:ascii="Times New Roman" w:hAnsi="Times New Roman"/>
          <w:sz w:val="20"/>
        </w:rPr>
        <w:t xml:space="preserve">A quorum of stockholders is necessary to hold a valid meeting. A quorum will be present if stockholders holding at least a majority of the voting power of the outstanding shares entitled to vote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Annual Meeting are present in person or represented by proxy. On the Record Date, there were 18,671,229 shares of Common Stock, outstanding and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Abstentions and broker non-votes will be counted towards the quorum requirement. If there is no quorum, either the chairperson of the Annual Meeting or the holders of a majority of the voting power of the shares present at the Annual Meeting or represented by proxy and entitled to vote may adjourn the Annual Meeting to another date.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find out the results of the voting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 </w:t>
      </w:r>
    </w:p>
    <w:p>
      <w:pPr>
        <w:pStyle w:val="TextBody"/>
        <w:bidi w:val="0"/>
        <w:spacing w:before="360" w:after="0"/>
        <w:jc w:val="left"/>
        <w:rPr>
          <w:rFonts w:ascii="Times New Roman" w:hAnsi="Times New Roman"/>
          <w:b/>
          <w:sz w:val="20"/>
        </w:rPr>
      </w:pPr>
      <w:r>
        <w:rPr>
          <w:rFonts w:ascii="Times New Roman" w:hAnsi="Times New Roman"/>
          <w:b/>
          <w:sz w:val="20"/>
        </w:rPr>
        <w:t xml:space="preserve">How does the June 2024 merger affect the disclosures in this proxy statement? </w:t>
      </w:r>
    </w:p>
    <w:p>
      <w:pPr>
        <w:pStyle w:val="TextBody"/>
        <w:bidi w:val="0"/>
        <w:spacing w:before="120" w:after="0"/>
        <w:jc w:val="left"/>
        <w:rPr>
          <w:rFonts w:ascii="Times New Roman" w:hAnsi="Times New Roman"/>
          <w:sz w:val="20"/>
        </w:rPr>
      </w:pPr>
      <w:r>
        <w:rPr>
          <w:rFonts w:ascii="Times New Roman" w:hAnsi="Times New Roman"/>
          <w:sz w:val="20"/>
        </w:rPr>
        <w:t>On June 20, 2024, Tectonic (formerly AVROBIO, Inc., “AVROBIO”) completed its business combination in accordance with the terms of the Agreement and Plan of Merger and Reorganization, dated as of January 30, 2024 (the “Merger Agreement”),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As a result of the Merger, (i) Legacy Tectonic changed its name from “Tectonic Therapeutic, Inc.” to “Tectonic Operating Company, Inc.,” and (ii) AVROBIO changed its name from “AVROBIO, Inc.” to “Tectonic Therapeutic, Inc.” Following the completion of the Merger, the business conducted by the Company became primarily the business conducted by Legacy Tectonic.</w:t>
      </w:r>
    </w:p>
    <w:p>
      <w:pPr>
        <w:pStyle w:val="TextBody"/>
        <w:bidi w:val="0"/>
        <w:spacing w:before="240" w:after="0"/>
        <w:jc w:val="left"/>
        <w:rPr>
          <w:rFonts w:ascii="Times New Roman" w:hAnsi="Times New Roman"/>
          <w:sz w:val="20"/>
        </w:rPr>
      </w:pPr>
      <w:r>
        <w:rPr>
          <w:rFonts w:ascii="Times New Roman" w:hAnsi="Times New Roman"/>
          <w:sz w:val="20"/>
        </w:rPr>
        <w:t xml:space="preserve">Also on June 20, 2024, in connection with and prior to the completion of the Merger, AVROBIO effected a 1-for-10 reverse stock split of its common stock (the “Reverse Stock Split”). All references to common stock and per share amounts in this proxy statement have been retroactively adjusted to reflect, where applicable, the Reverse Stock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949345_5"/>
      <w:bookmarkEnd w:id="6"/>
      <w:r>
        <w:rPr>
          <w:rFonts w:ascii="Times New Roman" w:hAnsi="Times New Roman"/>
          <w:b/>
          <w:sz w:val="20"/>
        </w:rPr>
        <w:t xml:space="preserve">PROPOSAL 1: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our Fourth Amended and Restated Certificate of Incorporation (as amended, the “Certificate of Incorporation”) and Amended and Restated Bylaws (the “Bylaws”), the Board is divided into three classes, with only one class of directors being elected in each year and each class, Class I, Class II and Class III, serving a three-year term. Each Class I director has a term that expires at this Annual Meeting, each Class II director has a term that expires at the Company’s 2026 annual meeting of stockholders and each Class III director has a term that expires at the Company’s 2027 annual meeting of stockholders, or in each case until their respective successors are duly elected and qualified, or until their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There are currently six members of the Board. Upon the recommendation of the Nominating and Corporate Governance Committee, the Board has considered and nominated the two incumbent directors listed below, all of whom have previously been elected by our stockholders, for election to the Board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We have no reason to believe that any of the nominees will be unavailable or, if elected, will decline to serve. In the event that any of these nominees should become unavailable for election due to any presently unforeseen reason, proxies will be voted for a substitute as designated by the Board, or alternatively, the Board may leave a vacancy on the Board or reduce the size of the Board.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unanimously recommends a vote “FOR” the election of each of the Class I director nominees.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949345_6"/>
      <w:bookmarkEnd w:id="7"/>
      <w:r>
        <w:rPr>
          <w:rFonts w:ascii="Times New Roman" w:hAnsi="Times New Roman"/>
          <w:b/>
          <w:sz w:val="20"/>
        </w:rPr>
        <w:t xml:space="preserve">Nominees for Election to the Board of Directors </w:t>
      </w:r>
    </w:p>
    <w:p>
      <w:pPr>
        <w:pStyle w:val="TextBody"/>
        <w:bidi w:val="0"/>
        <w:spacing w:before="240" w:after="0"/>
        <w:jc w:val="left"/>
        <w:rPr>
          <w:rFonts w:ascii="Times New Roman" w:hAnsi="Times New Roman"/>
          <w:b/>
          <w:i/>
          <w:sz w:val="20"/>
        </w:rPr>
      </w:pPr>
      <w:bookmarkStart w:id="8" w:name="toc949345_7"/>
      <w:bookmarkEnd w:id="8"/>
      <w:r>
        <w:rPr>
          <w:rFonts w:ascii="Times New Roman" w:hAnsi="Times New Roman"/>
          <w:b/>
          <w:i/>
          <w:sz w:val="20"/>
        </w:rPr>
        <w:t xml:space="preserve">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biographies of each of our nominees for election to the Board as Class I directors, and all other directors are set forth below, including the offices held, other business directorships and the class and term of each director nominee and director. Each of the biographies highlights specific experience, qualifications, attributes, and skills that led us to conclude that such person should serve as a director. We believe that, as a whole, our Board possesses the requisite skills and characteristics, leadership traits, work ethic, and independence to provide effective oversight. No director or executive officer is related by blood, marriage, or adoption to any other director or executive officer. No arrangements or understandings exist between any director and any other person pursuant to which such person was selected as a director or nominee. </w:t>
      </w:r>
    </w:p>
    <w:p>
      <w:pPr>
        <w:pStyle w:val="TextBody"/>
        <w:bidi w:val="0"/>
        <w:spacing w:before="360" w:after="0"/>
        <w:jc w:val="left"/>
        <w:rPr>
          <w:rFonts w:ascii="Times New Roman" w:hAnsi="Times New Roman"/>
          <w:b/>
          <w:i/>
          <w:sz w:val="20"/>
        </w:rPr>
      </w:pPr>
      <w:bookmarkStart w:id="9" w:name="toc949345_8"/>
      <w:bookmarkEnd w:id="9"/>
      <w:r>
        <w:rPr>
          <w:rFonts w:ascii="Times New Roman" w:hAnsi="Times New Roman"/>
          <w:b/>
          <w:i/>
          <w:sz w:val="20"/>
        </w:rPr>
        <w:t xml:space="preserve">Class I Director Nominees for Election at the Annual Meeting </w:t>
      </w:r>
    </w:p>
    <w:p>
      <w:pPr>
        <w:pStyle w:val="TextBody"/>
        <w:bidi w:val="0"/>
        <w:spacing w:before="120" w:after="0"/>
        <w:jc w:val="left"/>
        <w:rPr>
          <w:rFonts w:ascii="Times New Roman" w:hAnsi="Times New Roman"/>
          <w:sz w:val="20"/>
        </w:rPr>
      </w:pPr>
      <w:r>
        <w:rPr>
          <w:rFonts w:ascii="Times New Roman" w:hAnsi="Times New Roman"/>
          <w:i/>
          <w:sz w:val="20"/>
        </w:rPr>
        <w:t>Alise Reicin, M.D.</w:t>
      </w:r>
      <w:r>
        <w:rPr>
          <w:rFonts w:ascii="Times New Roman" w:hAnsi="Times New Roman"/>
          <w:sz w:val="20"/>
        </w:rPr>
        <w:t xml:space="preserve">, age 64, has served as our President and Chief Executive Officer and member of our Board since August 2020. Prior to joining Tectonic, Dr. Reicin served as President, Global Clinical Development at Celgene Corporation, public pharmaceutical company, from November 2018 to December 2019 and was a member of the Executive Committee. Prior to Celgene, she served as Head of Global Clinical Development at EMD Serono Inc., a privately held pharmaceutical company, from May 2015 to October2018. Prior to EMD Serono, Dr. Reicin worked for 19 years at Merck &amp; Co., Inc., a public pharmaceutical company, where she held leadership positions in both early and late drug development across several therapeutics areas, and in her last role served as Vice President, Program and Pipeline Leadership, Oncology. Prior to Merck, she was a faculty member at Columbia Medical School and a physician and researcher at Columbia Presbyterian Hospital. While at Merck, Dr. Reicin led the team that brought Keytruda from Phase 1 through its initial approvals and over the course of her career she has played a leadership role in the development and approval of over 10 novel medicines across a broad range of therapeutic areas. Dr. Reicin previously served on the board of directors of Homology Medicines, Inc., a public biopharmaceutical company and currently serves on the board of directors of Sana Biotechnology, Inc., a public cell and gene therapy company and Immatics, a company focused on the development of immunotherapies for cancer. She also serves on the board of directors of Sharsheret, a nonprofit devoted to improving the lives of patients and families with or at increased risk of ovarian and breast cancer. Dr. Reicin earned a B.A. in Biochemistry from Barnard College of Columbia University. She earned a M.D. in Medicine from Harvard University. We believe that Dr. Reicin is qualified to serve on our Board due to her clinical expertise and leadership roles in the biotechnology and biopharmaceuticals industry. </w:t>
      </w:r>
    </w:p>
    <w:p>
      <w:pPr>
        <w:pStyle w:val="TextBody"/>
        <w:bidi w:val="0"/>
        <w:spacing w:before="240" w:after="0"/>
        <w:jc w:val="left"/>
        <w:rPr>
          <w:rFonts w:ascii="Times New Roman" w:hAnsi="Times New Roman"/>
          <w:sz w:val="20"/>
        </w:rPr>
      </w:pPr>
      <w:r>
        <w:rPr>
          <w:rFonts w:ascii="Times New Roman" w:hAnsi="Times New Roman"/>
          <w:i/>
          <w:sz w:val="20"/>
        </w:rPr>
        <w:t>Praveen Tipirneni, M.D., M.B.A.</w:t>
      </w:r>
      <w:r>
        <w:rPr>
          <w:rFonts w:ascii="Times New Roman" w:hAnsi="Times New Roman"/>
          <w:sz w:val="20"/>
        </w:rPr>
        <w:t xml:space="preserve">, age 56, has served as a member of our Board since February 2020. Dr. Tipirneni currently serves as a member of the board of directors of The Ras, Inc. d/b/a BridgeBio Oncology Therapeutics. He previously served as Chief Executive Officer and as a member of the board of directors of Morphic Holding, Inc. until its acquisition by Eli Lilly in August 2024. Dr. Tipirneni received a B.A. in Mechanical Engineering from Massachusetts Institute of Technology, an M.D. from McGill University and an M.B.A. from the Wharton School of Business of the University of Pennsylvania. We believe Dr. Tipirneni is qualified to serve on our Board because of his experience with biotechnology companies, including working with and serving in various executive positions in life sciences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II Directors Continuing in Office Until Our 2026 Annual Meeting </w:t>
      </w:r>
    </w:p>
    <w:p>
      <w:pPr>
        <w:pStyle w:val="TextBody"/>
        <w:bidi w:val="0"/>
        <w:spacing w:before="120" w:after="0"/>
        <w:jc w:val="left"/>
        <w:rPr>
          <w:rFonts w:ascii="Times New Roman" w:hAnsi="Times New Roman"/>
          <w:sz w:val="20"/>
        </w:rPr>
      </w:pPr>
      <w:r>
        <w:rPr>
          <w:rFonts w:ascii="Times New Roman" w:hAnsi="Times New Roman"/>
          <w:i/>
          <w:sz w:val="20"/>
        </w:rPr>
        <w:t>Timothy A. Springer, Ph.D.</w:t>
      </w:r>
      <w:r>
        <w:rPr>
          <w:rFonts w:ascii="Times New Roman" w:hAnsi="Times New Roman"/>
          <w:sz w:val="20"/>
        </w:rPr>
        <w:t xml:space="preserve">, age 77, has served as a member of our Board since June 2019. Dr. Springer co-founded our Company in June 2019 and previously served as a scientific advisor. Dr. Springer served as Chair of our Company from June 2019 until August 2020. Since 1989, Dr. Springer has served as the Latham Family Professor at Harvard Medical School. He has also served as Senior Investigator in the Cellular and Molecular Medicine program at Boston Children’s Hospital since 2012, and as a Professor of Biological Chemistry and Molecular Pharmacology at Harvard Medical School and Professor of Medicine at Boston Children’s Hospital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2011. He was also the founder of Morphic Therapeutic and served as a scientific advisor and as a member of its board of directors from June 2015 to August 2024, when it was acquired by Eli Lilly. He has also served Selecta Biosciences Inc. (now Cartesian Therapeutic) as a scientific advisor since December 2008 and as a member of its board of directors since June 2016. Dr. Springer is also a Founder and Board Member of Seismic Therapeutic, a private company. Dr. Springer is a member of the National Academy of Sciences and his honors include the Crafoord Prize, the American Association of Immunologists Meritorious Career Award, the Stratton Medal from the American Society of Hematology, the Basic Research Prize from the American Heart Association, the Canada International Gairdner Award, the Lasker Basic Medical Research Award and the Robert Koch Prize. Dr. Springer received a B.A. in Biochemistry from the University of California, Berkeley, and a Ph.D. in Biochemistry and Molecular Biology from Harvard University. We believe that Dr. Springer is qualified to serve on our Board because of his extensive knowledge of therapeutically important cell surface molecules and his investment, business and board experience with biopharmaceutical companies. </w:t>
      </w:r>
    </w:p>
    <w:p>
      <w:pPr>
        <w:pStyle w:val="TextBody"/>
        <w:bidi w:val="0"/>
        <w:spacing w:before="240" w:after="0"/>
        <w:jc w:val="left"/>
        <w:rPr>
          <w:rFonts w:ascii="Times New Roman" w:hAnsi="Times New Roman"/>
          <w:sz w:val="20"/>
        </w:rPr>
      </w:pPr>
      <w:r>
        <w:rPr>
          <w:rFonts w:ascii="Times New Roman" w:hAnsi="Times New Roman"/>
          <w:i/>
          <w:sz w:val="20"/>
        </w:rPr>
        <w:t>Stefan Vitorovic, M.S., M.B.A.</w:t>
      </w:r>
      <w:r>
        <w:rPr>
          <w:rFonts w:ascii="Times New Roman" w:hAnsi="Times New Roman"/>
          <w:sz w:val="20"/>
        </w:rPr>
        <w:t xml:space="preserve">, age 40, has served as a member of our Board since August 2021. Mr. Vitorovic was the co-founder and Managing Director of Vida Ventures, a role he served in from January 2017 to December 2024. Prior to founding Vida Ventures, Mr. Vitorovic was an investment professional at Third Rock Ventures, an early-stage life sciences venture capital firm, from July 2014 to January 2017. At Third Rock, he was part of the founding team of Decibel Therapeutics, Inc. (acquired by Regeneron Pharmaceuticals, Inc.), a hearing-focused drug discovery and development platform company. Before Third Rock, he was an investor at TPG Capital from August 2012 to June 2014, where he focused on majority, control stakes in healthcare companies. Mr. Vitorovic worked on a variety of equity and debt financings, including Aptalis Pharmaceutical Technologies (now Adare Pharma Solutions) and Biomet, Inc. (now Zimmer Biomet Holdings, Inc.). Prior to TPG, Mr. Vitorovic was an investment banker at Credit Suisse’s healthcare banking group from 2004 to 2008. Mr. Vitorovic currently serves on the board of directors of Vigil Neuroscience, Inc. He was previously Director or Observer of Oyster Point Pharma, Inc., Dyne Therapeutics, Sutro Biopharma, Inc., Kyverna Therapeutics, Inc., Praxis Precision Medicines, Inc., Volastra Therapeutics, Inc., and Souffle Therapeutics, Inc. He received a B.S. with Honors in Biological Sciences and an M.S. in Biology from Stanford University, where he received the Firestone Award for his research. Mr. Vitorovic received his M.B.A. from Harvard Business School. We believe Mr. Vitorovic is qualified to serve on our Board because of his deep expertise in life sciences research and investing, as well as his extensive experience in new company formation and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III Directors Continuing in Office Until Our 2027 Annual Meeting </w:t>
      </w:r>
    </w:p>
    <w:p>
      <w:pPr>
        <w:pStyle w:val="TextBody"/>
        <w:bidi w:val="0"/>
        <w:spacing w:before="120" w:after="0"/>
        <w:jc w:val="left"/>
        <w:rPr>
          <w:rFonts w:ascii="Times New Roman" w:hAnsi="Times New Roman"/>
          <w:sz w:val="20"/>
        </w:rPr>
      </w:pPr>
      <w:r>
        <w:rPr>
          <w:rFonts w:ascii="Times New Roman" w:hAnsi="Times New Roman"/>
          <w:i/>
          <w:sz w:val="20"/>
        </w:rPr>
        <w:t>Phillip B. Donenberg</w:t>
      </w:r>
      <w:r>
        <w:rPr>
          <w:rFonts w:ascii="Times New Roman" w:hAnsi="Times New Roman"/>
          <w:sz w:val="20"/>
        </w:rPr>
        <w:t xml:space="preserve">, age 64, has served as a member of our Board since June 2024. Mr. Donenberg had served on the board of directors and as Audit Committee Chairman of AVROBIO, Inc., a publicly traded gene therapy company, since June 2018, prior to AVROBIO’s reverse merger with Tectonic in June 2024. Mr. Donenberg has served on the board of directors and as chairman of the audit committee of Taysha Gene Therapies, Inc., a publicly traded gene therapy company, since August 2020. Mr. Donenberg served as Senior Vice-President and Chief Financial Officer of Jaguar Gene Therapy, LLC, a privately held early-stage gene therapy company, from February 2020 to March 2023. Previously, Mr. Donenberg served as Chief Financial Officer and Senior Vice-President of Assertio Therapeutics, Inc., a pharmaceutical company, from July 2018 to November 2018. He served as Senior Vice-President and Chief Financial Officer of AveXis, Inc., a publicly traded gene therapy company, from 2017 to June 2018 and as Vice-President, Corporate Controller from 2016 to 2017. Mr. Donenberg earned a B.S. in accountancy from the University of Illinois, Champaign-Urbana College of Business and is a Certified Public Accountant. We believe that Mr. Donenberg is qualified to serve as a director of our Board based on his financial expertise and his experience as an audit chair, director and executive of companies in the biotechnology and pharmaceutical industries. </w:t>
      </w:r>
    </w:p>
    <w:p>
      <w:pPr>
        <w:pStyle w:val="TextBody"/>
        <w:bidi w:val="0"/>
        <w:spacing w:before="240" w:after="0"/>
        <w:jc w:val="left"/>
        <w:rPr>
          <w:rFonts w:ascii="Times New Roman" w:hAnsi="Times New Roman"/>
          <w:sz w:val="20"/>
        </w:rPr>
      </w:pPr>
      <w:r>
        <w:rPr>
          <w:rFonts w:ascii="Times New Roman" w:hAnsi="Times New Roman"/>
          <w:i/>
          <w:sz w:val="20"/>
        </w:rPr>
        <w:t>Terrance McGuire, M.S., M.B.A.</w:t>
      </w:r>
      <w:r>
        <w:rPr>
          <w:rFonts w:ascii="Times New Roman" w:hAnsi="Times New Roman"/>
          <w:sz w:val="20"/>
        </w:rPr>
        <w:t xml:space="preserve">, age 69, has served as a member of our Board since September 2019. Mr. McGuire was a co-founder and is currently a general partner of Polaris Partners. He currently serves on the board of directors of Seer, Inc. and Invivyd, Inc., as well as several private companies, including Adimab, LLC. Mr. McGuire previously served on the boards of directors of Alector, Inc., Acceleron Pharma, Inc., Akamai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Technologies, Inc., Cubist, Inc., Cyclerion Therapeutics, Inc., Ironwood Pharmaceuticals, Inc. and Pulmatrix, Inc. Mr. McGuire is the former chairman of the National Venture Capital Association and a current member of the board of advisors of the Thayer School of Engineering at Dartmouth College. He is a member of the boards of the Whitehead Institute for Biomedical Research at the Massachusetts Institute of Technology and the Arthur Rock Center for Entrepreneurship at Harvard Business School. Mr. McGuire is also on the Scientific Advisory Board of the Brigham and Women’s Hospital. Mr. McGuire holds a B.S. in physics and economics from Hobart College, an M.S. in engineering from the Thayer School at Dartmouth College, and an M.B.A. from Harvard Business School. We believe that Mr. McGuire is qualified to serve on our Board because of his extensive experiences as a venture capitalist focused on the biotechnology industry, as well as his many years of experience as a director of biotechnology companies guiding them in the execution of their corporate strategy and objectives.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949345_9"/>
      <w:bookmarkEnd w:id="10"/>
      <w:r>
        <w:rPr>
          <w:rFonts w:ascii="Times New Roman" w:hAnsi="Times New Roman"/>
          <w:b/>
          <w:sz w:val="20"/>
        </w:rPr>
        <w:t xml:space="preserve">The Board of Directors and Certain Governance Matters </w:t>
      </w:r>
    </w:p>
    <w:p>
      <w:pPr>
        <w:pStyle w:val="TextBody"/>
        <w:bidi w:val="0"/>
        <w:spacing w:before="240" w:after="0"/>
        <w:jc w:val="left"/>
        <w:rPr>
          <w:rFonts w:ascii="Times New Roman" w:hAnsi="Times New Roman"/>
          <w:b/>
          <w:i/>
          <w:sz w:val="20"/>
        </w:rPr>
      </w:pPr>
      <w:bookmarkStart w:id="11" w:name="toc949345_10"/>
      <w:bookmarkEnd w:id="11"/>
      <w:r>
        <w:rPr>
          <w:rFonts w:ascii="Times New Roman" w:hAnsi="Times New Roman"/>
          <w:b/>
          <w:i/>
          <w:sz w:val="20"/>
        </w:rPr>
        <w:t xml:space="preserve">Director Nomination Process and Qualifications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an effective board of directors should be made up of individuals who collectively provide an appropriate balance of diverse occupational and personal backgrounds and perspectives and who have a range of skills and expertise sufficient to provide guidance and oversight with respect to the Company’s strategy and operations. Our Board and our Nominating and Corporate Governance Committee seek individuals with backgrounds and qualities that, when combined with those of our other directors, enhance our Board’s effectiveness and result in the Board having a balance of knowledge, experience, and capability. Our Nominating and Corporate Governance Committee considers candidates who are recommended by its members, by other Board members, by stockholders, and by management, as well as those identified by third-party search firms retained to assist in identifying and evaluating possible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assessing potential candidates, our Board and Nominating and Corporate Governance Committee will consider, among other factors: (i) possessing relevant expertise upon which to be able to offer advice and guidance to management; (ii) having sufficient time to devote to the affairs of the Company; (iii) demonstrating excellence in his or her field; (iv) having the ability to exercise sound business judgment; (v) experience as a board member or executive officer of another publicly held company; (vi) having a diverse personal background, perspective and experience; and (vii) having the commitment to rigorously represent the long-term interests of the Company’s stockholders. The Board reviews candidates for director nomination in the context of the current composition of the Board, the operating requirements of the Company and the long-term interests of the Company’s stockholders. In conducting this assessment, the Board considers diversity, age, skills and such other factors as it deems appropriate given the current needs of the Board and the Company to maintain a balance of knowledge, experience and capability. In the case of incumbent directors whose terms of office are set to expire, the Board reviews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Board also determines whether the nominee must be independent for purposes of satisfying applicable listing requirements. </w:t>
      </w:r>
    </w:p>
    <w:p>
      <w:pPr>
        <w:pStyle w:val="TextBody"/>
        <w:bidi w:val="0"/>
        <w:spacing w:before="360" w:after="0"/>
        <w:jc w:val="left"/>
        <w:rPr>
          <w:rFonts w:ascii="Times New Roman" w:hAnsi="Times New Roman"/>
          <w:b/>
          <w:i/>
          <w:sz w:val="20"/>
        </w:rPr>
      </w:pPr>
      <w:bookmarkStart w:id="12" w:name="toc949345_11"/>
      <w:bookmarkEnd w:id="12"/>
      <w:r>
        <w:rPr>
          <w:rFonts w:ascii="Times New Roman" w:hAnsi="Times New Roman"/>
          <w:b/>
          <w:i/>
          <w:sz w:val="20"/>
        </w:rPr>
        <w:t xml:space="preserve">Nominations by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will evaluate director candidates recommended by stockholders in the same manner in which the Nominating and Corporate Governance Committee evaluates any other director candidate. </w:t>
      </w:r>
    </w:p>
    <w:p>
      <w:pPr>
        <w:pStyle w:val="TextBody"/>
        <w:bidi w:val="0"/>
        <w:spacing w:before="240" w:after="0"/>
        <w:jc w:val="left"/>
        <w:rPr>
          <w:rFonts w:ascii="Times New Roman" w:hAnsi="Times New Roman"/>
          <w:sz w:val="20"/>
        </w:rPr>
      </w:pPr>
      <w:r>
        <w:rPr>
          <w:rFonts w:ascii="Times New Roman" w:hAnsi="Times New Roman"/>
          <w:sz w:val="20"/>
        </w:rPr>
        <w:t>Any recommendation submitted to the Company should be in writing and should include any supporting material the stockholder considers appropriate in support of that recommendation but must include information that would be required under the “advance notice” provisions of the Company’s bylaws and rules of the SEC to be included in a proxy statement soliciting proxies for the election of such candidate. Stockholders wishing to propose a candidate for consideration may do so by submitting the above information to the attention of the Secretary of the Company and such director nominations will be presented to the Board for its consideration. Stockholders must also satisfy the notification, timeliness, consent, and information requirements set forth in our bylaws. These requirements are also described under the section entitled “</w:t>
      </w:r>
      <w:r>
        <w:rPr>
          <w:rFonts w:ascii="Times New Roman" w:hAnsi="Times New Roman"/>
          <w:i/>
          <w:sz w:val="20"/>
        </w:rPr>
        <w:t>Stockholder Proposals for the 2026 Annual Meeting of Stockholders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bookmarkStart w:id="13" w:name="toc949345_12"/>
      <w:bookmarkEnd w:id="13"/>
      <w:r>
        <w:rPr>
          <w:rFonts w:ascii="Times New Roman" w:hAnsi="Times New Roman"/>
          <w:b/>
          <w:i/>
          <w:sz w:val="20"/>
        </w:rPr>
        <w:t xml:space="preserve">Director Independence and Independence Determinations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Guidelines provide that our Board will consist of a majority of independent directors in accordance with applicable Nasdaq listing standards. Our Corporate Governance Guidelines define an “independent” director consistent with the Nasdaq definition of independence. Under our Corporate Governance Guidelines and Nasdaq listing standards, a director is not independent unless the Board affirmatively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determines that such director does not have a direct or indirect material relationship with the Company or any of its subsidiaries. Members of the Audit Committee and Compensation Committee are subject to the additional independence requirements of applicable SEC rules and Nasdaq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Our Board has evaluated, with respect to each of our directors, whether any relationships exist, which, in the opinion of our Board, would interfere with the exercise of independent judgment in carrying out the responsibilities of a director. Consistent with these considerations, our Board affirmatively determined that Phillip B. Donenberg, Terrance McGuire, Timothy A. Springer, Ph.D., Praveen Tipirneni, M.D. and Stefan Vitorovic are “independent” in accordance with Nasdaq listing standards and SEC rules applicable to boards of directors in general, and Gail Farfel, Ph.D., Christopher Paige, Ph.D., Philip Vickers, Ph.D., Ian Clark and Annalisa Jenkins, M.B.B.S., F.R.C.P., and Bruce Booth, each of whom left the Board during 2024 in connection with the closing of the Merger, were “independent” during the period they served on the Board during 2024. In addition, our Board has affirmatively determined that Phillip B. Donenberg, Terrance McGuire, Timothy A. Springer, Ph.D., Praveen Tipirneni, M.D. and Stefan Vitorovic are “independent” in accordance with the Nasdaq listing standards and SEC rules applicable to audit committee members in particular, and that Phillip B. Donenberg, Terrance McGuire, Timothy A. Springer, Ph.D., Praveen Tipirneni, M.D. and Stefan Vitorovic are “independent” in accordance with the Nasdaq listing standards and SEC rules applicable to compensation committee members in particular. </w:t>
      </w:r>
    </w:p>
    <w:p>
      <w:pPr>
        <w:pStyle w:val="TextBody"/>
        <w:bidi w:val="0"/>
        <w:spacing w:before="240" w:after="0"/>
        <w:jc w:val="left"/>
        <w:rPr>
          <w:rFonts w:ascii="Times New Roman" w:hAnsi="Times New Roman"/>
          <w:sz w:val="20"/>
        </w:rPr>
      </w:pPr>
      <w:r>
        <w:rPr>
          <w:rFonts w:ascii="Times New Roman" w:hAnsi="Times New Roman"/>
          <w:sz w:val="20"/>
        </w:rPr>
        <w:t xml:space="preserve">In assessing directors’ independence, our Board also took into account certain transactions, relationships, and arrangements involving some of the directors and concluded that such transactions, relationships, and arrangements did not impair the independence of the director. Dr. Reicin was determined as not being independent by virtue of her executive leadership role with us. </w:t>
      </w:r>
    </w:p>
    <w:p>
      <w:pPr>
        <w:pStyle w:val="TextBody"/>
        <w:bidi w:val="0"/>
        <w:spacing w:before="360" w:after="0"/>
        <w:jc w:val="left"/>
        <w:rPr>
          <w:rFonts w:ascii="Times New Roman" w:hAnsi="Times New Roman"/>
          <w:b/>
          <w:i/>
          <w:sz w:val="20"/>
        </w:rPr>
      </w:pPr>
      <w:bookmarkStart w:id="14" w:name="toc949345_13"/>
      <w:bookmarkEnd w:id="14"/>
      <w:r>
        <w:rPr>
          <w:rFonts w:ascii="Times New Roman" w:hAnsi="Times New Roman"/>
          <w:b/>
          <w:i/>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Our Board maintains the flexibility to determine whether the roles of Chair and CEO should be combined or separated, based on what it believes is in the best interests of the Company at a given point in time. The Board believes that this flexibility is in the best interest of the Company and that a one-size-fits-all approach to corporate governance, with a mandated independent Chair, would not result in better governance or oversight. </w:t>
      </w:r>
    </w:p>
    <w:p>
      <w:pPr>
        <w:pStyle w:val="TextBody"/>
        <w:bidi w:val="0"/>
        <w:spacing w:before="240" w:after="0"/>
        <w:jc w:val="left"/>
        <w:rPr>
          <w:rFonts w:ascii="Times New Roman" w:hAnsi="Times New Roman"/>
          <w:sz w:val="20"/>
        </w:rPr>
      </w:pPr>
      <w:r>
        <w:rPr>
          <w:rFonts w:ascii="Times New Roman" w:hAnsi="Times New Roman"/>
          <w:sz w:val="20"/>
        </w:rPr>
        <w:t xml:space="preserve">At this time, our Board is led by Terrance McGuire, an independent, non-executive Chair. Our Board believes that it is in the best interest of the Company and its stockholders for Terrance McGuire to continue to serve as Chair of the Board. Terrance McGuire possesses significant knowledge and experience in our industry and a deep understanding of our strategic objectives, all of which will continue to benefit the Company during the year ahead. The Company believes that separation of the positions of the Chair and CEO reinforces the independence of the Board in its oversight of the business and affairs of the Company. In addition, the Company believes that having an independent Chair creates an environment that is more conducive to the Board’s objective evaluation and oversight of management’s performance, increasing management accountability, and improving the ability of the Board to monitor whether management’s actions are in the best interests of the Company and its stockholders, including with respect to evaluating whether steps management is taking to manage risks are appropriate for the Company. Terrance McGuire’s responsibility is to ensure that our Board functions properly and to work with our President and CEO to set the Board’s agenda. Accordingly, he has substantial ability to shape the work of the Board. We expect him to facilitate communications among our directors and between the Board and senior management. While Terrance McGuire provides independent leadership, he also works closely with our CEO to ensure that our directors receive the information that they need to perform their responsibilities, including discussing and providing critical review of the matters that come before the Board and assessing management’s performance. As a result, we believe that such separation can enhance the effectiveness of our Board as a whole. We believe that the leadership structure of our Board is appropriate and enhances its ability to effectively carry out its roles and responsibilities on behalf of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bookmarkStart w:id="15" w:name="toc949345_14"/>
      <w:bookmarkEnd w:id="15"/>
      <w:r>
        <w:rPr>
          <w:rFonts w:ascii="Times New Roman" w:hAnsi="Times New Roman"/>
          <w:b/>
          <w:i/>
          <w:sz w:val="20"/>
        </w:rPr>
        <w:t xml:space="preserve">Board’s Role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While senior management has primary responsibility for managing risk, the Board has responsibility for risk oversight with specific risk areas delegated to relevant Board committees who report on their deliberations to the full Board. The specific risk areas of focus for the Board and each of its committees are summarized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8"/>
        <w:gridCol w:w="120"/>
        <w:gridCol w:w="7137"/>
      </w:tblGrid>
      <w:tr>
        <w:trPr/>
        <w:tc>
          <w:tcPr>
            <w:tcW w:w="29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37" w:type="dxa"/>
            <w:tcBorders/>
            <w:vAlign w:val="center"/>
          </w:tcPr>
          <w:p>
            <w:pPr>
              <w:pStyle w:val="TableContents"/>
              <w:bidi w:val="0"/>
              <w:spacing w:before="0" w:after="283"/>
              <w:jc w:val="left"/>
              <w:rPr>
                <w:sz w:val="4"/>
                <w:szCs w:val="4"/>
              </w:rPr>
            </w:pPr>
            <w:r>
              <w:rPr>
                <w:sz w:val="4"/>
                <w:szCs w:val="4"/>
              </w:rPr>
            </w:r>
          </w:p>
        </w:tc>
      </w:tr>
      <w:tr>
        <w:trPr/>
        <w:tc>
          <w:tcPr>
            <w:tcW w:w="2948" w:type="dxa"/>
            <w:tcBorders/>
            <w:vAlign w:val="center"/>
          </w:tcPr>
          <w:p>
            <w:pPr>
              <w:pStyle w:val="TableContents"/>
              <w:bidi w:val="0"/>
              <w:spacing w:before="0" w:after="283"/>
              <w:jc w:val="left"/>
              <w:rPr>
                <w:b/>
              </w:rPr>
            </w:pPr>
            <w:r>
              <w:rPr>
                <w:b/>
              </w:rPr>
              <w:t>Full Board</w:t>
            </w:r>
          </w:p>
        </w:tc>
        <w:tc>
          <w:tcPr>
            <w:tcW w:w="120" w:type="dxa"/>
            <w:tcBorders/>
            <w:vAlign w:val="center"/>
          </w:tcPr>
          <w:p>
            <w:pPr>
              <w:pStyle w:val="TableContents"/>
              <w:bidi w:val="0"/>
              <w:spacing w:before="0" w:after="283"/>
              <w:jc w:val="left"/>
              <w:rPr/>
            </w:pPr>
            <w:r>
              <w:rPr/>
              <w:t>  </w:t>
            </w:r>
          </w:p>
        </w:tc>
        <w:tc>
          <w:tcPr>
            <w:tcW w:w="7137" w:type="dxa"/>
            <w:tcBorders/>
            <w:vAlign w:val="center"/>
          </w:tcPr>
          <w:p>
            <w:pPr>
              <w:pStyle w:val="TableContents"/>
              <w:bidi w:val="0"/>
              <w:spacing w:before="0" w:after="0"/>
              <w:jc w:val="left"/>
              <w:rPr/>
            </w:pPr>
            <w:r>
              <w:rPr/>
              <w:t>•  </w:t>
            </w:r>
            <w:r>
              <w:rPr>
                <w:rFonts w:ascii="Times New Roman" w:hAnsi="Times New Roman"/>
                <w:sz w:val="20"/>
              </w:rPr>
              <w:t>Oversee the Company’s risk governance framework, including an enterprise-wide culture that supports appropriate risk awareness and the identification, escalation, and appropriate management of risk</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Integrity, ethics, and compliance with its Business Code of Ethics and Conduct</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General strategic and commercial risks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Strategic transactions, including execution and integration</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Legal risks such as those arising from litigation, environmental, and intellectual property matters</w:t>
            </w:r>
          </w:p>
          <w:p>
            <w:pPr>
              <w:pStyle w:val="TableContents"/>
              <w:bidi w:val="0"/>
              <w:spacing w:before="0" w:after="20"/>
              <w:jc w:val="left"/>
              <w:rPr/>
            </w:pPr>
            <w:r>
              <w:rPr/>
              <w:t> </w:t>
            </w:r>
          </w:p>
        </w:tc>
      </w:tr>
      <w:tr>
        <w:trPr/>
        <w:tc>
          <w:tcPr>
            <w:tcW w:w="2948" w:type="dxa"/>
            <w:tcBorders/>
            <w:vAlign w:val="center"/>
          </w:tcPr>
          <w:p>
            <w:pPr>
              <w:pStyle w:val="TableContents"/>
              <w:bidi w:val="0"/>
              <w:spacing w:before="0" w:after="283"/>
              <w:jc w:val="left"/>
              <w:rPr>
                <w:b/>
              </w:rPr>
            </w:pPr>
            <w:r>
              <w:rPr>
                <w:b/>
              </w:rPr>
              <w:t>Audit Committee</w:t>
            </w:r>
          </w:p>
        </w:tc>
        <w:tc>
          <w:tcPr>
            <w:tcW w:w="120" w:type="dxa"/>
            <w:tcBorders/>
            <w:vAlign w:val="center"/>
          </w:tcPr>
          <w:p>
            <w:pPr>
              <w:pStyle w:val="TableContents"/>
              <w:bidi w:val="0"/>
              <w:spacing w:before="0" w:after="283"/>
              <w:jc w:val="left"/>
              <w:rPr/>
            </w:pPr>
            <w:r>
              <w:rPr/>
              <w:t>  </w:t>
            </w:r>
          </w:p>
        </w:tc>
        <w:tc>
          <w:tcPr>
            <w:tcW w:w="7137" w:type="dxa"/>
            <w:tcBorders/>
            <w:vAlign w:val="center"/>
          </w:tcPr>
          <w:p>
            <w:pPr>
              <w:pStyle w:val="TableContents"/>
              <w:bidi w:val="0"/>
              <w:spacing w:before="0" w:after="0"/>
              <w:jc w:val="left"/>
              <w:rPr/>
            </w:pPr>
            <w:r>
              <w:rPr/>
              <w:t>•  </w:t>
            </w:r>
            <w:r>
              <w:rPr>
                <w:rFonts w:ascii="Times New Roman" w:hAnsi="Times New Roman"/>
                <w:sz w:val="20"/>
              </w:rPr>
              <w:t>Oversee and coordinate with the Company’s internal and external auditors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Accounting, controls and financial disclosure</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Cybersecurity risk, including our information security framework, threat assessment, response readiness and training efforts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Tax and liquidity management</w:t>
            </w:r>
          </w:p>
          <w:p>
            <w:pPr>
              <w:pStyle w:val="TableContents"/>
              <w:bidi w:val="0"/>
              <w:spacing w:before="0" w:after="20"/>
              <w:jc w:val="left"/>
              <w:rPr/>
            </w:pPr>
            <w:r>
              <w:rPr/>
              <w:t> </w:t>
            </w:r>
          </w:p>
        </w:tc>
      </w:tr>
      <w:tr>
        <w:trPr/>
        <w:tc>
          <w:tcPr>
            <w:tcW w:w="2948" w:type="dxa"/>
            <w:tcBorders/>
            <w:vAlign w:val="center"/>
          </w:tcPr>
          <w:p>
            <w:pPr>
              <w:pStyle w:val="TableContents"/>
              <w:bidi w:val="0"/>
              <w:spacing w:before="0" w:after="283"/>
              <w:jc w:val="left"/>
              <w:rPr>
                <w:b/>
              </w:rPr>
            </w:pPr>
            <w:r>
              <w:rPr>
                <w:b/>
              </w:rPr>
              <w:t>Compensation Committee</w:t>
            </w:r>
          </w:p>
        </w:tc>
        <w:tc>
          <w:tcPr>
            <w:tcW w:w="120" w:type="dxa"/>
            <w:tcBorders/>
            <w:vAlign w:val="center"/>
          </w:tcPr>
          <w:p>
            <w:pPr>
              <w:pStyle w:val="TableContents"/>
              <w:bidi w:val="0"/>
              <w:spacing w:before="0" w:after="283"/>
              <w:jc w:val="left"/>
              <w:rPr/>
            </w:pPr>
            <w:r>
              <w:rPr/>
              <w:t>  </w:t>
            </w:r>
          </w:p>
        </w:tc>
        <w:tc>
          <w:tcPr>
            <w:tcW w:w="7137" w:type="dxa"/>
            <w:tcBorders/>
            <w:vAlign w:val="center"/>
          </w:tcPr>
          <w:p>
            <w:pPr>
              <w:pStyle w:val="TableContents"/>
              <w:bidi w:val="0"/>
              <w:spacing w:before="0" w:after="0"/>
              <w:jc w:val="left"/>
              <w:rPr/>
            </w:pPr>
            <w:r>
              <w:rPr/>
              <w:t>•  </w:t>
            </w:r>
            <w:r>
              <w:rPr>
                <w:rFonts w:ascii="Times New Roman" w:hAnsi="Times New Roman"/>
                <w:sz w:val="20"/>
              </w:rPr>
              <w:t>Compensation structure and programs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Recruitment and retention of talent</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Workplace culture</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Workplace health, safety and well-being</w:t>
            </w:r>
          </w:p>
          <w:p>
            <w:pPr>
              <w:pStyle w:val="TableContents"/>
              <w:bidi w:val="0"/>
              <w:spacing w:before="0" w:after="20"/>
              <w:jc w:val="left"/>
              <w:rPr/>
            </w:pPr>
            <w:r>
              <w:rPr/>
              <w:t> </w:t>
            </w:r>
          </w:p>
        </w:tc>
      </w:tr>
      <w:tr>
        <w:trPr/>
        <w:tc>
          <w:tcPr>
            <w:tcW w:w="2948" w:type="dxa"/>
            <w:tcBorders/>
            <w:vAlign w:val="center"/>
          </w:tcPr>
          <w:p>
            <w:pPr>
              <w:pStyle w:val="TableContents"/>
              <w:bidi w:val="0"/>
              <w:spacing w:before="0" w:after="283"/>
              <w:jc w:val="left"/>
              <w:rPr>
                <w:b/>
              </w:rPr>
            </w:pPr>
            <w:r>
              <w:rPr>
                <w:b/>
              </w:rPr>
              <w:t>Nominating and Corporate Governance Committee</w:t>
            </w:r>
          </w:p>
        </w:tc>
        <w:tc>
          <w:tcPr>
            <w:tcW w:w="120" w:type="dxa"/>
            <w:tcBorders/>
            <w:vAlign w:val="center"/>
          </w:tcPr>
          <w:p>
            <w:pPr>
              <w:pStyle w:val="TableContents"/>
              <w:bidi w:val="0"/>
              <w:spacing w:before="0" w:after="283"/>
              <w:jc w:val="left"/>
              <w:rPr/>
            </w:pPr>
            <w:r>
              <w:rPr/>
              <w:t>  </w:t>
            </w:r>
          </w:p>
        </w:tc>
        <w:tc>
          <w:tcPr>
            <w:tcW w:w="7137" w:type="dxa"/>
            <w:tcBorders/>
            <w:vAlign w:val="center"/>
          </w:tcPr>
          <w:p>
            <w:pPr>
              <w:pStyle w:val="TableContents"/>
              <w:bidi w:val="0"/>
              <w:spacing w:before="0" w:after="0"/>
              <w:jc w:val="left"/>
              <w:rPr/>
            </w:pPr>
            <w:r>
              <w:rPr/>
              <w:t>•  </w:t>
            </w:r>
            <w:r>
              <w:rPr>
                <w:rFonts w:ascii="Times New Roman" w:hAnsi="Times New Roman"/>
                <w:sz w:val="20"/>
              </w:rPr>
              <w:t>Governance structures and processes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Board organization, independence and structure</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Board and executive officer succession and effectiveness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Oversee the Company’s ESG initiatives</w:t>
            </w:r>
          </w:p>
        </w:tc>
      </w:tr>
    </w:tbl>
    <w:p>
      <w:pPr>
        <w:pStyle w:val="TextBody"/>
        <w:bidi w:val="0"/>
        <w:spacing w:before="480" w:after="0"/>
        <w:jc w:val="center"/>
        <w:rPr>
          <w:rFonts w:ascii="Times New Roman" w:hAnsi="Times New Roman"/>
          <w:b/>
          <w:sz w:val="20"/>
        </w:rPr>
      </w:pPr>
      <w:bookmarkStart w:id="16" w:name="toc949345_15"/>
      <w:bookmarkEnd w:id="16"/>
      <w:r>
        <w:rPr>
          <w:rFonts w:ascii="Times New Roman" w:hAnsi="Times New Roman"/>
          <w:b/>
          <w:sz w:val="20"/>
        </w:rPr>
        <w:t xml:space="preserve">Board and Committee Meetings and Attendance </w:t>
      </w:r>
    </w:p>
    <w:p>
      <w:pPr>
        <w:pStyle w:val="TextBody"/>
        <w:bidi w:val="0"/>
        <w:spacing w:before="240" w:after="0"/>
        <w:jc w:val="left"/>
        <w:rPr>
          <w:rFonts w:ascii="Times New Roman" w:hAnsi="Times New Roman"/>
          <w:sz w:val="20"/>
        </w:rPr>
      </w:pPr>
      <w:r>
        <w:rPr>
          <w:rFonts w:ascii="Times New Roman" w:hAnsi="Times New Roman"/>
          <w:sz w:val="20"/>
        </w:rPr>
        <w:t xml:space="preserve">Our Corporate Governance Guidelines provide that all directors are expected to prepare for, attend and participate in all meetings of the Board and committees on which they serve. Following the Merger that closed on June 20, 2024, the Board met four times in 2024, the Audit Committee held three meetings, the Compensation Committee held four meetings, and the Nominating and Corporate Governance Committee did not hold any meetings. No member of the Board attended fewer than 75% of the aggregate of the total number of meetings of the Board (held during the period for which he or she was a director) and the total number of meetings held by all committees of the Board on which such director served (held during the period that such director served). </w:t>
      </w:r>
    </w:p>
    <w:p>
      <w:pPr>
        <w:pStyle w:val="TextBody"/>
        <w:bidi w:val="0"/>
        <w:spacing w:before="240" w:after="0"/>
        <w:jc w:val="left"/>
        <w:rPr>
          <w:rFonts w:ascii="Times New Roman" w:hAnsi="Times New Roman"/>
          <w:sz w:val="20"/>
        </w:rPr>
      </w:pPr>
      <w:r>
        <w:rPr>
          <w:rFonts w:ascii="Times New Roman" w:hAnsi="Times New Roman"/>
          <w:sz w:val="20"/>
        </w:rPr>
        <w:t xml:space="preserve">Although we do not have a formal policy regarding attendance by Board members at annual meetings of stockholders, we encourage our directors to attend such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bookmarkStart w:id="17" w:name="toc949345_16"/>
      <w:bookmarkEnd w:id="17"/>
      <w:r>
        <w:rPr>
          <w:rFonts w:ascii="Times New Roman" w:hAnsi="Times New Roman"/>
          <w:b/>
          <w:i/>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has established three standing committees—the Audit Committee, the Compensation Committee, and the Nominating and Corporate Governance Committee—each of which operates under a charter that has been approved by our Board. Current copies of the Audit Committee, Compensation Committee, and Nominating and Corporate Governance Committee charters are posted on the “Corporate Governance” section of our website located at https://investors.tectonictx.com/. </w:t>
      </w:r>
    </w:p>
    <w:p>
      <w:pPr>
        <w:pStyle w:val="TextBody"/>
        <w:bidi w:val="0"/>
        <w:spacing w:before="360" w:after="0"/>
        <w:jc w:val="left"/>
        <w:rPr>
          <w:rFonts w:ascii="Times New Roman" w:hAnsi="Times New Roman"/>
          <w:b/>
          <w:sz w:val="20"/>
        </w:rPr>
      </w:pPr>
      <w:r>
        <w:rPr>
          <w:rFonts w:ascii="Times New Roman" w:hAnsi="Times New Roman"/>
          <w:b/>
          <w:sz w:val="20"/>
        </w:rPr>
        <w:t xml:space="preserve">AUDIT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78"/>
        <w:gridCol w:w="120"/>
        <w:gridCol w:w="2207"/>
      </w:tblGrid>
      <w:tr>
        <w:trPr/>
        <w:tc>
          <w:tcPr>
            <w:tcW w:w="7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r>
      <w:tr>
        <w:trPr/>
        <w:tc>
          <w:tcPr>
            <w:tcW w:w="7878"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Primary Responsibilities</w:t>
            </w:r>
          </w:p>
        </w:tc>
        <w:tc>
          <w:tcPr>
            <w:tcW w:w="120" w:type="dxa"/>
            <w:tcBorders/>
            <w:vAlign w:val="center"/>
          </w:tcPr>
          <w:p>
            <w:pPr>
              <w:pStyle w:val="TableContents"/>
              <w:bidi w:val="0"/>
              <w:spacing w:before="0" w:after="283"/>
              <w:jc w:val="left"/>
              <w:rPr/>
            </w:pPr>
            <w:r>
              <w:rPr/>
              <w:t>  </w:t>
            </w:r>
          </w:p>
        </w:tc>
        <w:tc>
          <w:tcPr>
            <w:tcW w:w="220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Current Committee Members</w:t>
            </w:r>
          </w:p>
        </w:tc>
      </w:tr>
      <w:tr>
        <w:trPr/>
        <w:tc>
          <w:tcPr>
            <w:tcW w:w="78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have adopted a committee charter that details the primary responsibilities of the Audit Committee, including:</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our accounting and financial reporting processes, systems of internal control over financial reporting and audits of financial statements, as well as the quality and integrity of our financial statements and reports;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assessing the qualifications, performance, and independence of the independent registered public accounting firm;</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reviewing our compliance with legal and regulatory requirements, including compliance with ethical standards adopted by us; and</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reviewing and assessing our risk management, risk assessment and major risk exposures with respect to financial, accounting, operational, tax, privacy and cybersecurity and information technology risks.</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Financial Expertise and Independence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All members of the Audit Committee are “independent” in accordance with the Nasdaq listing standards and SEC rules applicable to boards of directors in general and audit committee members in particular. The Board has determined that Phillip B. Donenberg qualifies as an “audit committee financial expert” as defined by the applicable SEC rules and that each member of the Audit Committee is “financially sophisticated.”</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Report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Report of the Audit Committee is set forth beginning on page 23 of this proxy statement.</w:t>
            </w:r>
          </w:p>
        </w:tc>
        <w:tc>
          <w:tcPr>
            <w:tcW w:w="120" w:type="dxa"/>
            <w:tcBorders/>
            <w:vAlign w:val="center"/>
          </w:tcPr>
          <w:p>
            <w:pPr>
              <w:pStyle w:val="TableContents"/>
              <w:bidi w:val="0"/>
              <w:spacing w:before="0" w:after="283"/>
              <w:jc w:val="left"/>
              <w:rPr/>
            </w:pPr>
            <w:r>
              <w:rPr/>
              <w:t>  </w:t>
            </w:r>
          </w:p>
        </w:tc>
        <w:tc>
          <w:tcPr>
            <w:tcW w:w="22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Phillip B. Donenberg (Chair)</w:t>
            </w:r>
          </w:p>
          <w:p>
            <w:pPr>
              <w:pStyle w:val="TableContents"/>
              <w:bidi w:val="0"/>
              <w:spacing w:before="0" w:after="0"/>
              <w:jc w:val="left"/>
              <w:rPr>
                <w:rFonts w:ascii="Times New Roman" w:hAnsi="Times New Roman"/>
                <w:sz w:val="20"/>
              </w:rPr>
            </w:pPr>
            <w:r>
              <w:rPr>
                <w:rFonts w:ascii="Times New Roman" w:hAnsi="Times New Roman"/>
                <w:sz w:val="20"/>
              </w:rPr>
              <w:t>Terrance McGuire</w:t>
            </w:r>
          </w:p>
          <w:p>
            <w:pPr>
              <w:pStyle w:val="TableContents"/>
              <w:bidi w:val="0"/>
              <w:spacing w:before="0" w:after="20"/>
              <w:jc w:val="left"/>
              <w:rPr>
                <w:rFonts w:ascii="Times New Roman" w:hAnsi="Times New Roman"/>
                <w:sz w:val="20"/>
              </w:rPr>
            </w:pPr>
            <w:r>
              <w:rPr>
                <w:rFonts w:ascii="Times New Roman" w:hAnsi="Times New Roman"/>
                <w:sz w:val="20"/>
              </w:rPr>
              <w:t>Stefan Vitorovic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COMPENSATION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54"/>
        <w:gridCol w:w="120"/>
        <w:gridCol w:w="1631"/>
      </w:tblGrid>
      <w:tr>
        <w:trPr/>
        <w:tc>
          <w:tcPr>
            <w:tcW w:w="84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8454"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Primary Responsibilities</w:t>
            </w:r>
          </w:p>
        </w:tc>
        <w:tc>
          <w:tcPr>
            <w:tcW w:w="120" w:type="dxa"/>
            <w:tcBorders/>
            <w:vAlign w:val="center"/>
          </w:tcPr>
          <w:p>
            <w:pPr>
              <w:pStyle w:val="TableContents"/>
              <w:bidi w:val="0"/>
              <w:spacing w:before="0" w:after="283"/>
              <w:jc w:val="left"/>
              <w:rPr/>
            </w:pPr>
            <w:r>
              <w:rPr/>
              <w:t>  </w:t>
            </w:r>
          </w:p>
        </w:tc>
        <w:tc>
          <w:tcPr>
            <w:tcW w:w="163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Current Committee Members</w:t>
            </w:r>
          </w:p>
        </w:tc>
      </w:tr>
      <w:tr>
        <w:trPr/>
        <w:tc>
          <w:tcPr>
            <w:tcW w:w="84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have adopted a committee charter that details the primary responsibilities of the Compensation Committee, including:</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establishing and reviewing our overall compensation philosophy in light of our specific business objectives;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setting compensation, or recommending to the full Board the compensation, for our Chief Executive Officer;</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setting compensation for our other executive officers and directors;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administering incentive and equity-based compensation plans;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overseeing our compensation-related disclosures required by the SEC; and</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overseeing our policies and strategies relating to human capital management.</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Independence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All members of the Compensation Committee are “independent” in accordance with the Nasdaq listing standards and SEC rules applicable to boards of directors in general and compensation committees in particular. In addition, all members of the Compensation Committee qualify as “non-employee directors” for purposes of Rule 16b-3 under the Exchange Act.</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Delegation Authority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Compensation Committee may form and delegate authority to subcommittees for any purpose that the Committee deems appropriate, including (a) a subcommittee consisting of a single member, and (b) a subcommittee consisting of at least two members, each of whom qualify as “non-employee directors” for purposes of Rule 16b-3 under the Exchange Act.</w:t>
            </w:r>
          </w:p>
        </w:tc>
        <w:tc>
          <w:tcPr>
            <w:tcW w:w="12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(Chair)</w:t>
            </w:r>
          </w:p>
          <w:p>
            <w:pPr>
              <w:pStyle w:val="TableContents"/>
              <w:bidi w:val="0"/>
              <w:spacing w:before="0" w:after="20"/>
              <w:jc w:val="left"/>
              <w:rPr>
                <w:rFonts w:ascii="Times New Roman" w:hAnsi="Times New Roman"/>
                <w:sz w:val="20"/>
              </w:rPr>
            </w:pPr>
            <w:r>
              <w:rPr>
                <w:rFonts w:ascii="Times New Roman" w:hAnsi="Times New Roman"/>
                <w:sz w:val="20"/>
              </w:rPr>
              <w:t>Stefan Vitorovic</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NOMINATING AND CORPORATE GOVERNANCE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25"/>
        <w:gridCol w:w="120"/>
        <w:gridCol w:w="1160"/>
      </w:tblGrid>
      <w:tr>
        <w:trPr/>
        <w:tc>
          <w:tcPr>
            <w:tcW w:w="8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89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Primary Responsibilities</w:t>
            </w:r>
          </w:p>
        </w:tc>
        <w:tc>
          <w:tcPr>
            <w:tcW w:w="12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Current Committee Members</w:t>
            </w:r>
          </w:p>
        </w:tc>
      </w:tr>
      <w:tr>
        <w:trPr/>
        <w:tc>
          <w:tcPr>
            <w:tcW w:w="8925"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We have adopted a committee charter that details the primary responsibilities of the Nominating and Corporate Governance Committee, including:</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identifying individuals qualified to become members of the Board (consistent with criteria approved by the Board), reviewing the qualifications of, and considering stockholders’ recommendations for, director candidates and recommending to the Board qualified director nominees for appointment, election or reelection to the Board at each annual stockholders’ meeting and as necessary to fill vacancies and newly created directorships;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developing and recommending to the Board for adoption the corporate governance guidelines applicable to us, periodically reviewing such guidelines, recommending changes to the same from</w:t>
            </w:r>
          </w:p>
        </w:tc>
        <w:tc>
          <w:tcPr>
            <w:tcW w:w="1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(Chair)</w:t>
            </w:r>
          </w:p>
          <w:p>
            <w:pPr>
              <w:pStyle w:val="TableContents"/>
              <w:bidi w:val="0"/>
              <w:spacing w:before="0" w:after="20"/>
              <w:jc w:val="left"/>
              <w:rPr>
                <w:rFonts w:ascii="Times New Roman" w:hAnsi="Times New Roman"/>
                <w:sz w:val="20"/>
              </w:rPr>
            </w:pPr>
            <w:r>
              <w:rPr>
                <w:rFonts w:ascii="Times New Roman" w:hAnsi="Times New Roman"/>
                <w:sz w:val="20"/>
              </w:rPr>
              <w:t>Terrance McGuire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531"/>
        <w:gridCol w:w="120"/>
        <w:gridCol w:w="1554"/>
      </w:tblGrid>
      <w:tr>
        <w:trPr/>
        <w:tc>
          <w:tcPr>
            <w:tcW w:w="85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8531"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Primary Responsibilities</w:t>
            </w:r>
          </w:p>
        </w:tc>
        <w:tc>
          <w:tcPr>
            <w:tcW w:w="120" w:type="dxa"/>
            <w:tcBorders/>
            <w:vAlign w:val="center"/>
          </w:tcPr>
          <w:p>
            <w:pPr>
              <w:pStyle w:val="TableContents"/>
              <w:bidi w:val="0"/>
              <w:spacing w:before="0" w:after="283"/>
              <w:jc w:val="left"/>
              <w:rPr/>
            </w:pPr>
            <w:r>
              <w:rPr/>
              <w:t>  </w:t>
            </w:r>
          </w:p>
        </w:tc>
        <w:tc>
          <w:tcPr>
            <w:tcW w:w="155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Current Committee Members</w:t>
            </w:r>
          </w:p>
        </w:tc>
      </w:tr>
      <w:tr>
        <w:trPr/>
        <w:tc>
          <w:tcPr>
            <w:tcW w:w="85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time to time as appropriate and overseeing and monitoring compliance with such guidelines;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overseeing evaluations of the Board, its committees, and Board members;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identifying directors qualified to serve on the various committees of the Board and recommending to the Board qualified nominees for membership on each such committee; and</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overseeing succession planning for the Board and key leadership roles on the Board and its committees.</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Independence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All members of the Nominating and Corporate Governance Committee are “independent” in accordance with Nasdaq listing standards.</w:t>
            </w:r>
          </w:p>
        </w:tc>
        <w:tc>
          <w:tcPr>
            <w:tcW w:w="120" w:type="dxa"/>
            <w:tcBorders/>
            <w:vAlign w:val="center"/>
          </w:tcPr>
          <w:p>
            <w:pPr>
              <w:pStyle w:val="TableContents"/>
              <w:bidi w:val="0"/>
              <w:spacing w:before="0" w:after="283"/>
              <w:jc w:val="left"/>
              <w:rPr/>
            </w:pPr>
            <w:r>
              <w:rPr/>
              <w:t>  </w:t>
            </w:r>
          </w:p>
        </w:tc>
        <w:tc>
          <w:tcPr>
            <w:tcW w:w="15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i/>
          <w:sz w:val="20"/>
        </w:rPr>
      </w:pPr>
      <w:bookmarkStart w:id="18" w:name="toc949345_17"/>
      <w:bookmarkEnd w:id="18"/>
      <w:r>
        <w:rPr>
          <w:rFonts w:ascii="Times New Roman" w:hAnsi="Times New Roman"/>
          <w:b/>
          <w:i/>
          <w:sz w:val="20"/>
        </w:rPr>
        <w:t xml:space="preserve">Committee Charters and Corporate Governance Guidelines </w:t>
      </w:r>
    </w:p>
    <w:p>
      <w:pPr>
        <w:pStyle w:val="TextBody"/>
        <w:bidi w:val="0"/>
        <w:spacing w:before="120" w:after="0"/>
        <w:jc w:val="left"/>
        <w:rPr>
          <w:rFonts w:ascii="Times New Roman" w:hAnsi="Times New Roman"/>
          <w:sz w:val="20"/>
        </w:rPr>
      </w:pPr>
      <w:r>
        <w:rPr>
          <w:rFonts w:ascii="Times New Roman" w:hAnsi="Times New Roman"/>
          <w:sz w:val="20"/>
        </w:rPr>
        <w:t xml:space="preserve">Complete copies of our Corporate Governance Guidelines and committee charters are posted in the “Corporate Governance” section of our website located at https://investors.tectonictx.com/. </w:t>
      </w:r>
    </w:p>
    <w:p>
      <w:pPr>
        <w:pStyle w:val="TextBody"/>
        <w:bidi w:val="0"/>
        <w:spacing w:before="360" w:after="0"/>
        <w:jc w:val="left"/>
        <w:rPr>
          <w:rFonts w:ascii="Times New Roman" w:hAnsi="Times New Roman"/>
          <w:b/>
          <w:i/>
          <w:sz w:val="20"/>
        </w:rPr>
      </w:pPr>
      <w:bookmarkStart w:id="19" w:name="toc949345_18"/>
      <w:bookmarkEnd w:id="19"/>
      <w:r>
        <w:rPr>
          <w:rFonts w:ascii="Times New Roman" w:hAnsi="Times New Roman"/>
          <w:b/>
          <w:i/>
          <w:sz w:val="20"/>
        </w:rPr>
        <w:t xml:space="preserve">Executive Sessions </w:t>
      </w:r>
    </w:p>
    <w:p>
      <w:pPr>
        <w:pStyle w:val="TextBody"/>
        <w:bidi w:val="0"/>
        <w:spacing w:before="120" w:after="0"/>
        <w:jc w:val="left"/>
        <w:rPr>
          <w:rFonts w:ascii="Times New Roman" w:hAnsi="Times New Roman"/>
          <w:sz w:val="20"/>
        </w:rPr>
      </w:pPr>
      <w:r>
        <w:rPr>
          <w:rFonts w:ascii="Times New Roman" w:hAnsi="Times New Roman"/>
          <w:sz w:val="20"/>
        </w:rPr>
        <w:t xml:space="preserve">Executive sessions, which are meetings at which only independent directors are present, are regularly scheduled throughout the year, typically at the time of each regular Board meeting and as frequently as such independent directors deem appropriate. </w:t>
      </w:r>
    </w:p>
    <w:p>
      <w:pPr>
        <w:pStyle w:val="TextBody"/>
        <w:bidi w:val="0"/>
        <w:spacing w:before="480" w:after="0"/>
        <w:jc w:val="center"/>
        <w:rPr>
          <w:rFonts w:ascii="Times New Roman" w:hAnsi="Times New Roman"/>
          <w:b/>
          <w:sz w:val="20"/>
        </w:rPr>
      </w:pPr>
      <w:bookmarkStart w:id="20" w:name="toc949345_19"/>
      <w:bookmarkEnd w:id="20"/>
      <w:r>
        <w:rPr>
          <w:rFonts w:ascii="Times New Roman" w:hAnsi="Times New Roman"/>
          <w:b/>
          <w:sz w:val="20"/>
        </w:rPr>
        <w:t xml:space="preserve">Board’s Oversight of Strategy </w:t>
      </w:r>
    </w:p>
    <w:p>
      <w:pPr>
        <w:pStyle w:val="TextBody"/>
        <w:bidi w:val="0"/>
        <w:spacing w:before="240" w:after="0"/>
        <w:jc w:val="left"/>
        <w:rPr>
          <w:rFonts w:ascii="Times New Roman" w:hAnsi="Times New Roman"/>
          <w:sz w:val="20"/>
        </w:rPr>
      </w:pPr>
      <w:r>
        <w:rPr>
          <w:rFonts w:ascii="Times New Roman" w:hAnsi="Times New Roman"/>
          <w:sz w:val="20"/>
        </w:rPr>
        <w:t xml:space="preserve">Our Board is deeply engaged and involved in overseeing our long-range strategy, including evaluating key market opportunities, customer and supplier trends, and competitive developments. Our Board’s oversight of risk is another integral component of the Board’s oversight and engagement on strategic matters. Strategy-related matters are regularly discussed at board meetings and, when relevant, at Committee meetings. Matters of strategy also inform committee-level discussions of many issues, including enterprise risk. Engagement of the Board on these issues and other matters of strategic importance continues in between meetings, including through updates to the Board on significant items and discussions between the CEO and our Chair on a periodic basis. Each director is expected to and does bring to bear their own talents, insights, and experiences to these strategy discussions. </w:t>
      </w:r>
    </w:p>
    <w:p>
      <w:pPr>
        <w:pStyle w:val="TextBody"/>
        <w:bidi w:val="0"/>
        <w:spacing w:before="480" w:after="0"/>
        <w:jc w:val="center"/>
        <w:rPr>
          <w:rFonts w:ascii="Times New Roman" w:hAnsi="Times New Roman"/>
          <w:b/>
          <w:sz w:val="20"/>
        </w:rPr>
      </w:pPr>
      <w:bookmarkStart w:id="21" w:name="toc949345_20"/>
      <w:bookmarkEnd w:id="21"/>
      <w:r>
        <w:rPr>
          <w:rFonts w:ascii="Times New Roman" w:hAnsi="Times New Roman"/>
          <w:b/>
          <w:sz w:val="20"/>
        </w:rPr>
        <w:t xml:space="preserve">Communications with the Board </w:t>
      </w:r>
    </w:p>
    <w:p>
      <w:pPr>
        <w:pStyle w:val="TextBody"/>
        <w:bidi w:val="0"/>
        <w:spacing w:before="240" w:after="0"/>
        <w:jc w:val="left"/>
        <w:rPr>
          <w:rFonts w:ascii="Times New Roman" w:hAnsi="Times New Roman"/>
          <w:sz w:val="20"/>
        </w:rPr>
      </w:pPr>
      <w:r>
        <w:rPr>
          <w:rFonts w:ascii="Times New Roman" w:hAnsi="Times New Roman"/>
          <w:sz w:val="20"/>
        </w:rPr>
        <w:t xml:space="preserve">The Board will consider any written or electronic communication from our stockholders to the Board, a committee of the Board or any individual director. Any stockholder who wishes to communicate to the Board, a committee of the Board or any individual director should submit written or electronic communications to our corporate secretary, Daniel Lochner, at our principal executive offices, which shall include contact information for such stockholder. All communications from stockholders received shall be forwarded by our secretary to the Board, a committee of the Board or an individual director, as appropriate, on a periodic basis, but in any event no later than the Board’s next scheduled meeting. The Board, a committee of the Board, or individual directors, as appropriate, will consider and review carefully any communications from stockholders forwarded by our secretary.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949345_21"/>
      <w:bookmarkEnd w:id="22"/>
      <w:r>
        <w:rPr>
          <w:rFonts w:ascii="Times New Roman" w:hAnsi="Times New Roman"/>
          <w:b/>
          <w:sz w:val="20"/>
        </w:rPr>
        <w:t xml:space="preserve">Code of Business Conduct and Ethics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Code of Business Conduct and Ethics, which is applicable to all our directors, officers and employees, including our CEO, Chief Financial Officer and other senior financial officers. The Code of Business Conduct and Ethics provides a framework for sound ethical business decisions and sets forth our expectations on a number of topics, including conflicts of interest, compliance with laws, use of our assets and business ethics. Our Code of Business Conduct and Ethics is posted in the “Corporate Governance” section of our website located at https://investors.tectonictx.com/. If the Company ever were to amend or waive any provision of its Code of Business Conduct and Ethics that applies to the Company’s principal executive officer, principal financial officer, principal accounting officer or any person performing similar functions, the Company intends to satisfy its disclosure obligations, if any, with respect to any such waiver or amendment by posting such information on its website set forth above rather than by filing a Current Report on Form 8-K. In the case of a waiver for an executive officer or a director, the disclosure required under applicable Nasdaq listing standards also will be made available on our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Insider Trading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our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our fiscal year ended December 31, 2024. In addition, it is the Company’s intent to comply with applicable laws and regulations relating to insider trading.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80" w:after="0"/>
        <w:jc w:val="center"/>
        <w:rPr>
          <w:rFonts w:ascii="Times New Roman" w:hAnsi="Times New Roman"/>
          <w:b/>
          <w:sz w:val="20"/>
        </w:rPr>
      </w:pPr>
      <w:r>
        <w:rPr>
          <w:rFonts w:ascii="Times New Roman" w:hAnsi="Times New Roman"/>
          <w:b/>
          <w:sz w:val="20"/>
        </w:rPr>
        <w:t xml:space="preserve">Hedging and Pledging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Our Insider Trading Policy prohibits directors, officers and other employees from engaging in derivatives securities or hedging transactions, including prepaid variable forward contracts, equity swaps, collars and exchange funds, or otherwise engage in transactions that hedge or offset, or are designed to hedge or offset any decrease in the market value of our securities and the risks associated with holding our common stock. Our Insider Trading Policy also prohibits trading in publicly-traded options, such as puts and calls, and other derivative securities with respect to our securities (other than stock options and other compensatory equity awards issued by us), as well as holding our common stock in margin accounts.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949345_24"/>
      <w:bookmarkEnd w:id="23"/>
      <w:r>
        <w:rPr>
          <w:rFonts w:ascii="Times New Roman" w:hAnsi="Times New Roman"/>
          <w:b/>
          <w:sz w:val="20"/>
        </w:rPr>
        <w:t xml:space="preserve">PROPOSAL 2: RATIFICATION OF APPOINTMENT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of the Board has appointed Deloitte &amp; Touche LLP (“Deloitte”) as our independent registered public accounting firm for the fiscal year ending December 31, 2025 and has further directed that management submit the selection of its independent registered public accounting firm for ratification by the stockholders at the annual meeting and recommended that stockholders ratify such selection. Deloitte &amp; Touche LLP has audited our financial statements since the Closing of the Merger and served as Legacy Tectonic’s independent registered public accounting firm since 2022. Representatives of Deloitte &amp; Touche LLP are expected to be present at the Annual Meeting. They will have an opportunity to make a statement if they so desire and will be available to respond to appropriate questions.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(“EY”) served as AVROBIO’s independent registered public accounting firm since 2018. On June 20, 2024, following the completion of the Merger, EY was dismissed as the Company’s independent registered public accounting firm. The decision to dismiss EY was approved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The reports of EY on AVROBIO’s consolidated financial statements for the fiscal years ended December 31, 2023 and 2022 did not contain an adverse opinion or disclaimer of opinion and were not qualified or modified as to uncertainty, audit scope or accounting principles, or other similar opinion as defined in Item 304(a)(1)(ii) of Regulation S-K (17 CFR § 229.304(a)(1)(ii)) except for an explanatory paragraph regarding existence of substantial doubt about AVROBIO’s ability to continue as a going concern in the report for the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During AVROBIO’s two most recent fiscal years and the subsequent period from January 1, 2024 to June 20, 2024, there were (i) no disagreements (as defined in Item 304(a)(1)(iv) of Regulation S-K and the related instructions thereto) with EY on any matter of accounting principles or practices, financial statement disclosure, or auditing scope or procedure, which disagreement, if not resolved to the satisfaction of EY, would have caused it to make reference to the subject matter of the disagreement in connection with its report for such years and (ii) no reportable events (as described in Item 304(a)(1)(v)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Neither our Bylaws nor other governing documents or law require stockholder ratification of the appointment of Deloitte &amp; Touche LLP as our independent registered public accounting firm. However, the Audit Committee of the Board is submitting the selection of Deloitte &amp; Touche LLP to the stockholders for ratification as a matter of good corporate practice. If the stockholders fail to ratify the appointment,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us and our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unanimously recommends a vote “FOR” the ratification of the appointment of Deloitte.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949345_25"/>
      <w:bookmarkEnd w:id="24"/>
      <w:r>
        <w:rPr>
          <w:rFonts w:ascii="Times New Roman" w:hAnsi="Times New Roman"/>
          <w:b/>
          <w:sz w:val="20"/>
        </w:rPr>
        <w:t xml:space="preserve">Principal Accountant Fees and Services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regarding the aggregate fees paid to Deloitte for services rendered to Legacy Tectonic, prior to the closing of the Merger, and to the Company, following the closing of the Merger, for the fiscal years ended December 31, 2024 and 2023. All fees described below were approved by the Audit Committee. </w:t>
      </w:r>
    </w:p>
    <w:p>
      <w:pPr>
        <w:pStyle w:val="TextBody"/>
        <w:bidi w:val="0"/>
        <w:spacing w:before="0" w:after="0"/>
        <w:jc w:val="left"/>
        <w:rPr/>
      </w:pPr>
      <w:r>
        <w:rPr/>
        <w:t> </w:t>
      </w:r>
    </w:p>
    <w:tbl>
      <w:tblPr>
        <w:tblW w:w="3610" w:type="dxa"/>
        <w:jc w:val="left"/>
        <w:tblInd w:w="0" w:type="dxa"/>
        <w:tblLayout w:type="fixed"/>
        <w:tblCellMar>
          <w:top w:w="0" w:type="dxa"/>
          <w:left w:w="0" w:type="dxa"/>
          <w:bottom w:w="0" w:type="dxa"/>
          <w:right w:w="0" w:type="dxa"/>
        </w:tblCellMar>
      </w:tblPr>
      <w:tblGrid>
        <w:gridCol w:w="1175"/>
        <w:gridCol w:w="120"/>
        <w:gridCol w:w="140"/>
        <w:gridCol w:w="980"/>
        <w:gridCol w:w="60"/>
        <w:gridCol w:w="120"/>
        <w:gridCol w:w="140"/>
        <w:gridCol w:w="800"/>
        <w:gridCol w:w="75"/>
      </w:tblGrid>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0" w:type="dxa"/>
            <w:gridSpan w:val="6"/>
            <w:tcBorders>
              <w:bottom w:val="single" w:sz="8" w:space="0" w:color="000000"/>
            </w:tcBorders>
            <w:tcMar>
              <w:bottom w:w="28" w:type="dxa"/>
            </w:tcMar>
            <w:vAlign w:val="center"/>
          </w:tcPr>
          <w:p>
            <w:pPr>
              <w:pStyle w:val="TableContents"/>
              <w:bidi w:val="0"/>
              <w:spacing w:before="0" w:after="283"/>
              <w:jc w:val="center"/>
              <w:rPr/>
            </w:pPr>
            <w:r>
              <w:rPr>
                <w:b/>
              </w:rPr>
              <w:t>Fiscal Year Ended</w:t>
            </w:r>
            <w:r>
              <w:rPr/>
              <w:br/>
            </w:r>
            <w:r>
              <w:rPr>
                <w:b/>
              </w:rPr>
              <w:t>December 31,</w:t>
            </w:r>
          </w:p>
        </w:tc>
        <w:tc>
          <w:tcPr>
            <w:tcW w:w="7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0"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Fees(1)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1,688,729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440,282</w:t>
            </w:r>
          </w:p>
        </w:tc>
        <w:tc>
          <w:tcPr>
            <w:tcW w:w="75"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 Fees(2)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129,390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2,415</w:t>
            </w:r>
          </w:p>
        </w:tc>
        <w:tc>
          <w:tcPr>
            <w:tcW w:w="7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1,818,119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442,697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0"/>
              <w:jc w:val="left"/>
              <w:rPr/>
            </w:pPr>
            <w:r>
              <w:rPr/>
              <w:t>“</w:t>
            </w:r>
            <w:r>
              <w:rPr>
                <w:rFonts w:ascii="Times New Roman" w:hAnsi="Times New Roman"/>
                <w:sz w:val="20"/>
              </w:rPr>
              <w:t xml:space="preserve">Audit Fees” consist of fees in connection with the audit of our annual consolidated financial statements, including the audited financial statements as well as other financial statements presented in our Registration Statement on Form S-4 filed with the SEC in connection with the Merger, the audited financial statements presented in our Annual Report on Form 10-K, and services that are normally provided by our independent registered public accounting firm in connection with statutory and regulatory filings or engagements for those fiscal years. Included in the fiscal year 2024 Audit Fees are fees billed in connection with regulatory filings associated with the Merger and related private financings. </w:t>
            </w:r>
          </w:p>
        </w:tc>
      </w:tr>
    </w:tbl>
    <w:tbl>
      <w:tblPr>
        <w:tblW w:w="9775" w:type="dxa"/>
        <w:jc w:val="left"/>
        <w:tblInd w:w="0" w:type="dxa"/>
        <w:tblLayout w:type="fixed"/>
        <w:tblCellMar>
          <w:top w:w="0" w:type="dxa"/>
          <w:left w:w="0" w:type="dxa"/>
          <w:bottom w:w="0" w:type="dxa"/>
          <w:right w:w="0" w:type="dxa"/>
        </w:tblCellMar>
      </w:tblPr>
      <w:tblGrid>
        <w:gridCol w:w="305"/>
        <w:gridCol w:w="9470"/>
      </w:tblGrid>
      <w:tr>
        <w:trPr/>
        <w:tc>
          <w:tcPr>
            <w:tcW w:w="305" w:type="dxa"/>
            <w:tcBorders/>
            <w:vAlign w:val="center"/>
          </w:tcPr>
          <w:p>
            <w:pPr>
              <w:pStyle w:val="TableContents"/>
              <w:bidi w:val="0"/>
              <w:spacing w:before="0" w:after="283"/>
              <w:jc w:val="left"/>
              <w:rPr/>
            </w:pPr>
            <w:r>
              <w:rPr/>
              <w:t>(2)</w:t>
            </w:r>
          </w:p>
        </w:tc>
        <w:tc>
          <w:tcPr>
            <w:tcW w:w="9470" w:type="dxa"/>
            <w:tcBorders/>
            <w:vAlign w:val="center"/>
          </w:tcPr>
          <w:p>
            <w:pPr>
              <w:pStyle w:val="TableContents"/>
              <w:bidi w:val="0"/>
              <w:spacing w:before="0" w:after="0"/>
              <w:jc w:val="left"/>
              <w:rPr/>
            </w:pPr>
            <w:r>
              <w:rPr/>
              <w:t>“</w:t>
            </w:r>
            <w:r>
              <w:rPr>
                <w:rFonts w:ascii="Times New Roman" w:hAnsi="Times New Roman"/>
                <w:sz w:val="20"/>
              </w:rPr>
              <w:t xml:space="preserve">Tax Fees” consist of fees in connection with tax studies, tax advisory services and employee retention credit filing.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fees incurred subsequent to the closing of the Merger in June 2024 were pre-approved by our Audit Committee. </w:t>
      </w:r>
    </w:p>
    <w:p>
      <w:pPr>
        <w:pStyle w:val="TextBody"/>
        <w:bidi w:val="0"/>
        <w:spacing w:before="480" w:after="0"/>
        <w:jc w:val="center"/>
        <w:rPr>
          <w:rFonts w:ascii="Times New Roman" w:hAnsi="Times New Roman"/>
          <w:b/>
          <w:sz w:val="20"/>
        </w:rPr>
      </w:pPr>
      <w:bookmarkStart w:id="25" w:name="toc949345_26"/>
      <w:bookmarkEnd w:id="25"/>
      <w:r>
        <w:rPr>
          <w:rFonts w:ascii="Times New Roman" w:hAnsi="Times New Roman"/>
          <w:b/>
          <w:sz w:val="20"/>
        </w:rPr>
        <w:t xml:space="preserve">Pre-Approval Policies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adopted a policy and procedures for the pre-approval of audit and non-audit services rendered by our independent registered public accounting firm, Deloitte.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determined that the rendering of services other than audit services by Deloitte is compatible with maintaining the principal accountant’s independence.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949345_27"/>
      <w:bookmarkEnd w:id="26"/>
      <w:r>
        <w:rPr>
          <w:rFonts w:ascii="Times New Roman" w:hAnsi="Times New Roman"/>
          <w:b/>
          <w:sz w:val="20"/>
        </w:rPr>
        <w:t xml:space="preserve">Audit Committee Report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consists solely of independent directors, as required by and in compliance with SEC rules and regulations and the Nasdaq listing standards. The Audit Committee operates pursuant to a written charter adopted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is responsible for assisting the Board in its oversight responsibilities related to accounting policies, internal controls, financial reporting, and legal and regulatory compliance. Management of the Company has the primary responsibility for the Company’s financial reporting processes, proper application of accounting principles, and internal controls as well as the preparation of its financial statements. The Company’s independent registered public accounting firm is responsible for performing an audit of the Company’s financial statements and expressing an opinion as to the conformity of such financial statements with accounting principles generally accepted in the United States (“U.S. GAAP”).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reviewed and discussed the Company’s audited financial statements as of and for the year ended December 31, 2024, with management and the independent registered public accounting firm. The Audit Committee has discussed with the independent registered public accounting firm the matters required to be discussed by the applicable requirements of the Public Company Accounting Oversight Board (“PCAOB”) and the SEC. In addition,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 </w:t>
      </w:r>
    </w:p>
    <w:p>
      <w:pPr>
        <w:pStyle w:val="TextBody"/>
        <w:bidi w:val="0"/>
        <w:spacing w:before="240" w:after="0"/>
        <w:jc w:val="left"/>
        <w:rPr>
          <w:rFonts w:ascii="Times New Roman" w:hAnsi="Times New Roman"/>
          <w:sz w:val="20"/>
        </w:rPr>
      </w:pPr>
      <w:r>
        <w:rPr>
          <w:rFonts w:ascii="Times New Roman" w:hAnsi="Times New Roman"/>
          <w:sz w:val="20"/>
        </w:rPr>
        <w:t xml:space="preserve">Based on the review and discussions described above, the Audit Committee recommended to the Board that the Company’s audited financial statements be included in its Annual Report on Form 10-K for the year ended December 31, 2024, for filing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Phillip B. Donenberg, (Chair) </w:t>
      </w:r>
    </w:p>
    <w:p>
      <w:pPr>
        <w:pStyle w:val="TextBody"/>
        <w:bidi w:val="0"/>
        <w:spacing w:before="240" w:after="0"/>
        <w:jc w:val="left"/>
        <w:rPr>
          <w:rFonts w:ascii="Times New Roman" w:hAnsi="Times New Roman"/>
          <w:sz w:val="20"/>
        </w:rPr>
      </w:pPr>
      <w:r>
        <w:rPr>
          <w:rFonts w:ascii="Times New Roman" w:hAnsi="Times New Roman"/>
          <w:sz w:val="20"/>
        </w:rPr>
        <w:t xml:space="preserve">Terrance McGuire </w:t>
      </w:r>
    </w:p>
    <w:p>
      <w:pPr>
        <w:pStyle w:val="TextBody"/>
        <w:bidi w:val="0"/>
        <w:spacing w:before="240" w:after="0"/>
        <w:jc w:val="left"/>
        <w:rPr>
          <w:rFonts w:ascii="Times New Roman" w:hAnsi="Times New Roman"/>
          <w:sz w:val="20"/>
        </w:rPr>
      </w:pPr>
      <w:r>
        <w:rPr>
          <w:rFonts w:ascii="Times New Roman" w:hAnsi="Times New Roman"/>
          <w:sz w:val="20"/>
        </w:rPr>
        <w:t xml:space="preserve">Stefan Vitorovic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949345_28"/>
      <w:bookmarkEnd w:id="27"/>
      <w:r>
        <w:rPr>
          <w:rFonts w:ascii="Times New Roman" w:hAnsi="Times New Roman"/>
          <w:b/>
          <w:sz w:val="20"/>
        </w:rPr>
        <w:t xml:space="preserve">PROPOSAL 3: ADVISORY VOTE ON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requirements of Section 14A of the Exchange Act and the related rules of the SEC, our stockholders are being asked to approve, in an advisory, non-binding vote, the compensation of our Named Executive Officers as disclosed pursuant to Item 402 of Regulation S-K, including the Compensation Discussion and Analysis, compensation tables, and narrative discussion. In considering their vote, we urge stockholders to review the information on our compensation policies and decisions regarding the Named Executive Officers presented in the section on Executive Officers beginning on page 26. </w:t>
      </w:r>
    </w:p>
    <w:p>
      <w:pPr>
        <w:pStyle w:val="TextBody"/>
        <w:bidi w:val="0"/>
        <w:spacing w:before="240" w:after="0"/>
        <w:jc w:val="left"/>
        <w:rPr>
          <w:rFonts w:ascii="Times New Roman" w:hAnsi="Times New Roman"/>
          <w:sz w:val="20"/>
        </w:rPr>
      </w:pPr>
      <w:r>
        <w:rPr>
          <w:rFonts w:ascii="Times New Roman" w:hAnsi="Times New Roman"/>
          <w:sz w:val="20"/>
        </w:rPr>
        <w:t xml:space="preserve">This advisory resolution, commonly referred to as a “say-on-pay” resolution, is non-binding. Although this resolution is non-binding, the Board and the Compensation Committee value the opinions of our stockholders and will review and consider the voting results when making future compensation decisions for our Named Executive Officers. If stockholders approve the “One Year” option as the frequency of future say-on-pay votes under Proposal 4, we expect that we will conduct our next say-on-pay vote at the 2026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compensation components provide a reasonable balance of base compensation and long-term equity-based incentive compensation that is closely aligned with the Company’s overall performance. The Company aims to provide executive officers with a reasonable level of security through base salary and benefits, while rewarding them through cash and equity-based incentive compensation to achieve business objectives and create stockholder value. We believe that each of our compensation components is integral to attracting, retaining, and rewarding qualified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text of the resolution in respect of Proposal 3 is as follows: </w:t>
      </w:r>
    </w:p>
    <w:p>
      <w:pPr>
        <w:pStyle w:val="TextBody"/>
        <w:bidi w:val="0"/>
        <w:spacing w:before="240" w:after="0"/>
        <w:jc w:val="left"/>
        <w:rPr/>
      </w:pPr>
      <w:r>
        <w:rPr/>
        <w:t>“</w:t>
      </w:r>
      <w:r>
        <w:rPr>
          <w:rFonts w:ascii="Times New Roman" w:hAnsi="Times New Roman"/>
          <w:i/>
          <w:sz w:val="20"/>
        </w:rPr>
        <w:t xml:space="preserve">RESOLVED, that the compensation paid to the Company’s Named Executive Officers as disclosed pursuant to Item 402 of Regulation S-K, including the compensation tables and narrative discussion, is hereby approved.”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unanimously recommends a vote “FOR” Proposal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949345_29"/>
      <w:bookmarkEnd w:id="28"/>
      <w:r>
        <w:rPr>
          <w:rFonts w:ascii="Times New Roman" w:hAnsi="Times New Roman"/>
          <w:b/>
          <w:sz w:val="20"/>
        </w:rPr>
        <w:t xml:space="preserve">PROPOSAL 4: ADVISORY VOTE ON THE FREQUENCY OF SOLICITATION OF ADVISORY STOCKHOLDER APPROVAL OF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requirements of Section 14A of the Exchange Act and the related rules of the SEC, our Stockholders are also entitled to vote, on an advisory basis, on whether the “say-on-pay” vote, as required by Section 14A of the Exchange Act, should occur every one, two, or three years. The vote on the frequency of the say-on-pay vote, just as with the say-on-pay vote itself, is advisory only, and it also is not binding on the Company or on our Board. Although the vote is non-binding, the Compensation Committee and the Board will carefully consider the outcome of the vote when determining the frequency of future stockholder advisory votes to approve the compensation of our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After careful consideration, the Board has determined that a say-on-pay vote that occurs every year is the most appropriate alternative for our company at this time. Therefore, the Board recommends that you vote for a “One Year” frequency for the say-on-pay vote. </w:t>
      </w:r>
    </w:p>
    <w:p>
      <w:pPr>
        <w:pStyle w:val="TextBody"/>
        <w:bidi w:val="0"/>
        <w:spacing w:before="240" w:after="0"/>
        <w:jc w:val="left"/>
        <w:rPr>
          <w:rFonts w:ascii="Times New Roman" w:hAnsi="Times New Roman"/>
          <w:sz w:val="20"/>
        </w:rPr>
      </w:pPr>
      <w:r>
        <w:rPr>
          <w:rFonts w:ascii="Times New Roman" w:hAnsi="Times New Roman"/>
          <w:sz w:val="20"/>
        </w:rPr>
        <w:t xml:space="preserve">Although the Board recommends a say-on-pay vote be held every year, you may vote one of four choices for this Proposal 4 on the proxy card: “One Year”, “Two Years”, “Three Years”, or “Abstain.” The text of the resolution in respect of Proposal no. 4 is as follows: </w:t>
      </w:r>
    </w:p>
    <w:p>
      <w:pPr>
        <w:pStyle w:val="TextBody"/>
        <w:bidi w:val="0"/>
        <w:spacing w:before="240" w:after="0"/>
        <w:jc w:val="left"/>
        <w:rPr/>
      </w:pPr>
      <w:r>
        <w:rPr/>
        <w:t>“</w:t>
      </w:r>
      <w:r>
        <w:rPr>
          <w:rFonts w:ascii="Times New Roman" w:hAnsi="Times New Roman"/>
          <w:i/>
          <w:sz w:val="20"/>
        </w:rPr>
        <w:t xml:space="preserve">RESOLVED, that the option of once every one year, two years, or three years that receives the highest number of votes from the holders of shares present or represented by proxy and entitled to vote on the matter at the Annual Meeting for this resolution will be determined to be the preferred frequency with which the Company is to hold an advisory stockholder vote to approve the compensation paid to the Company’s Named Executive Officers, as disclosed pursuant to Item 402 of Regulation S-K, including the compensation tables and narrative discussion.”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unanimously recommends a vote in favor of “ONE YEAR” for Proposal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949345_30"/>
      <w:bookmarkEnd w:id="29"/>
      <w:r>
        <w:rPr>
          <w:rFonts w:ascii="Times New Roman" w:hAnsi="Times New Roman"/>
          <w:b/>
          <w:sz w:val="20"/>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with respect to our executive officers as of December 31, 2024. </w:t>
      </w:r>
    </w:p>
    <w:p>
      <w:pPr>
        <w:pStyle w:val="TextBody"/>
        <w:bidi w:val="0"/>
        <w:spacing w:before="0" w:after="0"/>
        <w:jc w:val="left"/>
        <w:rPr/>
      </w:pPr>
      <w:r>
        <w:rPr/>
        <w:t> </w:t>
      </w:r>
    </w:p>
    <w:tbl>
      <w:tblPr>
        <w:tblW w:w="7695" w:type="dxa"/>
        <w:jc w:val="left"/>
        <w:tblInd w:w="0" w:type="dxa"/>
        <w:tblLayout w:type="fixed"/>
        <w:tblCellMar>
          <w:top w:w="0" w:type="dxa"/>
          <w:left w:w="0" w:type="dxa"/>
          <w:bottom w:w="0" w:type="dxa"/>
          <w:right w:w="0" w:type="dxa"/>
        </w:tblCellMar>
      </w:tblPr>
      <w:tblGrid>
        <w:gridCol w:w="2495"/>
        <w:gridCol w:w="120"/>
        <w:gridCol w:w="425"/>
        <w:gridCol w:w="120"/>
        <w:gridCol w:w="4535"/>
      </w:tblGrid>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Position(s)</w:t>
            </w:r>
          </w:p>
        </w:tc>
      </w:tr>
      <w:tr>
        <w:trPr/>
        <w:tc>
          <w:tcPr>
            <w:tcW w:w="2495" w:type="dxa"/>
            <w:tcBorders/>
            <w:shd w:fill="CCEEFF" w:val="clear"/>
            <w:vAlign w:val="center"/>
          </w:tcPr>
          <w:p>
            <w:pPr>
              <w:pStyle w:val="TableContents"/>
              <w:bidi w:val="0"/>
              <w:spacing w:before="0" w:after="283"/>
              <w:jc w:val="left"/>
              <w:rPr/>
            </w:pPr>
            <w:r>
              <w:rPr/>
              <w:t>Alise Reicin, M.D.</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64</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President, Chief Executive Officer and Director</w:t>
            </w:r>
          </w:p>
        </w:tc>
      </w:tr>
      <w:tr>
        <w:trPr/>
        <w:tc>
          <w:tcPr>
            <w:tcW w:w="2495" w:type="dxa"/>
            <w:tcBorders/>
            <w:vAlign w:val="center"/>
          </w:tcPr>
          <w:p>
            <w:pPr>
              <w:pStyle w:val="TableContents"/>
              <w:bidi w:val="0"/>
              <w:spacing w:before="0" w:after="283"/>
              <w:jc w:val="left"/>
              <w:rPr/>
            </w:pPr>
            <w:r>
              <w:rPr/>
              <w:t>Daniel Lochner, M.B.A.</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Chief Financial Officer</w:t>
            </w:r>
          </w:p>
        </w:tc>
      </w:tr>
      <w:tr>
        <w:trPr/>
        <w:tc>
          <w:tcPr>
            <w:tcW w:w="2495" w:type="dxa"/>
            <w:tcBorders/>
            <w:shd w:fill="CCEEFF" w:val="clear"/>
            <w:vAlign w:val="center"/>
          </w:tcPr>
          <w:p>
            <w:pPr>
              <w:pStyle w:val="TableContents"/>
              <w:bidi w:val="0"/>
              <w:spacing w:before="0" w:after="283"/>
              <w:jc w:val="left"/>
              <w:rPr/>
            </w:pPr>
            <w:r>
              <w:rPr/>
              <w:t>Peter McNamara, Ph.D.</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54</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Chief Scientific Officer</w:t>
            </w:r>
          </w:p>
        </w:tc>
      </w:tr>
      <w:tr>
        <w:trPr/>
        <w:tc>
          <w:tcPr>
            <w:tcW w:w="2495" w:type="dxa"/>
            <w:tcBorders/>
            <w:vAlign w:val="center"/>
          </w:tcPr>
          <w:p>
            <w:pPr>
              <w:pStyle w:val="TableContents"/>
              <w:bidi w:val="0"/>
              <w:spacing w:before="0" w:after="283"/>
              <w:jc w:val="left"/>
              <w:rPr/>
            </w:pPr>
            <w:r>
              <w:rPr/>
              <w:t>Marcella K. Ruddy, M.D.</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62</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Chief Medical Officer</w:t>
            </w:r>
          </w:p>
        </w:tc>
      </w:tr>
      <w:tr>
        <w:trPr/>
        <w:tc>
          <w:tcPr>
            <w:tcW w:w="2495" w:type="dxa"/>
            <w:tcBorders/>
            <w:shd w:fill="CCEEFF" w:val="clear"/>
            <w:vAlign w:val="center"/>
          </w:tcPr>
          <w:p>
            <w:pPr>
              <w:pStyle w:val="TableContents"/>
              <w:bidi w:val="0"/>
              <w:spacing w:before="0" w:after="283"/>
              <w:jc w:val="left"/>
              <w:rPr/>
            </w:pPr>
            <w:r>
              <w:rPr/>
              <w:t>Marc Schwabish, Ph.D.</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45</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Chief Business Officer</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Alise Reicin, M.D. </w:t>
      </w:r>
      <w:r>
        <w:rPr>
          <w:rFonts w:ascii="Times New Roman" w:hAnsi="Times New Roman"/>
          <w:sz w:val="20"/>
        </w:rPr>
        <w:t>Biographical information for Dr. Reicin is included above with the director biographies under the caption “</w:t>
      </w:r>
      <w:r>
        <w:rPr>
          <w:rFonts w:ascii="Times New Roman" w:hAnsi="Times New Roman"/>
          <w:i/>
          <w:sz w:val="20"/>
        </w:rPr>
        <w:t>Nominees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Daniel Lochner, M.B.A.</w:t>
      </w:r>
      <w:r>
        <w:rPr>
          <w:rFonts w:ascii="Times New Roman" w:hAnsi="Times New Roman"/>
          <w:sz w:val="20"/>
        </w:rPr>
        <w:t xml:space="preserve">, has served as our Chief Financial Officer since June 2024. Mr. Lochner most recently served as Chief Financial Officer and Chief Business Officer for the Eye Care Division of Viatris Inc., a global healthcare company, from 2023 to 2024. Prior to Viatris, Mr. Lochner was the Chief Financial Officer and Chief Business Officer of Oyster Point Pharma, Inc., a biotechnology company that was acquired by Viatris in 2023, from 2019 to 2023 where he led a successful initial public offering, other equity and debt financings, the transition to a commercial-stage company and the acquisition to Viatris. Previously, Mr. Lochner was a Managing Director within the Investment Management Division of Goldman, Sachs &amp; Co where he served as a lead equity portfolio manager and healthcare investor for various fund strategies. Mr. Lochner joined the Investment Management Division of Goldman, Sachs &amp; Co in 2005 as an equity investor, a position he maintained during his tenure at the firm. Mr. Lochner received a B.A. in Economics from the University of Richmond and an M.B.A. from Columbia University. </w:t>
      </w:r>
    </w:p>
    <w:p>
      <w:pPr>
        <w:pStyle w:val="TextBody"/>
        <w:bidi w:val="0"/>
        <w:spacing w:before="240" w:after="0"/>
        <w:jc w:val="left"/>
        <w:rPr>
          <w:rFonts w:ascii="Times New Roman" w:hAnsi="Times New Roman"/>
          <w:sz w:val="20"/>
        </w:rPr>
      </w:pPr>
      <w:r>
        <w:rPr>
          <w:rFonts w:ascii="Times New Roman" w:hAnsi="Times New Roman"/>
          <w:i/>
          <w:sz w:val="20"/>
        </w:rPr>
        <w:t>Peter McNamara, Ph.D.</w:t>
      </w:r>
      <w:r>
        <w:rPr>
          <w:rFonts w:ascii="Times New Roman" w:hAnsi="Times New Roman"/>
          <w:sz w:val="20"/>
        </w:rPr>
        <w:t xml:space="preserve">, has served as our Chief Scientific Officer since June 2022. Prior to that, Dr. McNamara served as our Senior Vice President, Head of Research from June 2021 to June 2022. Prior to joining Tectonic, he held various positions at the Genomics Institute of the Novartis Research Foundation (NIBR, San Diego), a privately held pharmaceutical company, from 2005 to April 2021, most recently as Executive Director of Biotherapeutics and Biotechnology from June 2018 to April 2021 where he served on the executive committee and strategy council responsible for managing a portfolio of approximately 50 preclinical and early- stage clinical drug discovery programs across different modalities in a broad range of therapeutic areas. Over the course of his career, Dr. McNamara has played a critical role in the obtainment of over 10 INDs, two of which are now approved. Prior to Novartis, Dr. McNamara served as Director of Pharmacology at Phenomix Corporation, a privately-held biotechnology company. Prior to Phenomix, he was a faculty member of the Institute for Translational Medicine and Therapeutics at the University of Pennsylvania. Dr. McNamara earned both a Ph.D. and B.S. in Biochemistry from the National University of Ireland, at Galway. </w:t>
      </w:r>
    </w:p>
    <w:p>
      <w:pPr>
        <w:pStyle w:val="TextBody"/>
        <w:bidi w:val="0"/>
        <w:spacing w:before="240" w:after="0"/>
        <w:jc w:val="left"/>
        <w:rPr>
          <w:rFonts w:ascii="Times New Roman" w:hAnsi="Times New Roman"/>
          <w:sz w:val="20"/>
        </w:rPr>
      </w:pPr>
      <w:r>
        <w:rPr>
          <w:rFonts w:ascii="Times New Roman" w:hAnsi="Times New Roman"/>
          <w:i/>
          <w:sz w:val="20"/>
        </w:rPr>
        <w:t>Marcella K. Ruddy, M.D.</w:t>
      </w:r>
      <w:r>
        <w:rPr>
          <w:rFonts w:ascii="Times New Roman" w:hAnsi="Times New Roman"/>
          <w:sz w:val="20"/>
        </w:rPr>
        <w:t xml:space="preserve">, has served as our Chief Medical Officer since July 2021. She has over 20 years of experience in drug development across all stages of clinical drug development. She currently serves as a member of the board of directors of Upstream Bio since January 2023 and Sionna Therapeutics since January 2025. She previously served on the Board of Directors of Polarean Imaging from August 2022 through August 2024. Prior to joining Tectonic, Dr. Ruddy was the Head of Clinical Development for the Immunology/ Inflammation Therapeutic Area at Regeneron Pharmaceuticals. In that role she led the clinical development of Dupixent® through over nine Phase 3 trial initiations and multiple regulatory approvals globally. Dr. Ruddy spent 10 years in early development at Merck and took many compounds from preclinical development through proof of concept in the clinic. Prior to entry into drug development, Dr. Ruddy was a member of the Pulmonary Unit at Massachusetts General Hospital/Harvard Medical School where she founded and directed the Adult Cystic Fibrosis Program. Dr. Ruddy earned an A.B. from Princeton University and a M.D. and M.S. from Washington University, St. Louis. She completed her internal medicine and pulmonary fellowship training at Harvard Medical School affiliated hospitals.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Marc Schwabish, Ph.D.</w:t>
      </w:r>
      <w:r>
        <w:rPr>
          <w:rFonts w:ascii="Times New Roman" w:hAnsi="Times New Roman"/>
          <w:sz w:val="20"/>
        </w:rPr>
        <w:t xml:space="preserve">, has served as our Chief Business Officer since March 2021. Prior to joining Tectonic, Dr. Schwabish served as SVP Business Development and US Operations at Fusion Pharmaceuticals Inc. from February 2018 to December 2020 where his transactions, amongst others, included the company’s Series B financing, IPO, and an expansive partnership with AstraZeneca plc. Prior to working at Fusion Pharmaceuticals, Dr. Schwabish was Head of U.S. Pharma Business Development at Bayer, Inc. He also held roles in Business Development and Alliance Management at Eisai Inc., Strategy Consulting at Leerink Swann, and Healthcare Investment Banking at RBS. Dr. Schwabish earned a B.S. in Biological Sciences from Cornell University. He earned a Ph.D. in Biochemistry and Molecular Pharmacology from Harvard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949345_31"/>
      <w:bookmarkEnd w:id="30"/>
      <w:r>
        <w:rPr>
          <w:rFonts w:ascii="Times New Roman" w:hAnsi="Times New Roman"/>
          <w:b/>
          <w:sz w:val="20"/>
        </w:rPr>
        <w:t xml:space="preserve">EXECUTIVE COMPENSATION </w:t>
      </w:r>
    </w:p>
    <w:p>
      <w:pPr>
        <w:pStyle w:val="TextBody"/>
        <w:bidi w:val="0"/>
        <w:spacing w:before="240" w:after="0"/>
        <w:jc w:val="center"/>
        <w:rPr>
          <w:rFonts w:ascii="Times New Roman" w:hAnsi="Times New Roman"/>
          <w:b/>
          <w:sz w:val="20"/>
        </w:rPr>
      </w:pPr>
      <w:bookmarkStart w:id="31" w:name="toc949345_32"/>
      <w:bookmarkEnd w:id="31"/>
      <w:r>
        <w:rPr>
          <w:rFonts w:ascii="Times New Roman" w:hAnsi="Times New Roman"/>
          <w:b/>
          <w:sz w:val="20"/>
        </w:rPr>
        <w:t xml:space="preserve">Fiscal Year 2024 Summary Compensation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for the fiscal years ended December 31, 2024 and December 31, 2023 compensation awarded to or paid to, or earned by, the Company’s CEO and its two other most highly compensated executive officers at December 31, 2024 and one former executive officer who departed from the Company during the fiscal year (the “Named Executive Officers”). </w:t>
      </w:r>
    </w:p>
    <w:p>
      <w:pPr>
        <w:pStyle w:val="TextBody"/>
        <w:bidi w:val="0"/>
        <w:spacing w:before="0" w:after="0"/>
        <w:jc w:val="left"/>
        <w:rPr/>
      </w:pPr>
      <w:r>
        <w:rPr/>
        <w:t> </w:t>
      </w:r>
    </w:p>
    <w:tbl>
      <w:tblPr>
        <w:tblW w:w="10615" w:type="dxa"/>
        <w:jc w:val="left"/>
        <w:tblInd w:w="0" w:type="dxa"/>
        <w:tblLayout w:type="fixed"/>
        <w:tblCellMar>
          <w:top w:w="0" w:type="dxa"/>
          <w:left w:w="0" w:type="dxa"/>
          <w:bottom w:w="0" w:type="dxa"/>
          <w:right w:w="0" w:type="dxa"/>
        </w:tblCellMar>
      </w:tblPr>
      <w:tblGrid>
        <w:gridCol w:w="890"/>
        <w:gridCol w:w="60"/>
        <w:gridCol w:w="60"/>
        <w:gridCol w:w="500"/>
        <w:gridCol w:w="60"/>
        <w:gridCol w:w="60"/>
        <w:gridCol w:w="60"/>
        <w:gridCol w:w="800"/>
        <w:gridCol w:w="60"/>
        <w:gridCol w:w="60"/>
        <w:gridCol w:w="60"/>
        <w:gridCol w:w="800"/>
        <w:gridCol w:w="60"/>
        <w:gridCol w:w="60"/>
        <w:gridCol w:w="60"/>
        <w:gridCol w:w="800"/>
        <w:gridCol w:w="60"/>
        <w:gridCol w:w="60"/>
        <w:gridCol w:w="60"/>
        <w:gridCol w:w="980"/>
        <w:gridCol w:w="60"/>
        <w:gridCol w:w="60"/>
        <w:gridCol w:w="103"/>
        <w:gridCol w:w="1387"/>
        <w:gridCol w:w="335"/>
        <w:gridCol w:w="60"/>
        <w:gridCol w:w="120"/>
        <w:gridCol w:w="1370"/>
        <w:gridCol w:w="335"/>
        <w:gridCol w:w="60"/>
        <w:gridCol w:w="60"/>
        <w:gridCol w:w="980"/>
        <w:gridCol w:w="75"/>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 and 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Salary</w:t>
            </w:r>
            <w:r>
              <w:rPr/>
              <w:br/>
            </w:r>
            <w:r>
              <w:rPr>
                <w:b/>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Bonus</w:t>
            </w:r>
            <w:r>
              <w:rPr/>
              <w:br/>
            </w:r>
            <w:r>
              <w:rPr>
                <w:b/>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Stock</w:t>
              <w:br/>
              <w:t>Awards</w:t>
            </w:r>
            <w:r>
              <w:rPr/>
              <w:br/>
            </w:r>
            <w:r>
              <w:rPr>
                <w:b/>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br/>
              <w:t>Awards</w:t>
            </w:r>
            <w:r>
              <w:rPr/>
              <w:br/>
            </w:r>
            <w:r>
              <w:rPr>
                <w:b/>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Non-Equity</w:t>
              <w:br/>
              <w:t>Incentive Plan</w:t>
              <w:br/>
              <w:t>Compensation</w:t>
            </w:r>
            <w:r>
              <w:rPr/>
              <w:br/>
            </w:r>
            <w:r>
              <w:rPr>
                <w:b/>
              </w:rPr>
              <w:t>($)(5)</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All Other</w:t>
              <w:br/>
              <w:t>Compensation</w:t>
            </w:r>
            <w:r>
              <w:rPr/>
              <w:br/>
            </w:r>
            <w:r>
              <w:rPr>
                <w:b/>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c>
          <w:tcPr>
            <w:tcW w:w="75" w:type="dxa"/>
            <w:tcBorders/>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606,151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600,848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4,291,563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392,150</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10,267</w:t>
            </w:r>
          </w:p>
        </w:tc>
        <w:tc>
          <w:tcPr>
            <w:tcW w:w="335"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5,900,979</w:t>
            </w:r>
          </w:p>
        </w:tc>
        <w:tc>
          <w:tcPr>
            <w:tcW w:w="75" w:type="dxa"/>
            <w:tcBorders/>
            <w:shd w:fill="CCEE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President, CEO and Director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1387"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Daniel Lochner, M.B.A.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277,083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1,855,869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126,311</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24,744</w:t>
            </w:r>
          </w:p>
        </w:tc>
        <w:tc>
          <w:tcPr>
            <w:tcW w:w="335"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2,284,007</w:t>
            </w:r>
          </w:p>
        </w:tc>
        <w:tc>
          <w:tcPr>
            <w:tcW w:w="75"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Financial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476,165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1,140,034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223,951</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742</w:t>
            </w:r>
          </w:p>
        </w:tc>
        <w:tc>
          <w:tcPr>
            <w:tcW w:w="335" w:type="dxa"/>
            <w:tcBorders/>
            <w:shd w:fill="CCEEFF" w:val="clear"/>
            <w:vAlign w:val="center"/>
          </w:tcPr>
          <w:p>
            <w:pPr>
              <w:pStyle w:val="TableContents"/>
              <w:bidi w:val="0"/>
              <w:spacing w:before="0" w:after="283"/>
              <w:jc w:val="left"/>
              <w:rPr/>
            </w:pPr>
            <w:r>
              <w:rPr/>
              <w:t>(9)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1,840,892</w:t>
            </w:r>
          </w:p>
        </w:tc>
        <w:tc>
          <w:tcPr>
            <w:tcW w:w="75" w:type="dxa"/>
            <w:tcBorders/>
            <w:shd w:fill="CCEE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Medical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1387"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Erik Ostrowski, M.B.A.(10)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254,125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829,250</w:t>
            </w:r>
          </w:p>
        </w:tc>
        <w:tc>
          <w:tcPr>
            <w:tcW w:w="335" w:type="dxa"/>
            <w:tcBorders/>
            <w:vAlign w:val="center"/>
          </w:tcPr>
          <w:p>
            <w:pPr>
              <w:pStyle w:val="TableContents"/>
              <w:bidi w:val="0"/>
              <w:spacing w:before="0" w:after="283"/>
              <w:jc w:val="left"/>
              <w:rPr/>
            </w:pPr>
            <w:r>
              <w:rPr/>
              <w:t>(11)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9,883</w:t>
            </w:r>
          </w:p>
        </w:tc>
        <w:tc>
          <w:tcPr>
            <w:tcW w:w="335" w:type="dxa"/>
            <w:tcBorders/>
            <w:vAlign w:val="center"/>
          </w:tcPr>
          <w:p>
            <w:pPr>
              <w:pStyle w:val="TableContents"/>
              <w:bidi w:val="0"/>
              <w:spacing w:before="0" w:after="283"/>
              <w:jc w:val="left"/>
              <w:rPr/>
            </w:pPr>
            <w:r>
              <w:rPr/>
              <w:t>(12)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1,093,258</w:t>
            </w:r>
          </w:p>
        </w:tc>
        <w:tc>
          <w:tcPr>
            <w:tcW w:w="75"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Former President, Interim Chief Executive Officer, Chief Financial Officer and Treasurer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504,400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732,179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339,878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14,435</w:t>
            </w:r>
          </w:p>
        </w:tc>
        <w:tc>
          <w:tcPr>
            <w:tcW w:w="335" w:type="dxa"/>
            <w:tcBorders/>
            <w:vAlign w:val="center"/>
          </w:tcPr>
          <w:p>
            <w:pPr>
              <w:pStyle w:val="TableContents"/>
              <w:bidi w:val="0"/>
              <w:spacing w:before="0" w:after="283"/>
              <w:jc w:val="left"/>
              <w:rPr/>
            </w:pPr>
            <w:r>
              <w:rPr/>
              <w:t>(12)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1,590,892</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Salary amounts represent actual amounts paid during 2023 and 2024. With respect to Drs. Reicin and Ruddy, the amounts reflect increases to base salary effective April 1, 2024 and further increases to base salary effective June 20, 2024. Mr. Lochner’s base salary was effective June 3, 2024 pursuant to his employment agreement. See “—Narrative to the Summary Compensation Table—Base Salary” below.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(2)</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 discretionary retention bonus granted to Mr. Ostrowski in June 2023 and paid in January 2024 in the amount of $582,179 and a transaction bonus granted to Mr. Ostrowski in the amount of $150,000.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amounts reported here do not reflect the actual economic value realized by our Named Executive Officers. In accordance with SEC rules, this column represents the grant date fair value of shares underlying RSUs, calculated in accordance with ASC 718. Assumptions used in the calculation of the grant date fair value of the RSUs are set forth in “</w:t>
            </w:r>
            <w:r>
              <w:rPr>
                <w:rFonts w:ascii="Times New Roman" w:hAnsi="Times New Roman"/>
                <w:i/>
                <w:sz w:val="20"/>
              </w:rPr>
              <w:t>Note 2. Summary of Significant Accounting Policies and Basis of Presentation—Stock-Based Compensation</w:t>
            </w:r>
            <w:r>
              <w:rPr>
                <w:rFonts w:ascii="Times New Roman" w:hAnsi="Times New Roman"/>
                <w:sz w:val="20"/>
              </w:rPr>
              <w:t>” and “</w:t>
            </w:r>
            <w:r>
              <w:rPr>
                <w:rFonts w:ascii="Times New Roman" w:hAnsi="Times New Roman"/>
                <w:i/>
                <w:sz w:val="20"/>
              </w:rPr>
              <w:t>Note 8. Equity Incentive Plans</w:t>
            </w:r>
            <w:r>
              <w:rPr>
                <w:rFonts w:ascii="Times New Roman" w:hAnsi="Times New Roman"/>
                <w:sz w:val="20"/>
              </w:rPr>
              <w:t xml:space="preserve">” to our audited consolidated financial statements included in our Annual Report on Form 10-K for the fiscal year ended December 31, 2024. These amounts do not correspond to the actual value that may be received by the Named Executive Officers upon vesting and settlement of the shares of RSUs or any sale of the shares.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(4)</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amounts reported here do not reflect the actual economic value realized by our Named Executive Officers. In accordance with SEC rules, this column represents the grant date fair value of shares underlying stock options, calculated in accordance with ASC 718. Assumptions used in the calculation of the grant date fair value of the stock options are set forth in “</w:t>
            </w:r>
            <w:r>
              <w:rPr>
                <w:rFonts w:ascii="Times New Roman" w:hAnsi="Times New Roman"/>
                <w:i/>
                <w:sz w:val="20"/>
              </w:rPr>
              <w:t>Note 2. Summary of Significant Accounting Policies and Basis of Presentation—Stock-Based Compensation</w:t>
            </w:r>
            <w:r>
              <w:rPr>
                <w:rFonts w:ascii="Times New Roman" w:hAnsi="Times New Roman"/>
                <w:sz w:val="20"/>
              </w:rPr>
              <w:t>” and “</w:t>
            </w:r>
            <w:r>
              <w:rPr>
                <w:rFonts w:ascii="Times New Roman" w:hAnsi="Times New Roman"/>
                <w:i/>
                <w:sz w:val="20"/>
              </w:rPr>
              <w:t>Note 8. Equity Incentive Plans</w:t>
            </w:r>
            <w:r>
              <w:rPr>
                <w:rFonts w:ascii="Times New Roman" w:hAnsi="Times New Roman"/>
                <w:sz w:val="20"/>
              </w:rPr>
              <w:t xml:space="preserve">” to our audited consolidated financial statements included in our Annual Report on Form 10-K for each of the fiscal years ended December 31, 2024 and 2023. These amounts do not correspond to the actual economic value that may be received by our Named Executive Officers upon the exercise of the stock options or any sale of the underlying shares of common stock.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(5)</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disclosed for fiscal year 2024 reflect performance-based cash bonuses earned in 2024 and paid in early 2025. See “—</w:t>
            </w:r>
            <w:r>
              <w:rPr>
                <w:rFonts w:ascii="Times New Roman" w:hAnsi="Times New Roman"/>
                <w:i/>
                <w:sz w:val="20"/>
              </w:rPr>
              <w:t>Non-Equity Incentive Plan Compensation</w:t>
            </w:r>
            <w:r>
              <w:rPr>
                <w:rFonts w:ascii="Times New Roman" w:hAnsi="Times New Roman"/>
                <w:sz w:val="20"/>
              </w:rPr>
              <w:t xml:space="preserve">” below for a description of the material terms of the program pursuant to which this compensation was awarded.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(6)</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Reicin also served as a member of our Board but did not receive any additional compensation for her service as a director.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(7)</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commuting expenses in the amount of $9,505, and (ii) life insurance premiums in the amount of $762 paid by us on behalf of Dr. Reicin.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(8)</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commuting expenses in the amount of $16,189, (ii) $8,133 in matching employer contributions to a 401(k) plan, and (iii) life insurance premiums in the amount of $422 paid by us on behalf of Mr. Lochner. </w:t>
            </w:r>
          </w:p>
        </w:tc>
      </w:tr>
    </w:tbl>
    <w:tbl>
      <w:tblPr>
        <w:tblW w:w="7930" w:type="dxa"/>
        <w:jc w:val="left"/>
        <w:tblInd w:w="0" w:type="dxa"/>
        <w:tblLayout w:type="fixed"/>
        <w:tblCellMar>
          <w:top w:w="0" w:type="dxa"/>
          <w:left w:w="0" w:type="dxa"/>
          <w:bottom w:w="0" w:type="dxa"/>
          <w:right w:w="0" w:type="dxa"/>
        </w:tblCellMar>
      </w:tblPr>
      <w:tblGrid>
        <w:gridCol w:w="305"/>
        <w:gridCol w:w="7625"/>
      </w:tblGrid>
      <w:tr>
        <w:trPr/>
        <w:tc>
          <w:tcPr>
            <w:tcW w:w="305" w:type="dxa"/>
            <w:tcBorders/>
            <w:vAlign w:val="center"/>
          </w:tcPr>
          <w:p>
            <w:pPr>
              <w:pStyle w:val="TableContents"/>
              <w:bidi w:val="0"/>
              <w:spacing w:before="0" w:after="283"/>
              <w:jc w:val="left"/>
              <w:rPr/>
            </w:pPr>
            <w:r>
              <w:rPr/>
              <w:t>(9)</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life insurance premiums in the amount of $742 paid by us on behalf of Dr. Ruddy. </w:t>
            </w:r>
          </w:p>
        </w:tc>
      </w:tr>
    </w:tbl>
    <w:tbl>
      <w:tblPr>
        <w:tblW w:w="10205" w:type="dxa"/>
        <w:jc w:val="left"/>
        <w:tblInd w:w="0" w:type="dxa"/>
        <w:tblLayout w:type="fixed"/>
        <w:tblCellMar>
          <w:top w:w="0" w:type="dxa"/>
          <w:left w:w="0" w:type="dxa"/>
          <w:bottom w:w="0" w:type="dxa"/>
          <w:right w:w="0" w:type="dxa"/>
        </w:tblCellMar>
      </w:tblPr>
      <w:tblGrid>
        <w:gridCol w:w="396"/>
        <w:gridCol w:w="9809"/>
      </w:tblGrid>
      <w:tr>
        <w:trPr/>
        <w:tc>
          <w:tcPr>
            <w:tcW w:w="396" w:type="dxa"/>
            <w:tcBorders/>
            <w:vAlign w:val="center"/>
          </w:tcPr>
          <w:p>
            <w:pPr>
              <w:pStyle w:val="TableContents"/>
              <w:bidi w:val="0"/>
              <w:spacing w:before="0" w:after="283"/>
              <w:jc w:val="left"/>
              <w:rPr/>
            </w:pPr>
            <w:r>
              <w:rPr/>
              <w:t>(10)</w:t>
            </w:r>
          </w:p>
        </w:tc>
        <w:tc>
          <w:tcPr>
            <w:tcW w:w="98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 June 20, 2024, Mr. Ostrowski resigned from all of his offices with the Company, including as the President, Interim Chief Executive Officer, Chief Financial Officer and Treasurer. </w:t>
            </w:r>
          </w:p>
        </w:tc>
      </w:tr>
    </w:tbl>
    <w:tbl>
      <w:tblPr>
        <w:tblW w:w="7735" w:type="dxa"/>
        <w:jc w:val="left"/>
        <w:tblInd w:w="0" w:type="dxa"/>
        <w:tblLayout w:type="fixed"/>
        <w:tblCellMar>
          <w:top w:w="0" w:type="dxa"/>
          <w:left w:w="0" w:type="dxa"/>
          <w:bottom w:w="0" w:type="dxa"/>
          <w:right w:w="0" w:type="dxa"/>
        </w:tblCellMar>
      </w:tblPr>
      <w:tblGrid>
        <w:gridCol w:w="425"/>
        <w:gridCol w:w="7310"/>
      </w:tblGrid>
      <w:tr>
        <w:trPr/>
        <w:tc>
          <w:tcPr>
            <w:tcW w:w="425" w:type="dxa"/>
            <w:tcBorders/>
            <w:vAlign w:val="center"/>
          </w:tcPr>
          <w:p>
            <w:pPr>
              <w:pStyle w:val="TableContents"/>
              <w:bidi w:val="0"/>
              <w:spacing w:before="0" w:after="283"/>
              <w:jc w:val="left"/>
              <w:rPr/>
            </w:pPr>
            <w:r>
              <w:rPr/>
              <w:t>(11)</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severance paid to Mr. Ostrowski in connection with the closing of the Merger. </w:t>
            </w:r>
          </w:p>
        </w:tc>
      </w:tr>
    </w:tbl>
    <w:tbl>
      <w:tblPr>
        <w:tblW w:w="10205" w:type="dxa"/>
        <w:jc w:val="left"/>
        <w:tblInd w:w="0" w:type="dxa"/>
        <w:tblLayout w:type="fixed"/>
        <w:tblCellMar>
          <w:top w:w="0" w:type="dxa"/>
          <w:left w:w="0" w:type="dxa"/>
          <w:bottom w:w="0" w:type="dxa"/>
          <w:right w:w="0" w:type="dxa"/>
        </w:tblCellMar>
      </w:tblPr>
      <w:tblGrid>
        <w:gridCol w:w="420"/>
        <w:gridCol w:w="9785"/>
      </w:tblGrid>
      <w:tr>
        <w:trPr/>
        <w:tc>
          <w:tcPr>
            <w:tcW w:w="420" w:type="dxa"/>
            <w:tcBorders/>
            <w:vAlign w:val="center"/>
          </w:tcPr>
          <w:p>
            <w:pPr>
              <w:pStyle w:val="TableContents"/>
              <w:bidi w:val="0"/>
              <w:spacing w:before="0" w:after="283"/>
              <w:jc w:val="left"/>
              <w:rPr/>
            </w:pPr>
            <w:r>
              <w:rPr/>
              <w:t>(12)</w:t>
            </w:r>
          </w:p>
        </w:tc>
        <w:tc>
          <w:tcPr>
            <w:tcW w:w="9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dollar value of 401(k) contributions and life insurance premiums paid by AVROBIO on behalf of Mr. Ostrowski.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Narrative to Summary Compensation Table </w:t>
      </w:r>
    </w:p>
    <w:p>
      <w:pPr>
        <w:pStyle w:val="TextBody"/>
        <w:bidi w:val="0"/>
        <w:spacing w:before="120" w:after="0"/>
        <w:jc w:val="left"/>
        <w:rPr>
          <w:rFonts w:ascii="Times New Roman" w:hAnsi="Times New Roman"/>
          <w:i/>
          <w:sz w:val="20"/>
        </w:rPr>
      </w:pPr>
      <w:bookmarkStart w:id="32" w:name="toc949345_33"/>
      <w:bookmarkEnd w:id="32"/>
      <w:r>
        <w:rPr>
          <w:rFonts w:ascii="Times New Roman" w:hAnsi="Times New Roman"/>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Each of our current Named Executive Officer’s annual base salary is a fixed component of annual compensation for performing specific duties and functions, and is established by our Board taking into account each individual’s role, responsibilities, skills, and expertise. Base salaries are reviewed annually, typically in connection with our annual performance review process, approved by our Board, and adjusted from time to time to realign salaries with market levels and internal benchmarking, after taking into account individual responsibilities, performance and experience. Please see the “</w:t>
      </w:r>
      <w:r>
        <w:rPr>
          <w:rFonts w:ascii="Times New Roman" w:hAnsi="Times New Roman"/>
          <w:i/>
          <w:sz w:val="20"/>
        </w:rPr>
        <w:t>Salary</w:t>
      </w:r>
      <w:r>
        <w:rPr>
          <w:rFonts w:ascii="Times New Roman" w:hAnsi="Times New Roman"/>
          <w:sz w:val="20"/>
        </w:rPr>
        <w:t xml:space="preserve">” column in the Summary Compensation Table above for the actual base salary amount received by each current named executive officers during the year ended December 31, 2024. The annual base salaries for Drs. Reicin and Ruddy were $579,251 and $455,260, respectively, for the period from January 1, 2024 through April 1, 2024 and $602,160 and $473,200, respectively, for the period from April 1, 2024 to June 20, 2024. In connection with the completion of the Merger, the annual base salaries for Drs. Reicin and Ruddy were increased to $620,000 and $486,850, respectively. We entered into an employment agreement with Mr. Lochner, effective June 3, 2024, pursuant to which Mr. Lochner’s annual base salary for the year ended December 31, 2024 was $475,000. </w:t>
      </w:r>
    </w:p>
    <w:p>
      <w:pPr>
        <w:pStyle w:val="TextBody"/>
        <w:bidi w:val="0"/>
        <w:spacing w:before="360" w:after="0"/>
        <w:jc w:val="left"/>
        <w:rPr>
          <w:rFonts w:ascii="Times New Roman" w:hAnsi="Times New Roman"/>
          <w:i/>
          <w:sz w:val="20"/>
        </w:rPr>
      </w:pPr>
      <w:bookmarkStart w:id="33" w:name="toc949345_34"/>
      <w:bookmarkEnd w:id="33"/>
      <w:r>
        <w:rPr>
          <w:rFonts w:ascii="Times New Roman" w:hAnsi="Times New Roman"/>
          <w:i/>
          <w:sz w:val="20"/>
        </w:rPr>
        <w:t xml:space="preserve">Non-Equity Incentive Plan Compensation </w:t>
      </w:r>
    </w:p>
    <w:p>
      <w:pPr>
        <w:pStyle w:val="TextBody"/>
        <w:bidi w:val="0"/>
        <w:spacing w:before="120" w:after="0"/>
        <w:jc w:val="left"/>
        <w:rPr>
          <w:rFonts w:ascii="Times New Roman" w:hAnsi="Times New Roman"/>
          <w:sz w:val="20"/>
        </w:rPr>
      </w:pPr>
      <w:r>
        <w:rPr>
          <w:rFonts w:ascii="Times New Roman" w:hAnsi="Times New Roman"/>
          <w:sz w:val="20"/>
        </w:rPr>
        <w:t xml:space="preserve">Our annual incentive program is intended to reward our Named Executive Officers for performance during a fiscal year. From time to time, our compensation committee or our Board, as applicable, in their discretion may have approve annual incentives for our Named Executive Officers based on individual performance, company performance, or as otherwise determined appropriate. Each of our Named Executive Officers were eligible to receive a target bonus at the discretion of our Board with respect to the year ended December 31, 2024 (as a percentage of base salary) based upon their performance. </w:t>
      </w:r>
    </w:p>
    <w:p>
      <w:pPr>
        <w:pStyle w:val="TextBody"/>
        <w:bidi w:val="0"/>
        <w:spacing w:before="0" w:after="0"/>
        <w:jc w:val="left"/>
        <w:rPr/>
      </w:pPr>
      <w:r>
        <w:rPr/>
        <w:t> </w:t>
      </w:r>
    </w:p>
    <w:tbl>
      <w:tblPr>
        <w:tblW w:w="3870" w:type="dxa"/>
        <w:jc w:val="left"/>
        <w:tblInd w:w="0" w:type="dxa"/>
        <w:tblLayout w:type="fixed"/>
        <w:tblCellMar>
          <w:top w:w="0" w:type="dxa"/>
          <w:left w:w="0" w:type="dxa"/>
          <w:bottom w:w="0" w:type="dxa"/>
          <w:right w:w="0" w:type="dxa"/>
        </w:tblCellMar>
      </w:tblPr>
      <w:tblGrid>
        <w:gridCol w:w="2075"/>
        <w:gridCol w:w="120"/>
        <w:gridCol w:w="133"/>
        <w:gridCol w:w="577"/>
        <w:gridCol w:w="60"/>
        <w:gridCol w:w="120"/>
        <w:gridCol w:w="133"/>
        <w:gridCol w:w="577"/>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b/>
              </w:rPr>
              <w:t>2024</w:t>
            </w:r>
            <w:r>
              <w:rPr/>
              <w:br/>
            </w:r>
            <w:r>
              <w:rPr>
                <w:b/>
              </w:rPr>
              <w:t>Bonus</w:t>
            </w:r>
            <w:r>
              <w:rPr/>
              <w:br/>
            </w:r>
            <w:r>
              <w:rPr>
                <w:b/>
              </w:rPr>
              <w:t>Target</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b/>
              </w:rPr>
              <w:t>2025</w:t>
            </w:r>
            <w:r>
              <w:rPr/>
              <w:br/>
            </w:r>
            <w:r>
              <w:rPr>
                <w:b/>
              </w:rPr>
              <w:t>Bonus</w:t>
            </w:r>
            <w:r>
              <w:rPr/>
              <w:br/>
            </w:r>
            <w:r>
              <w:rPr>
                <w:b/>
              </w:rPr>
              <w:t>Target</w:t>
            </w:r>
            <w:r>
              <w:rPr/>
              <w:br/>
            </w:r>
            <w:r>
              <w:rPr>
                <w:b/>
              </w:rPr>
              <w:t>(%)</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55</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Daniel Lochner, M.B.A.</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In January 2025, based on the Named Executive Officer’s performance, our Board determined that Dr. Reicin, Mr. Lochner and Dr. Ruddy were eligible to receive 115% of their target annual bonus for the year ended December 31, 2024, and as a result, approved annual performance bonuses for Dr. Reicin, Mr. Lochner and Dr. Ruddy in the amounts of $392,150, $126,311 and $223,951, respectively, as reflected in the “</w:t>
      </w:r>
      <w:r>
        <w:rPr>
          <w:rFonts w:ascii="Times New Roman" w:hAnsi="Times New Roman"/>
          <w:i/>
          <w:sz w:val="20"/>
        </w:rPr>
        <w:t>Non-Equity Incentive Plan Compensation</w:t>
      </w:r>
      <w:r>
        <w:rPr>
          <w:rFonts w:ascii="Times New Roman" w:hAnsi="Times New Roman"/>
          <w:sz w:val="20"/>
        </w:rPr>
        <w:t xml:space="preserve">” column of the Summary Compensation Table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bookmarkStart w:id="34" w:name="toc949345_35"/>
      <w:bookmarkEnd w:id="34"/>
      <w:r>
        <w:rPr>
          <w:rFonts w:ascii="Times New Roman" w:hAnsi="Times New Roman"/>
          <w:i/>
          <w:sz w:val="20"/>
        </w:rPr>
        <w:t xml:space="preserve">Equity-Based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Merger, our Compensation Committee approved option grants to certain of our employees, including Dr. Reicin, Mr. Lochner and Dr. Ruddy. As a result, on June 20, 2024, Dr. Reicin received an option grant to purchase 289,600 shares of our common stock, Mr. Lochner received an option grant to purchase 118,000 shares of our common stock and Dr. Ruddy received an option grant to purchase 81,700 shares of our common stock, each with an exercise price per share equal to $16.80, which was the closing price per share of our common stock as reported on the Nasdaq Global Market on the day of closing of the Merger (as adjusted for the reverse stock split). The shares subject to these option grants will vest 1/4 on the first anniversary of the grant date, and thereafter the remaining 3/4 of the shares will vest in equal monthly installments over the following three years, in each case subject to the recipient’s continuous service through the applicable vesting dates, such that the options are vested in full on the four-year anniversary of the grant date. Mr. Lochner also received an option grant to purchase 15,000 shares of our common stock with an exercise price per share equal to $16.80. The shares subject to this option grant will vest 1/2 on June 1, 2026 and 1/2 on June 1, 2028 based on the achievement of specific performance goals, in each case, as determined by our Board (or the Compensation Committee) in its sole discretion, in each case subject to the recipient’s continuous service through the applicable vesting dates.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2024, Dr. Reicin received an option grant to purchase 6,000 shares of our common stock with an exercise price per share equal to $51.28. The shares subject to this option grant will vest 1/4 on June 20, 2025, and thereafter the remaining 3/4 of the shares will vest in equal monthly installments over the next 36 months, in each case subject to her continuous service through the applicable vesting dates, such that the options are vested in full on June 20, 2028. In addition, in December 2024, Dr. Reicin received a grant of 11,717 restricted stock units of which 1/4 of the units will vest on each of the first four anniversaries of June 20, 2024, in each case subject to her continuous service through the applicable vesting dates, such that the units are vested in full on June 20, 2028. </w:t>
      </w:r>
    </w:p>
    <w:p>
      <w:pPr>
        <w:pStyle w:val="TextBody"/>
        <w:bidi w:val="0"/>
        <w:spacing w:before="480" w:after="0"/>
        <w:jc w:val="center"/>
        <w:rPr>
          <w:rFonts w:ascii="Times New Roman" w:hAnsi="Times New Roman"/>
          <w:b/>
          <w:sz w:val="20"/>
        </w:rPr>
      </w:pPr>
      <w:bookmarkStart w:id="35" w:name="toc949345_36"/>
      <w:bookmarkEnd w:id="35"/>
      <w:r>
        <w:rPr>
          <w:rFonts w:ascii="Times New Roman" w:hAnsi="Times New Roman"/>
          <w:b/>
          <w:sz w:val="20"/>
        </w:rPr>
        <w:t xml:space="preserve">Outstanding Equity Awards at Fiscal Year End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information regarding outstanding equity awards held by our Named Executive Officers as of December 31, 2024. </w:t>
      </w:r>
    </w:p>
    <w:p>
      <w:pPr>
        <w:pStyle w:val="TextBody"/>
        <w:bidi w:val="0"/>
        <w:spacing w:before="0" w:after="0"/>
        <w:jc w:val="left"/>
        <w:rPr/>
      </w:pPr>
      <w:r>
        <w:rPr/>
        <w:t> </w:t>
      </w:r>
    </w:p>
    <w:tbl>
      <w:tblPr>
        <w:tblW w:w="11230" w:type="dxa"/>
        <w:jc w:val="left"/>
        <w:tblInd w:w="0" w:type="dxa"/>
        <w:tblLayout w:type="fixed"/>
        <w:tblCellMar>
          <w:top w:w="0" w:type="dxa"/>
          <w:left w:w="0" w:type="dxa"/>
          <w:bottom w:w="0" w:type="dxa"/>
          <w:right w:w="0" w:type="dxa"/>
        </w:tblCellMar>
      </w:tblPr>
      <w:tblGrid>
        <w:gridCol w:w="665"/>
        <w:gridCol w:w="60"/>
        <w:gridCol w:w="60"/>
        <w:gridCol w:w="575"/>
        <w:gridCol w:w="60"/>
        <w:gridCol w:w="60"/>
        <w:gridCol w:w="178"/>
        <w:gridCol w:w="1492"/>
        <w:gridCol w:w="60"/>
        <w:gridCol w:w="60"/>
        <w:gridCol w:w="98"/>
        <w:gridCol w:w="1122"/>
        <w:gridCol w:w="60"/>
        <w:gridCol w:w="60"/>
        <w:gridCol w:w="97"/>
        <w:gridCol w:w="1303"/>
        <w:gridCol w:w="215"/>
        <w:gridCol w:w="60"/>
        <w:gridCol w:w="90"/>
        <w:gridCol w:w="845"/>
        <w:gridCol w:w="60"/>
        <w:gridCol w:w="60"/>
        <w:gridCol w:w="166"/>
        <w:gridCol w:w="889"/>
        <w:gridCol w:w="60"/>
        <w:gridCol w:w="60"/>
        <w:gridCol w:w="109"/>
        <w:gridCol w:w="1246"/>
        <w:gridCol w:w="215"/>
        <w:gridCol w:w="60"/>
        <w:gridCol w:w="70"/>
        <w:gridCol w:w="940"/>
        <w:gridCol w:w="7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w:t>
            </w:r>
          </w:p>
        </w:tc>
        <w:tc>
          <w:tcPr>
            <w:tcW w:w="60" w:type="dxa"/>
            <w:tcBorders/>
            <w:vAlign w:val="center"/>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pPr>
            <w:r>
              <w:rPr>
                <w:b/>
              </w:rPr>
              <w:t>Grant</w:t>
            </w:r>
            <w:r>
              <w:rPr/>
              <w:br/>
            </w:r>
            <w:r>
              <w:rPr>
                <w:b/>
              </w:rPr>
              <w:t>Date(1)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 per</w:t>
              <w:br/>
              <w:t>share</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or</w:t>
              <w:br/>
              <w:t>units of stock</w:t>
              <w:br/>
              <w:t>that have not</w:t>
              <w:br/>
              <w:t>vested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w:t>
              <w:br/>
              <w:t>value of</w:t>
              <w:br/>
              <w:t>shares of</w:t>
              <w:br/>
              <w:t>units of</w:t>
              <w:br/>
              <w:t>stock that</w:t>
              <w:br/>
              <w:t>have not</w:t>
              <w:br/>
              <w:t>vested ($)</w:t>
            </w:r>
          </w:p>
        </w:tc>
        <w:tc>
          <w:tcPr>
            <w:tcW w:w="75" w:type="dxa"/>
            <w:tcBorders/>
            <w:vAlign w:val="center"/>
          </w:tcPr>
          <w:p>
            <w:pPr>
              <w:pStyle w:val="TableContents"/>
              <w:bidi w:val="0"/>
              <w:spacing w:before="0" w:after="283"/>
              <w:jc w:val="left"/>
              <w:rPr/>
            </w:pPr>
            <w:r>
              <w:rPr/>
              <w:t> </w:t>
            </w:r>
          </w:p>
        </w:tc>
      </w:tr>
      <w:tr>
        <w:trPr/>
        <w:tc>
          <w:tcPr>
            <w:tcW w:w="6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Alise Reicin, M.D.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6/28/2021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3/31/2021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21,688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12,235</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06/27/31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12/1/2023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12/1/2023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3,340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20,040</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11/30/33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6/20/2024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6/20/2024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289,600</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06/19/34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12/4/2024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6/20/2024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6,000</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51.28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12/03/34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12/4/2024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6/20/2024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11,717</w:t>
            </w:r>
          </w:p>
        </w:tc>
        <w:tc>
          <w:tcPr>
            <w:tcW w:w="21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600,848</w:t>
            </w:r>
          </w:p>
        </w:tc>
        <w:tc>
          <w:tcPr>
            <w:tcW w:w="75" w:type="dxa"/>
            <w:tcBorders/>
            <w:shd w:fill="CCEEFF" w:val="clear"/>
            <w:vAlign w:val="center"/>
          </w:tcPr>
          <w:p>
            <w:pPr>
              <w:pStyle w:val="TableContents"/>
              <w:bidi w:val="0"/>
              <w:spacing w:before="0" w:after="283"/>
              <w:jc w:val="left"/>
              <w:rPr/>
            </w:pPr>
            <w:r>
              <w:rPr/>
              <w:t> </w:t>
            </w:r>
          </w:p>
        </w:tc>
      </w:tr>
      <w:tr>
        <w:trPr/>
        <w:tc>
          <w:tcPr>
            <w:tcW w:w="665" w:type="dxa"/>
            <w:vMerge w:val="restart"/>
            <w:tcBorders/>
            <w:vAlign w:val="center"/>
          </w:tcPr>
          <w:p>
            <w:pPr>
              <w:pStyle w:val="TableContents"/>
              <w:bidi w:val="0"/>
              <w:spacing w:before="0" w:after="0"/>
              <w:jc w:val="left"/>
              <w:rPr>
                <w:rFonts w:ascii="Times New Roman" w:hAnsi="Times New Roman"/>
                <w:sz w:val="18"/>
              </w:rPr>
            </w:pPr>
            <w:r>
              <w:rPr>
                <w:rFonts w:ascii="Times New Roman" w:hAnsi="Times New Roman"/>
                <w:sz w:val="18"/>
              </w:rPr>
              <w:t>Daniel Lochner, M.B.A.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6/20/2024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5/31/2024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118,000</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16.80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right"/>
              <w:rPr/>
            </w:pPr>
            <w:r>
              <w:rPr/>
              <w:t>06/19/34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6/20/2024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5/31/2024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15,000</w:t>
            </w:r>
          </w:p>
        </w:tc>
        <w:tc>
          <w:tcPr>
            <w:tcW w:w="21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16.80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right"/>
              <w:rPr/>
            </w:pPr>
            <w:r>
              <w:rPr/>
              <w:t>06/19/34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Marcella K. Ruddy, M.D.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9/17/2021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7/19/2021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32,861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11,085</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09/16/31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12/1/2023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12/1/2023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14,028</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11/30/33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6/20/2024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6/20/2024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87,100</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06/19/34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All of the equity awards were granted under our Legacy Tectonic’s 2019 Equity Incentive Plan (the “Tectonic 2019 Plan”) or our Tectonic Therapeutic, Inc. 2024 Equity Incentive Plan (the “2024 Plan”). All of the option awards were granted with a per share exercise price equal to the fair value of one share of our common stock on the date of grant, as determined in good faith by our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(2)</w:t>
            </w:r>
          </w:p>
        </w:tc>
        <w:tc>
          <w:tcPr>
            <w:tcW w:w="995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All of the option awards listed in the table granted prior to the Merger have an exercise price per share that is no less than the fair market value of Legacy Tectonic common stock on the date of grant of such award, as determined in good faith by the Legacy Tectonic Board. All option awards listed in the table granted subsequent to the Merger have an exercise price based on the closing price per share of common stock as reported on the Nasdaq Select Market on the date of grant.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shares subject to this option grant vested or will vest 1/4 on the first anniversary of the vesting commencement date, and thereafter the remaining 3/4 of the shares will vest in equal monthly installments over the following three years, in each case subject to the officer’s continuous service through the applicable vesting dates, such that the options are vested in full on the four-year anniversary of the vesting commencement date.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(4)</w:t>
            </w:r>
          </w:p>
        </w:tc>
        <w:tc>
          <w:tcPr>
            <w:tcW w:w="994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shares subject to this option vest in equal monthly installments beginning on January 1, 2024 over the following four years, in each case subject to the officer’s continuous service through the applicable vesting dates, such that the options are vested in full on the four-year anniversary of the vesting commencement date.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(5)</w:t>
            </w:r>
          </w:p>
        </w:tc>
        <w:tc>
          <w:tcPr>
            <w:tcW w:w="9939"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shares will vest in four equal installments beginning on June 20, 2025, in each case subject to the officer’s continuous service through the applicable vesting dates, such that the shares are vested in full on the four-year anniversary of the vesting commencement date.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(6)</w:t>
            </w:r>
          </w:p>
        </w:tc>
        <w:tc>
          <w:tcPr>
            <w:tcW w:w="9957"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shares subject to this option grant will vest 1/2 on June 1, 2026 if we raise $100 million by June 1, 2026 and have a minimum of a two year cash runway as of June 1, 2026 (i.e. until June 1, 2028), and 1/2 on June 1, 2028 if we have a minimum of a two year cash runway as of June 1, 2028 (i.e. until June 1, 2030), in each case, as determined by our Board (or the Compensation Committee) in its sole discretion, and in each case subject to the officer’s continued service through the applicable vesting 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toc949345_37"/>
      <w:bookmarkEnd w:id="36"/>
      <w:r>
        <w:rPr>
          <w:rFonts w:ascii="Times New Roman" w:hAnsi="Times New Roman"/>
          <w:b/>
          <w:sz w:val="20"/>
        </w:rPr>
        <w:t xml:space="preserve">Employment Arrangements with Our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Below are descriptions of the material terms of our employment agreement and offer letters with our current Named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Alise Reicin, M.D.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Legacy Tectonic entered into an executive employment agreement with Dr. Reicin (the “Reicin Employment Agreement”) in connection with her appointment as Legacy Tectonic’s President and Chief Executive Officer and as a member of the Legacy Tectonic Board. In connection with the Merger, we entered into an amended and restated executive employment agreement with Dr. Reicin. The material terms of the amendment are as follows: (i) Dr. Reicin shall remain President and Chief Executive Officer and shall continue to serve as an executive director to the Board; (ii) an annual base salary of $620,000; (iii) eligibility for an annual, performance-based cash bonus with a target bonus percentage of 55% of Dr. Reicin’s base salary subject to her continuous employment through February 15th of the following calendar year; (iv) following the closing of the Merger, issuance of an option award to purchase our common stock, such that when combined with Dr. Reicin’s prior securities holdings or rights to acquire securities in the combined company, Dr. Reicin will hold or have the right to acquire shares representing at least 4.34% of our post-Merger common stock; and (v) eligibility to participate in our executive severance plan and other employee benefit, welfare and other plans, as may be maintained by us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employment related agreement for Dr. Reicin does not purport to be complete and is subject to and qualified in its entirety by reference to the copy of the amended and restated employment agreement for Dr. Reicin included as an exhibit to our Annual Report on Form 10-K for the year ended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Daniel Lochner, M.B.A </w:t>
      </w:r>
    </w:p>
    <w:p>
      <w:pPr>
        <w:pStyle w:val="TextBody"/>
        <w:bidi w:val="0"/>
        <w:spacing w:before="120" w:after="0"/>
        <w:jc w:val="left"/>
        <w:rPr>
          <w:rFonts w:ascii="Times New Roman" w:hAnsi="Times New Roman"/>
          <w:sz w:val="20"/>
        </w:rPr>
      </w:pPr>
      <w:r>
        <w:rPr>
          <w:rFonts w:ascii="Times New Roman" w:hAnsi="Times New Roman"/>
          <w:sz w:val="20"/>
        </w:rPr>
        <w:t xml:space="preserve">On May 28, 2024, we entered into an employment agreement with Daniel Lochner. The material terms of the employment agreement are as follows: (i) Mr. Lochner shall be employed as Chief Financial Officer of the Company, effective June 3, 2024; (ii) an annual base salary of $475,000; (iii) eligibility for an annual, performance-based cash bonus with a target bonus percentage of 40% of Mr. Lochner’s base salary subject to his continuous service through the payment of the bonus set to occur no later than April 15th the following calendar year; (iv) an issuance of an option award to purchase shares of common stock of the Company, representing 0.80% of the Company’s post-Merger outstanding shares of common stock; (v) a performance-based equity award to purchase a number of shares of common stock equal to 0.10% of the combined Company’s post- merger outstanding shares of common stock; and (vi) eligibility to participate in the Company’s executive severance plan and other employee benefit, welfare and other plans, as may be maintained by the Company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employment related agreement for Mr. Lochner does not purport to be complete and is subject to and qualified in its entirety by reference to the copy of the offer letter for Mr. Lochner included as an exhibit to our Annual Report on Form 10-K for the year ended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Marcella K. Ruddy, M.D. </w:t>
      </w:r>
    </w:p>
    <w:p>
      <w:pPr>
        <w:pStyle w:val="TextBody"/>
        <w:bidi w:val="0"/>
        <w:spacing w:before="120" w:after="0"/>
        <w:jc w:val="left"/>
        <w:rPr>
          <w:rFonts w:ascii="Times New Roman" w:hAnsi="Times New Roman"/>
          <w:sz w:val="20"/>
        </w:rPr>
      </w:pPr>
      <w:r>
        <w:rPr>
          <w:rFonts w:ascii="Times New Roman" w:hAnsi="Times New Roman"/>
          <w:sz w:val="20"/>
        </w:rPr>
        <w:t xml:space="preserve">In June 2021, Legacy Tectonic entered into an offer letter with Dr. Ruddy (the “Ruddy Offer Letter”) in connection with her appointment as Legacy Tectonic’s Chief Medical Officer. The material terms of the offer letter are as follows: (i) Dr. Ruddy shall be employed as Chief Medical Officer of the Company; (ii) an annual base salary of $486,850; (iii) eligibility for an annual, performance-based cash bonus with a target bonus percentage of 40% of Dr. Ruddy’s base salary subject to her continuous service through the payment of the bonus set to occur no later than April 15th the following calendar year; (iv) an option to purchase 142,233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Tectonic common stock pursuant to the terms of Legacy Tectonic’s 2019 Equity Incentive Plan (the “Tectonic 2019 Plan”); and (v) eligibility to participate in the Company’s executive severance plan and other employee benefit, welfare and other plans, as may be maintained by the Company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employment related agreement for Dr. Ruddy does not purport to be complete and is subject to and qualified in its entirety by reference to the copy of the offer letter for Dr. Ruddy included as an exhibit to our Annual Report on Form 10-K for the year ended December 31, 2024. </w:t>
      </w:r>
    </w:p>
    <w:p>
      <w:pPr>
        <w:pStyle w:val="TextBody"/>
        <w:bidi w:val="0"/>
        <w:spacing w:before="480" w:after="0"/>
        <w:jc w:val="center"/>
        <w:rPr>
          <w:rFonts w:ascii="Times New Roman" w:hAnsi="Times New Roman"/>
          <w:b/>
          <w:sz w:val="20"/>
        </w:rPr>
      </w:pPr>
      <w:bookmarkStart w:id="37" w:name="toc949345_38"/>
      <w:bookmarkEnd w:id="37"/>
      <w:r>
        <w:rPr>
          <w:rFonts w:ascii="Times New Roman" w:hAnsi="Times New Roman"/>
          <w:b/>
          <w:sz w:val="20"/>
        </w:rPr>
        <w:t xml:space="preserve">Potential Payments and Benefits upon a Termination or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completion of the Merger, our Board adopted the Severance Plan pursuant to which certain employees are eligible to participate, including the Named Executive Officers (each a “Participant” and collectively, the “Participants”). Pursuant to the Severance Plan, the Participants are eligible to receive the severance and change in control benefits described below, contingent upon the respective Participant’s execution of a participation agreement and a general release of claims as further described in the Severance Plan. The benefits provided pursuant to the Severance Plan supersede and replace any severance and/or change in control benefits to which the Participants were previously entitled, including pursuant to their employment agreements and offer letters. </w:t>
      </w:r>
    </w:p>
    <w:p>
      <w:pPr>
        <w:pStyle w:val="TextBody"/>
        <w:bidi w:val="0"/>
        <w:spacing w:before="240" w:after="0"/>
        <w:jc w:val="left"/>
        <w:rPr>
          <w:rFonts w:ascii="Times New Roman" w:hAnsi="Times New Roman"/>
          <w:sz w:val="20"/>
        </w:rPr>
      </w:pPr>
      <w:r>
        <w:rPr>
          <w:rFonts w:ascii="Times New Roman" w:hAnsi="Times New Roman"/>
          <w:sz w:val="20"/>
        </w:rPr>
        <w:t xml:space="preserve">If a Participant’s employment with the Company is terminated by us without Cause or due to the Participant’s resignation for Good Reason (each as defined in the Severance Plan) during the period commencing three months prior to, and ending 12 months following, the effective date of a Change in Control (as defined in the Severance Plan) (the “Change in Control Period”), the Participant will be entitled to (i) a cash payment in an amount equal to 12 months (or 18 months for Dr. Reicin) of the Participant’s base salary; (ii) a cash payment of an amount equal to 100% (or 150% for Dr. Reicin) of the Participant’s annual target bonus for the year in which the change in control termination occurs; (iii) a cash payment of an amount equal to the Participant’s annual target bonus for the year in which the change in control termination occurs, pro-rated for the portion of the year elapsed in such year; (iv) 12 months (or 18 months for Dr. Reicin) of COBRA premiums; and (v) accelerated vesting of 100% of the Participant’s then-outstanding time-vesting equity awards. </w:t>
      </w:r>
    </w:p>
    <w:p>
      <w:pPr>
        <w:pStyle w:val="TextBody"/>
        <w:bidi w:val="0"/>
        <w:spacing w:before="240" w:after="0"/>
        <w:jc w:val="left"/>
        <w:rPr>
          <w:rFonts w:ascii="Times New Roman" w:hAnsi="Times New Roman"/>
          <w:sz w:val="20"/>
        </w:rPr>
      </w:pPr>
      <w:r>
        <w:rPr>
          <w:rFonts w:ascii="Times New Roman" w:hAnsi="Times New Roman"/>
          <w:sz w:val="20"/>
        </w:rPr>
        <w:t xml:space="preserve">If a Participant’s employment with the Company is terminated by us without Cause or due to the Participant’s resignation for Good Reason at a time that is not during the Change in Control Period, the Participant will be entitled to (i) 9 months (or 12 months for Dr. Reicin) of the Participant’s base salary; (ii) a cash payment of an amount equal to the Participant’s annual target bonus for the year in which the termination occurs, pro-rated for the portion of the year elapsed in such year; and (iii) 9 months (or 12 months for Dr. Reicin) of COBRA premiums.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does not purport to be complete and is qualified in its entirety by reference to the full text of the Severance Plan. </w:t>
      </w:r>
    </w:p>
    <w:p>
      <w:pPr>
        <w:pStyle w:val="TextBody"/>
        <w:bidi w:val="0"/>
        <w:spacing w:before="480" w:after="0"/>
        <w:jc w:val="center"/>
        <w:rPr>
          <w:rFonts w:ascii="Times New Roman" w:hAnsi="Times New Roman"/>
          <w:b/>
          <w:sz w:val="20"/>
        </w:rPr>
      </w:pPr>
      <w:bookmarkStart w:id="38" w:name="toc949345_39"/>
      <w:bookmarkEnd w:id="38"/>
      <w:r>
        <w:rPr>
          <w:rFonts w:ascii="Times New Roman" w:hAnsi="Times New Roman"/>
          <w:b/>
          <w:sz w:val="20"/>
        </w:rPr>
        <w:t xml:space="preserve">Health and Welfare and Retirement Benefits; Perquisites </w:t>
      </w:r>
    </w:p>
    <w:p>
      <w:pPr>
        <w:pStyle w:val="TextBody"/>
        <w:bidi w:val="0"/>
        <w:spacing w:before="240" w:after="0"/>
        <w:jc w:val="left"/>
        <w:rPr>
          <w:rFonts w:ascii="Times New Roman" w:hAnsi="Times New Roman"/>
          <w:sz w:val="20"/>
        </w:rPr>
      </w:pPr>
      <w:r>
        <w:rPr>
          <w:rFonts w:ascii="Times New Roman" w:hAnsi="Times New Roman"/>
          <w:sz w:val="20"/>
        </w:rPr>
        <w:t xml:space="preserve">These payments and benefits discussed above are in addition to eligibility to participate in benefits available generally to salaried employees, including medical, vision, dental, and life insurance plans, in each case on the same basis as all of our other employees. We generally do not provide perquisites or personal benefits to our Named Executive Officers, except in limited circumstances. </w:t>
      </w:r>
    </w:p>
    <w:p>
      <w:pPr>
        <w:pStyle w:val="TextBody"/>
        <w:bidi w:val="0"/>
        <w:spacing w:before="360" w:after="0"/>
        <w:jc w:val="left"/>
        <w:rPr>
          <w:rFonts w:ascii="Times New Roman" w:hAnsi="Times New Roman"/>
          <w:b/>
          <w:i/>
          <w:sz w:val="20"/>
        </w:rPr>
      </w:pPr>
      <w:bookmarkStart w:id="39" w:name="toc949345_40"/>
      <w:bookmarkEnd w:id="39"/>
      <w:r>
        <w:rPr>
          <w:rFonts w:ascii="Times New Roman" w:hAnsi="Times New Roman"/>
          <w:b/>
          <w:i/>
          <w:sz w:val="20"/>
        </w:rPr>
        <w:t xml:space="preserve">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 tax-qualified 401(k) retirement plan that provides eligible U.S. employees with an opportunity to save for retirement on a tax-advantaged basis. Pursuant to the terms of such 401(k)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depending on facts and circumstances of the employee population in any given year, the Company may make a 3% mandatory contribution under and pursuant to the terms of the plan and applicable law. The Company does not maintain any defined benefit pension plan or nonqualified deferred compensation plan. </w:t>
      </w:r>
    </w:p>
    <w:p>
      <w:pPr>
        <w:pStyle w:val="TextBody"/>
        <w:bidi w:val="0"/>
        <w:spacing w:before="480" w:after="0"/>
        <w:jc w:val="center"/>
        <w:rPr>
          <w:rFonts w:ascii="Times New Roman" w:hAnsi="Times New Roman"/>
          <w:b/>
          <w:sz w:val="20"/>
        </w:rPr>
      </w:pPr>
      <w:bookmarkStart w:id="40" w:name="toc949345_41"/>
      <w:bookmarkEnd w:id="40"/>
      <w:r>
        <w:rPr>
          <w:rFonts w:ascii="Times New Roman" w:hAnsi="Times New Roman"/>
          <w:b/>
          <w:sz w:val="20"/>
        </w:rPr>
        <w:t xml:space="preserve">Equity Incentive Plans </w:t>
      </w:r>
    </w:p>
    <w:p>
      <w:pPr>
        <w:pStyle w:val="TextBody"/>
        <w:bidi w:val="0"/>
        <w:spacing w:before="240" w:after="0"/>
        <w:jc w:val="left"/>
        <w:rPr>
          <w:rFonts w:ascii="Times New Roman" w:hAnsi="Times New Roman"/>
          <w:b/>
          <w:i/>
          <w:sz w:val="20"/>
        </w:rPr>
      </w:pPr>
      <w:bookmarkStart w:id="41" w:name="toc949345_42"/>
      <w:bookmarkEnd w:id="41"/>
      <w:r>
        <w:rPr>
          <w:rFonts w:ascii="Times New Roman" w:hAnsi="Times New Roman"/>
          <w:b/>
          <w:i/>
          <w:sz w:val="20"/>
        </w:rPr>
        <w:t xml:space="preserve">2024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Our Board adopted the 2024 Equity Incentive Plan (the “2024 Plan”) in connection with and effective as of the closing of the Merger, which provides for the grant of nonstatutory stock options, (“NSOs”) stock appreciation rights, restricted stock awards, restricted stock unit awards, performance awards and other forms of awards to employees, directors and consultants, including employees and consultants of our affiliates. Initially, the maximum number of shares of common stock that may be issued under the 2024 Plan will not exceed 12.5% of the Company’s fully diluted shares outstanding determined as of immediately after the Effective Time (the “2024 Plan’s initial share reserve”). In addition, the number of shares of common stock reserved for issuance under the 2024 Plan will automatically increase on January 1 of each year, starting on January 1, 2025, through and including January 1, 2034, in an amount equal to (1) 5% of the total number of shares of common stock outstanding on the last day of the preceding calendar year, or (2) a lesser number of shares of common stock determined by the Board prior to the date of the increase. The maximum number of shares of common stock that may be issued on the exercise of ISOs under the 2024 Plan is three multiplied by the 2024 Plan’s initial share reserve. </w:t>
      </w:r>
    </w:p>
    <w:p>
      <w:pPr>
        <w:pStyle w:val="TextBody"/>
        <w:bidi w:val="0"/>
        <w:spacing w:before="360" w:after="0"/>
        <w:jc w:val="left"/>
        <w:rPr>
          <w:rFonts w:ascii="Times New Roman" w:hAnsi="Times New Roman"/>
          <w:b/>
          <w:i/>
          <w:sz w:val="20"/>
        </w:rPr>
      </w:pPr>
      <w:bookmarkStart w:id="42" w:name="toc949345_43"/>
      <w:bookmarkEnd w:id="42"/>
      <w:r>
        <w:rPr>
          <w:rFonts w:ascii="Times New Roman" w:hAnsi="Times New Roman"/>
          <w:b/>
          <w:i/>
          <w:sz w:val="20"/>
        </w:rPr>
        <w:t xml:space="preserve">2024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Our Board adopted the 2024 Employee Stock Purchase Plan (the “2024 ESPP”) in connection with the Merger pursuant to which the Company may provide eligible employees with an opportunity to purchase shares of the common stock through accumulated contributions. The 2024 ESPP is designed to allow eligible U.S. employees to purchase common stock in a manner that may qualify for favorable tax treatment under Section 423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2024 ESPP authorizes the issuance of a number of shares of common stock equal to 1% of the total number of shares of common stock issued and outstanding determined as of immediately after the effective time of the Merger (the “2024 ESPP’s initial share reserve”), pursuant to purchase rights granted to the Company’s employees or to employees of any of the Company’s designated affiliates. The number of shares of common stock reserved for issuance will automatically increase on January 1 of each year, from January 1, 2025 through and including January 1, 2034, by the lesser of (1) 1% of the total number of shares of common stock outstanding on the last day of the preceding calendar year, and (2) a number of shares of common stock equal to three times the 2024 ESPP’s initial share reserve; provided, that prior to the date of any such increase, the Board may determine that such increase will be less than the amount set forth in clauses (1) and (2). To date the Company has not made any offerings under the 2024 ESPP. </w:t>
      </w:r>
    </w:p>
    <w:p>
      <w:pPr>
        <w:pStyle w:val="TextBody"/>
        <w:bidi w:val="0"/>
        <w:spacing w:before="360" w:after="0"/>
        <w:jc w:val="left"/>
        <w:rPr>
          <w:rFonts w:ascii="Times New Roman" w:hAnsi="Times New Roman"/>
          <w:b/>
          <w:i/>
          <w:sz w:val="20"/>
        </w:rPr>
      </w:pPr>
      <w:bookmarkStart w:id="43" w:name="toc949345_44"/>
      <w:bookmarkEnd w:id="43"/>
      <w:r>
        <w:rPr>
          <w:rFonts w:ascii="Times New Roman" w:hAnsi="Times New Roman"/>
          <w:b/>
          <w:i/>
          <w:sz w:val="20"/>
        </w:rPr>
        <w:t xml:space="preserve">2019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Legacy Tectonic Board adopted the Tectonic 2019 Plan and Legacy Tectonic stockholders approved the Tectonic 2019 Plan in June 2019. No additional awards have been made under the Tectonic 2019 Plan after the 2024 Plan became effective, and all awards under the Tectonic 2019 Plan were assumed by the Company after application of the exchange ratio. The terms and conditions of such assumed awards are the same as they were under the Tectonic 2019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4" w:name="toc949345_45"/>
      <w:bookmarkEnd w:id="44"/>
      <w:r>
        <w:rPr>
          <w:rFonts w:ascii="Times New Roman" w:hAnsi="Times New Roman"/>
          <w:b/>
          <w:sz w:val="20"/>
        </w:rPr>
        <w:t xml:space="preserve">Clawback Policy </w:t>
      </w:r>
    </w:p>
    <w:p>
      <w:pPr>
        <w:pStyle w:val="TextBody"/>
        <w:bidi w:val="0"/>
        <w:spacing w:before="240" w:after="0"/>
        <w:jc w:val="left"/>
        <w:rPr>
          <w:rFonts w:ascii="Times New Roman" w:hAnsi="Times New Roman"/>
          <w:sz w:val="20"/>
        </w:rPr>
      </w:pPr>
      <w:r>
        <w:rPr>
          <w:rFonts w:ascii="Times New Roman" w:hAnsi="Times New Roman"/>
          <w:sz w:val="20"/>
        </w:rPr>
        <w:t xml:space="preserve">The SEC adopted final rules implementing the incentive-based compensation recovery provisions of the Dodd-Frank Act, and Nasdaq has adopted listing standards consistent with the SEC rules. In compliance with those standards, we have adopted an incentive compensation recoupment policy, or “clawback” policy, which applies to our executive officers, within the meaning of Section 10D of the Exchange Act and Rule 10D-1 promulgated thereunder, who were employed by us or a subsidiary of the Company during the applicable recovery period. Under the policy, in the event that the financial results upon which a cash or equity-based incentive award was predicated become the subject of a financial restatement that is required because of material non-compliance with financial reporting requirements, the Compensation Committee will conduct a review of awards covered by the policy and recoup any erroneously awarded incentive-based compensation to ensure that the ultimate payout gives retroactive effect to the financial results as restated. The policy covers any cash or equity-based incentive compensation award that was paid, earned, or granted to a covered officer during the last completed three fiscal years immediately preceding the date on which we are required to prepare the accounting restatement. </w:t>
      </w:r>
    </w:p>
    <w:p>
      <w:pPr>
        <w:pStyle w:val="TextBody"/>
        <w:bidi w:val="0"/>
        <w:spacing w:before="480" w:after="0"/>
        <w:jc w:val="center"/>
        <w:rPr>
          <w:rFonts w:ascii="Times New Roman" w:hAnsi="Times New Roman"/>
          <w:b/>
          <w:sz w:val="20"/>
        </w:rPr>
      </w:pPr>
      <w:bookmarkStart w:id="45" w:name="toc949345_46"/>
      <w:bookmarkEnd w:id="45"/>
      <w:r>
        <w:rPr>
          <w:rFonts w:ascii="Times New Roman" w:hAnsi="Times New Roman"/>
          <w:b/>
          <w:sz w:val="20"/>
        </w:rPr>
        <w:t xml:space="preserve">Smaller Reporting Company Status </w:t>
      </w:r>
    </w:p>
    <w:p>
      <w:pPr>
        <w:pStyle w:val="TextBody"/>
        <w:bidi w:val="0"/>
        <w:spacing w:before="240" w:after="0"/>
        <w:jc w:val="left"/>
        <w:rPr>
          <w:rFonts w:ascii="Times New Roman" w:hAnsi="Times New Roman"/>
          <w:sz w:val="20"/>
        </w:rPr>
      </w:pPr>
      <w:r>
        <w:rPr>
          <w:rFonts w:ascii="Times New Roman" w:hAnsi="Times New Roman"/>
          <w:sz w:val="20"/>
        </w:rPr>
        <w:t xml:space="preserve">We are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disclosure included in this section is prescribed by SEC rules and does not necessarily align with how the Company or the Compensation Committee view the link between the Company’s performance and Named Executive Officer pay. </w:t>
      </w:r>
    </w:p>
    <w:p>
      <w:pPr>
        <w:pStyle w:val="TextBody"/>
        <w:bidi w:val="0"/>
        <w:spacing w:before="360" w:after="0"/>
        <w:jc w:val="left"/>
        <w:rPr>
          <w:rFonts w:ascii="Times New Roman" w:hAnsi="Times New Roman"/>
          <w:b/>
          <w:i/>
          <w:spacing w:val="0"/>
          <w:sz w:val="20"/>
        </w:rPr>
      </w:pPr>
      <w:r>
        <w:rPr>
          <w:rFonts w:ascii="Times New Roman" w:hAnsi="Times New Roman"/>
          <w:b/>
          <w:i/>
          <w:spacing w:val="0"/>
          <w:sz w:val="20"/>
        </w:rPr>
        <w:t xml:space="preserve">Required Tabular Disclosure of Pay Versus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amounts set forth below under the headings “Compensation Actually Paid to PEO” and “Average Compensation Actually Paid for Named Executive Officers” have been calculated in a manner consistent with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Use of the term “compensation actually paid” (“CAP”) is required by the SEC’s rules and as a result of the calculation methodology required by the SEC, such amounts differ from compensation actually received by the individuals. </w:t>
      </w:r>
    </w:p>
    <w:p>
      <w:pPr>
        <w:pStyle w:val="TextBody"/>
        <w:bidi w:val="0"/>
        <w:spacing w:before="0" w:after="0"/>
        <w:jc w:val="left"/>
        <w:rPr/>
      </w:pPr>
      <w:r>
        <w:rPr/>
        <w:t> </w:t>
      </w:r>
    </w:p>
    <w:tbl>
      <w:tblPr>
        <w:tblW w:w="12620" w:type="dxa"/>
        <w:jc w:val="left"/>
        <w:tblInd w:w="0" w:type="dxa"/>
        <w:tblLayout w:type="fixed"/>
        <w:tblCellMar>
          <w:top w:w="0" w:type="dxa"/>
          <w:left w:w="0" w:type="dxa"/>
          <w:bottom w:w="0" w:type="dxa"/>
          <w:right w:w="0" w:type="dxa"/>
        </w:tblCellMar>
      </w:tblPr>
      <w:tblGrid>
        <w:gridCol w:w="455"/>
        <w:gridCol w:w="60"/>
        <w:gridCol w:w="186"/>
        <w:gridCol w:w="1304"/>
        <w:gridCol w:w="60"/>
        <w:gridCol w:w="60"/>
        <w:gridCol w:w="186"/>
        <w:gridCol w:w="1304"/>
        <w:gridCol w:w="60"/>
        <w:gridCol w:w="60"/>
        <w:gridCol w:w="186"/>
        <w:gridCol w:w="1304"/>
        <w:gridCol w:w="60"/>
        <w:gridCol w:w="60"/>
        <w:gridCol w:w="168"/>
        <w:gridCol w:w="1322"/>
        <w:gridCol w:w="60"/>
        <w:gridCol w:w="60"/>
        <w:gridCol w:w="186"/>
        <w:gridCol w:w="1304"/>
        <w:gridCol w:w="60"/>
        <w:gridCol w:w="60"/>
        <w:gridCol w:w="186"/>
        <w:gridCol w:w="1304"/>
        <w:gridCol w:w="60"/>
        <w:gridCol w:w="60"/>
        <w:gridCol w:w="218"/>
        <w:gridCol w:w="1062"/>
        <w:gridCol w:w="60"/>
        <w:gridCol w:w="60"/>
        <w:gridCol w:w="195"/>
        <w:gridCol w:w="680"/>
        <w:gridCol w:w="170"/>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Total</w:t>
              <w:br/>
              <w:t>for First</w:t>
              <w:br/>
              <w:t>PEO</w:t>
            </w:r>
          </w:p>
          <w:p>
            <w:pPr>
              <w:pStyle w:val="TableContents"/>
              <w:bidi w:val="0"/>
              <w:spacing w:before="0" w:after="0"/>
              <w:jc w:val="center"/>
              <w:rPr>
                <w:b/>
                <w:spacing w:val="0"/>
                <w:sz w:val="9"/>
              </w:rPr>
            </w:pPr>
            <w:r>
              <w:rPr>
                <w:b/>
                <w:spacing w:val="0"/>
                <w:sz w:val="9"/>
              </w:rPr>
              <w:t>(1)(2)</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Total</w:t>
              <w:br/>
              <w:t>for Second</w:t>
              <w:br/>
              <w:t>PEO</w:t>
            </w:r>
          </w:p>
          <w:p>
            <w:pPr>
              <w:pStyle w:val="TableContents"/>
              <w:bidi w:val="0"/>
              <w:spacing w:before="0" w:after="0"/>
              <w:jc w:val="center"/>
              <w:rPr>
                <w:b/>
                <w:spacing w:val="0"/>
                <w:sz w:val="9"/>
              </w:rPr>
            </w:pPr>
            <w:r>
              <w:rPr>
                <w:b/>
                <w:spacing w:val="0"/>
                <w:sz w:val="9"/>
              </w:rPr>
              <w:t>(1)(2)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Actually Paid</w:t>
              <w:br/>
              <w:t>to First</w:t>
              <w:br/>
              <w:t>PEO</w:t>
            </w:r>
          </w:p>
          <w:p>
            <w:pPr>
              <w:pStyle w:val="TableContents"/>
              <w:bidi w:val="0"/>
              <w:spacing w:before="0" w:after="0"/>
              <w:jc w:val="center"/>
              <w:rPr>
                <w:b/>
                <w:spacing w:val="0"/>
                <w:sz w:val="9"/>
              </w:rPr>
            </w:pPr>
            <w:r>
              <w:rPr>
                <w:b/>
                <w:spacing w:val="0"/>
                <w:sz w:val="9"/>
              </w:rPr>
              <w:t>(1)(3)</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Actually Paid</w:t>
              <w:br/>
              <w:t>to Second</w:t>
              <w:br/>
              <w:t>PEO</w:t>
            </w:r>
          </w:p>
          <w:p>
            <w:pPr>
              <w:pStyle w:val="TableContents"/>
              <w:bidi w:val="0"/>
              <w:spacing w:before="0" w:after="0"/>
              <w:jc w:val="center"/>
              <w:rPr>
                <w:b/>
                <w:spacing w:val="0"/>
                <w:sz w:val="9"/>
              </w:rPr>
            </w:pPr>
            <w:r>
              <w:rPr>
                <w:b/>
                <w:spacing w:val="0"/>
                <w:sz w:val="9"/>
              </w:rPr>
              <w:t>(1)(3)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Summary</w:t>
              <w:br/>
              <w:t>Compensation</w:t>
              <w:br/>
              <w:t>Table Total</w:t>
              <w:br/>
              <w:t xml:space="preserve">for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Named</w:t>
              <w:br/>
              <w:t>Executive</w:t>
              <w:br/>
              <w:t>Officers</w:t>
            </w:r>
          </w:p>
          <w:p>
            <w:pPr>
              <w:pStyle w:val="TableContents"/>
              <w:bidi w:val="0"/>
              <w:spacing w:before="0" w:after="0"/>
              <w:jc w:val="center"/>
              <w:rPr>
                <w:b/>
                <w:spacing w:val="0"/>
                <w:sz w:val="9"/>
              </w:rPr>
            </w:pPr>
            <w:r>
              <w:rPr>
                <w:b/>
                <w:spacing w:val="0"/>
                <w:sz w:val="9"/>
              </w:rPr>
              <w:t>(1)(2)</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Compensation</w:t>
              <w:br/>
              <w:t>Actually Paid</w:t>
              <w:br/>
              <w:t xml:space="preserve">to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Named</w:t>
              <w:br/>
              <w:t>Executive</w:t>
              <w:br/>
              <w:t>Officers</w:t>
            </w:r>
          </w:p>
          <w:p>
            <w:pPr>
              <w:pStyle w:val="TableContents"/>
              <w:bidi w:val="0"/>
              <w:spacing w:before="0" w:after="0"/>
              <w:jc w:val="center"/>
              <w:rPr>
                <w:b/>
                <w:spacing w:val="0"/>
                <w:sz w:val="9"/>
              </w:rPr>
            </w:pPr>
            <w:r>
              <w:rPr>
                <w:b/>
                <w:spacing w:val="0"/>
                <w:sz w:val="9"/>
              </w:rPr>
              <w:t>(1)(3)</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of</w:t>
              <w:br/>
              <w:t>Initial</w:t>
            </w:r>
          </w:p>
          <w:p>
            <w:pPr>
              <w:pStyle w:val="TableContents"/>
              <w:bidi w:val="0"/>
              <w:spacing w:before="0" w:after="0"/>
              <w:jc w:val="center"/>
              <w:rPr/>
            </w:pPr>
            <w:r>
              <w:rPr/>
            </w:r>
          </w:p>
          <w:p>
            <w:pPr>
              <w:pStyle w:val="TableContents"/>
              <w:bidi w:val="0"/>
              <w:spacing w:before="0" w:after="0"/>
              <w:jc w:val="center"/>
              <w:rPr>
                <w:b/>
                <w:spacing w:val="0"/>
              </w:rPr>
            </w:pPr>
            <w:r>
              <w:rPr>
                <w:b/>
                <w:spacing w:val="0"/>
              </w:rPr>
              <w:t>Fixed $100</w:t>
              <w:br/>
              <w:t>Investment:</w:t>
            </w:r>
          </w:p>
          <w:p>
            <w:pPr>
              <w:pStyle w:val="TableContents"/>
              <w:bidi w:val="0"/>
              <w:spacing w:before="0" w:after="0"/>
              <w:jc w:val="center"/>
              <w:rPr/>
            </w:pPr>
            <w:r>
              <w:rPr/>
            </w:r>
          </w:p>
          <w:p>
            <w:pPr>
              <w:pStyle w:val="TableContents"/>
              <w:bidi w:val="0"/>
              <w:spacing w:before="0" w:after="0"/>
              <w:jc w:val="center"/>
              <w:rPr>
                <w:b/>
                <w:spacing w:val="0"/>
              </w:rPr>
            </w:pPr>
            <w:r>
              <w:rPr>
                <w:b/>
                <w:spacing w:val="0"/>
              </w:rPr>
              <w:t>Total</w:t>
              <w:br/>
              <w:t>Shareholder</w:t>
              <w:br/>
              <w:t>Return</w:t>
            </w:r>
          </w:p>
          <w:p>
            <w:pPr>
              <w:pStyle w:val="TableContents"/>
              <w:bidi w:val="0"/>
              <w:spacing w:before="0" w:after="0"/>
              <w:jc w:val="center"/>
              <w:rPr>
                <w:b/>
                <w:spacing w:val="0"/>
                <w:sz w:val="9"/>
              </w:rPr>
            </w:pPr>
            <w:r>
              <w:rPr>
                <w:b/>
                <w:spacing w:val="0"/>
                <w:sz w:val="9"/>
              </w:rPr>
              <w:t>(4)</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Income</w:t>
              <w:br/>
              <w:t>(millions)</w:t>
            </w:r>
          </w:p>
          <w:p>
            <w:pPr>
              <w:pStyle w:val="TableContents"/>
              <w:bidi w:val="0"/>
              <w:spacing w:before="0" w:after="0"/>
              <w:jc w:val="center"/>
              <w:rPr>
                <w:b/>
                <w:spacing w:val="0"/>
                <w:sz w:val="9"/>
              </w:rPr>
            </w:pPr>
            <w:r>
              <w:rPr>
                <w:b/>
                <w:spacing w:val="0"/>
                <w:sz w:val="9"/>
              </w:rPr>
              <w:t>(5)</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17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1,093,258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5,900,979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956,456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16,248,199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2,062,450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5,785,002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539.70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57,982</w:t>
            </w:r>
          </w:p>
        </w:tc>
        <w:tc>
          <w:tcPr>
            <w:tcW w:w="170"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1,590,892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1,905,484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322"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1,111,951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1,405,801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062" w:type="dxa"/>
            <w:tcBorders/>
            <w:vAlign w:val="center"/>
          </w:tcPr>
          <w:p>
            <w:pPr>
              <w:pStyle w:val="TableContents"/>
              <w:bidi w:val="0"/>
              <w:spacing w:before="0" w:after="283"/>
              <w:jc w:val="right"/>
              <w:rPr/>
            </w:pPr>
            <w:r>
              <w:rPr/>
              <w:t>190.77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42,823</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4330" w:type="dxa"/>
        <w:jc w:val="left"/>
        <w:tblInd w:w="0" w:type="dxa"/>
        <w:tblLayout w:type="fixed"/>
        <w:tblCellMar>
          <w:top w:w="0" w:type="dxa"/>
          <w:left w:w="0" w:type="dxa"/>
          <w:bottom w:w="0" w:type="dxa"/>
          <w:right w:w="0" w:type="dxa"/>
        </w:tblCellMar>
      </w:tblPr>
      <w:tblGrid>
        <w:gridCol w:w="305"/>
        <w:gridCol w:w="4025"/>
      </w:tblGrid>
      <w:tr>
        <w:trPr/>
        <w:tc>
          <w:tcPr>
            <w:tcW w:w="305" w:type="dxa"/>
            <w:tcBorders/>
            <w:vAlign w:val="center"/>
          </w:tcPr>
          <w:p>
            <w:pPr>
              <w:pStyle w:val="TableContents"/>
              <w:bidi w:val="0"/>
              <w:spacing w:before="0" w:after="283"/>
              <w:jc w:val="left"/>
              <w:rPr/>
            </w:pPr>
            <w:r>
              <w:rPr/>
              <w:t>(1)</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following individuals are our PEO and 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Named Executive Officers for each fiscal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60"/>
        <w:gridCol w:w="2280"/>
        <w:gridCol w:w="60"/>
        <w:gridCol w:w="2327"/>
        <w:gridCol w:w="60"/>
        <w:gridCol w:w="4963"/>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63"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60" w:type="dxa"/>
            <w:tcBorders/>
            <w:vAlign w:val="center"/>
          </w:tcPr>
          <w:p>
            <w:pPr>
              <w:pStyle w:val="TableContents"/>
              <w:bidi w:val="0"/>
              <w:spacing w:before="0" w:after="283"/>
              <w:jc w:val="left"/>
              <w:rPr/>
            </w:pPr>
            <w:r>
              <w:rPr/>
              <w:t> </w:t>
            </w:r>
          </w:p>
        </w:tc>
        <w:tc>
          <w:tcPr>
            <w:tcW w:w="22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First PEO</w:t>
            </w:r>
          </w:p>
        </w:tc>
        <w:tc>
          <w:tcPr>
            <w:tcW w:w="60" w:type="dxa"/>
            <w:tcBorders/>
            <w:vAlign w:val="center"/>
          </w:tcPr>
          <w:p>
            <w:pPr>
              <w:pStyle w:val="TableContents"/>
              <w:bidi w:val="0"/>
              <w:spacing w:before="0" w:after="283"/>
              <w:jc w:val="left"/>
              <w:rPr/>
            </w:pPr>
            <w:r>
              <w:rPr/>
              <w:t> </w:t>
            </w:r>
          </w:p>
        </w:tc>
        <w:tc>
          <w:tcPr>
            <w:tcW w:w="232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Second PEO</w:t>
            </w:r>
          </w:p>
        </w:tc>
        <w:tc>
          <w:tcPr>
            <w:tcW w:w="60" w:type="dxa"/>
            <w:tcBorders/>
            <w:vAlign w:val="center"/>
          </w:tcPr>
          <w:p>
            <w:pPr>
              <w:pStyle w:val="TableContents"/>
              <w:bidi w:val="0"/>
              <w:spacing w:before="0" w:after="283"/>
              <w:jc w:val="left"/>
              <w:rPr/>
            </w:pPr>
            <w:r>
              <w:rPr/>
              <w:t> </w:t>
            </w:r>
          </w:p>
        </w:tc>
        <w:tc>
          <w:tcPr>
            <w:tcW w:w="496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Non-PEO</w:t>
            </w:r>
          </w:p>
          <w:p>
            <w:pPr>
              <w:pStyle w:val="TableContents"/>
              <w:bidi w:val="0"/>
              <w:spacing w:before="0" w:after="20"/>
              <w:jc w:val="center"/>
              <w:rPr>
                <w:rFonts w:ascii="Times New Roman" w:hAnsi="Times New Roman"/>
                <w:b/>
                <w:sz w:val="16"/>
              </w:rPr>
            </w:pPr>
            <w:r>
              <w:rPr>
                <w:rFonts w:ascii="Times New Roman" w:hAnsi="Times New Roman"/>
                <w:b/>
                <w:sz w:val="16"/>
              </w:rPr>
              <w:t>Named Executive</w:t>
              <w:br/>
              <w:t>Officers</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60" w:type="dxa"/>
            <w:tcBorders/>
            <w:shd w:fill="CCEEFF" w:val="clear"/>
            <w:vAlign w:val="center"/>
          </w:tcPr>
          <w:p>
            <w:pPr>
              <w:pStyle w:val="TableContents"/>
              <w:bidi w:val="0"/>
              <w:spacing w:before="0" w:after="283"/>
              <w:jc w:val="left"/>
              <w:rPr/>
            </w:pPr>
            <w:r>
              <w:rPr/>
              <w:t> </w:t>
            </w:r>
          </w:p>
        </w:tc>
        <w:tc>
          <w:tcPr>
            <w:tcW w:w="2280" w:type="dxa"/>
            <w:tcBorders/>
            <w:shd w:fill="CCEEFF" w:val="clear"/>
            <w:vAlign w:val="center"/>
          </w:tcPr>
          <w:p>
            <w:pPr>
              <w:pStyle w:val="TableContents"/>
              <w:bidi w:val="0"/>
              <w:spacing w:before="0" w:after="283"/>
              <w:jc w:val="left"/>
              <w:rPr/>
            </w:pPr>
            <w:r>
              <w:rPr/>
              <w:t>Erik Ostrowski (through June 20, 2024)</w:t>
            </w:r>
          </w:p>
        </w:tc>
        <w:tc>
          <w:tcPr>
            <w:tcW w:w="60" w:type="dxa"/>
            <w:tcBorders/>
            <w:shd w:fill="CCEEFF" w:val="clear"/>
            <w:vAlign w:val="center"/>
          </w:tcPr>
          <w:p>
            <w:pPr>
              <w:pStyle w:val="TableContents"/>
              <w:bidi w:val="0"/>
              <w:spacing w:before="0" w:after="283"/>
              <w:jc w:val="left"/>
              <w:rPr/>
            </w:pPr>
            <w:r>
              <w:rPr/>
              <w:t> </w:t>
            </w:r>
          </w:p>
        </w:tc>
        <w:tc>
          <w:tcPr>
            <w:tcW w:w="2327" w:type="dxa"/>
            <w:tcBorders/>
            <w:shd w:fill="CCEEFF" w:val="clear"/>
            <w:vAlign w:val="center"/>
          </w:tcPr>
          <w:p>
            <w:pPr>
              <w:pStyle w:val="TableContents"/>
              <w:bidi w:val="0"/>
              <w:spacing w:before="0" w:after="283"/>
              <w:jc w:val="left"/>
              <w:rPr/>
            </w:pPr>
            <w:r>
              <w:rPr/>
              <w:t>Alise Reicin, M.D. (starting June 20, 2024)</w:t>
            </w:r>
          </w:p>
        </w:tc>
        <w:tc>
          <w:tcPr>
            <w:tcW w:w="60" w:type="dxa"/>
            <w:tcBorders/>
            <w:shd w:fill="CCEEFF" w:val="clear"/>
            <w:vAlign w:val="center"/>
          </w:tcPr>
          <w:p>
            <w:pPr>
              <w:pStyle w:val="TableContents"/>
              <w:bidi w:val="0"/>
              <w:spacing w:before="0" w:after="283"/>
              <w:jc w:val="left"/>
              <w:rPr/>
            </w:pPr>
            <w:r>
              <w:rPr/>
              <w:t> </w:t>
            </w:r>
          </w:p>
        </w:tc>
        <w:tc>
          <w:tcPr>
            <w:tcW w:w="4963" w:type="dxa"/>
            <w:tcBorders/>
            <w:shd w:fill="CCEEFF" w:val="clear"/>
            <w:vAlign w:val="center"/>
          </w:tcPr>
          <w:p>
            <w:pPr>
              <w:pStyle w:val="TableContents"/>
              <w:bidi w:val="0"/>
              <w:spacing w:before="0" w:after="283"/>
              <w:jc w:val="left"/>
              <w:rPr/>
            </w:pPr>
            <w:r>
              <w:rPr/>
              <w:t>Daniel Lochner and Marcella K. Ruddy, M.D.</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60" w:type="dxa"/>
            <w:tcBorders/>
            <w:vAlign w:val="center"/>
          </w:tcPr>
          <w:p>
            <w:pPr>
              <w:pStyle w:val="TableContents"/>
              <w:bidi w:val="0"/>
              <w:spacing w:before="0" w:after="283"/>
              <w:jc w:val="left"/>
              <w:rPr/>
            </w:pPr>
            <w:r>
              <w:rPr/>
              <w:t> </w:t>
            </w:r>
          </w:p>
        </w:tc>
        <w:tc>
          <w:tcPr>
            <w:tcW w:w="2280" w:type="dxa"/>
            <w:tcBorders/>
            <w:vAlign w:val="center"/>
          </w:tcPr>
          <w:p>
            <w:pPr>
              <w:pStyle w:val="TableContents"/>
              <w:bidi w:val="0"/>
              <w:spacing w:before="0" w:after="283"/>
              <w:jc w:val="left"/>
              <w:rPr/>
            </w:pPr>
            <w:r>
              <w:rPr/>
              <w:t>Erik Ostrowski</w:t>
            </w:r>
          </w:p>
        </w:tc>
        <w:tc>
          <w:tcPr>
            <w:tcW w:w="60" w:type="dxa"/>
            <w:tcBorders/>
            <w:vAlign w:val="center"/>
          </w:tcPr>
          <w:p>
            <w:pPr>
              <w:pStyle w:val="TableContents"/>
              <w:bidi w:val="0"/>
              <w:spacing w:before="0" w:after="283"/>
              <w:jc w:val="left"/>
              <w:rPr/>
            </w:pPr>
            <w:r>
              <w:rPr/>
              <w:t> </w:t>
            </w:r>
          </w:p>
        </w:tc>
        <w:tc>
          <w:tcPr>
            <w:tcW w:w="23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63" w:type="dxa"/>
            <w:tcBorders/>
            <w:vAlign w:val="center"/>
          </w:tcPr>
          <w:p>
            <w:pPr>
              <w:pStyle w:val="TableContents"/>
              <w:bidi w:val="0"/>
              <w:spacing w:before="0" w:after="283"/>
              <w:jc w:val="left"/>
              <w:rPr/>
            </w:pPr>
            <w:r>
              <w:rPr/>
              <w:t>Geoff MacKay, Azadeh Golipour, Ph.D. and Essra Ridha, M.D., MRCP, FFPM</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amount of total compensation reported for our Principal Executive </w:t>
            </w:r>
          </w:p>
          <w:p>
            <w:pPr>
              <w:pStyle w:val="TableContents"/>
              <w:bidi w:val="0"/>
              <w:spacing w:before="0" w:after="0"/>
              <w:jc w:val="left"/>
              <w:rPr>
                <w:rFonts w:ascii="Times New Roman" w:hAnsi="Times New Roman"/>
                <w:sz w:val="20"/>
              </w:rPr>
            </w:pPr>
            <w:r>
              <w:rPr>
                <w:rFonts w:ascii="Times New Roman" w:hAnsi="Times New Roman"/>
                <w:sz w:val="20"/>
              </w:rPr>
              <w:t xml:space="preserve">Officers </w:t>
            </w:r>
          </w:p>
          <w:p>
            <w:pPr>
              <w:pStyle w:val="TableContents"/>
              <w:bidi w:val="0"/>
              <w:spacing w:before="0" w:after="0"/>
              <w:jc w:val="left"/>
              <w:rPr>
                <w:rFonts w:ascii="Times New Roman" w:hAnsi="Times New Roman"/>
                <w:sz w:val="20"/>
              </w:rPr>
            </w:pPr>
            <w:r>
              <w:rPr>
                <w:rFonts w:ascii="Times New Roman" w:hAnsi="Times New Roman"/>
                <w:sz w:val="20"/>
              </w:rPr>
              <w:t xml:space="preserve">(“PEO”) and the average total compensation for our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Named Executive Officers for each corresponding year in the “Total” column of the Summary Compensation Table. Refer to “Executive Compensation—Summary Compensation Table.” </w:t>
            </w:r>
          </w:p>
        </w:tc>
      </w:tr>
    </w:tbl>
    <w:tbl>
      <w:tblPr>
        <w:tblW w:w="9445" w:type="dxa"/>
        <w:jc w:val="left"/>
        <w:tblInd w:w="0" w:type="dxa"/>
        <w:tblLayout w:type="fixed"/>
        <w:tblCellMar>
          <w:top w:w="0" w:type="dxa"/>
          <w:left w:w="0" w:type="dxa"/>
          <w:bottom w:w="0" w:type="dxa"/>
          <w:right w:w="0" w:type="dxa"/>
        </w:tblCellMar>
      </w:tblPr>
      <w:tblGrid>
        <w:gridCol w:w="305"/>
        <w:gridCol w:w="9140"/>
      </w:tblGrid>
      <w:tr>
        <w:trPr/>
        <w:tc>
          <w:tcPr>
            <w:tcW w:w="305" w:type="dxa"/>
            <w:tcBorders/>
            <w:vAlign w:val="center"/>
          </w:tcPr>
          <w:p>
            <w:pPr>
              <w:pStyle w:val="TableContents"/>
              <w:bidi w:val="0"/>
              <w:spacing w:before="0" w:after="283"/>
              <w:jc w:val="left"/>
              <w:rPr/>
            </w:pPr>
            <w:r>
              <w:rPr/>
              <w:t>(3)</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amount of CAP to our PEOs and the average amount of CAP to our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Named Executive Officers, respectively, as computed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dollar amounts do not reflect the actual amount of compensation earned by or paid to our Named Executive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pPr>
            <w:r>
              <w:rPr/>
              <w:t xml:space="preserve">Officers during the applicable year. In accordance with the requirements of Item 402(v) of Regulation </w:t>
            </w:r>
          </w:p>
          <w:p>
            <w:pPr>
              <w:pStyle w:val="TableContents"/>
              <w:bidi w:val="0"/>
              <w:spacing w:before="0" w:after="0"/>
              <w:jc w:val="left"/>
              <w:rPr>
                <w:spacing w:val="0"/>
              </w:rPr>
            </w:pPr>
            <w:r>
              <w:rPr>
                <w:spacing w:val="0"/>
              </w:rPr>
              <w:t>S-K,</w:t>
            </w:r>
          </w:p>
          <w:p>
            <w:pPr>
              <w:pStyle w:val="TableContents"/>
              <w:bidi w:val="0"/>
              <w:spacing w:before="0" w:after="0"/>
              <w:jc w:val="left"/>
              <w:rPr/>
            </w:pPr>
            <w:r>
              <w:rPr/>
              <w:t xml:space="preserve">the following adjustments were made to the reported total compensation for each year to determine the CAP: </w:t>
            </w:r>
          </w:p>
        </w:tc>
      </w:tr>
    </w:tbl>
    <w:p>
      <w:pPr>
        <w:pStyle w:val="TextBody"/>
        <w:bidi w:val="0"/>
        <w:spacing w:before="0" w:after="0"/>
        <w:jc w:val="left"/>
        <w:rPr/>
      </w:pPr>
      <w:r>
        <w:rPr/>
        <w:t> </w:t>
      </w:r>
    </w:p>
    <w:tbl>
      <w:tblPr>
        <w:tblW w:w="13995" w:type="dxa"/>
        <w:jc w:val="left"/>
        <w:tblInd w:w="0" w:type="dxa"/>
        <w:tblLayout w:type="fixed"/>
        <w:tblCellMar>
          <w:top w:w="0" w:type="dxa"/>
          <w:left w:w="0" w:type="dxa"/>
          <w:bottom w:w="0" w:type="dxa"/>
          <w:right w:w="0" w:type="dxa"/>
        </w:tblCellMar>
      </w:tblPr>
      <w:tblGrid>
        <w:gridCol w:w="395"/>
        <w:gridCol w:w="60"/>
        <w:gridCol w:w="1250"/>
        <w:gridCol w:w="60"/>
        <w:gridCol w:w="173"/>
        <w:gridCol w:w="1212"/>
        <w:gridCol w:w="60"/>
        <w:gridCol w:w="60"/>
        <w:gridCol w:w="140"/>
        <w:gridCol w:w="980"/>
        <w:gridCol w:w="155"/>
        <w:gridCol w:w="60"/>
        <w:gridCol w:w="140"/>
        <w:gridCol w:w="1100"/>
        <w:gridCol w:w="60"/>
        <w:gridCol w:w="60"/>
        <w:gridCol w:w="178"/>
        <w:gridCol w:w="1252"/>
        <w:gridCol w:w="60"/>
        <w:gridCol w:w="60"/>
        <w:gridCol w:w="647"/>
        <w:gridCol w:w="648"/>
        <w:gridCol w:w="60"/>
        <w:gridCol w:w="60"/>
        <w:gridCol w:w="271"/>
        <w:gridCol w:w="1549"/>
        <w:gridCol w:w="60"/>
        <w:gridCol w:w="60"/>
        <w:gridCol w:w="237"/>
        <w:gridCol w:w="1358"/>
        <w:gridCol w:w="155"/>
        <w:gridCol w:w="60"/>
        <w:gridCol w:w="140"/>
        <w:gridCol w:w="1100"/>
        <w:gridCol w:w="75"/>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0"/>
              <w:jc w:val="center"/>
              <w:rPr>
                <w:rFonts w:ascii="Times New Roman" w:hAnsi="Times New Roman"/>
                <w:sz w:val="14"/>
                <w:bdr w:val="single" w:sz="8" w:space="1" w:color="000000"/>
              </w:rPr>
            </w:pPr>
            <w:r>
              <w:rPr>
                <w:rFonts w:ascii="Times New Roman" w:hAnsi="Times New Roman"/>
                <w:sz w:val="14"/>
                <w:bdr w:val="single" w:sz="8" w:space="1" w:color="000000"/>
              </w:rPr>
              <w:t>Year</w:t>
            </w:r>
          </w:p>
        </w:tc>
        <w:tc>
          <w:tcPr>
            <w:tcW w:w="60" w:type="dxa"/>
            <w:tcBorders/>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center"/>
              <w:rPr/>
            </w:pPr>
            <w:r>
              <w:rPr/>
              <w:t>Named</w:t>
              <w:br/>
              <w:t>Executive</w:t>
              <w:br/>
              <w:t>Officers</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Summary</w:t>
              <w:br/>
              <w:t>Compensation</w:t>
              <w:br/>
              <w:t>Table (“SCT”)</w:t>
              <w:br/>
              <w:t>Total</w:t>
              <w:b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Deduct: Grant</w:t>
              <w:br/>
              <w:t>Date Fair</w:t>
              <w:br/>
              <w:t>Value of the</w:t>
              <w:br/>
              <w:t>“Stock</w:t>
              <w:br/>
              <w:t>Awards” and</w:t>
              <w:br/>
              <w:t>“Option</w:t>
              <w:br/>
              <w:t>Awards”</w:t>
              <w:br/>
              <w:t>Columns in</w:t>
              <w:br/>
              <w:t>the SCT for</w:t>
              <w:br/>
              <w:t>Applicable</w:t>
              <w:br/>
              <w:t>FY*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Add: Fair</w:t>
              <w:br/>
              <w:t>Value at</w:t>
              <w:br/>
              <w:t>Applicable FY</w:t>
              <w:br/>
              <w:t>End of Awards</w:t>
              <w:br/>
              <w:t>Granted</w:t>
              <w:br/>
              <w:t>during</w:t>
              <w:br/>
              <w:t>Applicable FY</w:t>
              <w:br/>
              <w:t>that Remain</w:t>
              <w:br/>
              <w:t>Unvested as of</w:t>
              <w:br/>
              <w:t>Applicable FY</w:t>
              <w:br/>
              <w:t>End*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pPr>
            <w:r>
              <w:rPr/>
              <w:t>Add: Change</w:t>
              <w:br/>
              <w:t>in Fair Value</w:t>
              <w:br/>
              <w:t>from the end</w:t>
              <w:br/>
              <w:t>of the Prior</w:t>
              <w:br/>
              <w:t>FY to the end</w:t>
              <w:br/>
              <w:t>of the</w:t>
              <w:br/>
              <w:t>Applicable FY</w:t>
              <w:br/>
              <w:t>of Awards</w:t>
              <w:br/>
              <w:t>Granted</w:t>
              <w:br/>
              <w:t>during Prior</w:t>
              <w:br/>
              <w:t>FY that were</w:t>
              <w:br/>
              <w:t>Outstanding</w:t>
              <w:br/>
              <w:t>and Unvested</w:t>
              <w:br/>
              <w:t>as of</w:t>
              <w:br/>
              <w:t>Applicable FY</w:t>
              <w:br/>
              <w:t>End*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pPr>
            <w:r>
              <w:rPr/>
              <w:t>Add: Vesting</w:t>
              <w:br/>
              <w:t>Date Fair</w:t>
              <w:br/>
              <w:t>Value of</w:t>
              <w:br/>
              <w:t>Awards</w:t>
              <w:br/>
              <w:t>Granted</w:t>
              <w:br/>
              <w:t>during</w:t>
              <w:br/>
              <w:t>Applicable</w:t>
              <w:br/>
              <w:t>FY that</w:t>
              <w:br/>
              <w:t>Vested</w:t>
              <w:br/>
              <w:t>During</w:t>
              <w:br/>
              <w:t>Applicable</w:t>
              <w:br/>
              <w:t>FY*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pPr>
            <w:r>
              <w:rPr/>
              <w:t>Add: Change in</w:t>
              <w:br/>
              <w:t>Fair Value from</w:t>
              <w:br/>
              <w:t>the end of Prior</w:t>
              <w:br/>
              <w:t>FY to Vesting</w:t>
              <w:br/>
              <w:t>Date Fair Value of</w:t>
              <w:br/>
              <w:t>Awards Granted</w:t>
              <w:br/>
              <w:t>during Prior FY</w:t>
              <w:br/>
              <w:t>that Vested During</w:t>
              <w:br/>
              <w:t>Applicable FY*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t>Deduct: Fair</w:t>
              <w:br/>
              <w:t>Value at Prior</w:t>
              <w:br/>
              <w:t>Year End of</w:t>
              <w:br/>
              <w:t>Awards Granted</w:t>
              <w:br/>
              <w:t>during Prior FY</w:t>
              <w:br/>
              <w:t>that were</w:t>
              <w:br/>
              <w:t>Forfeited during</w:t>
              <w:br/>
              <w:t>Applicable FY*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rPr>
            </w:pPr>
            <w:r>
              <w:rPr>
                <w:b/>
              </w:rPr>
              <w:t>CAP</w:t>
            </w:r>
          </w:p>
        </w:tc>
        <w:tc>
          <w:tcPr>
            <w:tcW w:w="75" w:type="dxa"/>
            <w:tcBorders/>
            <w:vAlign w:val="center"/>
          </w:tcPr>
          <w:p>
            <w:pPr>
              <w:pStyle w:val="TableContents"/>
              <w:bidi w:val="0"/>
              <w:spacing w:before="0" w:after="283"/>
              <w:jc w:val="left"/>
              <w:rPr/>
            </w:pPr>
            <w:r>
              <w:rPr/>
              <w:t> </w:t>
            </w:r>
          </w:p>
        </w:tc>
      </w:tr>
      <w:tr>
        <w:trPr/>
        <w:tc>
          <w:tcPr>
            <w:tcW w:w="395" w:type="dxa"/>
            <w:vMerge w:val="restart"/>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2024</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First PEO</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1,093,258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w:t>
            </w:r>
          </w:p>
        </w:tc>
        <w:tc>
          <w:tcPr>
            <w:tcW w:w="648"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549" w:type="dxa"/>
            <w:tcBorders/>
            <w:shd w:fill="CCEEFF" w:val="clear"/>
            <w:vAlign w:val="center"/>
          </w:tcPr>
          <w:p>
            <w:pPr>
              <w:pStyle w:val="TableContents"/>
              <w:bidi w:val="0"/>
              <w:spacing w:before="0" w:after="283"/>
              <w:jc w:val="right"/>
              <w:rPr/>
            </w:pPr>
            <w:r>
              <w:rPr/>
              <w:t>10,053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146,855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1100" w:type="dxa"/>
            <w:tcBorders/>
            <w:shd w:fill="CCEEFF" w:val="clear"/>
            <w:vAlign w:val="center"/>
          </w:tcPr>
          <w:p>
            <w:pPr>
              <w:pStyle w:val="TableContents"/>
              <w:bidi w:val="0"/>
              <w:spacing w:before="0" w:after="0"/>
              <w:jc w:val="right"/>
              <w:rPr>
                <w:b/>
              </w:rPr>
            </w:pPr>
            <w:r>
              <w:rPr>
                <w:b/>
              </w:rPr>
              <w:t>956,456</w:t>
            </w:r>
          </w:p>
        </w:tc>
        <w:tc>
          <w:tcPr>
            <w:tcW w:w="75" w:type="dxa"/>
            <w:tcBorders/>
            <w:shd w:fill="CCEEFF" w:val="clear"/>
            <w:vAlign w:val="center"/>
          </w:tcPr>
          <w:p>
            <w:pPr>
              <w:pStyle w:val="TableContents"/>
              <w:bidi w:val="0"/>
              <w:spacing w:before="0" w:after="0"/>
              <w:jc w:val="left"/>
              <w:rPr/>
            </w:pPr>
            <w:r>
              <w:rPr/>
              <w:t> </w:t>
            </w:r>
          </w:p>
        </w:tc>
      </w:tr>
      <w:tr>
        <w:trPr/>
        <w:tc>
          <w:tcPr>
            <w:tcW w:w="395"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Second PEO</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5,900,979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4,892,410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13,136,074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1,297,042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w:t>
            </w:r>
          </w:p>
        </w:tc>
        <w:tc>
          <w:tcPr>
            <w:tcW w:w="648"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549" w:type="dxa"/>
            <w:tcBorders/>
            <w:shd w:fill="CCEEFF" w:val="clear"/>
            <w:vAlign w:val="center"/>
          </w:tcPr>
          <w:p>
            <w:pPr>
              <w:pStyle w:val="TableContents"/>
              <w:bidi w:val="0"/>
              <w:spacing w:before="0" w:after="283"/>
              <w:jc w:val="right"/>
              <w:rPr/>
            </w:pPr>
            <w:r>
              <w:rPr/>
              <w:t>806,514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1100" w:type="dxa"/>
            <w:tcBorders/>
            <w:shd w:fill="CCEEFF" w:val="clear"/>
            <w:vAlign w:val="center"/>
          </w:tcPr>
          <w:p>
            <w:pPr>
              <w:pStyle w:val="TableContents"/>
              <w:bidi w:val="0"/>
              <w:spacing w:before="0" w:after="0"/>
              <w:jc w:val="right"/>
              <w:rPr>
                <w:b/>
              </w:rPr>
            </w:pPr>
            <w:r>
              <w:rPr>
                <w:b/>
              </w:rPr>
              <w:t>16,248,199</w:t>
            </w:r>
          </w:p>
        </w:tc>
        <w:tc>
          <w:tcPr>
            <w:tcW w:w="75" w:type="dxa"/>
            <w:tcBorders/>
            <w:shd w:fill="CCEEFF" w:val="clear"/>
            <w:vAlign w:val="center"/>
          </w:tcPr>
          <w:p>
            <w:pPr>
              <w:pStyle w:val="TableContents"/>
              <w:bidi w:val="0"/>
              <w:spacing w:before="0" w:after="0"/>
              <w:jc w:val="left"/>
              <w:rPr/>
            </w:pPr>
            <w:r>
              <w:rPr/>
              <w:t> </w:t>
            </w:r>
          </w:p>
        </w:tc>
      </w:tr>
      <w:tr>
        <w:trPr/>
        <w:tc>
          <w:tcPr>
            <w:tcW w:w="395"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left"/>
              <w:rPr/>
            </w:pPr>
            <w:r>
              <w:rPr/>
              <w:t>Average</w:t>
            </w:r>
          </w:p>
          <w:p>
            <w:pPr>
              <w:pStyle w:val="TableContents"/>
              <w:bidi w:val="0"/>
              <w:spacing w:before="0" w:after="0"/>
              <w:jc w:val="left"/>
              <w:rPr/>
            </w:pPr>
            <w:r>
              <w:rPr/>
              <w:t>Non-PEO</w:t>
            </w:r>
          </w:p>
          <w:p>
            <w:pPr>
              <w:pStyle w:val="TableContents"/>
              <w:bidi w:val="0"/>
              <w:spacing w:before="0" w:after="0"/>
              <w:jc w:val="left"/>
              <w:rPr/>
            </w:pPr>
            <w:r>
              <w:rPr/>
              <w:br/>
              <w:t>Named</w:t>
              <w:br/>
              <w:t>Executive</w:t>
              <w:br/>
              <w:t>Officers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2,062,450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1,497,952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4,578,478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504,902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w:t>
            </w:r>
          </w:p>
        </w:tc>
        <w:tc>
          <w:tcPr>
            <w:tcW w:w="648"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549" w:type="dxa"/>
            <w:tcBorders/>
            <w:shd w:fill="CCEEFF" w:val="clear"/>
            <w:vAlign w:val="center"/>
          </w:tcPr>
          <w:p>
            <w:pPr>
              <w:pStyle w:val="TableContents"/>
              <w:bidi w:val="0"/>
              <w:spacing w:before="0" w:after="283"/>
              <w:jc w:val="right"/>
              <w:rPr/>
            </w:pPr>
            <w:r>
              <w:rPr/>
              <w:t>137,124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1100" w:type="dxa"/>
            <w:tcBorders/>
            <w:shd w:fill="CCEEFF" w:val="clear"/>
            <w:vAlign w:val="center"/>
          </w:tcPr>
          <w:p>
            <w:pPr>
              <w:pStyle w:val="TableContents"/>
              <w:bidi w:val="0"/>
              <w:spacing w:before="0" w:after="0"/>
              <w:jc w:val="right"/>
              <w:rPr>
                <w:b/>
              </w:rPr>
            </w:pPr>
            <w:r>
              <w:rPr>
                <w:b/>
              </w:rPr>
              <w:t>5,785,002</w:t>
            </w:r>
          </w:p>
        </w:tc>
        <w:tc>
          <w:tcPr>
            <w:tcW w:w="75" w:type="dxa"/>
            <w:tcBorders/>
            <w:shd w:fill="CCEEFF" w:val="clear"/>
            <w:vAlign w:val="center"/>
          </w:tcPr>
          <w:p>
            <w:pPr>
              <w:pStyle w:val="TableContents"/>
              <w:bidi w:val="0"/>
              <w:spacing w:before="0" w:after="0"/>
              <w:jc w:val="left"/>
              <w:rPr/>
            </w:pPr>
            <w:r>
              <w:rPr/>
              <w:t> </w:t>
            </w:r>
          </w:p>
        </w:tc>
      </w:tr>
      <w:tr>
        <w:trPr/>
        <w:tc>
          <w:tcPr>
            <w:tcW w:w="395" w:type="dxa"/>
            <w:vMerge w:val="restart"/>
            <w:tcBorders/>
            <w:vAlign w:val="center"/>
          </w:tcPr>
          <w:p>
            <w:pPr>
              <w:pStyle w:val="TableContents"/>
              <w:bidi w:val="0"/>
              <w:spacing w:before="0" w:after="0"/>
              <w:jc w:val="left"/>
              <w:rPr>
                <w:rFonts w:ascii="Times New Roman" w:hAnsi="Times New Roman"/>
                <w:sz w:val="17"/>
              </w:rPr>
            </w:pPr>
            <w:r>
              <w:rPr>
                <w:rFonts w:ascii="Times New Roman" w:hAnsi="Times New Roman"/>
                <w:sz w:val="17"/>
              </w:rPr>
              <w:t>2023</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First PEO</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212" w:type="dxa"/>
            <w:tcBorders/>
            <w:vAlign w:val="center"/>
          </w:tcPr>
          <w:p>
            <w:pPr>
              <w:pStyle w:val="TableContents"/>
              <w:bidi w:val="0"/>
              <w:spacing w:before="0" w:after="283"/>
              <w:jc w:val="right"/>
              <w:rPr/>
            </w:pPr>
            <w:r>
              <w:rPr/>
              <w:t>1,590,892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339,878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313,246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right"/>
              <w:rPr/>
            </w:pPr>
            <w:r>
              <w:rPr/>
              <w:t>199,294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w:t>
            </w:r>
          </w:p>
        </w:tc>
        <w:tc>
          <w:tcPr>
            <w:tcW w:w="64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w:t>
            </w:r>
          </w:p>
        </w:tc>
        <w:tc>
          <w:tcPr>
            <w:tcW w:w="1549" w:type="dxa"/>
            <w:tcBorders/>
            <w:vAlign w:val="center"/>
          </w:tcPr>
          <w:p>
            <w:pPr>
              <w:pStyle w:val="TableContents"/>
              <w:bidi w:val="0"/>
              <w:spacing w:before="0" w:after="283"/>
              <w:jc w:val="right"/>
              <w:rPr/>
            </w:pPr>
            <w:r>
              <w:rPr/>
              <w:t>141,930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1358"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1100" w:type="dxa"/>
            <w:tcBorders/>
            <w:vAlign w:val="center"/>
          </w:tcPr>
          <w:p>
            <w:pPr>
              <w:pStyle w:val="TableContents"/>
              <w:bidi w:val="0"/>
              <w:spacing w:before="0" w:after="0"/>
              <w:jc w:val="right"/>
              <w:rPr>
                <w:b/>
              </w:rPr>
            </w:pPr>
            <w:r>
              <w:rPr>
                <w:b/>
              </w:rPr>
              <w:t>1,905,484</w:t>
            </w:r>
          </w:p>
        </w:tc>
        <w:tc>
          <w:tcPr>
            <w:tcW w:w="75" w:type="dxa"/>
            <w:tcBorders/>
            <w:vAlign w:val="center"/>
          </w:tcPr>
          <w:p>
            <w:pPr>
              <w:pStyle w:val="TableContents"/>
              <w:bidi w:val="0"/>
              <w:spacing w:before="0" w:after="0"/>
              <w:jc w:val="left"/>
              <w:rPr/>
            </w:pPr>
            <w:r>
              <w:rPr/>
              <w:t> </w:t>
            </w:r>
          </w:p>
        </w:tc>
      </w:tr>
      <w:tr>
        <w:trPr/>
        <w:tc>
          <w:tcPr>
            <w:tcW w:w="3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pPr>
            <w:r>
              <w:rPr/>
              <w:t>Average</w:t>
            </w:r>
          </w:p>
          <w:p>
            <w:pPr>
              <w:pStyle w:val="TableContents"/>
              <w:bidi w:val="0"/>
              <w:spacing w:before="0" w:after="0"/>
              <w:jc w:val="left"/>
              <w:rPr/>
            </w:pPr>
            <w:r>
              <w:rPr/>
              <w:t>Non-PEO</w:t>
            </w:r>
          </w:p>
          <w:p>
            <w:pPr>
              <w:pStyle w:val="TableContents"/>
              <w:bidi w:val="0"/>
              <w:spacing w:before="0" w:after="0"/>
              <w:jc w:val="left"/>
              <w:rPr/>
            </w:pPr>
            <w:r>
              <w:rPr/>
              <w:br/>
              <w:t>Named</w:t>
              <w:br/>
              <w:t>Executive</w:t>
              <w:br/>
              <w:t>Officers</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212" w:type="dxa"/>
            <w:tcBorders/>
            <w:vAlign w:val="center"/>
          </w:tcPr>
          <w:p>
            <w:pPr>
              <w:pStyle w:val="TableContents"/>
              <w:bidi w:val="0"/>
              <w:spacing w:before="0" w:after="283"/>
              <w:jc w:val="right"/>
              <w:rPr/>
            </w:pPr>
            <w:r>
              <w:rPr/>
              <w:t>1,111,951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329,391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263,535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right"/>
              <w:rPr/>
            </w:pPr>
            <w:r>
              <w:rPr/>
              <w:t>210,110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w:t>
            </w:r>
          </w:p>
        </w:tc>
        <w:tc>
          <w:tcPr>
            <w:tcW w:w="64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w:t>
            </w:r>
          </w:p>
        </w:tc>
        <w:tc>
          <w:tcPr>
            <w:tcW w:w="1549" w:type="dxa"/>
            <w:tcBorders/>
            <w:vAlign w:val="center"/>
          </w:tcPr>
          <w:p>
            <w:pPr>
              <w:pStyle w:val="TableContents"/>
              <w:bidi w:val="0"/>
              <w:spacing w:before="0" w:after="283"/>
              <w:jc w:val="right"/>
              <w:rPr/>
            </w:pPr>
            <w:r>
              <w:rPr/>
              <w:t>149,596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1358"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1100" w:type="dxa"/>
            <w:tcBorders/>
            <w:vAlign w:val="center"/>
          </w:tcPr>
          <w:p>
            <w:pPr>
              <w:pStyle w:val="TableContents"/>
              <w:bidi w:val="0"/>
              <w:spacing w:before="0" w:after="0"/>
              <w:jc w:val="right"/>
              <w:rPr>
                <w:b/>
              </w:rPr>
            </w:pPr>
            <w:r>
              <w:rPr>
                <w:b/>
              </w:rPr>
              <w:t>1,405,801</w:t>
            </w:r>
          </w:p>
        </w:tc>
        <w:tc>
          <w:tcPr>
            <w:tcW w:w="75" w:type="dxa"/>
            <w:tcBorders/>
            <w:vAlign w:val="center"/>
          </w:tcPr>
          <w:p>
            <w:pPr>
              <w:pStyle w:val="TableContents"/>
              <w:bidi w:val="0"/>
              <w:spacing w:before="0" w:after="0"/>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8620" w:type="dxa"/>
        <w:jc w:val="left"/>
        <w:tblInd w:w="0" w:type="dxa"/>
        <w:tblLayout w:type="fixed"/>
        <w:tblCellMar>
          <w:top w:w="0" w:type="dxa"/>
          <w:left w:w="0" w:type="dxa"/>
          <w:bottom w:w="0" w:type="dxa"/>
          <w:right w:w="0" w:type="dxa"/>
        </w:tblCellMar>
      </w:tblPr>
      <w:tblGrid>
        <w:gridCol w:w="155"/>
        <w:gridCol w:w="8465"/>
      </w:tblGrid>
      <w:tr>
        <w:trPr/>
        <w:tc>
          <w:tcPr>
            <w:tcW w:w="155"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 xml:space="preserve">The valuation assumptions used to calculate fair values did not materially differ from those disclosed at the time of grant. </w:t>
            </w:r>
          </w:p>
        </w:tc>
      </w:tr>
    </w:tbl>
    <w:tbl>
      <w:tblPr>
        <w:tblW w:w="6970" w:type="dxa"/>
        <w:jc w:val="left"/>
        <w:tblInd w:w="0" w:type="dxa"/>
        <w:tblLayout w:type="fixed"/>
        <w:tblCellMar>
          <w:top w:w="0" w:type="dxa"/>
          <w:left w:w="0" w:type="dxa"/>
          <w:bottom w:w="0" w:type="dxa"/>
          <w:right w:w="0" w:type="dxa"/>
        </w:tblCellMar>
      </w:tblPr>
      <w:tblGrid>
        <w:gridCol w:w="305"/>
        <w:gridCol w:w="6665"/>
      </w:tblGrid>
      <w:tr>
        <w:trPr/>
        <w:tc>
          <w:tcPr>
            <w:tcW w:w="305" w:type="dxa"/>
            <w:tcBorders/>
            <w:vAlign w:val="center"/>
          </w:tcPr>
          <w:p>
            <w:pPr>
              <w:pStyle w:val="TableContents"/>
              <w:bidi w:val="0"/>
              <w:spacing w:before="0" w:after="283"/>
              <w:jc w:val="left"/>
              <w:rPr/>
            </w:pPr>
            <w:r>
              <w:rPr/>
              <w:t>(4)</w:t>
            </w:r>
          </w:p>
        </w:tc>
        <w:tc>
          <w:tcPr>
            <w:tcW w:w="666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 xml:space="preserve">For the relevant fiscal year, represents the cumulative Total Shareholder Return (“TSR”) of our </w:t>
            </w:r>
          </w:p>
          <w:p>
            <w:pPr>
              <w:pStyle w:val="TableContents"/>
              <w:bidi w:val="0"/>
              <w:spacing w:before="0" w:after="0"/>
              <w:jc w:val="left"/>
              <w:rPr>
                <w:rFonts w:ascii="Times New Roman" w:hAnsi="Times New Roman"/>
                <w:sz w:val="17"/>
              </w:rPr>
            </w:pPr>
            <w:r>
              <w:rPr>
                <w:rFonts w:ascii="Times New Roman" w:hAnsi="Times New Roman"/>
                <w:sz w:val="17"/>
              </w:rPr>
              <w:t xml:space="preserve">common </w:t>
            </w:r>
          </w:p>
          <w:p>
            <w:pPr>
              <w:pStyle w:val="TableContents"/>
              <w:bidi w:val="0"/>
              <w:spacing w:before="0" w:after="0"/>
              <w:jc w:val="left"/>
              <w:rPr>
                <w:rFonts w:ascii="Times New Roman" w:hAnsi="Times New Roman"/>
                <w:sz w:val="17"/>
              </w:rPr>
            </w:pPr>
            <w:r>
              <w:rPr>
                <w:rFonts w:ascii="Times New Roman" w:hAnsi="Times New Roman"/>
                <w:sz w:val="17"/>
              </w:rPr>
              <w:t xml:space="preserve">stock at the end of </w:t>
            </w:r>
          </w:p>
          <w:p>
            <w:pPr>
              <w:pStyle w:val="TableContents"/>
              <w:bidi w:val="0"/>
              <w:spacing w:before="0" w:after="0"/>
              <w:jc w:val="left"/>
              <w:rPr>
                <w:rFonts w:ascii="Times New Roman" w:hAnsi="Times New Roman"/>
                <w:sz w:val="17"/>
              </w:rPr>
            </w:pPr>
            <w:r>
              <w:rPr>
                <w:rFonts w:ascii="Times New Roman" w:hAnsi="Times New Roman"/>
                <w:sz w:val="17"/>
              </w:rPr>
              <w:t xml:space="preserve">each </w:t>
            </w:r>
          </w:p>
          <w:p>
            <w:pPr>
              <w:pStyle w:val="TableContents"/>
              <w:bidi w:val="0"/>
              <w:spacing w:before="0" w:after="0"/>
              <w:jc w:val="left"/>
              <w:rPr>
                <w:rFonts w:ascii="Times New Roman" w:hAnsi="Times New Roman"/>
                <w:sz w:val="17"/>
              </w:rPr>
            </w:pPr>
            <w:r>
              <w:rPr>
                <w:rFonts w:ascii="Times New Roman" w:hAnsi="Times New Roman"/>
                <w:sz w:val="17"/>
              </w:rPr>
              <w:t xml:space="preserve">fiscal year, assuming an initial investment of $100 on December 31, 2022. </w:t>
            </w:r>
          </w:p>
        </w:tc>
      </w:tr>
    </w:tbl>
    <w:tbl>
      <w:tblPr>
        <w:tblW w:w="10135" w:type="dxa"/>
        <w:jc w:val="left"/>
        <w:tblInd w:w="0" w:type="dxa"/>
        <w:tblLayout w:type="fixed"/>
        <w:tblCellMar>
          <w:top w:w="0" w:type="dxa"/>
          <w:left w:w="0" w:type="dxa"/>
          <w:bottom w:w="0" w:type="dxa"/>
          <w:right w:w="0" w:type="dxa"/>
        </w:tblCellMar>
      </w:tblPr>
      <w:tblGrid>
        <w:gridCol w:w="305"/>
        <w:gridCol w:w="9830"/>
      </w:tblGrid>
      <w:tr>
        <w:trPr/>
        <w:tc>
          <w:tcPr>
            <w:tcW w:w="305" w:type="dxa"/>
            <w:tcBorders/>
            <w:vAlign w:val="center"/>
          </w:tcPr>
          <w:p>
            <w:pPr>
              <w:pStyle w:val="TableContents"/>
              <w:bidi w:val="0"/>
              <w:spacing w:before="0" w:after="283"/>
              <w:jc w:val="left"/>
              <w:rPr/>
            </w:pPr>
            <w:r>
              <w:rPr/>
              <w:t>(5)</w:t>
            </w:r>
          </w:p>
        </w:tc>
        <w:tc>
          <w:tcPr>
            <w:tcW w:w="983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 xml:space="preserve">The dollar amounts reported represent the amount of net loss reflected in the Company’s audited financial statements for the applicable year. </w:t>
            </w:r>
          </w:p>
        </w:tc>
      </w:tr>
    </w:tbl>
    <w:p>
      <w:pPr>
        <w:pStyle w:val="TextBody"/>
        <w:bidi w:val="0"/>
        <w:spacing w:before="360" w:after="0"/>
        <w:jc w:val="left"/>
        <w:rPr>
          <w:rFonts w:ascii="Times New Roman" w:hAnsi="Times New Roman"/>
          <w:b/>
          <w:i/>
          <w:spacing w:val="0"/>
          <w:sz w:val="20"/>
        </w:rPr>
      </w:pPr>
      <w:r>
        <w:rPr>
          <w:rFonts w:ascii="Times New Roman" w:hAnsi="Times New Roman"/>
          <w:b/>
          <w:i/>
          <w:spacing w:val="0"/>
          <w:sz w:val="20"/>
        </w:rPr>
        <w:t xml:space="preserve">Required Disclosure of the Relationship Between CAP and Financial Performance Measures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Item 402(v)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Regulation S-K,</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the following graphs to illustrate the relationship between the pay and performance figures that are included in the pay versus performance tabular disclosure above. As noted above, CAP for purposes of the tabular disclosure and the following graphs was calculated in accordance with SEC rules and does not reflect the amount of compensation earned by or actually paid to our Named Executive Officers during the applicable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CAP and Net Loss </w:t>
      </w:r>
    </w:p>
    <w:p>
      <w:pPr>
        <w:pStyle w:val="TextBody"/>
        <w:bidi w:val="0"/>
        <w:spacing w:before="120" w:after="0"/>
        <w:jc w:val="left"/>
        <w:rPr>
          <w:rFonts w:ascii="Times New Roman" w:hAnsi="Times New Roman"/>
          <w:sz w:val="20"/>
        </w:rPr>
      </w:pPr>
      <w:r>
        <w:rPr>
          <w:rFonts w:ascii="Times New Roman" w:hAnsi="Times New Roman"/>
          <w:sz w:val="20"/>
        </w:rPr>
        <w:t xml:space="preserve">The chart below shows the relationship between the compensation actually paid to our PEOs and the average compensation actually paid to 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Named Executive Officers, on the one hand, to the Company’s Net Loss over the two years presented in the table, on the other.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288280" cy="26530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288280" cy="2653030"/>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CAP and Cumulative TSR </w:t>
      </w:r>
    </w:p>
    <w:p>
      <w:pPr>
        <w:pStyle w:val="TextBody"/>
        <w:bidi w:val="0"/>
        <w:spacing w:before="120" w:after="0"/>
        <w:jc w:val="left"/>
        <w:rPr>
          <w:rFonts w:ascii="Times New Roman" w:hAnsi="Times New Roman"/>
          <w:sz w:val="20"/>
        </w:rPr>
      </w:pPr>
      <w:r>
        <w:rPr>
          <w:rFonts w:ascii="Times New Roman" w:hAnsi="Times New Roman"/>
          <w:sz w:val="20"/>
        </w:rPr>
        <w:t xml:space="preserve">The chart below shows the relationship between the CAP to our PEOs and the average CAP to 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Named Executive Officers, on the one hand, to the Company’s cumulative TSR over the two years presented in the table, on the other.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196840" cy="26530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196840" cy="265303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Policies and Practices Related to the Grant of Certain Equity Awards Close in Time to the Release of Material Nonpublic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From time to time, the Company grants stock options to its employees, including the Named Executive Officers. Historically, the Company has granted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new-hire</w:t>
      </w:r>
    </w:p>
    <w:p>
      <w:pPr>
        <w:pStyle w:val="TextBody"/>
        <w:bidi w:val="0"/>
        <w:spacing w:before="240" w:after="0"/>
        <w:jc w:val="left"/>
        <w:rPr>
          <w:rFonts w:ascii="Times New Roman" w:hAnsi="Times New Roman"/>
          <w:sz w:val="20"/>
        </w:rPr>
      </w:pPr>
      <w:r>
        <w:rPr>
          <w:rFonts w:ascii="Times New Roman" w:hAnsi="Times New Roman"/>
          <w:sz w:val="20"/>
        </w:rPr>
        <w:t xml:space="preserve">option awards on or soon after a new hire’s employment start date and annual refresh employee option grants in the first quarter of each fiscal year, which refresh grants are typically approved at the regularly scheduled meeting of the Compensation Committee occurring in such quarter. Also,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240" w:after="0"/>
        <w:jc w:val="left"/>
        <w:rPr>
          <w:rFonts w:ascii="Times New Roman" w:hAnsi="Times New Roman"/>
          <w:sz w:val="20"/>
        </w:rPr>
      </w:pPr>
      <w:r>
        <w:rPr>
          <w:rFonts w:ascii="Times New Roman" w:hAnsi="Times New Roman"/>
          <w:sz w:val="20"/>
        </w:rPr>
        <w:t xml:space="preserve">directors receive automatic grants of initial and annual stock option awards, at the time of a director’s initial appointment or election to the board and at the time of each annual meeting of the Company’s stockholders, respectively, pursuant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240" w:after="0"/>
        <w:jc w:val="left"/>
        <w:rPr>
          <w:rFonts w:ascii="Times New Roman" w:hAnsi="Times New Roman"/>
          <w:sz w:val="20"/>
        </w:rPr>
      </w:pPr>
      <w:r>
        <w:rPr>
          <w:rFonts w:ascii="Times New Roman" w:hAnsi="Times New Roman"/>
          <w:sz w:val="20"/>
        </w:rPr>
        <w:t xml:space="preserve">Director Compensation Policy, as further described under the heading, </w:t>
      </w:r>
    </w:p>
    <w:p>
      <w:pPr>
        <w:pStyle w:val="TextBody"/>
        <w:bidi w:val="0"/>
        <w:spacing w:before="240" w:after="0"/>
        <w:jc w:val="left"/>
        <w:rPr>
          <w:spacing w:val="0"/>
        </w:rPr>
      </w:pPr>
      <w:r>
        <w:rPr>
          <w:spacing w:val="0"/>
        </w:rPr>
        <w:t>“</w:t>
      </w:r>
      <w:r>
        <w:rPr>
          <w:rFonts w:ascii="Times New Roman" w:hAnsi="Times New Roman"/>
          <w:spacing w:val="0"/>
          <w:sz w:val="20"/>
        </w:rPr>
        <w:t>Non-Employee</w:t>
      </w:r>
    </w:p>
    <w:p>
      <w:pPr>
        <w:pStyle w:val="TextBody"/>
        <w:bidi w:val="0"/>
        <w:spacing w:before="240" w:after="0"/>
        <w:jc w:val="left"/>
        <w:rPr>
          <w:rFonts w:ascii="Times New Roman" w:hAnsi="Times New Roman"/>
          <w:sz w:val="20"/>
        </w:rPr>
      </w:pPr>
      <w:r>
        <w:rPr>
          <w:rFonts w:ascii="Times New Roman" w:hAnsi="Times New Roman"/>
          <w:sz w:val="20"/>
        </w:rPr>
        <w:t xml:space="preserve">Director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Compensation—Non-Employee</w:t>
      </w:r>
    </w:p>
    <w:p>
      <w:pPr>
        <w:pStyle w:val="TextBody"/>
        <w:bidi w:val="0"/>
        <w:spacing w:before="240" w:after="0"/>
        <w:jc w:val="left"/>
        <w:rPr>
          <w:rFonts w:ascii="Times New Roman" w:hAnsi="Times New Roman"/>
          <w:sz w:val="20"/>
        </w:rPr>
      </w:pPr>
      <w:r>
        <w:rPr>
          <w:rFonts w:ascii="Times New Roman" w:hAnsi="Times New Roman"/>
          <w:sz w:val="20"/>
        </w:rPr>
        <w:t xml:space="preserve">Director Compensation Policy” below. The Company does not otherwise maintain any written policies on the timing of awards of stock options, stock appreciation rights, or similar instruments with option-like features. The Compensation Committee considers whether there is any material nonpublic information (“MNPI”) about the Company when determining the timing of stock option grants and does not seek to time the award of stock options in relation to the Company’s public disclosure of MNPI. The Company has not timed the release of MNPI for the purpose of affecting the value of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Non-Employee</w:t>
      </w:r>
    </w:p>
    <w:p>
      <w:pPr>
        <w:pStyle w:val="TextBody"/>
        <w:bidi w:val="0"/>
        <w:spacing w:before="0" w:after="0"/>
        <w:jc w:val="center"/>
        <w:rPr>
          <w:rFonts w:ascii="Times New Roman" w:hAnsi="Times New Roman"/>
          <w:b/>
          <w:sz w:val="20"/>
        </w:rPr>
      </w:pPr>
      <w:r>
        <w:rPr>
          <w:rFonts w:ascii="Times New Roman" w:hAnsi="Times New Roman"/>
          <w:b/>
          <w:sz w:val="20"/>
        </w:rPr>
        <w:t xml:space="preserve">Director Compensation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for the fiscal year ended December 31, 2024 certain information with respect to the compensation of our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240" w:after="0"/>
        <w:jc w:val="left"/>
        <w:rPr>
          <w:rFonts w:ascii="Times New Roman" w:hAnsi="Times New Roman"/>
          <w:sz w:val="20"/>
        </w:rPr>
      </w:pPr>
      <w:r>
        <w:rPr>
          <w:rFonts w:ascii="Times New Roman" w:hAnsi="Times New Roman"/>
          <w:sz w:val="20"/>
        </w:rPr>
        <w:t xml:space="preserve">directors: </w:t>
      </w:r>
    </w:p>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2660"/>
        <w:gridCol w:w="120"/>
        <w:gridCol w:w="107"/>
        <w:gridCol w:w="1218"/>
        <w:gridCol w:w="170"/>
        <w:gridCol w:w="60"/>
        <w:gridCol w:w="60"/>
        <w:gridCol w:w="800"/>
        <w:gridCol w:w="60"/>
        <w:gridCol w:w="120"/>
        <w:gridCol w:w="60"/>
        <w:gridCol w:w="800"/>
        <w:gridCol w:w="7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Name</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0"/>
              <w:jc w:val="center"/>
              <w:rPr>
                <w:b/>
              </w:rPr>
            </w:pPr>
            <w:r>
              <w:rPr>
                <w:b/>
              </w:rPr>
              <w:t>Fees</w:t>
            </w:r>
          </w:p>
          <w:p>
            <w:pPr>
              <w:pStyle w:val="TableContents"/>
              <w:bidi w:val="0"/>
              <w:spacing w:before="0" w:after="0"/>
              <w:jc w:val="center"/>
              <w:rPr/>
            </w:pPr>
            <w:r>
              <w:rPr/>
            </w:r>
          </w:p>
          <w:p>
            <w:pPr>
              <w:pStyle w:val="TableContents"/>
              <w:bidi w:val="0"/>
              <w:spacing w:before="0" w:after="0"/>
              <w:jc w:val="center"/>
              <w:rPr>
                <w:b/>
              </w:rPr>
            </w:pPr>
            <w:r>
              <w:rPr>
                <w:b/>
              </w:rPr>
              <w:t>Earned or</w:t>
              <w:br/>
              <w:t>Paid in Cash</w:t>
            </w:r>
          </w:p>
          <w:p>
            <w:pPr>
              <w:pStyle w:val="TableContents"/>
              <w:bidi w:val="0"/>
              <w:spacing w:before="0" w:after="0"/>
              <w:jc w:val="center"/>
              <w:rPr/>
            </w:pPr>
            <w:r>
              <w:rPr/>
            </w:r>
          </w:p>
          <w:p>
            <w:pPr>
              <w:pStyle w:val="TableContents"/>
              <w:bidi w:val="0"/>
              <w:spacing w:before="0" w:after="0"/>
              <w:jc w:val="center"/>
              <w:rPr>
                <w:b/>
              </w:rPr>
            </w:pPr>
            <w:r>
              <w:rPr>
                <w:b/>
              </w:rPr>
              <w:t>($)</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rPr>
            </w:pPr>
            <w:r>
              <w:rPr>
                <w:b/>
              </w:rPr>
              <w:t>Option</w:t>
            </w:r>
          </w:p>
          <w:p>
            <w:pPr>
              <w:pStyle w:val="TableContents"/>
              <w:bidi w:val="0"/>
              <w:spacing w:before="0" w:after="0"/>
              <w:jc w:val="center"/>
              <w:rPr/>
            </w:pPr>
            <w:r>
              <w:rPr/>
            </w:r>
          </w:p>
          <w:p>
            <w:pPr>
              <w:pStyle w:val="TableContents"/>
              <w:bidi w:val="0"/>
              <w:spacing w:before="0" w:after="0"/>
              <w:jc w:val="center"/>
              <w:rPr>
                <w:b/>
              </w:rPr>
            </w:pPr>
            <w:r>
              <w:rPr>
                <w:b/>
              </w:rPr>
              <w:t>Awards</w:t>
            </w:r>
          </w:p>
          <w:p>
            <w:pPr>
              <w:pStyle w:val="TableContents"/>
              <w:bidi w:val="0"/>
              <w:spacing w:before="0" w:after="0"/>
              <w:jc w:val="center"/>
              <w:rPr>
                <w:b/>
                <w:sz w:val="9"/>
              </w:rPr>
            </w:pPr>
            <w:r>
              <w:rPr>
                <w:b/>
                <w:sz w:val="9"/>
              </w:rPr>
              <w:t>(1)(2)</w:t>
            </w:r>
          </w:p>
          <w:p>
            <w:pPr>
              <w:pStyle w:val="TableContents"/>
              <w:bidi w:val="0"/>
              <w:spacing w:before="0" w:after="0"/>
              <w:jc w:val="center"/>
              <w:rPr/>
            </w:pPr>
            <w:r>
              <w:rPr/>
            </w:r>
          </w:p>
          <w:p>
            <w:pPr>
              <w:pStyle w:val="TableContents"/>
              <w:bidi w:val="0"/>
              <w:spacing w:before="0" w:after="0"/>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rPr>
            </w:pPr>
            <w:r>
              <w:rPr>
                <w:b/>
              </w:rPr>
              <w:t>Total</w:t>
            </w:r>
          </w:p>
          <w:p>
            <w:pPr>
              <w:pStyle w:val="TableContents"/>
              <w:bidi w:val="0"/>
              <w:spacing w:before="0" w:after="0"/>
              <w:jc w:val="center"/>
              <w:rPr/>
            </w:pPr>
            <w:r>
              <w:rPr/>
            </w:r>
          </w:p>
          <w:p>
            <w:pPr>
              <w:pStyle w:val="TableContents"/>
              <w:bidi w:val="0"/>
              <w:spacing w:before="0" w:after="0"/>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Phillip B. Donenberg</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27,500</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162,326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225,068</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 M.S., M.B.A.</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40,750</w:t>
            </w:r>
          </w:p>
        </w:tc>
        <w:tc>
          <w:tcPr>
            <w:tcW w:w="170" w:type="dxa"/>
            <w:tcBorders/>
            <w:vAlign w:val="center"/>
          </w:tcPr>
          <w:p>
            <w:pPr>
              <w:pStyle w:val="TableContents"/>
              <w:bidi w:val="0"/>
              <w:spacing w:before="0" w:after="0"/>
              <w:jc w:val="left"/>
              <w:rPr>
                <w:sz w:val="12"/>
              </w:rPr>
            </w:pPr>
            <w:r>
              <w:rPr>
                <w:sz w:val="12"/>
              </w:rPr>
              <w:t>(3)</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162,326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238,318</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24,000</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162,326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221,568</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M.D., M.B.A.</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25,000</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162,326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222,568</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 M.S., M.B.A.</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26,250</w:t>
            </w:r>
          </w:p>
        </w:tc>
        <w:tc>
          <w:tcPr>
            <w:tcW w:w="170" w:type="dxa"/>
            <w:tcBorders/>
            <w:shd w:fill="CCEEFF" w:val="clear"/>
            <w:vAlign w:val="center"/>
          </w:tcPr>
          <w:p>
            <w:pPr>
              <w:pStyle w:val="TableContents"/>
              <w:bidi w:val="0"/>
              <w:spacing w:before="0" w:after="0"/>
              <w:jc w:val="left"/>
              <w:rPr>
                <w:sz w:val="12"/>
              </w:rPr>
            </w:pPr>
            <w:r>
              <w:rPr>
                <w:sz w:val="12"/>
              </w:rPr>
              <w:t>(4)</w:t>
            </w:r>
          </w:p>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162,326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223,818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here do not reflect the actual economic value realized by our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non-employee</w:t>
            </w:r>
          </w:p>
          <w:p>
            <w:pPr>
              <w:pStyle w:val="TableContents"/>
              <w:bidi w:val="0"/>
              <w:spacing w:before="0" w:after="0"/>
              <w:jc w:val="left"/>
              <w:rPr>
                <w:rFonts w:ascii="Times New Roman" w:hAnsi="Times New Roman"/>
                <w:sz w:val="20"/>
              </w:rPr>
            </w:pPr>
            <w:r>
              <w:rPr>
                <w:rFonts w:ascii="Times New Roman" w:hAnsi="Times New Roman"/>
                <w:sz w:val="20"/>
              </w:rPr>
              <w:t xml:space="preserve">directors. In accordance </w:t>
            </w:r>
          </w:p>
          <w:p>
            <w:pPr>
              <w:pStyle w:val="TableContents"/>
              <w:bidi w:val="0"/>
              <w:spacing w:before="0" w:after="0"/>
              <w:jc w:val="left"/>
              <w:rPr>
                <w:rFonts w:ascii="Times New Roman" w:hAnsi="Times New Roman"/>
                <w:sz w:val="20"/>
              </w:rPr>
            </w:pPr>
            <w:r>
              <w:rPr>
                <w:rFonts w:ascii="Times New Roman" w:hAnsi="Times New Roman"/>
                <w:sz w:val="20"/>
              </w:rPr>
              <w:t xml:space="preserve">with </w:t>
            </w:r>
          </w:p>
          <w:p>
            <w:pPr>
              <w:pStyle w:val="TableContents"/>
              <w:bidi w:val="0"/>
              <w:spacing w:before="0" w:after="0"/>
              <w:jc w:val="left"/>
              <w:rPr>
                <w:rFonts w:ascii="Times New Roman" w:hAnsi="Times New Roman"/>
                <w:sz w:val="20"/>
              </w:rPr>
            </w:pPr>
            <w:r>
              <w:rPr>
                <w:rFonts w:ascii="Times New Roman" w:hAnsi="Times New Roman"/>
                <w:sz w:val="20"/>
              </w:rPr>
              <w:t xml:space="preserve">SEC rules, this column represents the grant date fair value of shares underlying stock options, calculated in accordance with ASC 718. Assumptions used in the calculation of the grant date fair value of the stock options are set forth in “Note 2. Organization and Summary of Significant Accounting Policies—Stock-Based Compensation” and “Note 8. Equity Incentive Plans” to our audited consolidated financial statements included in our Annual Report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10-K</w:t>
            </w:r>
          </w:p>
          <w:p>
            <w:pPr>
              <w:pStyle w:val="TableContents"/>
              <w:bidi w:val="0"/>
              <w:spacing w:before="0" w:after="0"/>
              <w:jc w:val="left"/>
              <w:rPr>
                <w:rFonts w:ascii="Times New Roman" w:hAnsi="Times New Roman"/>
                <w:sz w:val="20"/>
              </w:rPr>
            </w:pPr>
            <w:r>
              <w:rPr>
                <w:rFonts w:ascii="Times New Roman" w:hAnsi="Times New Roman"/>
                <w:sz w:val="20"/>
              </w:rPr>
              <w:t xml:space="preserve">for the fiscal year ended December 31, 2024. These amounts do not correspond to the actual economic value that may be received by our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non-employee</w:t>
            </w:r>
          </w:p>
          <w:p>
            <w:pPr>
              <w:pStyle w:val="TableContents"/>
              <w:bidi w:val="0"/>
              <w:spacing w:before="0" w:after="0"/>
              <w:jc w:val="left"/>
              <w:rPr>
                <w:rFonts w:ascii="Times New Roman" w:hAnsi="Times New Roman"/>
                <w:sz w:val="20"/>
              </w:rPr>
            </w:pPr>
            <w:r>
              <w:rPr>
                <w:rFonts w:ascii="Times New Roman" w:hAnsi="Times New Roman"/>
                <w:sz w:val="20"/>
              </w:rPr>
              <w:t xml:space="preserve">directors upon the exercise of the stock options or any sale of the underlying shares of common stock.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following table provides information regarding the number of shares of common stock underlying options held by our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non-employee</w:t>
            </w:r>
          </w:p>
          <w:p>
            <w:pPr>
              <w:pStyle w:val="TableContents"/>
              <w:bidi w:val="0"/>
              <w:spacing w:before="0" w:after="0"/>
              <w:jc w:val="left"/>
              <w:rPr>
                <w:rFonts w:ascii="Times New Roman" w:hAnsi="Times New Roman"/>
                <w:sz w:val="20"/>
              </w:rPr>
            </w:pPr>
            <w:r>
              <w:rPr>
                <w:rFonts w:ascii="Times New Roman" w:hAnsi="Times New Roman"/>
                <w:sz w:val="20"/>
              </w:rPr>
              <w:t xml:space="preserve">directors that were outstanding as of December 31, 2024: </w:t>
            </w:r>
          </w:p>
        </w:tc>
      </w:tr>
    </w:tbl>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2660"/>
        <w:gridCol w:w="120"/>
        <w:gridCol w:w="129"/>
        <w:gridCol w:w="1466"/>
        <w:gridCol w:w="7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 Awards</w:t>
              <w:br/>
              <w:t>Outstanding at</w:t>
            </w:r>
          </w:p>
          <w:p>
            <w:pPr>
              <w:pStyle w:val="TableContents"/>
              <w:bidi w:val="0"/>
              <w:spacing w:before="0" w:after="0"/>
              <w:jc w:val="center"/>
              <w:rPr>
                <w:b/>
                <w:spacing w:val="0"/>
              </w:rPr>
            </w:pPr>
            <w:r>
              <w:rPr>
                <w:b/>
                <w:spacing w:val="0"/>
              </w:rPr>
              <w:t>Year-End</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Phillip B. Donenberg</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21,132</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 M.S., M.B.A.</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11,760</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11,760</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M.D., M.B.A.</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23,926</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 M.S., M.B.A.</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11,760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305"/>
        <w:gridCol w:w="5000"/>
      </w:tblGrid>
      <w:tr>
        <w:trPr/>
        <w:tc>
          <w:tcPr>
            <w:tcW w:w="305" w:type="dxa"/>
            <w:tcBorders/>
            <w:vAlign w:val="center"/>
          </w:tcPr>
          <w:p>
            <w:pPr>
              <w:pStyle w:val="TableContents"/>
              <w:bidi w:val="0"/>
              <w:spacing w:before="0" w:after="283"/>
              <w:jc w:val="left"/>
              <w:rPr/>
            </w:pPr>
            <w:r>
              <w:rPr/>
              <w:t>(3)</w:t>
            </w:r>
          </w:p>
        </w:tc>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fees earned by Mr. McGuire were paid to Polaris Partners.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(4)</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$13,125 of fees earned by Mr. Vitorovic were paid to Vida Ventures and $13,125 of fees earned were paid to Mr. Vitorovic. </w:t>
            </w:r>
          </w:p>
        </w:tc>
      </w:tr>
    </w:tbl>
    <w:p>
      <w:pPr>
        <w:pStyle w:val="TextBody"/>
        <w:bidi w:val="0"/>
        <w:spacing w:before="240" w:after="0"/>
        <w:jc w:val="left"/>
        <w:rPr>
          <w:rFonts w:ascii="Times New Roman" w:hAnsi="Times New Roman"/>
          <w:sz w:val="20"/>
        </w:rPr>
      </w:pPr>
      <w:r>
        <w:rPr>
          <w:rFonts w:ascii="Times New Roman" w:hAnsi="Times New Roman"/>
          <w:sz w:val="20"/>
        </w:rPr>
        <w:t>Alise Reicin, our CEO, does not receive any additional compensation for her service on the Board. Dr. Reicin’s compensation as a Named Executive Officer is set forth above under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Executive Compensation-Summary Compensation Table</w:t>
      </w:r>
    </w:p>
    <w:p>
      <w:pPr>
        <w:pStyle w:val="TextBody"/>
        <w:bidi w:val="0"/>
        <w:spacing w:before="240" w:after="0"/>
        <w:jc w:val="left"/>
        <w:rPr/>
      </w:pPr>
      <w:r>
        <w:rPr/>
        <w:t>”</w:t>
      </w:r>
      <w:r>
        <w:rPr>
          <w:rFonts w:ascii="Times New Roman" w:hAnsi="Times New Roman"/>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i/>
          <w:spacing w:val="0"/>
          <w:sz w:val="20"/>
        </w:rPr>
      </w:pPr>
      <w:r>
        <w:rPr>
          <w:rFonts w:ascii="Times New Roman" w:hAnsi="Times New Roman"/>
          <w:b/>
          <w:i/>
          <w:spacing w:val="0"/>
          <w:sz w:val="20"/>
        </w:rPr>
        <w:t>Non-Employee</w:t>
      </w:r>
    </w:p>
    <w:p>
      <w:pPr>
        <w:pStyle w:val="TextBody"/>
        <w:bidi w:val="0"/>
        <w:spacing w:before="360" w:after="0"/>
        <w:jc w:val="left"/>
        <w:rPr>
          <w:rFonts w:ascii="Times New Roman" w:hAnsi="Times New Roman"/>
          <w:b/>
          <w:i/>
          <w:spacing w:val="0"/>
          <w:sz w:val="20"/>
        </w:rPr>
      </w:pPr>
      <w:r>
        <w:rPr>
          <w:rFonts w:ascii="Times New Roman" w:hAnsi="Times New Roman"/>
          <w:b/>
          <w:i/>
          <w:spacing w:val="0"/>
          <w:sz w:val="20"/>
        </w:rPr>
        <w:t xml:space="preserve">Director Compensation Policy After the Merger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Merger, our Board approved certain option grants to our directors, other than Dr. Reicin. As a result, on June 20, 2024, each of Phillip B. Donenberg, Terrance McGuire, Timothy A. Springer, Ph.D., Praveen Tipirneni, M.D. and Stefan Vitorovic received an option grant to purchase 11,760 shares of our common stock, in each case, with an exercise price per share equal to $16.80, which was the closing price per share of our common stock as reported on the Nasdaq Global Market on the closing date of the Merger (as adjusted for the reverse stock split). The shares subject to these option grants will vest 1/3 on the first anniversary of the grant date, and thereafter the remaining 2/3 of the shares will vest in equal monthly installments over the following two years, in each case subject to the recipient’s continuous service through the applicable vesting dates, such that the options are vested in full on the three-year anniversary of the grant date.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our Non-Employee Director Compensation Policy, which was established in connection with the Merger, each of our non-employee directors is eligible to receive compensation for service on our board of directors and committees of our board of directors as set forth below. </w:t>
      </w:r>
    </w:p>
    <w:p>
      <w:pPr>
        <w:pStyle w:val="TextBody"/>
        <w:bidi w:val="0"/>
        <w:spacing w:before="360" w:after="0"/>
        <w:jc w:val="left"/>
        <w:rPr>
          <w:rFonts w:ascii="Times New Roman" w:hAnsi="Times New Roman"/>
          <w:i/>
          <w:sz w:val="20"/>
        </w:rPr>
      </w:pPr>
      <w:r>
        <w:rPr>
          <w:rFonts w:ascii="Times New Roman" w:hAnsi="Times New Roman"/>
          <w:i/>
          <w:sz w:val="20"/>
        </w:rPr>
        <w:t xml:space="preserve">Cash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Non-Employee Director Compensation Policy provides our non-employee directors with the following cash compensation for their services: </w:t>
      </w:r>
    </w:p>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$40,000 per year for each non-employee director;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$70,000 per year for the non-executive chairperson (if applicable) in lieu of the annual amount above;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$15,000 per year for chair of the audit committee or $7,500 per year for each other member of the audit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$10,000 per year for chair of the compensation committee or $5,000 per year for each other member of the compensation committee;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$8,000 per year for chair of the nominating and corporate governance committee or $4,000 per year for each other member of the nominating and corporate governance committee.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cash compensation above is payable to our eligible non-employee directors in equal quarterly installments in arrears, prorated for any partial quarter of service. </w:t>
      </w:r>
    </w:p>
    <w:p>
      <w:pPr>
        <w:pStyle w:val="TextBody"/>
        <w:bidi w:val="0"/>
        <w:spacing w:before="360" w:after="0"/>
        <w:jc w:val="left"/>
        <w:rPr>
          <w:rFonts w:ascii="Times New Roman" w:hAnsi="Times New Roman"/>
          <w:i/>
          <w:sz w:val="20"/>
        </w:rPr>
      </w:pPr>
      <w:r>
        <w:rPr>
          <w:rFonts w:ascii="Times New Roman" w:hAnsi="Times New Roman"/>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cash compensation structure described above, the Non-Employee Director Compensation Policy provides for the following equity incentive compensation program for non-employee directors. All such equity compensation will be granted under the 2024 Plan or any successor equity plan. </w:t>
      </w:r>
    </w:p>
    <w:p>
      <w:pPr>
        <w:pStyle w:val="TextBody"/>
        <w:bidi w:val="0"/>
        <w:spacing w:before="240" w:after="0"/>
        <w:jc w:val="left"/>
        <w:rPr>
          <w:rFonts w:ascii="Times New Roman" w:hAnsi="Times New Roman"/>
          <w:sz w:val="20"/>
        </w:rPr>
      </w:pPr>
      <w:r>
        <w:rPr>
          <w:rFonts w:ascii="Times New Roman" w:hAnsi="Times New Roman"/>
          <w:i/>
          <w:sz w:val="20"/>
        </w:rPr>
        <w:t>Initial Grant</w:t>
      </w:r>
      <w:r>
        <w:rPr>
          <w:rFonts w:ascii="Times New Roman" w:hAnsi="Times New Roman"/>
          <w:sz w:val="20"/>
        </w:rPr>
        <w:t xml:space="preserve">. Each non-employee director who joins our Board will automatically, upon the date of his or her initial election or appointment to be a non-employee director (or, if such date is not a business day, on the first business day thereafter), be granted a one-time, initial equity award of options (the “initial grant”) to purchase 14,800 shares of common stock with a cash value not to exceed $800,000. One-third of the initial grant will vest on the first anniversary of the date of grant, with the remainder vesting in equal monthly installments thereafter until the third anniversary of the date of grant, subject to continuous service through each applicable vesting date. </w:t>
      </w:r>
    </w:p>
    <w:p>
      <w:pPr>
        <w:pStyle w:val="TextBody"/>
        <w:bidi w:val="0"/>
        <w:spacing w:before="240" w:after="0"/>
        <w:jc w:val="left"/>
        <w:rPr>
          <w:rFonts w:ascii="Times New Roman" w:hAnsi="Times New Roman"/>
          <w:sz w:val="20"/>
        </w:rPr>
      </w:pPr>
      <w:r>
        <w:rPr>
          <w:rFonts w:ascii="Times New Roman" w:hAnsi="Times New Roman"/>
          <w:i/>
          <w:sz w:val="20"/>
        </w:rPr>
        <w:t>Annual Grant</w:t>
      </w:r>
      <w:r>
        <w:rPr>
          <w:rFonts w:ascii="Times New Roman" w:hAnsi="Times New Roman"/>
          <w:sz w:val="20"/>
        </w:rPr>
        <w:t xml:space="preserve">. On the first business day following each annual meeting of our stockholders, each person who is then a non-employee director of ours will automatically be granted an option to purchase 7,400 shares of common stock with a cash value not to exceed $400,000 (the “annual grant”). Each annual grant will vest on the earlier of the one-year anniversary of the annual award’s grant date or the date of our next annual stockholder meeting following the annual award’s grant date, subject to continuous service through the vesting date. </w:t>
      </w:r>
    </w:p>
    <w:p>
      <w:pPr>
        <w:pStyle w:val="TextBody"/>
        <w:bidi w:val="0"/>
        <w:spacing w:before="240" w:after="0"/>
        <w:jc w:val="left"/>
        <w:rPr>
          <w:rFonts w:ascii="Times New Roman" w:hAnsi="Times New Roman"/>
          <w:sz w:val="20"/>
        </w:rPr>
      </w:pPr>
      <w:r>
        <w:rPr>
          <w:rFonts w:ascii="Times New Roman" w:hAnsi="Times New Roman"/>
          <w:sz w:val="20"/>
        </w:rPr>
        <w:t xml:space="preserve">Each non-employee director’s then-outstanding equity awards granted under the policy (and any other then-outstanding equity awards held by the non-employee director that were outstanding and unvested immediately prior to the date of the execution of the underwriting agreement related to our initial public offering) will become fully vested upon a change in control (as defined in our 2024 Plan), subject to the non-employee director remaining in continuous service until immediately prior to the closing of the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toc949345_51"/>
      <w:bookmarkEnd w:id="46"/>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the Common Stock as of February 28, 2025, by: </w:t>
      </w:r>
    </w:p>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be the beneficial owner of more than 5% of the Company’s outstanding common stock; </w:t>
            </w:r>
          </w:p>
        </w:tc>
      </w:tr>
    </w:tbl>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75"/>
        <w:gridCol w:w="110"/>
        <w:gridCol w:w="60"/>
        <w:gridCol w:w="5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Company’s Named Executive Officers and directors; and </w:t>
            </w:r>
          </w:p>
        </w:tc>
      </w:tr>
    </w:tbl>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the Company’s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with respect to the securities as well as any shares of common stock that the individual or entity has the right to acquire within 60 days of February 28, 2025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Except as noted by footnote, and subject to community property laws where applicable, the Company believes, based on the information provided to them, that the persons and entities named in the table below have sole voting and investment power with respect to all common stock shown as beneficially owned by them. </w:t>
      </w:r>
    </w:p>
    <w:p>
      <w:pPr>
        <w:pStyle w:val="TextBody"/>
        <w:bidi w:val="0"/>
        <w:spacing w:before="240" w:after="0"/>
        <w:jc w:val="left"/>
        <w:rPr>
          <w:rFonts w:ascii="Times New Roman" w:hAnsi="Times New Roman"/>
          <w:sz w:val="20"/>
        </w:rPr>
      </w:pPr>
      <w:r>
        <w:rPr>
          <w:rFonts w:ascii="Times New Roman" w:hAnsi="Times New Roman"/>
          <w:sz w:val="20"/>
        </w:rPr>
        <w:t xml:space="preserve">The table lists applicable percentage ownership based on 18,662,672 shares of common stock outstanding as of February 28, 2025. </w:t>
      </w:r>
    </w:p>
    <w:p>
      <w:pPr>
        <w:pStyle w:val="TextBody"/>
        <w:bidi w:val="0"/>
        <w:spacing w:before="0" w:after="0"/>
        <w:jc w:val="left"/>
        <w:rPr/>
      </w:pPr>
      <w:r>
        <w:rPr/>
        <w:t> </w:t>
      </w:r>
    </w:p>
    <w:tbl>
      <w:tblPr>
        <w:tblW w:w="8730" w:type="dxa"/>
        <w:jc w:val="left"/>
        <w:tblInd w:w="0" w:type="dxa"/>
        <w:tblLayout w:type="fixed"/>
        <w:tblCellMar>
          <w:top w:w="0" w:type="dxa"/>
          <w:left w:w="0" w:type="dxa"/>
          <w:bottom w:w="0" w:type="dxa"/>
          <w:right w:w="0" w:type="dxa"/>
        </w:tblCellMar>
      </w:tblPr>
      <w:tblGrid>
        <w:gridCol w:w="5300"/>
        <w:gridCol w:w="120"/>
        <w:gridCol w:w="92"/>
        <w:gridCol w:w="1507"/>
        <w:gridCol w:w="92"/>
        <w:gridCol w:w="184"/>
        <w:gridCol w:w="137"/>
        <w:gridCol w:w="1008"/>
        <w:gridCol w:w="290"/>
      </w:tblGrid>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beneficially owned</w:t>
            </w:r>
          </w:p>
        </w:tc>
        <w:tc>
          <w:tcPr>
            <w:tcW w:w="29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center"/>
          </w:tcPr>
          <w:p>
            <w:pPr>
              <w:pStyle w:val="TableContents"/>
              <w:bidi w:val="0"/>
              <w:spacing w:before="0" w:after="283"/>
              <w:jc w:val="left"/>
              <w:rPr/>
            </w:pPr>
            <w:r>
              <w:rPr/>
              <w:t>  </w:t>
            </w:r>
          </w:p>
        </w:tc>
        <w:tc>
          <w:tcPr>
            <w:tcW w:w="15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507"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Persons and entities affiliated with Timothy A. Springer, Ph.D.(1)</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5,382,415</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28.8</w:t>
            </w:r>
          </w:p>
        </w:tc>
        <w:tc>
          <w:tcPr>
            <w:tcW w:w="29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FMR LLC(2)</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1,516,335</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8.1</w:t>
            </w:r>
          </w:p>
        </w:tc>
        <w:tc>
          <w:tcPr>
            <w:tcW w:w="29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 Capital, LP(3)</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1,401,938</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7.5</w:t>
            </w:r>
          </w:p>
        </w:tc>
        <w:tc>
          <w:tcPr>
            <w:tcW w:w="29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Polaris Partners IX, L.P.(4)</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1,073,063</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5.8</w:t>
            </w:r>
          </w:p>
        </w:tc>
        <w:tc>
          <w:tcPr>
            <w:tcW w:w="29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Vida Ventures(5)</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1,028,674</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5.5</w:t>
            </w:r>
          </w:p>
        </w:tc>
        <w:tc>
          <w:tcPr>
            <w:tcW w:w="29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507"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Ph.D.(1)</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5,382,415</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28.8</w:t>
            </w:r>
          </w:p>
        </w:tc>
        <w:tc>
          <w:tcPr>
            <w:tcW w:w="29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McGuire(6)</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1,157,977</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6.2</w:t>
            </w:r>
          </w:p>
        </w:tc>
        <w:tc>
          <w:tcPr>
            <w:tcW w:w="29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M.D.(7)</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334,848</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1.8</w:t>
            </w:r>
          </w:p>
        </w:tc>
        <w:tc>
          <w:tcPr>
            <w:tcW w:w="29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M.D.(8)</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110,914</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M.D.(9)</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15,203</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Daniel Lochner(10)</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5,986</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Phillip B. Donenberg(11)</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9,538</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All executive officers and directors as a group (10 persons)(12)</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7,188,543</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38.0</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4855" w:type="dxa"/>
        <w:jc w:val="left"/>
        <w:tblInd w:w="0" w:type="dxa"/>
        <w:tblLayout w:type="fixed"/>
        <w:tblCellMar>
          <w:top w:w="0" w:type="dxa"/>
          <w:left w:w="0" w:type="dxa"/>
          <w:bottom w:w="0" w:type="dxa"/>
          <w:right w:w="0" w:type="dxa"/>
        </w:tblCellMar>
      </w:tblPr>
      <w:tblGrid>
        <w:gridCol w:w="155"/>
        <w:gridCol w:w="4700"/>
      </w:tblGrid>
      <w:tr>
        <w:trPr/>
        <w:tc>
          <w:tcPr>
            <w:tcW w:w="155"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one percent.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4,226,058 shares of common stock held by Dr. Springer, (ii) 186,134 shares held by Dr. Chafen Lu and (iii) 970,223 shares of common stock held by TAS Partners, LLC (“TAS”). Dr. Lu is the spouse of Dr. Springer.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power over the shares held by her directly. The principal business address of each of Dr. Springer, Dr. Lu and TAS is 36 Woodman Road, Newton, MA 02467.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shares of common stock are owned by funds and accounts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1,401,938 shares of common stock held by Deep Track Biotechnology Master Fund, Ltd. (“Deep Track Master”). David Kroin is the managing member of Deep Track Capital GP, LLC, the General Partner of Deep Track Capital, LP. Deep Track Capital, LP is the Investment Manager of Deep Track Biotechnology Master Fund. Ltd. The address of the above persons and entities is 200 Greenwich Avenue, 3rd Floor, Greenwich, CT 06830.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(4)</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the shares are held of record by Polaris Partners IX, L.P. (“PP IX”). Polaris Partners GP IX, L.L.C. (“PP GP IX”) is the general partner of PP IX and may be deemed to have sole voting and dispositive power with respect to the shares held by PP IX. David Barrett, Brian Chee, Amir Nashat and Amy Schulman (collectively, the “PP GP IX Managing Members”) are the managing members of PP GP IX, and Terrance McGuire, a member of the board of directors,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 02210.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(5)</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1,000,900 shares of common stock held by Vida Ventures II, LLC (“Vida II Main Fund”) and (ii) 27,774 shares of common stock held by Vida Ventures II-A, LLC (“Vida II Parallel Fund,” and together with the Vida II Main Fund, “Vida II”). VV Manager II, LLC (“VV Manager II”) is the manager of Vida II. Arie Belldegrun, Fred Cohen, and Leonard Potter are the members of the management committee of VV Manager II (the “Management Committee”) and Arie Belldegrun, Fred Cohen, Helen Kim, Rajul Jain, and Joshua Kazam are the members of the investment committee of VV Manager II (the “Investment Committee”). Each of the Management Committee, the Investment Committee and the respective members thereof may be deemed to share voting and dispositive power over the shares held by Vida II. VV Manager II, the Management Committee, the Investment Committee and each member of each of the Management Committee and Investment Committee disclaim beneficial ownership over the securities held of record by Vida II. The address of all entities affiliated with Vida is 40 Broad Street, Suite 201, Boston, MA 02109.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(6)</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20,262 shares of common stock held by Polaris Founders Capital Fund I, L.P. (“PF I”), (ii) 64,652 shares of common stock held by Polaris Founders Capital Fund II, L.P. (“PF II”) and (iii) 1,073,063 shares of common stock held by PP IX. Polaris Founders Capital Management Co. I, L.L.C. (“PFC I GP”) is the general partner of PF I and may be deemed to have sole voting and dispositive power with respect to the shares held by PF I. Polaris Founders Capital Management Co. II, L.L.C. (“PFC II GP”) is the general partner of PF II and may be deemed to have sole voting and dispositive power with respect to the shares held by PFC II. Terrance McGuire, a member of the board of directors, and Jonathan Flint (together, the “PFC GP Managing Members”) are the managing members of PFC I GP and PFC II GP. Each of the PFC GP Managing Members, in their respective capacities with respect to PFC I GP and PFC II GP, may be deemed to have shared voting and dispositive power with respect to the shares held by PF I and PF II. PP GP IX is the general partner of PP IX and may be deemed to have sole voting and dispositive power with respect to the shares held by PP IX. The PP GP IX Managing Members are the managing members of PP GP IX, and Terrance McGuire, a member of the board of directors, holds an interest in PP GP IX. Each of the PP GP IX Managing Members and Terrance McGuire, in their respective capacities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 02210.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(7)</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166,580 shares of common stock held by Dr. Reicin, 11,372 of which are subject to repurchase as of February 28, 2025, (ii) 124,530 shares of common stock held by the 2020 Reicin-Boiarsky Family Trust (the “2020 Reicin Trust”) and (iii) 43,738 shares of common stock issuable upon exercise of options granted to Dr. Reicin that are exercisable within 60 days of February 28, 2025. Robert Boiarsky is a co-trustee of the 2020 Reicin Trust and the spouse of Dr. Reicin. Dr. Reicin may be deemed to have shared voting and dispositive power over the securities held by the 2020 Reicin Trust.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(8)</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64,130 shares of common stock held by Dr. Ruddy and (ii) 46,784 shares of common stock issuable upon exercise of options granted to Dr. Ruddy that are exercisable within 60 days of February 28, 2025.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(9)</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3,037 shares of common stock held by Dr. Tipirneni and (ii) 12,166 shares of common stock issuable upon exercise of options granted to Dr. Tipirneni that are exercisable within 60 days of February 28, 2025. </w:t>
            </w:r>
          </w:p>
        </w:tc>
      </w:tr>
    </w:tbl>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pPr>
            <w:r>
              <w:rPr/>
              <w:t>(10)</w:t>
            </w:r>
          </w:p>
        </w:tc>
        <w:tc>
          <w:tcPr>
            <w:tcW w:w="98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4,617 shares of common stock held by Mr. Lochner and (ii) 1,369 shares of common stock issuable upon exercise of options granted to Mr. Lochner that are exercisable within 60 days of February 28, 2025. </w:t>
            </w:r>
          </w:p>
        </w:tc>
      </w:tr>
    </w:tbl>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pPr>
            <w:r>
              <w:rPr/>
              <w:t>(11)</w:t>
            </w:r>
          </w:p>
        </w:tc>
        <w:tc>
          <w:tcPr>
            <w:tcW w:w="98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166 shares of common stock held by Mr. Donenberg and (ii) 9,372 shares of common stock issuable upon exercise of options granted to Mr. Donenberg that are exercisable within 60 days of February 28, 2025. </w:t>
            </w:r>
          </w:p>
        </w:tc>
      </w:tr>
    </w:tbl>
    <w:tbl>
      <w:tblPr>
        <w:tblW w:w="10205" w:type="dxa"/>
        <w:jc w:val="left"/>
        <w:tblInd w:w="0" w:type="dxa"/>
        <w:tblLayout w:type="fixed"/>
        <w:tblCellMar>
          <w:top w:w="0" w:type="dxa"/>
          <w:left w:w="0" w:type="dxa"/>
          <w:bottom w:w="0" w:type="dxa"/>
          <w:right w:w="0" w:type="dxa"/>
        </w:tblCellMar>
      </w:tblPr>
      <w:tblGrid>
        <w:gridCol w:w="397"/>
        <w:gridCol w:w="9808"/>
      </w:tblGrid>
      <w:tr>
        <w:trPr/>
        <w:tc>
          <w:tcPr>
            <w:tcW w:w="397" w:type="dxa"/>
            <w:tcBorders/>
            <w:vAlign w:val="center"/>
          </w:tcPr>
          <w:p>
            <w:pPr>
              <w:pStyle w:val="TableContents"/>
              <w:bidi w:val="0"/>
              <w:spacing w:before="0" w:after="283"/>
              <w:jc w:val="left"/>
              <w:rPr/>
            </w:pPr>
            <w:r>
              <w:rPr/>
              <w:t>(12)</w:t>
            </w:r>
          </w:p>
        </w:tc>
        <w:tc>
          <w:tcPr>
            <w:tcW w:w="98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6,922,339 shares of common stock and (ii) 266,204 shares of common stock issuable upon exercise of options that are exercisable within 60 days of February 28,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toc949345_52"/>
      <w:bookmarkEnd w:id="47"/>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agreements and other arrangements with the Company and the Company’s directors and Named Executive Officers in the section titled “</w:t>
      </w:r>
      <w:r>
        <w:rPr>
          <w:rFonts w:ascii="Times New Roman" w:hAnsi="Times New Roman"/>
          <w:i/>
          <w:sz w:val="20"/>
        </w:rPr>
        <w:t>Executive</w:t>
      </w:r>
      <w:r>
        <w:rPr>
          <w:rFonts w:ascii="Times New Roman" w:hAnsi="Times New Roman"/>
          <w:sz w:val="20"/>
        </w:rPr>
        <w:t xml:space="preserve"> </w:t>
      </w:r>
      <w:r>
        <w:rPr>
          <w:rFonts w:ascii="Times New Roman" w:hAnsi="Times New Roman"/>
          <w:i/>
          <w:sz w:val="20"/>
        </w:rPr>
        <w:t>and Director</w:t>
      </w:r>
      <w:r>
        <w:rPr>
          <w:rFonts w:ascii="Times New Roman" w:hAnsi="Times New Roman"/>
          <w:sz w:val="20"/>
        </w:rPr>
        <w:t xml:space="preserve"> </w:t>
      </w:r>
      <w:r>
        <w:rPr>
          <w:rFonts w:ascii="Times New Roman" w:hAnsi="Times New Roman"/>
          <w:i/>
          <w:sz w:val="20"/>
        </w:rPr>
        <w:t>Compensation</w:t>
      </w:r>
      <w:r>
        <w:rPr>
          <w:rFonts w:ascii="Times New Roman" w:hAnsi="Times New Roman"/>
          <w:sz w:val="20"/>
        </w:rPr>
        <w:t xml:space="preserve">” elsewhere in this prospectus, the following is a description of each transaction involving the Company or Legacy Tectonic since January 1, 2023 in which: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the lesser of $120,000 and 1% of the average of Legacy Tectonic’s or the Company’s total assets at year-end for the last two completed fiscal years, as applicable;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executive officers, or holders of more than 5% of our capital stock, or an affiliate or immediate family member of the foregoing persons, had or will have a direct or indirect material interest. </w:t>
            </w:r>
          </w:p>
        </w:tc>
      </w:tr>
    </w:tbl>
    <w:p>
      <w:pPr>
        <w:pStyle w:val="TextBody"/>
        <w:bidi w:val="0"/>
        <w:spacing w:before="480" w:after="0"/>
        <w:jc w:val="center"/>
        <w:rPr>
          <w:rFonts w:ascii="Times New Roman" w:hAnsi="Times New Roman"/>
          <w:b/>
          <w:sz w:val="20"/>
        </w:rPr>
      </w:pPr>
      <w:bookmarkStart w:id="48" w:name="toc949345_53"/>
      <w:bookmarkEnd w:id="48"/>
      <w:r>
        <w:rPr>
          <w:rFonts w:ascii="Times New Roman" w:hAnsi="Times New Roman"/>
          <w:b/>
          <w:sz w:val="20"/>
        </w:rPr>
        <w:t xml:space="preserve">Legacy Tectonic’s Transactions and Agreements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Legacy Tectonic Subscription Agreement and SAFEs </w:t>
      </w:r>
    </w:p>
    <w:p>
      <w:pPr>
        <w:pStyle w:val="TextBody"/>
        <w:bidi w:val="0"/>
        <w:spacing w:before="120" w:after="0"/>
        <w:jc w:val="left"/>
        <w:rPr>
          <w:rFonts w:ascii="Times New Roman" w:hAnsi="Times New Roman"/>
          <w:sz w:val="20"/>
        </w:rPr>
      </w:pPr>
      <w:r>
        <w:rPr>
          <w:rFonts w:ascii="Times New Roman" w:hAnsi="Times New Roman"/>
          <w:sz w:val="20"/>
        </w:rPr>
        <w:t xml:space="preserve">On January 30, 2024, concurrently with the execution and delivery of the Merger Agreement, Legacy Tectonic entered into a subscription agreement with certain investors named therein, pursuant to which such investors agreed to purchase shares of Legacy Tectonic common stock, at a purchase price of $12.39908 per share (the “Subscription Agreement”), and certain investors consummated certain additional purchases of Legacy Tectonic common stock pursuant to the terms of the SAFEs entered into by such investors and Legacy Tectonic, for an aggregate purchase price among the private financings contemplated by the Subscription Agreement and such SAFEs of approximately $130.7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purchase of Legacy Tectonic common stock pursuant to the Subscription Agreement and the entry into the SAFEs by Legacy Tectonic’s related persons: </w:t>
      </w:r>
    </w:p>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4310"/>
        <w:gridCol w:w="120"/>
        <w:gridCol w:w="60"/>
        <w:gridCol w:w="1100"/>
        <w:gridCol w:w="75"/>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283"/>
              <w:jc w:val="left"/>
              <w:rPr>
                <w:b/>
              </w:rPr>
            </w:pPr>
            <w:r>
              <w:rPr>
                <w:b/>
              </w:rPr>
              <w:t>Stockholder</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Purchase</w:t>
            </w:r>
            <w:r>
              <w:rPr/>
              <w:br/>
            </w:r>
            <w:r>
              <w:rPr>
                <w:b/>
              </w:rPr>
              <w:t>Price ($)</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Timothy A. Springer, Ph.D.(1)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41,999,997</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Polaris Partners IX, L.P.(2)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8,999,989</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Vida Ventures(3)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7,499,987</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Polaris Founders Capital Fund II, L.P.(4)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1,499,991</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Andrew Kruse, Ph.D.(5)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SAFEs and purchase of Legacy Tectonic common stock pursuant to the Subscription Agreement. Dr. Timothy A. Springer served as a director on the Legacy Tectonic Board and serves as a director of the Board.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(2)</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SAFEs and purchase of Legacy Tectonic common stock pursuant to the Subscription Agreement. PP IX owned more than five percent of Legacy Tectonic’s outstanding capital stock and owns more than five percent of the Company’s outstanding capital stock. Terrance McGuire served as a director of the Legacy Tectonic Board, serves as a director on the Board and holds an interest in Polaris Partners GP IX, L.L.C., the general partner of PP IX.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SAFEs and purchase of Legacy Tectonic common stock pursuant to the Subscription Agreement. Stefan Vitorovic served as a director on the Legacy Tectonic Board, serves as a director of the Board and was a member of the investment committee of VV Manager II, LLC, which is affiliated with Vida Ventures. Entities affiliated with Vida Ventures collectively owned more than five percent of Legacy Tectonic’s outstanding capital stock and own more than five percent of the Company’s outstanding capital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(4)</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purchase of Legacy Tectonic common stock pursuant to the Subscription Agreement. Terrance McGuire served as a director on the Legacy Tectonic Board, serves as a director of the Board and is a managing member of Polaris Founders Capital Management Co. II, L.L.C., the general partner of Polaris Founders Capital Fund II, L.P. </w:t>
            </w:r>
          </w:p>
        </w:tc>
      </w:tr>
    </w:tbl>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283"/>
              <w:jc w:val="left"/>
              <w:rPr/>
            </w:pPr>
            <w:r>
              <w:rPr/>
              <w:t>(5)</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SAFEs. Dr. Andrew Kruse served as a director on the Legacy Tectonic Board. </w:t>
            </w:r>
          </w:p>
        </w:tc>
      </w:tr>
    </w:tbl>
    <w:p>
      <w:pPr>
        <w:pStyle w:val="TextBody"/>
        <w:bidi w:val="0"/>
        <w:spacing w:before="360" w:after="0"/>
        <w:jc w:val="left"/>
        <w:rPr>
          <w:rFonts w:ascii="Times New Roman" w:hAnsi="Times New Roman"/>
          <w:b/>
          <w:i/>
          <w:sz w:val="20"/>
        </w:rPr>
      </w:pPr>
      <w:bookmarkStart w:id="49" w:name="toc949345_54"/>
      <w:bookmarkEnd w:id="49"/>
      <w:r>
        <w:rPr>
          <w:rFonts w:ascii="Times New Roman" w:hAnsi="Times New Roman"/>
          <w:b/>
          <w:i/>
          <w:sz w:val="20"/>
        </w:rPr>
        <w:t xml:space="preserve">Support Agreements Under the Merger </w:t>
      </w:r>
    </w:p>
    <w:p>
      <w:pPr>
        <w:pStyle w:val="TextBody"/>
        <w:bidi w:val="0"/>
        <w:spacing w:before="120" w:after="0"/>
        <w:jc w:val="left"/>
        <w:rPr>
          <w:rFonts w:ascii="Times New Roman" w:hAnsi="Times New Roman"/>
          <w:sz w:val="20"/>
        </w:rPr>
      </w:pPr>
      <w:r>
        <w:rPr>
          <w:rFonts w:ascii="Times New Roman" w:hAnsi="Times New Roman"/>
          <w:sz w:val="20"/>
        </w:rPr>
        <w:t xml:space="preserve">Certain Legacy Tectonic stockholders entered into support agreements with Legacy Tectonic pursuant to which, among other things, each such stockholder, solely in his, her or its capacity as a Legacy Tectonic stockholder, agreed to vote all of such stockholder’s shares of Legacy Tectonic capital stock in favor of (i) the adoption of the Merger Agreement, (ii) the approval of the merger and related transactions contemplated by the Merger Agreement, (iii) the approval of an amendment to Legacy Tectonic’s certificate of incorporation to increase its authorized stock, (iv) to the extent such person was entitled to vote or exercise a right to consent with respect to such matter, effecting the preferred stock conversion immediately prior to conversion of the SAFEs, which SAFEs conversion occurred immediately prior to the consummation of the private placement financings, (v) waiving any preemptive right, right of participation, right of maintenance, anti-dilution right or any similar right as may otherwise have been provided to such stockholder under Legacy Tectonic’s certificate of incorporation or bylaws in connection with the Merger and related transactions contemplated by the Merger Agreement and (vi) against any Acquisition Proposal from a third party. </w:t>
      </w:r>
    </w:p>
    <w:p>
      <w:pPr>
        <w:pStyle w:val="TextBody"/>
        <w:bidi w:val="0"/>
        <w:spacing w:before="360" w:after="0"/>
        <w:jc w:val="left"/>
        <w:rPr>
          <w:rFonts w:ascii="Times New Roman" w:hAnsi="Times New Roman"/>
          <w:b/>
          <w:i/>
          <w:sz w:val="20"/>
        </w:rPr>
      </w:pPr>
      <w:bookmarkStart w:id="50" w:name="toc949345_55"/>
      <w:bookmarkEnd w:id="50"/>
      <w:r>
        <w:rPr>
          <w:rFonts w:ascii="Times New Roman" w:hAnsi="Times New Roman"/>
          <w:b/>
          <w:i/>
          <w:sz w:val="20"/>
        </w:rPr>
        <w:t xml:space="preserve">February 2025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Entities affiliated with Deep Track Capital, LP, entities affiliated with FMR LLC, TAS Partners, LLC, entities affiliated with EcoR1, Dr. Springer and Mr. Lochner purchased shares of our common stock in the Private Placement. The following table summarizes the purchase of shares of our common stock by such parties: </w:t>
      </w:r>
    </w:p>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785"/>
        <w:gridCol w:w="120"/>
        <w:gridCol w:w="60"/>
        <w:gridCol w:w="1100"/>
        <w:gridCol w:w="75"/>
      </w:tblGrid>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283"/>
              <w:jc w:val="left"/>
              <w:rPr>
                <w:b/>
              </w:rPr>
            </w:pPr>
            <w:r>
              <w:rPr>
                <w:b/>
              </w:rPr>
              <w:t>Stockholder</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Purchase</w:t>
            </w:r>
            <w:r>
              <w:rPr/>
              <w:br/>
            </w:r>
            <w:r>
              <w:rPr>
                <w:b/>
              </w:rPr>
              <w:t>Price ($)</w:t>
            </w:r>
          </w:p>
        </w:tc>
        <w:tc>
          <w:tcPr>
            <w:tcW w:w="7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 Capital, LP</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40,000,000</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FMR LLC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34,527,700</w:t>
            </w:r>
          </w:p>
        </w:tc>
        <w:tc>
          <w:tcPr>
            <w:tcW w:w="7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TAS Partners, LLC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33,000,000</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EcoR1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25,000,000</w:t>
            </w:r>
          </w:p>
        </w:tc>
        <w:tc>
          <w:tcPr>
            <w:tcW w:w="7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6,999,977</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Daniel Lochner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249,964</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Private Placement, we also entered into a registration rights agreement with investors thereto, including the purchasers listed above. </w:t>
      </w:r>
    </w:p>
    <w:p>
      <w:pPr>
        <w:pStyle w:val="TextBody"/>
        <w:bidi w:val="0"/>
        <w:spacing w:before="360" w:after="0"/>
        <w:jc w:val="left"/>
        <w:rPr>
          <w:rFonts w:ascii="Times New Roman" w:hAnsi="Times New Roman"/>
          <w:b/>
          <w:i/>
          <w:sz w:val="20"/>
        </w:rPr>
      </w:pPr>
      <w:bookmarkStart w:id="51" w:name="toc949345_56"/>
      <w:bookmarkEnd w:id="51"/>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the Company’s right, on account of any services undertaken by such person on the Company’s behalf or that person’s status as a member of the Board to the maximum extent allowed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indemnification agreements does not purport to be complete and is qualified in its entirety by the full text of the form of indemnification agreement, which is attached as an exhibit to the registration statement of which this 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Related Person Transaction Policy </w:t>
      </w:r>
    </w:p>
    <w:p>
      <w:pPr>
        <w:pStyle w:val="TextBody"/>
        <w:bidi w:val="0"/>
        <w:spacing w:before="120" w:after="0"/>
        <w:jc w:val="left"/>
        <w:rPr>
          <w:rFonts w:ascii="Times New Roman" w:hAnsi="Times New Roman"/>
          <w:sz w:val="20"/>
        </w:rPr>
      </w:pPr>
      <w:r>
        <w:rPr>
          <w:rFonts w:ascii="Times New Roman" w:hAnsi="Times New Roman"/>
          <w:sz w:val="20"/>
        </w:rPr>
        <w:t xml:space="preserve">Our Board adopted a written related person transactions policy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 </w:t>
      </w:r>
    </w:p>
    <w:p>
      <w:pPr>
        <w:pStyle w:val="TextBody"/>
        <w:bidi w:val="0"/>
        <w:spacing w:before="240" w:after="0"/>
        <w:jc w:val="left"/>
        <w:rPr>
          <w:rFonts w:ascii="Times New Roman" w:hAnsi="Times New Roman"/>
          <w:sz w:val="20"/>
        </w:rPr>
      </w:pPr>
      <w:r>
        <w:rPr>
          <w:rFonts w:ascii="Times New Roman" w:hAnsi="Times New Roman"/>
          <w:sz w:val="20"/>
        </w:rPr>
        <w:t xml:space="preserve">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w:t>
      </w:r>
    </w:p>
    <w:p>
      <w:pPr>
        <w:pStyle w:val="TextBody"/>
        <w:bidi w:val="0"/>
        <w:spacing w:before="240" w:after="0"/>
        <w:jc w:val="left"/>
        <w:rPr>
          <w:rFonts w:ascii="Times New Roman" w:hAnsi="Times New Roman"/>
          <w:sz w:val="20"/>
        </w:rPr>
      </w:pPr>
      <w:r>
        <w:rPr>
          <w:rFonts w:ascii="Times New Roman" w:hAnsi="Times New Roman"/>
          <w:sz w:val="20"/>
        </w:rPr>
        <w:t xml:space="preserve">Under the policy, the related person in question or, in the case of transactions with a holder of more than 5% of any class of our voting securities, an officer with knowledge of a proposed transaction, must present information regarding the proposed related person transaction to the audit committee (or, where review by the audit committee would be inappropriate, to another independent body of the board) for review. The audit committee will approve only those transactions that it determines are fair to us and in our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All of the transactions described above were entered into prior to the adoption of such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2" w:name="toc949345_57"/>
      <w:bookmarkEnd w:id="52"/>
      <w:r>
        <w:rPr>
          <w:rFonts w:ascii="Times New Roman" w:hAnsi="Times New Roman"/>
          <w:b/>
          <w:sz w:val="20"/>
        </w:rPr>
        <w:t xml:space="preserve">OTHER INFORMATION FOR STOCKHOLDERS </w:t>
      </w:r>
    </w:p>
    <w:p>
      <w:pPr>
        <w:pStyle w:val="TextBody"/>
        <w:bidi w:val="0"/>
        <w:spacing w:before="240" w:after="0"/>
        <w:jc w:val="center"/>
        <w:rPr>
          <w:rFonts w:ascii="Times New Roman" w:hAnsi="Times New Roman"/>
          <w:b/>
          <w:sz w:val="20"/>
        </w:rPr>
      </w:pPr>
      <w:bookmarkStart w:id="53" w:name="toc949345_58"/>
      <w:bookmarkEnd w:id="53"/>
      <w:r>
        <w:rPr>
          <w:rFonts w:ascii="Times New Roman" w:hAnsi="Times New Roman"/>
          <w:b/>
          <w:sz w:val="20"/>
        </w:rPr>
        <w:t xml:space="preserve">Stockholder Proposals for the 2026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Stockholders of the Company may submit proposals that they believe should be voted upon at the Company’s annual meeting of Stockholders or nominate persons for election to the Board.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14a-8 under the Exchange Act, stockholder proposals meeting certain requirements may be eligible for inclusion in the Company’s proxy statement for the Company’s 2026 Annual Meeting of Stockholders. To be eligible for inclusion in the Company’s 2026 proxy statement, any such stockholder proposals must be submitted in writing to the Secretary the Company no later than December 26, 2025, in addition to complying with certain rules and regulations promulgated by the SEC. The submission of a stockholder proposal does not guarantee that it will be included in the Company’s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in accordance with the “advance notice” provisions of our bylaws, stockholders seeking to present a stockholder proposal or nomination at the Company’s 2026 Annual Meeting of Stockholders, without having it included in the Company’s proxy statement, must timely submit notice of such proposal or nomination. To be timely, a stockholder’s notice must be received by the Secretary at the principal executive offices of the Company not later than the close of business on the 90th day nor earlier than the close of business on the 120th day before the first anniversary of the 2026 Annual Meeting of Stockholders, unless the date of the 2026 Annual Meeting of Stockholders is advanced by more than 30 days or delayed by more than 30 days from the anniversary of the 2025 Annual Meeting of Stockholders. For the Company’s 2026 Annual Meeting of Stockholders, this means that any such proposal or nomination must be submitted no earlier than February 6, 2026 and no later than March 8, 2026. If the date of the 2026 Annual Meeting of Stockholders is advanced by more than 30 days or delayed by more than 30 days from the anniversary of the 2025 Annual Meeting of Stockholders, the stockholder must submit any such proposal or nomination not later than the close of business on the later of the 90th day prior to the 2026 Annual Meeting of Stockholders nor earlier than the close of business on the 120th day prior to the 2026 Annual Meeting of Stockholders , or the 10th day following the day on which public announcement of the date of the 2026 Annual Meeting of Stockholders is first made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deadlines in the “advance notice” provisions of our bylaws, a stockholder who intends to solicit proxies in support of nominees submitted under these “advance notice” provisions, to comply with the universal proxy rules, stockholders who intend to solicit proxies in support of director nominees other than Tectonic’s nominees must include in their notice the information required by Rule 14a-19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Notices of any proposals or nominations for the Company’s 2026 Annual Meeting of Stockholders should be sent to the Secretary of the Company at 490 Arsenal Way, Suite 210, Watertown, Massachusetts 02472. A courtesy copy should also be submitted by email to info@tectonictx.com. </w:t>
      </w:r>
    </w:p>
    <w:p>
      <w:pPr>
        <w:pStyle w:val="TextBody"/>
        <w:bidi w:val="0"/>
        <w:spacing w:before="480" w:after="0"/>
        <w:jc w:val="center"/>
        <w:rPr>
          <w:rFonts w:ascii="Times New Roman" w:hAnsi="Times New Roman"/>
          <w:b/>
          <w:sz w:val="20"/>
        </w:rPr>
      </w:pPr>
      <w:bookmarkStart w:id="54" w:name="toc949345_59"/>
      <w:bookmarkEnd w:id="54"/>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 a separate proxy statement or notice, or if you are receiving duplicate copies of these materials and wish to have householding apply, please notify your broker. </w:t>
      </w:r>
    </w:p>
    <w:p>
      <w:pPr>
        <w:pStyle w:val="TextBody"/>
        <w:bidi w:val="0"/>
        <w:spacing w:before="480" w:after="0"/>
        <w:jc w:val="center"/>
        <w:rPr>
          <w:rFonts w:ascii="Times New Roman" w:hAnsi="Times New Roman"/>
          <w:b/>
          <w:sz w:val="20"/>
        </w:rPr>
      </w:pPr>
      <w:bookmarkStart w:id="55" w:name="toc949345_60"/>
      <w:bookmarkEnd w:id="55"/>
      <w:r>
        <w:rPr>
          <w:rFonts w:ascii="Times New Roman" w:hAnsi="Times New Roman"/>
          <w:b/>
          <w:sz w:val="20"/>
        </w:rPr>
        <w:t xml:space="preserve">Additional Filings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free of charge on our website, all of our filings that are made electronically with the SEC, including Forms 10-K, 10-Q and 8-K. To access these filings, go to our website https://tectonictx.com/ and click on “SEC Filings” under the “Investors” heading. Copies of our Annual Report on Form 10-K for the year ended December 31, 2024, including financial statements and schedules thereto, filed with the SEC, are also available without charge to stockholders by directing requests to the Company’s Corporate Secretary at 490 Arsenal Way, Suite 210, Watertown, Massachusetts 02472. </w:t>
      </w:r>
    </w:p>
    <w:p>
      <w:pPr>
        <w:pStyle w:val="TextBody"/>
        <w:bidi w:val="0"/>
        <w:spacing w:before="480" w:after="0"/>
        <w:jc w:val="center"/>
        <w:rPr>
          <w:rFonts w:ascii="Times New Roman" w:hAnsi="Times New Roman"/>
          <w:b/>
          <w:sz w:val="20"/>
        </w:rPr>
      </w:pPr>
      <w:bookmarkStart w:id="56" w:name="toc949345_61"/>
      <w:bookmarkEnd w:id="56"/>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Our Board does not know of any other matters to be brought before the meeting. If other matters are presented, the proxy holders have discretionary authority to vote all proxies in accordance with their best judgement. Discretionary authority for them to do so is provided for in the proxy card and other forms of proxy. </w:t>
      </w:r>
    </w:p>
    <w:p>
      <w:pPr>
        <w:pStyle w:val="TextBody"/>
        <w:bidi w:val="0"/>
        <w:spacing w:before="0" w:after="0"/>
        <w:jc w:val="left"/>
        <w:rPr/>
      </w:pPr>
      <w:r>
        <w:rPr/>
        <w:t> </w:t>
      </w:r>
    </w:p>
    <w:tbl>
      <w:tblPr>
        <w:tblW w:w="3733" w:type="dxa"/>
        <w:jc w:val="left"/>
        <w:tblInd w:w="0" w:type="dxa"/>
        <w:tblLayout w:type="fixed"/>
        <w:tblCellMar>
          <w:top w:w="0" w:type="dxa"/>
          <w:left w:w="0" w:type="dxa"/>
          <w:bottom w:w="0" w:type="dxa"/>
          <w:right w:w="0" w:type="dxa"/>
        </w:tblCellMar>
      </w:tblPr>
      <w:tblGrid>
        <w:gridCol w:w="38"/>
        <w:gridCol w:w="6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vAlign w:val="center"/>
          </w:tcPr>
          <w:p>
            <w:pPr>
              <w:pStyle w:val="TableContents"/>
              <w:bidi w:val="0"/>
              <w:spacing w:before="0" w:after="283"/>
              <w:jc w:val="left"/>
              <w:rPr/>
            </w:pPr>
            <w:r>
              <w:rPr/>
              <w:t>By Order of the Board of Directors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/s/ Alise Reicin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Alise Reicin</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Watertown, Massachusetts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April 25,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477000" cy="8382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SCAN TO VIEW MATERIALS &amp; VOTE w TECTONIC THERAPEUTIC, INC. VOTE BY INTERNET 490 ARSENAL WAY Before The Meeting—Go to www.proxyvote.com or scan the QR Barcode above SUITE 210 WATERTOWN, MA 02472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During The Meeting—Go to www.virtualshareholdermeeting.com/TECX2025 You may attend the meeting via the Internet and vote during the meeting. Have the information that is printed in the box marked by the arrow available and follow the instructions. VOTE BY PHONE—1-800-690-6903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V72348-P31559 KEEP THIS PORTION FOR YOUR RECORDS THIS PROXY CARD IS VALID ONLY WHEN SIGNED AND DATED. DETACH AND RETURN THIS PORTION ONLY TECTONIC THERAPEUTIC, INC. The Board of Directors recommends you vote FOR the following proposals: 1. Election of Directors Nominees: For Withhold 1a. Alise Reicin, M.D. ! ! 1b. Praveen Tipirneni, M.D. ! ! For Against Abstain 2. Ratification of the appointment of Deloitte &amp; Touche LLP as the Company’s independent registered public accounting firm for the ! ! ! fiscal year ending December 31, 2025. 3. Advisory approval of the compensation of the Company’s Named Executive Officers. ! ! ! The Board of Directors recommends you vote 1 year on the following proposal: 1 Year 2 Years 3 Years Abstain 4. Advisory vote on the frequency of stockholder advisory votes on executive compensation. ! ! ! ! NOTE: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477000" cy="8382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Annual Meeting: The Notice and Proxy Statement and Form 10-K are available at www.proxyvote.com. V72349-P31559 Tectonic Therapeutic, Inc. Annual Meeting of Shareholders June 6, 2025 8:00 AM, EDT This proxy is solicited by the Board of Directors The shareholder(s) hereby appoint(s) Alise Reicin and Daniel Lochner, or either of them, as proxies, each with the power to appoint (his/her) substitute, and hereby authorizes them to represent and to vote, as designated on the reverse side of this ballot, all of the shares of (Common/Preferred) stock of TECTONIC THERAPEUTIC, INC. that the shareholder(s) is/are entitled to vote at the Annual Meeting of shareholder(s) to be held at 8:00 AM, EDT on June 6, 2025, at the www.virtualshareholdermeeting.com/TECX2025, and any adjournment or postponement thereof. This proxy, when properly executed, will be voted in the manner directed herein. If no such direction is made, this proxy will be voted in accordance with the Board of Directors’ recommendations. Continued and to be signed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24262</Words>
  <Characters>128702</Characters>
  <CharactersWithSpaces>153669</CharactersWithSpaces>
  <Paragraphs>2707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