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80" w:right="1580" w:hanging="3872"/>
        <w:spacing w:after="0" w:line="360" w:lineRule="auto"/>
        <w:tabs>
          <w:tab w:leader="none" w:pos="5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-375920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1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3"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720" w:type="dxa"/>
            <w:vAlign w:val="bottom"/>
            <w:tcBorders>
              <w:bottom w:val="single" w:sz="8" w:color="auto"/>
            </w:tcBorders>
          </w:tcPr>
          <w:p>
            <w:pPr>
              <w:spacing w:after="0"/>
              <w:rPr>
                <w:sz w:val="17"/>
                <w:szCs w:val="17"/>
                <w:color w:val="auto"/>
              </w:rPr>
            </w:pPr>
          </w:p>
        </w:tc>
      </w:tr>
      <w:tr>
        <w:trPr>
          <w:trHeight w:val="318"/>
        </w:trPr>
        <w:tc>
          <w:tcPr>
            <w:tcW w:w="4040" w:type="dxa"/>
            <w:vAlign w:val="bottom"/>
            <w:gridSpan w:val="4"/>
          </w:tcPr>
          <w:p>
            <w:pPr>
              <w:ind w:left="600"/>
              <w:spacing w:after="0"/>
              <w:rPr>
                <w:sz w:val="20"/>
                <w:szCs w:val="20"/>
                <w:color w:val="auto"/>
              </w:rPr>
            </w:pPr>
            <w:r>
              <w:rPr>
                <w:rFonts w:ascii="Arial" w:cs="Arial" w:eastAsia="Arial" w:hAnsi="Arial"/>
                <w:sz w:val="18"/>
                <w:szCs w:val="18"/>
                <w:b w:val="1"/>
                <w:bCs w:val="1"/>
                <w:color w:val="auto"/>
              </w:rPr>
              <w:t>Commission File Number: 001-38537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600" w:type="dxa"/>
        <w:tblCellMar>
          <w:top w:w="0" w:type="dxa"/>
          <w:left w:w="0" w:type="dxa"/>
          <w:bottom w:w="0" w:type="dxa"/>
          <w:right w:w="0" w:type="dxa"/>
        </w:tblCellMar>
      </w:tblPr>
      <w:tr>
        <w:trPr>
          <w:trHeight w:val="212"/>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61"/>
              <w:spacing w:after="0"/>
              <w:rPr>
                <w:sz w:val="20"/>
                <w:szCs w:val="20"/>
                <w:color w:val="auto"/>
              </w:rPr>
            </w:pPr>
            <w:r>
              <w:rPr>
                <w:rFonts w:ascii="Arial" w:cs="Arial" w:eastAsia="Arial" w:hAnsi="Arial"/>
                <w:sz w:val="18"/>
                <w:szCs w:val="18"/>
                <w:b w:val="1"/>
                <w:bCs w:val="1"/>
                <w:color w:val="auto"/>
              </w:rPr>
              <w:t>81-0710585</w:t>
            </w:r>
          </w:p>
        </w:tc>
      </w:tr>
      <w:tr>
        <w:trPr>
          <w:trHeight w:val="148"/>
        </w:trPr>
        <w:tc>
          <w:tcPr>
            <w:tcW w:w="4340" w:type="dxa"/>
            <w:vAlign w:val="bottom"/>
          </w:tcPr>
          <w:p>
            <w:pPr>
              <w:jc w:val="center"/>
              <w:ind w:right="189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80" w:type="dxa"/>
            <w:vAlign w:val="bottom"/>
          </w:tcPr>
          <w:p>
            <w:pPr>
              <w:jc w:val="center"/>
              <w:ind w:left="1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898"/>
              <w:spacing w:after="0"/>
              <w:rPr>
                <w:sz w:val="20"/>
                <w:szCs w:val="20"/>
                <w:color w:val="auto"/>
              </w:rPr>
            </w:pPr>
            <w:r>
              <w:rPr>
                <w:rFonts w:ascii="Arial" w:cs="Arial" w:eastAsia="Arial" w:hAnsi="Arial"/>
                <w:sz w:val="14"/>
                <w:szCs w:val="14"/>
                <w:b w:val="1"/>
                <w:bCs w:val="1"/>
                <w:color w:val="auto"/>
                <w:w w:val="94"/>
              </w:rPr>
              <w:t>incorporation or organization)</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91"/>
              </w:rPr>
              <w:t>One Kendall Square</w:t>
            </w:r>
          </w:p>
        </w:tc>
        <w:tc>
          <w:tcPr>
            <w:tcW w:w="3080" w:type="dxa"/>
            <w:vAlign w:val="bottom"/>
          </w:tcPr>
          <w:p>
            <w:pPr>
              <w:spacing w:after="0"/>
              <w:rPr>
                <w:sz w:val="22"/>
                <w:szCs w:val="22"/>
                <w:color w:val="auto"/>
              </w:rPr>
            </w:pPr>
          </w:p>
        </w:tc>
      </w:tr>
      <w:tr>
        <w:trPr>
          <w:trHeight w:val="216"/>
        </w:trPr>
        <w:tc>
          <w:tcPr>
            <w:tcW w:w="4340" w:type="dxa"/>
            <w:vAlign w:val="bottom"/>
          </w:tcPr>
          <w:p>
            <w:pPr>
              <w:jc w:val="center"/>
              <w:ind w:right="1898"/>
              <w:spacing w:after="0"/>
              <w:rPr>
                <w:sz w:val="20"/>
                <w:szCs w:val="20"/>
                <w:color w:val="auto"/>
              </w:rPr>
            </w:pPr>
            <w:r>
              <w:rPr>
                <w:rFonts w:ascii="Arial" w:cs="Arial" w:eastAsia="Arial" w:hAnsi="Arial"/>
                <w:sz w:val="18"/>
                <w:szCs w:val="18"/>
                <w:b w:val="1"/>
                <w:bCs w:val="1"/>
                <w:color w:val="auto"/>
                <w:w w:val="89"/>
              </w:rPr>
              <w:t>Building 300, Suite 201</w:t>
            </w:r>
          </w:p>
        </w:tc>
        <w:tc>
          <w:tcPr>
            <w:tcW w:w="308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212"/>
        </w:trPr>
        <w:tc>
          <w:tcPr>
            <w:tcW w:w="4340" w:type="dxa"/>
            <w:vAlign w:val="bottom"/>
          </w:tcPr>
          <w:p>
            <w:pPr>
              <w:jc w:val="center"/>
              <w:ind w:right="1878"/>
              <w:spacing w:after="0"/>
              <w:rPr>
                <w:sz w:val="20"/>
                <w:szCs w:val="20"/>
                <w:color w:val="auto"/>
              </w:rPr>
            </w:pPr>
            <w:r>
              <w:rPr>
                <w:rFonts w:ascii="Arial" w:cs="Arial" w:eastAsia="Arial" w:hAnsi="Arial"/>
                <w:sz w:val="18"/>
                <w:szCs w:val="18"/>
                <w:b w:val="1"/>
                <w:bCs w:val="1"/>
                <w:color w:val="auto"/>
                <w:w w:val="95"/>
              </w:rPr>
              <w:t>Cambridge, MA</w:t>
            </w:r>
          </w:p>
        </w:tc>
        <w:tc>
          <w:tcPr>
            <w:tcW w:w="3080" w:type="dxa"/>
            <w:vAlign w:val="bottom"/>
          </w:tcPr>
          <w:p>
            <w:pPr>
              <w:spacing w:after="0"/>
              <w:rPr>
                <w:sz w:val="18"/>
                <w:szCs w:val="18"/>
                <w:color w:val="auto"/>
              </w:rPr>
            </w:pPr>
          </w:p>
        </w:tc>
      </w:tr>
      <w:tr>
        <w:trPr>
          <w:trHeight w:val="186"/>
        </w:trPr>
        <w:tc>
          <w:tcPr>
            <w:tcW w:w="4340" w:type="dxa"/>
            <w:vAlign w:val="bottom"/>
          </w:tcPr>
          <w:p>
            <w:pPr>
              <w:jc w:val="center"/>
              <w:ind w:right="18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80" w:type="dxa"/>
            <w:vAlign w:val="bottom"/>
          </w:tcPr>
          <w:p>
            <w:pPr>
              <w:jc w:val="center"/>
              <w:ind w:left="186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914-8420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vMerge w:val="restart"/>
          </w:tcPr>
          <w:p>
            <w:pPr>
              <w:spacing w:after="0"/>
              <w:rPr>
                <w:sz w:val="14"/>
                <w:szCs w:val="14"/>
                <w:color w:val="auto"/>
              </w:rPr>
            </w:pPr>
          </w:p>
        </w:tc>
        <w:tc>
          <w:tcPr>
            <w:tcW w:w="3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42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37"/>
        </w:trPr>
        <w:tc>
          <w:tcPr>
            <w:tcW w:w="4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AVRO</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260"/>
              <w:spacing w:after="0"/>
              <w:rPr>
                <w:sz w:val="20"/>
                <w:szCs w:val="20"/>
                <w:color w:val="auto"/>
              </w:rPr>
            </w:pPr>
            <w:r>
              <w:rPr>
                <w:rFonts w:ascii="Arial" w:cs="Arial" w:eastAsia="Arial" w:hAnsi="Arial"/>
                <w:sz w:val="18"/>
                <w:szCs w:val="18"/>
                <w:color w:val="auto"/>
                <w:w w:val="97"/>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380" w:type="dxa"/>
            <w:vAlign w:val="bottom"/>
          </w:tcPr>
          <w:p>
            <w:pPr>
              <w:ind w:left="3260"/>
              <w:spacing w:after="0"/>
              <w:rPr>
                <w:sz w:val="20"/>
                <w:szCs w:val="20"/>
                <w:color w:val="auto"/>
              </w:rPr>
            </w:pPr>
            <w:r>
              <w:rPr>
                <w:rFonts w:ascii="Arial" w:cs="Arial" w:eastAsia="Arial" w:hAnsi="Arial"/>
                <w:sz w:val="18"/>
                <w:szCs w:val="18"/>
                <w:color w:val="auto"/>
                <w:w w:val="98"/>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2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31, 2020, the registrant had 36,442,605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jc w:val="center"/>
        <w:ind w:left="-319"/>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FINANCIAL INFORMATION</w:t>
        </w:r>
      </w:hyperlink>
    </w:p>
    <w:p>
      <w:pPr>
        <w:spacing w:after="0" w:line="27"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Financial Statements (Unaudited)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Balance Sheets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Operations and Comprehensive Loss</w:t>
        </w:r>
      </w:hyperlink>
    </w:p>
    <w:p>
      <w:pPr>
        <w:spacing w:after="0" w:line="33" w:lineRule="exact"/>
        <w:rPr>
          <w:sz w:val="20"/>
          <w:szCs w:val="20"/>
          <w:color w:val="auto"/>
        </w:rPr>
      </w:pPr>
    </w:p>
    <w:p>
      <w:pPr>
        <w:spacing w:after="0"/>
        <w:rPr>
          <w:rFonts w:ascii="Arial" w:cs="Arial" w:eastAsia="Arial" w:hAnsi="Arial"/>
          <w:sz w:val="18"/>
          <w:szCs w:val="18"/>
          <w:color w:val="0000EE"/>
        </w:rPr>
      </w:pPr>
      <w:hyperlink w:anchor="page7">
        <w:r>
          <w:rPr>
            <w:rFonts w:ascii="Arial" w:cs="Arial" w:eastAsia="Arial" w:hAnsi="Arial"/>
            <w:sz w:val="18"/>
            <w:szCs w:val="18"/>
            <w:u w:val="single" w:color="auto"/>
            <w:color w:val="0000EE"/>
          </w:rPr>
          <w:t>Statement o</w:t>
        </w:r>
        <w:r>
          <w:rPr>
            <w:rFonts w:ascii="Arial" w:cs="Arial" w:eastAsia="Arial" w:hAnsi="Arial"/>
            <w:sz w:val="21"/>
            <w:szCs w:val="21"/>
            <w:color w:val="0000EE"/>
          </w:rPr>
          <w:t>f</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Stockholders’ Equity</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Statements of Cash Flows</w:t>
        </w:r>
      </w:hyperlink>
    </w:p>
    <w:p>
      <w:pPr>
        <w:spacing w:after="0" w:line="13"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Financial Statements</w:t>
        </w:r>
      </w:hyperlink>
    </w:p>
    <w:p>
      <w:pPr>
        <w:spacing w:after="0" w:line="23" w:lineRule="exact"/>
        <w:rPr>
          <w:sz w:val="20"/>
          <w:szCs w:val="20"/>
          <w:color w:val="auto"/>
        </w:rPr>
      </w:pPr>
    </w:p>
    <w:p>
      <w:pPr>
        <w:ind w:right="2680"/>
        <w:spacing w:after="0" w:line="266" w:lineRule="auto"/>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Controls and Procedures</w:t>
        </w:r>
      </w:hyperlink>
    </w:p>
    <w:p>
      <w:pPr>
        <w:spacing w:after="0"/>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Proceedings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Risk Factors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Unregistered Sales of Equity Securities and Use of Proceeds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Defaults Upon Senior Securities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Mine Safety Disclosures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Other Information</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Exhibits</w:t>
        </w:r>
      </w:hyperlink>
    </w:p>
    <w:p>
      <w:pPr>
        <w:spacing w:after="0" w:line="23"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Signatures</w:t>
        </w:r>
      </w:hyperlink>
    </w:p>
    <w:p>
      <w:pPr>
        <w:spacing w:after="0" w:line="200" w:lineRule="exact"/>
        <w:rPr>
          <w:rFonts w:ascii="Arial" w:cs="Arial" w:eastAsia="Arial" w:hAnsi="Arial"/>
          <w:sz w:val="18"/>
          <w:szCs w:val="18"/>
          <w:u w:val="single" w:color="auto"/>
          <w:color w:val="0000EE"/>
        </w:rPr>
      </w:pPr>
    </w:p>
    <w:p>
      <w:pPr>
        <w:spacing w:after="0" w:line="254" w:lineRule="exact"/>
        <w:rPr>
          <w:rFonts w:ascii="Arial" w:cs="Arial" w:eastAsia="Arial" w:hAnsi="Arial"/>
          <w:sz w:val="18"/>
          <w:szCs w:val="18"/>
          <w:u w:val="single" w:color="auto"/>
          <w:color w:val="0000EE"/>
        </w:rPr>
      </w:pPr>
    </w:p>
    <w:p>
      <w:pPr>
        <w:jc w:val="center"/>
        <w:ind w:left="-319"/>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-565785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-174625</wp:posOffset>
            </wp:positionH>
            <wp:positionV relativeFrom="paragraph">
              <wp:posOffset>6350</wp:posOffset>
            </wp:positionV>
            <wp:extent cx="4800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8"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2</w:t>
      </w:r>
    </w:p>
    <w:p>
      <w:pPr>
        <w:spacing w:after="0" w:line="35"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15</w:t>
      </w:r>
    </w:p>
    <w:p>
      <w:pPr>
        <w:spacing w:after="0" w:line="23"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33</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33</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35</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35</w:t>
      </w:r>
    </w:p>
    <w:p>
      <w:pPr>
        <w:spacing w:after="0" w:line="32"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35</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76</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76</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76</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76</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77</w:t>
      </w:r>
    </w:p>
    <w:p>
      <w:pPr>
        <w:spacing w:after="0" w:line="46" w:lineRule="exact"/>
        <w:rPr>
          <w:rFonts w:ascii="Arial" w:cs="Arial" w:eastAsia="Arial" w:hAnsi="Arial"/>
          <w:sz w:val="18"/>
          <w:szCs w:val="18"/>
          <w:u w:val="single" w:color="auto"/>
          <w:color w:val="0000EE"/>
        </w:rPr>
      </w:pPr>
    </w:p>
    <w:p>
      <w:pPr>
        <w:ind w:left="300"/>
        <w:spacing w:after="0"/>
        <w:rPr>
          <w:sz w:val="20"/>
          <w:szCs w:val="20"/>
          <w:color w:val="auto"/>
        </w:rPr>
      </w:pPr>
      <w:r>
        <w:rPr>
          <w:rFonts w:ascii="Arial" w:cs="Arial" w:eastAsia="Arial" w:hAnsi="Arial"/>
          <w:sz w:val="16"/>
          <w:szCs w:val="16"/>
          <w:color w:val="auto"/>
        </w:rPr>
        <w:t>78</w:t>
      </w:r>
    </w:p>
    <w:p>
      <w:pPr>
        <w:sectPr>
          <w:pgSz w:w="11900" w:h="16838" w:orient="portrait"/>
          <w:cols w:equalWidth="0" w:num="3">
            <w:col w:w="700" w:space="200"/>
            <w:col w:w="9140" w:space="720"/>
            <w:col w:w="48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This Quarterly Report on Form 10-Q contains forward-looking statements which are made pursuant to the safe harbor provisions of Section 27A of the Securities Act of 1933, as amended (the “Securities Act”), and Section 21E of the Securities Exchange Act of 1934, as amended (the “Exchange Act”). These statements may be identified by such forward-looking terminology as “aims,” “anticipates,” “believes,” “continue,” “could,” “designed to,” “estimates,” “expects,” “intends,” “may,” “plans,” “potential,” “predicts,” “strives,” “should,”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our forward-looking statements. Actual results or events could differ materially from the plans, intentions and expectations disclosed in these forward-looking statements. Our business and our forward-looking statements involve substantial known and unknown risks and uncertainties, including the risks and uncertainties inherent in our statements regarding:</w:t>
      </w:r>
    </w:p>
    <w:p>
      <w:pPr>
        <w:spacing w:after="0" w:line="73" w:lineRule="exact"/>
        <w:rPr>
          <w:sz w:val="20"/>
          <w:szCs w:val="20"/>
          <w:color w:val="auto"/>
        </w:rPr>
      </w:pPr>
    </w:p>
    <w:p>
      <w:pPr>
        <w:ind w:left="880" w:right="8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clinical trial programs, clinical supply and business generally, as well as our plans and expectations with respect to the timing and resumption of any development activities that were or may be temporarily paused as a result of the COVID-19 pandemic;</w:t>
      </w:r>
    </w:p>
    <w:p>
      <w:pPr>
        <w:spacing w:after="0" w:line="75" w:lineRule="exact"/>
        <w:rPr>
          <w:rFonts w:ascii="Arial" w:cs="Arial" w:eastAsia="Arial" w:hAnsi="Arial"/>
          <w:sz w:val="18"/>
          <w:szCs w:val="18"/>
          <w:color w:val="auto"/>
        </w:rPr>
      </w:pPr>
    </w:p>
    <w:p>
      <w:pPr>
        <w:ind w:left="880" w:right="28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75" w:lineRule="exact"/>
        <w:rPr>
          <w:rFonts w:ascii="Arial" w:cs="Arial" w:eastAsia="Arial" w:hAnsi="Arial"/>
          <w:sz w:val="18"/>
          <w:szCs w:val="18"/>
          <w:color w:val="auto"/>
        </w:rPr>
      </w:pPr>
    </w:p>
    <w:p>
      <w:pPr>
        <w:ind w:left="880" w:right="380" w:hanging="373"/>
        <w:spacing w:after="0" w:line="34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durability of effects from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business model and our strategic plans for our business, product candidates, technology and plato</w:t>
      </w:r>
      <w:r>
        <w:rPr>
          <w:rFonts w:ascii="Arial" w:cs="Arial" w:eastAsia="Arial" w:hAnsi="Arial"/>
          <w:sz w:val="14"/>
          <w:szCs w:val="14"/>
          <w:color w:val="auto"/>
        </w:rPr>
        <w:t>®</w:t>
      </w:r>
      <w:r>
        <w:rPr>
          <w:rFonts w:ascii="Arial" w:cs="Arial" w:eastAsia="Arial" w:hAnsi="Arial"/>
          <w:sz w:val="17"/>
          <w:szCs w:val="17"/>
          <w:color w:val="auto"/>
        </w:rPr>
        <w:t xml:space="preserve"> platform;</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scalability and commercial viability of our manufacturing methods and processes, including our move to a closed, automated system;</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current and future product candidates, as well as any statements as to whether we do or do not infringe, misappropriate or otherwise violate any third-party intellectual property rights;</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previously identified and avoid any findings of material weaknesses or significant deficiencies in the future;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JOBS Act;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line="288" w:lineRule="auto"/>
        <w:rPr>
          <w:sz w:val="20"/>
          <w:szCs w:val="20"/>
          <w:color w:val="auto"/>
        </w:rPr>
      </w:pPr>
      <w:r>
        <w:rPr>
          <w:rFonts w:ascii="Arial" w:cs="Arial" w:eastAsia="Arial" w:hAnsi="Arial"/>
          <w:sz w:val="16"/>
          <w:szCs w:val="16"/>
          <w:color w:val="auto"/>
        </w:rPr>
        <w:t>All of our forward-looking statements are as of the date of this Quarterly Report on Form 10-Q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on Form 10-Q or included in our other public disclosures or our other periodic reports or other documents or filings filed with or furnished to the Securities and Exchange Commission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on Form 10-Q, even if such results, changes or circumstances make it clear that any forward-looking information will not be realized. Any public statements or disclosures by us following this Quarterly Report on Form 10-Q that modify or impact any of the forward-looking statements contained in this Quarterly Report on Form 10-Q will be deemed to modify or supersede such statements in this Quarterly Report on Form 10-Q.</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244,380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187,043</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251,020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195,701</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FF0FC"/>
          </w:tcPr>
          <w:p>
            <w:pPr>
              <w:spacing w:after="0"/>
              <w:rPr>
                <w:sz w:val="19"/>
                <w:szCs w:val="19"/>
                <w:color w:val="auto"/>
              </w:rPr>
            </w:pPr>
          </w:p>
        </w:tc>
      </w:tr>
      <w:tr>
        <w:trPr>
          <w:trHeight w:val="263"/>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255,568</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200,514</w:t>
            </w:r>
          </w:p>
        </w:tc>
        <w:tc>
          <w:tcPr>
            <w:tcW w:w="100" w:type="dxa"/>
            <w:vAlign w:val="bottom"/>
            <w:tcBorders>
              <w:bottom w:val="single" w:sz="8" w:color="CFF0FC"/>
            </w:tcBorders>
          </w:tcPr>
          <w:p>
            <w:pPr>
              <w:spacing w:after="0"/>
              <w:rPr>
                <w:sz w:val="22"/>
                <w:szCs w:val="22"/>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10,068</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 net of current portion</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14,501</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rPr>
              <w:t>Preferred stock, $0.0001 par value; 10,000,000 shares authorized and no shares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8"/>
                <w:szCs w:val="18"/>
                <w:color w:val="auto"/>
              </w:rPr>
              <w:t>issued or outstanding as of June 30, 2020 and December 31, 2019</w:t>
            </w:r>
          </w:p>
        </w:tc>
        <w:tc>
          <w:tcPr>
            <w:tcW w:w="30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150,000,000 shares authorized as of June 30,</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2020 and December 31, 2019; 36,441,414 and 31,673,058 shares issued as of</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June 30, 2020 and December 31, 2019, respectively; 36,432,145 and</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31,642,806 shares outstanding as of June 30, 2020 and December 31, 2019,</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439,288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330,714</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(199,505)</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(144,704)</w:t>
            </w:r>
          </w:p>
        </w:tc>
      </w:tr>
      <w:tr>
        <w:trPr>
          <w:trHeight w:val="223"/>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239,787</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186,013</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255,568</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00" w:type="dxa"/>
            <w:vAlign w:val="bottom"/>
          </w:tcPr>
          <w:p>
            <w:pPr>
              <w:spacing w:after="0"/>
              <w:rPr>
                <w:sz w:val="14"/>
                <w:szCs w:val="14"/>
                <w:color w:val="auto"/>
              </w:rPr>
            </w:pPr>
          </w:p>
        </w:tc>
        <w:tc>
          <w:tcPr>
            <w:tcW w:w="24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20,866</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12,267</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39,140</w:t>
            </w:r>
          </w:p>
        </w:tc>
        <w:tc>
          <w:tcPr>
            <w:tcW w:w="16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4,345</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(28,857)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(28,828)</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(54,801)</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(54,801)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40" w:type="dxa"/>
            <w:vAlign w:val="bottom"/>
          </w:tcPr>
          <w:p>
            <w:pPr>
              <w:ind w:left="140"/>
              <w:spacing w:after="0"/>
              <w:rPr>
                <w:sz w:val="20"/>
                <w:szCs w:val="20"/>
                <w:color w:val="auto"/>
              </w:rPr>
            </w:pPr>
            <w:r>
              <w:rPr>
                <w:rFonts w:ascii="Arial" w:cs="Arial" w:eastAsia="Arial" w:hAnsi="Arial"/>
                <w:sz w:val="18"/>
                <w:szCs w:val="18"/>
                <w:color w:val="auto"/>
              </w:rPr>
              <w:t>diluted (Note 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(0.67)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96"/>
        </w:trPr>
        <w:tc>
          <w:tcPr>
            <w:tcW w:w="58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w w:val="94"/>
              </w:rPr>
              <w:t>Weighted-average number of common shares used in computing net loss per</w:t>
            </w: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share attributable to common stockholders—basic and diluted</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36,104,919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24,046,262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34,885,804</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23,985,717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357"/>
              <w:spacing w:after="0"/>
              <w:rPr>
                <w:sz w:val="20"/>
                <w:szCs w:val="20"/>
                <w:color w:val="auto"/>
              </w:rPr>
            </w:pPr>
            <w:r>
              <w:rPr>
                <w:rFonts w:ascii="Arial" w:cs="Arial" w:eastAsia="Arial" w:hAnsi="Arial"/>
                <w:sz w:val="13"/>
                <w:szCs w:val="13"/>
                <w:b w:val="1"/>
                <w:bCs w:val="1"/>
                <w:color w:val="auto"/>
              </w:rPr>
              <w:t>Additional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3000" w:type="dxa"/>
            <w:vAlign w:val="bottom"/>
          </w:tcPr>
          <w:p>
            <w:pPr>
              <w:spacing w:after="0"/>
              <w:rPr>
                <w:sz w:val="13"/>
                <w:szCs w:val="13"/>
                <w:color w:val="auto"/>
              </w:rPr>
            </w:pPr>
          </w:p>
        </w:tc>
        <w:tc>
          <w:tcPr>
            <w:tcW w:w="2760" w:type="dxa"/>
            <w:vAlign w:val="bottom"/>
            <w:tcBorders>
              <w:bottom w:val="single" w:sz="8" w:color="auto"/>
            </w:tcBorders>
            <w:gridSpan w:val="3"/>
          </w:tcPr>
          <w:p>
            <w:pPr>
              <w:jc w:val="right"/>
              <w:ind w:right="765"/>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437"/>
              <w:spacing w:after="0"/>
              <w:rPr>
                <w:sz w:val="20"/>
                <w:szCs w:val="20"/>
                <w:color w:val="auto"/>
              </w:rPr>
            </w:pPr>
            <w:r>
              <w:rPr>
                <w:rFonts w:ascii="Arial" w:cs="Arial" w:eastAsia="Arial" w:hAnsi="Arial"/>
                <w:sz w:val="13"/>
                <w:szCs w:val="13"/>
                <w:b w:val="1"/>
                <w:bCs w:val="1"/>
                <w:color w:val="auto"/>
              </w:rPr>
              <w:t>Paid-in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3000" w:type="dxa"/>
            <w:vAlign w:val="bottom"/>
          </w:tcPr>
          <w:p>
            <w:pPr>
              <w:spacing w:after="0"/>
              <w:rPr>
                <w:sz w:val="12"/>
                <w:szCs w:val="12"/>
                <w:color w:val="auto"/>
              </w:rPr>
            </w:pPr>
          </w:p>
        </w:tc>
        <w:tc>
          <w:tcPr>
            <w:tcW w:w="1400" w:type="dxa"/>
            <w:vAlign w:val="bottom"/>
          </w:tcPr>
          <w:p>
            <w:pPr>
              <w:jc w:val="right"/>
              <w:ind w:right="477"/>
              <w:spacing w:after="0" w:line="142" w:lineRule="exact"/>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2"/>
                <w:szCs w:val="12"/>
                <w:color w:val="auto"/>
              </w:rPr>
            </w:pPr>
          </w:p>
        </w:tc>
        <w:tc>
          <w:tcPr>
            <w:tcW w:w="1100" w:type="dxa"/>
            <w:vAlign w:val="bottom"/>
          </w:tcPr>
          <w:p>
            <w:pPr>
              <w:jc w:val="right"/>
              <w:ind w:right="125"/>
              <w:spacing w:after="0" w:line="142"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437"/>
              <w:spacing w:after="0" w:line="142" w:lineRule="exact"/>
              <w:rPr>
                <w:sz w:val="20"/>
                <w:szCs w:val="20"/>
                <w:color w:val="auto"/>
              </w:rPr>
            </w:pPr>
            <w:r>
              <w:rPr>
                <w:rFonts w:ascii="Arial" w:cs="Arial" w:eastAsia="Arial" w:hAnsi="Arial"/>
                <w:sz w:val="13"/>
                <w:szCs w:val="13"/>
                <w:b w:val="1"/>
                <w:bCs w:val="1"/>
                <w:color w:val="auto"/>
              </w:rPr>
              <w:t>Capital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800"/>
              <w:spacing w:after="0" w:line="142"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2"/>
                <w:szCs w:val="12"/>
                <w:color w:val="auto"/>
              </w:rPr>
            </w:pPr>
          </w:p>
        </w:tc>
        <w:tc>
          <w:tcPr>
            <w:tcW w:w="134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3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as of December 31, 2019</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31,642,806</w:t>
            </w:r>
          </w:p>
        </w:tc>
        <w:tc>
          <w:tcPr>
            <w:tcW w:w="26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ind w:right="985"/>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w:t>
            </w: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330,714</w:t>
            </w:r>
          </w:p>
        </w:tc>
        <w:tc>
          <w:tcPr>
            <w:tcW w:w="2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(144,704)</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186,013</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2,822</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2,822</w:t>
            </w:r>
          </w:p>
        </w:tc>
        <w:tc>
          <w:tcPr>
            <w:tcW w:w="120" w:type="dxa"/>
            <w:vAlign w:val="bottom"/>
          </w:tcPr>
          <w:p>
            <w:pPr>
              <w:spacing w:after="0"/>
              <w:rPr>
                <w:sz w:val="12"/>
                <w:szCs w:val="12"/>
                <w:color w:val="auto"/>
              </w:rPr>
            </w:pPr>
          </w:p>
        </w:tc>
      </w:tr>
      <w:tr>
        <w:trPr>
          <w:trHeight w:val="149"/>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7,438</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1400" w:type="dxa"/>
            <w:vAlign w:val="bottom"/>
          </w:tcPr>
          <w:p>
            <w:pPr>
              <w:jc w:val="right"/>
              <w:spacing w:after="0"/>
              <w:rPr>
                <w:sz w:val="20"/>
                <w:szCs w:val="20"/>
                <w:color w:val="auto"/>
              </w:rPr>
            </w:pPr>
            <w:r>
              <w:rPr>
                <w:rFonts w:ascii="Arial" w:cs="Arial" w:eastAsia="Arial" w:hAnsi="Arial"/>
                <w:sz w:val="13"/>
                <w:szCs w:val="13"/>
                <w:color w:val="auto"/>
              </w:rPr>
              <w:t>10,754</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9"/>
              </w:rPr>
              <w:t>Issuance of common stock upon public offering,</w:t>
            </w:r>
          </w:p>
        </w:tc>
        <w:tc>
          <w:tcPr>
            <w:tcW w:w="14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00" w:type="dxa"/>
            <w:vAlign w:val="bottom"/>
            <w:shd w:val="clear" w:color="auto" w:fill="CFF0FC"/>
          </w:tcPr>
          <w:p>
            <w:pPr>
              <w:ind w:left="260"/>
              <w:spacing w:after="0" w:line="135" w:lineRule="exact"/>
              <w:rPr>
                <w:sz w:val="20"/>
                <w:szCs w:val="20"/>
                <w:color w:val="auto"/>
              </w:rPr>
            </w:pPr>
            <w:r>
              <w:rPr>
                <w:rFonts w:ascii="Arial" w:cs="Arial" w:eastAsia="Arial" w:hAnsi="Arial"/>
                <w:sz w:val="13"/>
                <w:szCs w:val="13"/>
                <w:color w:val="auto"/>
              </w:rPr>
              <w:t>net</w:t>
            </w:r>
          </w:p>
        </w:tc>
        <w:tc>
          <w:tcPr>
            <w:tcW w:w="14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 offering costs of $419</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4,350,000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93,627</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93,628</w:t>
            </w:r>
          </w:p>
        </w:tc>
        <w:tc>
          <w:tcPr>
            <w:tcW w:w="120" w:type="dxa"/>
            <w:vAlign w:val="bottom"/>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(25,973)</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(25,973)</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as of March 31, 2020</w:t>
            </w: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36,010,998</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ind w:right="985"/>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427,198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(170,677)</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256,525</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30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3,899</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3,899</w:t>
            </w:r>
          </w:p>
        </w:tc>
        <w:tc>
          <w:tcPr>
            <w:tcW w:w="120" w:type="dxa"/>
            <w:vAlign w:val="bottom"/>
            <w:shd w:val="clear" w:color="auto" w:fill="CFF0FC"/>
          </w:tcPr>
          <w:p>
            <w:pPr>
              <w:spacing w:after="0"/>
              <w:rPr>
                <w:sz w:val="12"/>
                <w:szCs w:val="12"/>
                <w:color w:val="auto"/>
              </w:rPr>
            </w:pPr>
          </w:p>
        </w:tc>
      </w:tr>
      <w:tr>
        <w:trPr>
          <w:trHeight w:val="149"/>
        </w:trPr>
        <w:tc>
          <w:tcPr>
            <w:tcW w:w="3000" w:type="dxa"/>
            <w:vAlign w:val="bottom"/>
          </w:tcPr>
          <w:p>
            <w:pPr>
              <w:ind w:left="260"/>
              <w:spacing w:after="0"/>
              <w:rPr>
                <w:sz w:val="20"/>
                <w:szCs w:val="20"/>
                <w:color w:val="auto"/>
              </w:rPr>
            </w:pPr>
            <w:r>
              <w:rPr>
                <w:rFonts w:ascii="Arial" w:cs="Arial" w:eastAsia="Arial" w:hAnsi="Arial"/>
                <w:sz w:val="13"/>
                <w:szCs w:val="13"/>
                <w:color w:val="auto"/>
              </w:rPr>
              <w:t>Exercise of stock options</w:t>
            </w:r>
          </w:p>
        </w:tc>
        <w:tc>
          <w:tcPr>
            <w:tcW w:w="1400" w:type="dxa"/>
            <w:vAlign w:val="bottom"/>
          </w:tcPr>
          <w:p>
            <w:pPr>
              <w:jc w:val="right"/>
              <w:spacing w:after="0"/>
              <w:rPr>
                <w:sz w:val="20"/>
                <w:szCs w:val="20"/>
                <w:color w:val="auto"/>
              </w:rPr>
            </w:pPr>
            <w:r>
              <w:rPr>
                <w:rFonts w:ascii="Arial" w:cs="Arial" w:eastAsia="Arial" w:hAnsi="Arial"/>
                <w:sz w:val="13"/>
                <w:szCs w:val="13"/>
                <w:color w:val="auto"/>
              </w:rPr>
              <w:t>24,542</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61</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2"/>
                <w:szCs w:val="12"/>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10,228</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w w:val="94"/>
              </w:rPr>
              <w:t>Issuance of common stock under ATM facility, net</w:t>
            </w:r>
          </w:p>
        </w:tc>
        <w:tc>
          <w:tcPr>
            <w:tcW w:w="1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of offering costs of $67</w:t>
            </w:r>
          </w:p>
        </w:tc>
        <w:tc>
          <w:tcPr>
            <w:tcW w:w="1400" w:type="dxa"/>
            <w:vAlign w:val="bottom"/>
          </w:tcPr>
          <w:p>
            <w:pPr>
              <w:jc w:val="right"/>
              <w:spacing w:after="0"/>
              <w:rPr>
                <w:sz w:val="20"/>
                <w:szCs w:val="20"/>
                <w:color w:val="auto"/>
              </w:rPr>
            </w:pPr>
            <w:r>
              <w:rPr>
                <w:rFonts w:ascii="Arial" w:cs="Arial" w:eastAsia="Arial" w:hAnsi="Arial"/>
                <w:sz w:val="13"/>
                <w:szCs w:val="13"/>
                <w:color w:val="auto"/>
              </w:rPr>
              <w:t>384,140</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8,130</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8,130</w:t>
            </w:r>
          </w:p>
        </w:tc>
        <w:tc>
          <w:tcPr>
            <w:tcW w:w="12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the 2018</w:t>
            </w:r>
          </w:p>
        </w:tc>
        <w:tc>
          <w:tcPr>
            <w:tcW w:w="14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3000" w:type="dxa"/>
            <w:vAlign w:val="bottom"/>
            <w:shd w:val="clear" w:color="auto" w:fill="CFF0FC"/>
          </w:tcPr>
          <w:p>
            <w:pPr>
              <w:ind w:left="260"/>
              <w:spacing w:after="0" w:line="135" w:lineRule="exact"/>
              <w:rPr>
                <w:sz w:val="20"/>
                <w:szCs w:val="20"/>
                <w:color w:val="auto"/>
              </w:rPr>
            </w:pPr>
            <w:r>
              <w:rPr>
                <w:rFonts w:ascii="Arial" w:cs="Arial" w:eastAsia="Arial" w:hAnsi="Arial"/>
                <w:sz w:val="13"/>
                <w:szCs w:val="13"/>
                <w:color w:val="auto"/>
              </w:rPr>
              <w:t>employee</w:t>
            </w:r>
          </w:p>
        </w:tc>
        <w:tc>
          <w:tcPr>
            <w:tcW w:w="14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2,237</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3"/>
                <w:szCs w:val="13"/>
                <w:color w:val="auto"/>
              </w:rPr>
              <w:t>(28,828)</w:t>
            </w:r>
          </w:p>
        </w:tc>
        <w:tc>
          <w:tcPr>
            <w:tcW w:w="2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3"/>
                <w:szCs w:val="13"/>
                <w:color w:val="auto"/>
              </w:rPr>
              <w:t>(28,828)</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as of June 30, 2020</w:t>
            </w:r>
          </w:p>
        </w:tc>
        <w:tc>
          <w:tcPr>
            <w:tcW w:w="14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36,432,145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ind w:right="985"/>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439,288</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(199,505)</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239,787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357"/>
              <w:spacing w:after="0"/>
              <w:rPr>
                <w:sz w:val="20"/>
                <w:szCs w:val="20"/>
                <w:color w:val="auto"/>
              </w:rPr>
            </w:pPr>
            <w:r>
              <w:rPr>
                <w:rFonts w:ascii="Arial" w:cs="Arial" w:eastAsia="Arial" w:hAnsi="Arial"/>
                <w:sz w:val="13"/>
                <w:szCs w:val="13"/>
                <w:b w:val="1"/>
                <w:bCs w:val="1"/>
                <w:color w:val="auto"/>
              </w:rPr>
              <w:t>Additional</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3000" w:type="dxa"/>
            <w:vAlign w:val="bottom"/>
          </w:tcPr>
          <w:p>
            <w:pPr>
              <w:spacing w:after="0"/>
              <w:rPr>
                <w:sz w:val="13"/>
                <w:szCs w:val="13"/>
                <w:color w:val="auto"/>
              </w:rPr>
            </w:pPr>
          </w:p>
        </w:tc>
        <w:tc>
          <w:tcPr>
            <w:tcW w:w="2760" w:type="dxa"/>
            <w:vAlign w:val="bottom"/>
            <w:tcBorders>
              <w:bottom w:val="single" w:sz="8" w:color="auto"/>
            </w:tcBorders>
            <w:gridSpan w:val="3"/>
          </w:tcPr>
          <w:p>
            <w:pPr>
              <w:jc w:val="right"/>
              <w:ind w:right="765"/>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437"/>
              <w:spacing w:after="0"/>
              <w:rPr>
                <w:sz w:val="20"/>
                <w:szCs w:val="20"/>
                <w:color w:val="auto"/>
              </w:rPr>
            </w:pPr>
            <w:r>
              <w:rPr>
                <w:rFonts w:ascii="Arial" w:cs="Arial" w:eastAsia="Arial" w:hAnsi="Arial"/>
                <w:sz w:val="13"/>
                <w:szCs w:val="13"/>
                <w:b w:val="1"/>
                <w:bCs w:val="1"/>
                <w:color w:val="auto"/>
              </w:rPr>
              <w:t>Paid-in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Stockholders’</w:t>
            </w:r>
          </w:p>
        </w:tc>
      </w:tr>
      <w:tr>
        <w:trPr>
          <w:trHeight w:val="142"/>
        </w:trPr>
        <w:tc>
          <w:tcPr>
            <w:tcW w:w="3000" w:type="dxa"/>
            <w:vAlign w:val="bottom"/>
          </w:tcPr>
          <w:p>
            <w:pPr>
              <w:spacing w:after="0"/>
              <w:rPr>
                <w:sz w:val="12"/>
                <w:szCs w:val="12"/>
                <w:color w:val="auto"/>
              </w:rPr>
            </w:pPr>
          </w:p>
        </w:tc>
        <w:tc>
          <w:tcPr>
            <w:tcW w:w="1400" w:type="dxa"/>
            <w:vAlign w:val="bottom"/>
          </w:tcPr>
          <w:p>
            <w:pPr>
              <w:jc w:val="right"/>
              <w:ind w:right="477"/>
              <w:spacing w:after="0" w:line="142" w:lineRule="exact"/>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2"/>
                <w:szCs w:val="12"/>
                <w:color w:val="auto"/>
              </w:rPr>
            </w:pPr>
          </w:p>
        </w:tc>
        <w:tc>
          <w:tcPr>
            <w:tcW w:w="1100" w:type="dxa"/>
            <w:vAlign w:val="bottom"/>
          </w:tcPr>
          <w:p>
            <w:pPr>
              <w:jc w:val="right"/>
              <w:ind w:right="125"/>
              <w:spacing w:after="0" w:line="142"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ind w:right="437"/>
              <w:spacing w:after="0" w:line="142" w:lineRule="exact"/>
              <w:rPr>
                <w:sz w:val="20"/>
                <w:szCs w:val="20"/>
                <w:color w:val="auto"/>
              </w:rPr>
            </w:pPr>
            <w:r>
              <w:rPr>
                <w:rFonts w:ascii="Arial" w:cs="Arial" w:eastAsia="Arial" w:hAnsi="Arial"/>
                <w:sz w:val="13"/>
                <w:szCs w:val="13"/>
                <w:b w:val="1"/>
                <w:bCs w:val="1"/>
                <w:color w:val="auto"/>
              </w:rPr>
              <w:t>Capital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800"/>
              <w:spacing w:after="0" w:line="142" w:lineRule="exact"/>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2"/>
                <w:szCs w:val="12"/>
                <w:color w:val="auto"/>
              </w:rPr>
            </w:pPr>
          </w:p>
        </w:tc>
        <w:tc>
          <w:tcPr>
            <w:tcW w:w="134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3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as of December 31, 2018</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23,806,628</w:t>
            </w:r>
          </w:p>
        </w:tc>
        <w:tc>
          <w:tcPr>
            <w:tcW w:w="26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jc w:val="right"/>
              <w:ind w:right="985"/>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w:t>
            </w:r>
          </w:p>
        </w:tc>
        <w:tc>
          <w:tcPr>
            <w:tcW w:w="2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193,921</w:t>
            </w:r>
          </w:p>
        </w:tc>
        <w:tc>
          <w:tcPr>
            <w:tcW w:w="2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(71,739)</w:t>
            </w:r>
          </w:p>
        </w:tc>
        <w:tc>
          <w:tcPr>
            <w:tcW w:w="26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122,184</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1,455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1,455</w:t>
            </w:r>
          </w:p>
        </w:tc>
        <w:tc>
          <w:tcPr>
            <w:tcW w:w="120" w:type="dxa"/>
            <w:vAlign w:val="bottom"/>
          </w:tcPr>
          <w:p>
            <w:pPr>
              <w:spacing w:after="0"/>
              <w:rPr>
                <w:sz w:val="12"/>
                <w:szCs w:val="12"/>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116,859</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w:t>
            </w:r>
          </w:p>
        </w:tc>
        <w:tc>
          <w:tcPr>
            <w:tcW w:w="120" w:type="dxa"/>
            <w:vAlign w:val="bottom"/>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1400" w:type="dxa"/>
            <w:vAlign w:val="bottom"/>
          </w:tcPr>
          <w:p>
            <w:pPr>
              <w:jc w:val="right"/>
              <w:spacing w:after="0"/>
              <w:rPr>
                <w:sz w:val="20"/>
                <w:szCs w:val="20"/>
                <w:color w:val="auto"/>
              </w:rPr>
            </w:pPr>
            <w:r>
              <w:rPr>
                <w:rFonts w:ascii="Arial" w:cs="Arial" w:eastAsia="Arial" w:hAnsi="Arial"/>
                <w:sz w:val="13"/>
                <w:szCs w:val="13"/>
                <w:color w:val="auto"/>
              </w:rPr>
              <w:t>30,753</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(17,103)</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(17,103)</w:t>
            </w:r>
          </w:p>
        </w:tc>
      </w:tr>
      <w:tr>
        <w:trPr>
          <w:trHeight w:val="182"/>
        </w:trPr>
        <w:tc>
          <w:tcPr>
            <w:tcW w:w="30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Balance as of March 31, 2019</w:t>
            </w: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23,954,240</w:t>
            </w:r>
          </w:p>
        </w:tc>
        <w:tc>
          <w:tcPr>
            <w:tcW w:w="260" w:type="dxa"/>
            <w:vAlign w:val="bottom"/>
            <w:tcBorders>
              <w:bottom w:val="single" w:sz="8" w:color="CFF0FC"/>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985"/>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w:t>
            </w:r>
          </w:p>
        </w:tc>
        <w:tc>
          <w:tcPr>
            <w:tcW w:w="28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195,628</w:t>
            </w:r>
          </w:p>
        </w:tc>
        <w:tc>
          <w:tcPr>
            <w:tcW w:w="28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(88,842)</w:t>
            </w:r>
          </w:p>
        </w:tc>
        <w:tc>
          <w:tcPr>
            <w:tcW w:w="26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106,788</w:t>
            </w:r>
          </w:p>
        </w:tc>
        <w:tc>
          <w:tcPr>
            <w:tcW w:w="120" w:type="dxa"/>
            <w:vAlign w:val="bottom"/>
            <w:tcBorders>
              <w:bottom w:val="single" w:sz="8" w:color="CFF0FC"/>
            </w:tcBorders>
          </w:tcPr>
          <w:p>
            <w:pPr>
              <w:spacing w:after="0"/>
              <w:rPr>
                <w:sz w:val="15"/>
                <w:szCs w:val="15"/>
                <w:color w:val="auto"/>
              </w:rPr>
            </w:pPr>
          </w:p>
        </w:tc>
      </w:tr>
      <w:tr>
        <w:trPr>
          <w:trHeight w:val="129"/>
        </w:trPr>
        <w:tc>
          <w:tcPr>
            <w:tcW w:w="300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1,663</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1,663</w:t>
            </w:r>
          </w:p>
        </w:tc>
        <w:tc>
          <w:tcPr>
            <w:tcW w:w="120" w:type="dxa"/>
            <w:vAlign w:val="bottom"/>
          </w:tcPr>
          <w:p>
            <w:pPr>
              <w:spacing w:after="0"/>
              <w:rPr>
                <w:sz w:val="12"/>
                <w:szCs w:val="12"/>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 of stock options</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110,290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w:t>
            </w:r>
          </w:p>
        </w:tc>
        <w:tc>
          <w:tcPr>
            <w:tcW w:w="120" w:type="dxa"/>
            <w:vAlign w:val="bottom"/>
            <w:shd w:val="clear" w:color="auto" w:fill="CFF0FC"/>
          </w:tcPr>
          <w:p>
            <w:pPr>
              <w:spacing w:after="0"/>
              <w:rPr>
                <w:sz w:val="12"/>
                <w:szCs w:val="12"/>
                <w:color w:val="auto"/>
              </w:rPr>
            </w:pPr>
          </w:p>
        </w:tc>
      </w:tr>
      <w:tr>
        <w:trPr>
          <w:trHeight w:val="149"/>
        </w:trPr>
        <w:tc>
          <w:tcPr>
            <w:tcW w:w="3000" w:type="dxa"/>
            <w:vAlign w:val="bottom"/>
          </w:tcPr>
          <w:p>
            <w:pPr>
              <w:ind w:left="260"/>
              <w:spacing w:after="0"/>
              <w:rPr>
                <w:sz w:val="20"/>
                <w:szCs w:val="20"/>
                <w:color w:val="auto"/>
              </w:rPr>
            </w:pPr>
            <w:r>
              <w:rPr>
                <w:rFonts w:ascii="Arial" w:cs="Arial" w:eastAsia="Arial" w:hAnsi="Arial"/>
                <w:sz w:val="13"/>
                <w:szCs w:val="13"/>
                <w:color w:val="auto"/>
              </w:rPr>
              <w:t>Vesting of restricted stock awards and units</w:t>
            </w:r>
          </w:p>
        </w:tc>
        <w:tc>
          <w:tcPr>
            <w:tcW w:w="1400" w:type="dxa"/>
            <w:vAlign w:val="bottom"/>
          </w:tcPr>
          <w:p>
            <w:pPr>
              <w:jc w:val="right"/>
              <w:spacing w:after="0"/>
              <w:rPr>
                <w:sz w:val="20"/>
                <w:szCs w:val="20"/>
                <w:color w:val="auto"/>
              </w:rPr>
            </w:pPr>
            <w:r>
              <w:rPr>
                <w:rFonts w:ascii="Arial" w:cs="Arial" w:eastAsia="Arial" w:hAnsi="Arial"/>
                <w:sz w:val="13"/>
                <w:szCs w:val="13"/>
                <w:color w:val="auto"/>
              </w:rPr>
              <w:t>30,757</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(16,055)</w:t>
            </w:r>
          </w:p>
        </w:tc>
        <w:tc>
          <w:tcPr>
            <w:tcW w:w="2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(16,055)</w:t>
            </w:r>
          </w:p>
        </w:tc>
      </w:tr>
      <w:tr>
        <w:trPr>
          <w:trHeight w:val="142"/>
        </w:trPr>
        <w:tc>
          <w:tcPr>
            <w:tcW w:w="3000" w:type="dxa"/>
            <w:vAlign w:val="bottom"/>
          </w:tcPr>
          <w:p>
            <w:pPr>
              <w:spacing w:after="0" w:line="142" w:lineRule="exact"/>
              <w:rPr>
                <w:sz w:val="20"/>
                <w:szCs w:val="20"/>
                <w:color w:val="auto"/>
              </w:rPr>
            </w:pPr>
            <w:r>
              <w:rPr>
                <w:rFonts w:ascii="Arial" w:cs="Arial" w:eastAsia="Arial" w:hAnsi="Arial"/>
                <w:sz w:val="13"/>
                <w:szCs w:val="13"/>
                <w:color w:val="auto"/>
              </w:rPr>
              <w:t>Balance as of June 30, 2019</w:t>
            </w: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24,095,287</w:t>
            </w:r>
          </w:p>
        </w:tc>
        <w:tc>
          <w:tcPr>
            <w:tcW w:w="2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985"/>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w:t>
            </w:r>
          </w:p>
        </w:tc>
        <w:tc>
          <w:tcPr>
            <w:tcW w:w="2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197,529</w:t>
            </w:r>
          </w:p>
        </w:tc>
        <w:tc>
          <w:tcPr>
            <w:tcW w:w="2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(104,897)</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92,634</w:t>
            </w:r>
          </w:p>
        </w:tc>
        <w:tc>
          <w:tcPr>
            <w:tcW w:w="12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3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31"/>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(54,801)</w:t>
            </w:r>
          </w:p>
        </w:tc>
        <w:tc>
          <w:tcPr>
            <w:tcW w:w="700" w:type="dxa"/>
            <w:vAlign w:val="bottom"/>
            <w:gridSpan w:val="2"/>
          </w:tcPr>
          <w:p>
            <w:pPr>
              <w:jc w:val="right"/>
              <w:ind w:right="569"/>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(33,158)</w:t>
            </w: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Arial" w:cs="Arial" w:eastAsia="Arial" w:hAnsi="Arial"/>
                <w:sz w:val="18"/>
                <w:szCs w:val="18"/>
                <w:color w:val="auto"/>
              </w:rPr>
              <w:t>Depreciation and amortization expense</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Arial" w:cs="Arial" w:eastAsia="Arial" w:hAnsi="Arial"/>
                <w:sz w:val="18"/>
                <w:szCs w:val="18"/>
                <w:color w:val="auto"/>
              </w:rPr>
              <w:t>Deferred rent expense</w:t>
            </w:r>
          </w:p>
        </w:tc>
        <w:tc>
          <w:tcPr>
            <w:tcW w:w="10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29"/>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(43,452)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spacing w:after="0"/>
              <w:rPr>
                <w:sz w:val="20"/>
                <w:szCs w:val="20"/>
                <w:color w:val="auto"/>
              </w:rPr>
            </w:pPr>
            <w:r>
              <w:rPr>
                <w:rFonts w:ascii="Arial" w:cs="Arial" w:eastAsia="Arial" w:hAnsi="Arial"/>
                <w:sz w:val="18"/>
                <w:szCs w:val="18"/>
                <w:color w:val="auto"/>
              </w:rPr>
              <w:t>Proceeds from issuance of common shares upon completion of public offering,</w:t>
            </w: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140"/>
              <w:spacing w:after="0"/>
              <w:rPr>
                <w:sz w:val="20"/>
                <w:szCs w:val="20"/>
                <w:color w:val="auto"/>
              </w:rPr>
            </w:pPr>
            <w:r>
              <w:rPr>
                <w:rFonts w:ascii="Arial" w:cs="Arial" w:eastAsia="Arial" w:hAnsi="Arial"/>
                <w:sz w:val="18"/>
                <w:szCs w:val="18"/>
                <w:color w:val="auto"/>
              </w:rPr>
              <w:t>net of offering costs</w:t>
            </w:r>
          </w:p>
        </w:tc>
        <w:tc>
          <w:tcPr>
            <w:tcW w:w="10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93,628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shares under ATM facility,</w:t>
            </w: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offering costs</w:t>
            </w:r>
          </w:p>
        </w:tc>
        <w:tc>
          <w:tcPr>
            <w:tcW w:w="10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101,854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187,535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244,872</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90,840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held for sale</w:t>
            </w:r>
          </w:p>
        </w:tc>
        <w:tc>
          <w:tcPr>
            <w:tcW w:w="1000" w:type="dxa"/>
            <w:vAlign w:val="bottom"/>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56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Offering costs included in accrued expenses and accounts payable</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6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Reconciliation of cash, cash equivalents and restricted cash reported within the</w:t>
            </w: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condensed consolidated balance sheets:</w:t>
            </w:r>
          </w:p>
        </w:tc>
        <w:tc>
          <w:tcPr>
            <w:tcW w:w="10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244,380</w:t>
            </w:r>
          </w:p>
        </w:tc>
        <w:tc>
          <w:tcPr>
            <w:tcW w:w="300" w:type="dxa"/>
            <w:vAlign w:val="bottom"/>
          </w:tcPr>
          <w:p>
            <w:pPr>
              <w:spacing w:after="0"/>
              <w:rPr>
                <w:sz w:val="19"/>
                <w:szCs w:val="19"/>
                <w:color w:val="auto"/>
              </w:rPr>
            </w:pPr>
          </w:p>
        </w:tc>
        <w:tc>
          <w:tcPr>
            <w:tcW w:w="700" w:type="dxa"/>
            <w:vAlign w:val="bottom"/>
            <w:gridSpan w:val="2"/>
          </w:tcPr>
          <w:p>
            <w:pPr>
              <w:jc w:val="right"/>
              <w:ind w:right="56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Long-term restricted cash (included in other assets)</w:t>
            </w:r>
          </w:p>
        </w:tc>
        <w:tc>
          <w:tcPr>
            <w:tcW w:w="10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244,872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 xml:space="preserve">AVROBIO, Inc. (the “Company” or “AVROBIO”) is a clinical-stage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 treatment regimen.</w:t>
      </w:r>
    </w:p>
    <w:p>
      <w:pPr>
        <w:spacing w:after="0" w:line="170" w:lineRule="exact"/>
        <w:rPr>
          <w:sz w:val="20"/>
          <w:szCs w:val="20"/>
          <w:color w:val="auto"/>
        </w:rPr>
      </w:pPr>
    </w:p>
    <w:p>
      <w:pPr>
        <w:ind w:right="160" w:firstLine="510"/>
        <w:spacing w:after="0" w:line="297" w:lineRule="auto"/>
        <w:rPr>
          <w:sz w:val="20"/>
          <w:szCs w:val="20"/>
          <w:color w:val="auto"/>
        </w:rPr>
      </w:pPr>
      <w:r>
        <w:rPr>
          <w:rFonts w:ascii="Arial" w:cs="Arial" w:eastAsia="Arial" w:hAnsi="Arial"/>
          <w:sz w:val="16"/>
          <w:szCs w:val="16"/>
          <w:color w:val="auto"/>
        </w:rPr>
        <w:t>The Company is subject to risks and uncertainties common to clinical-stage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1" w:lineRule="exact"/>
        <w:rPr>
          <w:sz w:val="20"/>
          <w:szCs w:val="20"/>
          <w:color w:val="auto"/>
        </w:rPr>
      </w:pPr>
    </w:p>
    <w:p>
      <w:pPr>
        <w:ind w:right="80" w:firstLine="510"/>
        <w:spacing w:after="0" w:line="274" w:lineRule="auto"/>
        <w:rPr>
          <w:sz w:val="20"/>
          <w:szCs w:val="20"/>
          <w:color w:val="auto"/>
        </w:rPr>
      </w:pPr>
      <w:r>
        <w:rPr>
          <w:rFonts w:ascii="Arial" w:cs="Arial" w:eastAsia="Arial" w:hAnsi="Arial"/>
          <w:sz w:val="17"/>
          <w:szCs w:val="17"/>
          <w:color w:val="auto"/>
        </w:rPr>
        <w:t>The Company has incurred recurring losses since its inception, including net losses of $54,801 and $33,158 for the six months ended June 30, 2020 and 2019, respectively. In addition, as of June 30, 2020, the Company had an accumulated deficit of $199,505. The Company has primarily funded these losses through the proceeds from sales of common and preferred stock. Although the Company has incurred recurring losses and expects to continue to incur losses for the foreseeable future, the Company expects that its existing cash and cash equivalents on hand as of June 30, 2020 of $244,380 will be sufficient to fund current planned operations and capital expenditure requirements for at least the next twelve months from the filing date of this Quarterly Report on Form 10-Q with the SEC.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The unaudited condensed consolidated interim financial statements have been prepared on the same basis as the audited annual consolidated financial statements as of and for the year ended December 31, 2019, and, in the opinion of management, reflect all adjustments, consisting of normal recurring adjustments, necessary for the fair presentation of the Company’s financial position as of June 30, 2020, and the results of its operations for the three and six months ended June 30, 2020 and 2019, its statements of stockholders’ equity for the three and six months ended June 30, 2020 and 2019 and its statement of cash flows for the six months ended June 30, 2020 and 2019.</w:t>
      </w:r>
    </w:p>
    <w:p>
      <w:pPr>
        <w:spacing w:after="0" w:line="1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results for the three and six months ended June 30, 2020 are not necessarily indicative of the results to be expected for the year ending December 31, 2020, any other interim periods, or any future year or period. These interim financial statements should be read in conjunction with the audited financial statements as of and for the year ended December 31, 2019, and the notes thereto, which are included in the Company’s Annual Report on Form 10-K for the year ended December 31, 2019, filed with the SEC on March 16, 2020.</w:t>
      </w:r>
    </w:p>
    <w:p>
      <w:pPr>
        <w:spacing w:after="0" w:line="187" w:lineRule="exact"/>
        <w:rPr>
          <w:sz w:val="20"/>
          <w:szCs w:val="20"/>
          <w:color w:val="auto"/>
        </w:rPr>
      </w:pPr>
    </w:p>
    <w:p>
      <w:pPr>
        <w:jc w:val="both"/>
        <w:ind w:right="520" w:firstLine="510"/>
        <w:spacing w:after="0" w:line="287" w:lineRule="auto"/>
        <w:rPr>
          <w:sz w:val="20"/>
          <w:szCs w:val="20"/>
          <w:color w:val="auto"/>
        </w:rPr>
      </w:pPr>
      <w:r>
        <w:rPr>
          <w:rFonts w:ascii="Arial" w:cs="Arial" w:eastAsia="Arial" w:hAnsi="Arial"/>
          <w:sz w:val="16"/>
          <w:szCs w:val="16"/>
          <w:color w:val="auto"/>
        </w:rPr>
        <w:t>The accompanying unaudited condensed consolidated financial statements reflect the application of certain significant accounting policies as described below and elsewhere in these notes to the unaudited condensed consolidated financial statements. As of June 30, 2020, there have been no changes to the Company’s significant accounting policies as described in the Company’s Annual Report on Form 10-K for the fiscal year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2019, except as it related to the adoption of new accounting standards during the first six months of 2020 as discussed below.</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right="580" w:firstLine="510"/>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or ASU 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For public companies, the ASU is effective for fiscal years beginning after December 15, 2020, and interim periods within those fiscal years, with early adoption permitted. The Company plans to adopt this guidance on January 1, 2021. The Company is currently evaluating the impact that the adoption of ASU 2019-12 will have on its consolidated financial statements.</w:t>
      </w:r>
    </w:p>
    <w:p>
      <w:pPr>
        <w:spacing w:after="0" w:line="233"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808)—Clarifying the Interaction between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and Topic 606</w:t>
      </w:r>
      <w:r>
        <w:rPr>
          <w:rFonts w:ascii="Arial" w:cs="Arial" w:eastAsia="Arial" w:hAnsi="Arial"/>
          <w:sz w:val="16"/>
          <w:szCs w:val="16"/>
          <w:color w:val="auto"/>
        </w:rPr>
        <w:t>, or ASU 2018-18. The amendments in ASU 2018-18 clarify that certain transactions between collaborative arrangement participants should</w:t>
      </w:r>
      <w:r>
        <w:rPr>
          <w:rFonts w:ascii="Arial" w:cs="Arial" w:eastAsia="Arial" w:hAnsi="Arial"/>
          <w:sz w:val="16"/>
          <w:szCs w:val="16"/>
          <w:i w:val="1"/>
          <w:iCs w:val="1"/>
          <w:color w:val="auto"/>
        </w:rPr>
        <w:t xml:space="preserve"> </w:t>
      </w:r>
      <w:r>
        <w:rPr>
          <w:rFonts w:ascii="Arial" w:cs="Arial" w:eastAsia="Arial" w:hAnsi="Arial"/>
          <w:sz w:val="16"/>
          <w:szCs w:val="16"/>
          <w:color w:val="auto"/>
        </w:rPr>
        <w:t>be accounted for as revenue under ASC 606 when the collaborative arrangement participant is a customer in the context of a unit of account. The amendments under ASU 2018-18 are effective for interim and annual fiscal periods beginning after December 15, 2019, with early adoption permitted. The amendments in ASU 2018-18 should be applied retrospectively to the date of initial application of ASC 606. The Company adopted ASU 2018-18 during the quarter ended March 31, 2020. The adoption did not have a material impact on the condensed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Intangible-Goodwill and Other Internal-Use Software (Subtopic 350-40),</w:t>
      </w:r>
      <w:r>
        <w:rPr>
          <w:rFonts w:ascii="Arial" w:cs="Arial" w:eastAsia="Arial" w:hAnsi="Arial"/>
          <w:sz w:val="18"/>
          <w:szCs w:val="18"/>
          <w:color w:val="auto"/>
        </w:rPr>
        <w:t xml:space="preserve"> or ASU 2018-</w:t>
      </w:r>
    </w:p>
    <w:p>
      <w:pPr>
        <w:spacing w:after="0" w:line="23" w:lineRule="exact"/>
        <w:rPr>
          <w:sz w:val="20"/>
          <w:szCs w:val="20"/>
          <w:color w:val="auto"/>
        </w:rPr>
      </w:pPr>
    </w:p>
    <w:p>
      <w:pPr>
        <w:ind w:right="140" w:firstLine="8"/>
        <w:spacing w:after="0" w:line="25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ASU 2018-15 updates guidance regarding accounting for implementation costs associated with a cloud computing arrangement that is a service contract. The amendments under ASU 2018-15 are effective for interim and annual fiscal periods beginning after December 15, 2019, with early adoption permitted. The Company adopted ASU 2018-15 during the quarter ended March 31, 2020. The adoption did not have a material impact on the condensed consolidated financial statements.</w:t>
      </w:r>
    </w:p>
    <w:p>
      <w:pPr>
        <w:spacing w:after="0" w:line="193"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or ASU 2018-13. The amendments in ASU 2018-13 eliminate, add,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modify certain disclosure requirements for fair value measurements. The amendments are effective for interim and annual reporting periods beginning after December 15, 2019, with early adoption permitted for either the entire ASU or only the provisions that eliminate or modify requirements. The amendments with respect to changes in unrealized gains and losses, the range and weighted-average of significant unobservable inputs used to develop Level 3 fair value measurements, and the narrative description of measurement uncertainty are to be applied prospectively. All other amendments are to be applied retrospectively to all periods presented. The Company adopted ASU 2018-13 during the quarter ended March 31, 2020. The adoption did not have a material impact on the condensed consolidated financial statements.</w:t>
      </w:r>
    </w:p>
    <w:p>
      <w:pPr>
        <w:spacing w:after="0" w:line="233"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or ASU 2016-13. ASU 2016-13 requires that credit losses be reported as an allowance using an expected losses model,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current estimate of credit losses expected to be incurred. The accounting guidance currently in effect is based on an incurred loss model. For available-for-sale debt securities with unrealized losses, this standard now requires allowances to be recorded instead of reducing the amortized cost of the investment.</w:t>
      </w:r>
    </w:p>
    <w:p>
      <w:pPr>
        <w:spacing w:after="0" w:line="215"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In November 2019, the FASB issued ASU 2019-11, “</w:t>
      </w:r>
      <w:r>
        <w:rPr>
          <w:rFonts w:ascii="Arial" w:cs="Arial" w:eastAsia="Arial" w:hAnsi="Arial"/>
          <w:sz w:val="17"/>
          <w:szCs w:val="17"/>
          <w:i w:val="1"/>
          <w:iCs w:val="1"/>
          <w:color w:val="auto"/>
        </w:rPr>
        <w:t>Codification Improvements to Topic 326, Financial Instruments – Credit Losses</w:t>
      </w:r>
      <w:r>
        <w:rPr>
          <w:rFonts w:ascii="Arial" w:cs="Arial" w:eastAsia="Arial" w:hAnsi="Arial"/>
          <w:sz w:val="17"/>
          <w:szCs w:val="17"/>
          <w:color w:val="auto"/>
        </w:rPr>
        <w:t>” or ASU 2019-11. ASU 2019-11 is an accounting pronouncement that amends ASU 2016-13, “</w:t>
      </w:r>
      <w:r>
        <w:rPr>
          <w:rFonts w:ascii="Arial" w:cs="Arial" w:eastAsia="Arial" w:hAnsi="Arial"/>
          <w:sz w:val="17"/>
          <w:szCs w:val="17"/>
          <w:i w:val="1"/>
          <w:iCs w:val="1"/>
          <w:color w:val="auto"/>
        </w:rPr>
        <w:t>Financial Instruments – 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on Financial Instruments</w:t>
      </w:r>
      <w:r>
        <w:rPr>
          <w:rFonts w:ascii="Arial" w:cs="Arial" w:eastAsia="Arial" w:hAnsi="Arial"/>
          <w:sz w:val="17"/>
          <w:szCs w:val="17"/>
          <w:color w:val="auto"/>
        </w:rPr>
        <w:t>.” The amendments update guidance on reporting credit losses for financial assets. These amendments affect loans,</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trade receivables, net investments in leases, off balance sheet credit exposures, reinsurance receivables, and any other financial assets not excluded from the scope that have the contractual right to receive cash. The amendments in both ASU 2016-13 and ASU 2019-11 are effective for annual reporting periods beginning after December 15, 2019, including interim periods within those fiscal years. As a result of the Company having elected the extended transition period for complying with new or revised accounting standards pursuant to Section 107(b) of the JOBS Act, 2016-13 and ASU 2019-11 are effective for the Company for fiscal years beginning after December 15, 2020, and interim periods within fiscal years beginning after December 15, 2021. The Company is currently evaluating ASU 2016-13 and ASU 2019-11 and their impact on its condensed consolidated financial statements and financial statement disclosures.</w:t>
      </w:r>
    </w:p>
    <w:p>
      <w:pPr>
        <w:spacing w:after="0" w:line="18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(Topic 842) Leases,</w:t>
      </w:r>
      <w:r>
        <w:rPr>
          <w:rFonts w:ascii="Arial" w:cs="Arial" w:eastAsia="Arial" w:hAnsi="Arial"/>
          <w:sz w:val="16"/>
          <w:szCs w:val="16"/>
          <w:color w:val="auto"/>
        </w:rPr>
        <w:t xml:space="preserve"> or ASU 2016-02. ASU 2016-02 requires an entity to recognize assets and liabilities arising from a lease for both financing and operating leases. The ASU will also require new qualitative and quantitative disclosures to help investors and other financial statement users better understand the amount, timing, and uncertainty of cash flows arising from leases. For public</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entities, ASU 2016-02 is effective for fiscal years beginning after December 15, 2018. As a result of the Company having elected the extended transition period for complying with new or revised accounting standards pursuant to Section 107(b) of the JOBS Act, ASU 2016-02 is effective for the Company for the year ended December 31, 2021, and all interim periods thereafter. Early adoption is permitted. The Company is currently evaluating the impact that the adoption of ASU 2016-02 will have on its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measured at fair value on a recurring basis and indicates the level of the fair value hierarchy utilized to determine such fair values as of June 30, 2020 and December 31,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9"/>
          </w:tcPr>
          <w:p>
            <w:pPr>
              <w:jc w:val="center"/>
              <w:ind w:left="457"/>
              <w:spacing w:after="0"/>
              <w:rPr>
                <w:sz w:val="20"/>
                <w:szCs w:val="20"/>
                <w:color w:val="auto"/>
              </w:rPr>
            </w:pPr>
            <w:r>
              <w:rPr>
                <w:rFonts w:ascii="Arial" w:cs="Arial" w:eastAsia="Arial" w:hAnsi="Arial"/>
                <w:sz w:val="14"/>
                <w:szCs w:val="14"/>
                <w:b w:val="1"/>
                <w:bCs w:val="1"/>
                <w:color w:val="auto"/>
                <w:w w:val="92"/>
              </w:rPr>
              <w:t>Fair Value Measurements as of June 30, 2020 Using:</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3"/>
                <w:szCs w:val="13"/>
                <w:color w:val="auto"/>
              </w:rPr>
            </w:pPr>
          </w:p>
        </w:tc>
        <w:tc>
          <w:tcPr>
            <w:tcW w:w="74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0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244,112</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244,112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244,604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gridSpan w:val="11"/>
          </w:tcPr>
          <w:p>
            <w:pPr>
              <w:jc w:val="center"/>
              <w:ind w:right="300"/>
              <w:spacing w:after="0"/>
              <w:rPr>
                <w:sz w:val="20"/>
                <w:szCs w:val="20"/>
                <w:color w:val="auto"/>
              </w:rPr>
            </w:pPr>
            <w:r>
              <w:rPr>
                <w:rFonts w:ascii="Arial" w:cs="Arial" w:eastAsia="Arial" w:hAnsi="Arial"/>
                <w:sz w:val="14"/>
                <w:szCs w:val="14"/>
                <w:b w:val="1"/>
                <w:bCs w:val="1"/>
                <w:color w:val="auto"/>
                <w:w w:val="92"/>
              </w:rPr>
              <w:t>Fair Value Measurements as of December 31, 2019 Using:</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3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0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186,797</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186,797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187,289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187,289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8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jc w:val="right"/>
        <w:ind w:righ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within the hierarchy during the six months ended June 30, 2020 or the year ended December 31, 2019.</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Tax incentive refund</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2,132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Prepaid research and development costs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3,346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income receivable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Prepaid rent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997</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6,640</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3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Laboratory and office equipment</w:t>
            </w:r>
          </w:p>
        </w:tc>
        <w:tc>
          <w:tcPr>
            <w:tcW w:w="200" w:type="dxa"/>
            <w:vAlign w:val="bottom"/>
            <w:gridSpan w:val="2"/>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(1,818)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for the six months ended June 30, 2020 and 2019 was $584 and $390,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1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12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benefit costs</w:t>
            </w:r>
          </w:p>
        </w:tc>
        <w:tc>
          <w:tcPr>
            <w:tcW w:w="2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professional fees</w:t>
            </w:r>
          </w:p>
        </w:tc>
        <w:tc>
          <w:tcPr>
            <w:tcW w:w="2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3120" w:type="dxa"/>
            <w:vAlign w:val="bottom"/>
            <w:shd w:val="clear" w:color="auto" w:fill="CFF0FC"/>
          </w:tcPr>
          <w:p>
            <w:pPr>
              <w:spacing w:after="0"/>
              <w:rPr>
                <w:sz w:val="20"/>
                <w:szCs w:val="20"/>
                <w:color w:val="auto"/>
              </w:rPr>
            </w:pPr>
          </w:p>
        </w:tc>
        <w:tc>
          <w:tcPr>
            <w:tcW w:w="2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bottom w:val="single" w:sz="8" w:color="CFF0FC"/>
            </w:tcBorders>
            <w:vMerge w:val="restart"/>
          </w:tcPr>
          <w:p>
            <w:pPr>
              <w:jc w:val="right"/>
              <w:ind w:right="131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ommon Stock</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As of June 30, 2020 and December 31, 2019, the authorized capital stock of the Company included 150,000,000 shares of common stock, $0.0001 par value and 10,000,000 shares of undesignated preferred stock. As of June 30, 2020 and December 31, 2019, no undesignated preferred stock was outstanding.</w:t>
      </w:r>
    </w:p>
    <w:p>
      <w:pPr>
        <w:spacing w:after="0" w:line="1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accordance with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Through June 30, 2020, no cash dividends have been declared or paid.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2020 and December 31, 2019, the Company has reserved the following shares of common stock for future issuance:</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30,252</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5,586,794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3,414,445</w:t>
            </w:r>
          </w:p>
        </w:tc>
        <w:tc>
          <w:tcPr>
            <w:tcW w:w="80" w:type="dxa"/>
            <w:vAlign w:val="bottom"/>
          </w:tcPr>
          <w:p>
            <w:pPr>
              <w:spacing w:after="0"/>
              <w:rPr>
                <w:sz w:val="19"/>
                <w:szCs w:val="19"/>
                <w:color w:val="auto"/>
              </w:rPr>
            </w:pPr>
          </w:p>
        </w:tc>
      </w:tr>
      <w:tr>
        <w:trPr>
          <w:trHeight w:val="22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80" w:type="dxa"/>
            <w:vAlign w:val="bottom"/>
            <w:shd w:val="clear" w:color="auto" w:fill="CFF0FC"/>
          </w:tcPr>
          <w:p>
            <w:pPr>
              <w:spacing w:after="0"/>
              <w:rPr>
                <w:sz w:val="19"/>
                <w:szCs w:val="19"/>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Shares reserved for issuance under the 2018 Stock Option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and Grant Plan</w:t>
            </w:r>
          </w:p>
        </w:tc>
        <w:tc>
          <w:tcPr>
            <w:tcW w:w="1080" w:type="dxa"/>
            <w:vAlign w:val="bottom"/>
          </w:tcPr>
          <w:p>
            <w:pPr>
              <w:jc w:val="right"/>
              <w:spacing w:after="0"/>
              <w:rPr>
                <w:sz w:val="20"/>
                <w:szCs w:val="20"/>
                <w:color w:val="auto"/>
              </w:rPr>
            </w:pPr>
            <w:r>
              <w:rPr>
                <w:rFonts w:ascii="Arial" w:cs="Arial" w:eastAsia="Arial" w:hAnsi="Arial"/>
                <w:sz w:val="18"/>
                <w:szCs w:val="18"/>
                <w:color w:val="auto"/>
              </w:rPr>
              <w:t>3,430,156</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332,513</w:t>
            </w:r>
          </w:p>
        </w:tc>
        <w:tc>
          <w:tcPr>
            <w:tcW w:w="80" w:type="dxa"/>
            <w:vAlign w:val="bottom"/>
          </w:tcPr>
          <w:p>
            <w:pPr>
              <w:spacing w:after="0"/>
              <w:rPr>
                <w:sz w:val="20"/>
                <w:szCs w:val="20"/>
                <w:color w:val="auto"/>
              </w:rPr>
            </w:pPr>
          </w:p>
        </w:tc>
      </w:tr>
      <w:tr>
        <w:trPr>
          <w:trHeight w:val="21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issuance under the 2018 Employee Stock</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Plan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774,088</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459,595</w:t>
            </w:r>
          </w:p>
        </w:tc>
        <w:tc>
          <w:tcPr>
            <w:tcW w:w="80" w:type="dxa"/>
            <w:vAlign w:val="bottom"/>
            <w:shd w:val="clear" w:color="auto" w:fill="CFF0FC"/>
          </w:tcPr>
          <w:p>
            <w:pPr>
              <w:spacing w:after="0"/>
              <w:rPr>
                <w:sz w:val="20"/>
                <w:szCs w:val="20"/>
                <w:color w:val="auto"/>
              </w:rPr>
            </w:pPr>
          </w:p>
        </w:tc>
      </w:tr>
      <w:tr>
        <w:trPr>
          <w:trHeight w:val="229"/>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reserved for issuance under the 2019 Inducement Plan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1,067,250</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1,800,000</w:t>
            </w:r>
          </w:p>
        </w:tc>
        <w:tc>
          <w:tcPr>
            <w:tcW w:w="80" w:type="dxa"/>
            <w:vAlign w:val="bottom"/>
            <w:tcBorders>
              <w:bottom w:val="single" w:sz="8" w:color="CFF0FC"/>
            </w:tcBorders>
          </w:tcPr>
          <w:p>
            <w:pPr>
              <w:spacing w:after="0"/>
              <w:rPr>
                <w:sz w:val="19"/>
                <w:szCs w:val="19"/>
                <w:color w:val="auto"/>
              </w:rPr>
            </w:pPr>
          </w:p>
        </w:tc>
      </w:tr>
      <w:tr>
        <w:trPr>
          <w:trHeight w:val="20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Total shares of authorized common stock reserved for future</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10,869,858</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6,039,105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of directors were as follows, presented on a weighted-average basis: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2940" w:type="dxa"/>
            <w:vAlign w:val="bottom"/>
            <w:tcBorders>
              <w:bottom w:val="single" w:sz="8" w:color="CFF0FC"/>
            </w:tcBorders>
          </w:tcPr>
          <w:p>
            <w:pPr>
              <w:spacing w:after="0"/>
              <w:rPr>
                <w:sz w:val="13"/>
                <w:szCs w:val="13"/>
                <w:color w:val="auto"/>
              </w:rPr>
            </w:pPr>
          </w:p>
        </w:tc>
        <w:tc>
          <w:tcPr>
            <w:tcW w:w="232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life (years)</w:t>
            </w:r>
          </w:p>
        </w:tc>
        <w:tc>
          <w:tcPr>
            <w:tcW w:w="2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80" w:type="dxa"/>
            <w:vAlign w:val="bottom"/>
            <w:gridSpan w:val="3"/>
          </w:tcPr>
          <w:p>
            <w:pPr>
              <w:jc w:val="right"/>
              <w:ind w:right="160"/>
              <w:spacing w:after="0"/>
              <w:rPr>
                <w:sz w:val="20"/>
                <w:szCs w:val="20"/>
                <w:color w:val="auto"/>
              </w:rPr>
            </w:pPr>
            <w:r>
              <w:rPr>
                <w:rFonts w:ascii="Arial" w:cs="Arial" w:eastAsia="Arial" w:hAnsi="Arial"/>
                <w:sz w:val="18"/>
                <w:szCs w:val="18"/>
                <w:color w:val="auto"/>
              </w:rPr>
              <w:t>0.88%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6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75.72%</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80.86%</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r>
      <w:tr>
        <w:trPr>
          <w:trHeight w:val="647"/>
        </w:trPr>
        <w:tc>
          <w:tcPr>
            <w:tcW w:w="1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20" w:type="dxa"/>
            <w:vAlign w:val="bottom"/>
          </w:tcPr>
          <w:p>
            <w:pPr>
              <w:jc w:val="right"/>
              <w:ind w:right="1210"/>
              <w:spacing w:after="0"/>
              <w:rPr>
                <w:sz w:val="20"/>
                <w:szCs w:val="20"/>
                <w:color w:val="auto"/>
              </w:rPr>
            </w:pPr>
            <w:r>
              <w:rPr>
                <w:rFonts w:ascii="Arial" w:cs="Arial" w:eastAsia="Arial" w:hAnsi="Arial"/>
                <w:sz w:val="18"/>
                <w:szCs w:val="18"/>
                <w:color w:val="auto"/>
              </w:rPr>
              <w:t>9</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six months ended June 30, 2020:</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3,414,445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2,249,713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(31,980)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(45,384)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30,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5,586,794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22,733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as of June 30, 2020</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15,102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1,533,008</w:t>
            </w: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aggregate intrinsic value of options exercised during the six months ended June 30, 2020 and 2019 was $546 and $3,349, respectively.</w:t>
      </w:r>
    </w:p>
    <w:p>
      <w:pPr>
        <w:spacing w:after="0" w:line="237"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six months ended June 30, 2020 and 2019 was $13.16 and $11.37,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common stock activity for the six months ended June 30, 2020:</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 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32,552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(20,982)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June 30,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total fair value of restricted common stock vested during the six months ended June 30, 2020 and 2019 was $21 and $29,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9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As of June 30, 2020, total unrecognized compensation cost related to the unvested stock-based awards was $45,535, which is expected to be recognized over a weighted-average period of 3.27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UHN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On January 27, 2016, the Company entered into an agreement with the University Health Network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w:t>
      </w:r>
    </w:p>
    <w:p>
      <w:pPr>
        <w:spacing w:after="0" w:line="16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For the three months ended June 30, 2020 and 2019, the Company recorded research and development expense related to this agreement with UHN of $147 and $132, respectively, which consists of reimbursable funded study trial costs. For the six months ended June 30, 2020 and 2019, the Company recorded research and development expense related to this agreement with UHN of $147 and $325, respectively. No milestone or maintenance fees were incurred related to the Fabry license agreement in the six months ended June 30, 2020 and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its IPO if certain criteria were met. This obligation was considered a derivative instrument and was initially recorded at fair value.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agreement, the Company has agreed to pay UHN a low double-digit royalty percentage of any sublicense income received by the Company.</w:t>
      </w:r>
    </w:p>
    <w:p>
      <w:pPr>
        <w:spacing w:after="0" w:line="225"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agreement requires the Company to meet certain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76" w:lineRule="exact"/>
        <w:rPr>
          <w:sz w:val="20"/>
          <w:szCs w:val="20"/>
          <w:color w:val="auto"/>
        </w:rPr>
      </w:pPr>
    </w:p>
    <w:p>
      <w:pPr>
        <w:ind w:firstLine="510"/>
        <w:spacing w:after="0" w:line="280" w:lineRule="auto"/>
        <w:rPr>
          <w:sz w:val="20"/>
          <w:szCs w:val="20"/>
          <w:color w:val="auto"/>
        </w:rPr>
      </w:pPr>
      <w:r>
        <w:rPr>
          <w:rFonts w:ascii="Arial" w:cs="Arial" w:eastAsia="Arial" w:hAnsi="Arial"/>
          <w:sz w:val="18"/>
          <w:szCs w:val="18"/>
          <w:color w:val="auto"/>
        </w:rPr>
        <w:t>For the three months ended June 30, 2020 and 2019, the Company did not record research and development expense related to this agreement with UHN. For the six months ended June 30, 2020 and 2019, the Company recorded research and development expense related to this agreement with UHN of $38 and $38, respectively, which consists of license maintenance fees. No milestone fees were incurred related to the IL-12 license agreement in the six months ended June 30, 2020 and 2019.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preferred stock to BioMarin in January 2018.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milestone fees related to the license were recorded for the six months ended June 30, 2020 and 2019.</w:t>
      </w:r>
    </w:p>
    <w:p>
      <w:pPr>
        <w:spacing w:after="0" w:line="19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In November 2019, the Company made a payment of $2,000 in connection with the dosing of the first patient in the investigator-sponsored Phase 1/2 clinical trial of AVR-RD-04 in cystinosis in the United States. The next anticipated payment under this Agreement is $2,000, which would become due following the dosing of the first patient in the first pivotal clinical trial of AVR-RD-04 in cystinosis in the United States.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milestone fees related to the license were recorded for the six months ended June 30, 2020 and 2019.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milestone fees related to the license were recorded for the six months ended June 30, 2020 and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For purposes of the diluted net loss per share calculation, stock options and unvested restricted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8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4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5,586,794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2,957,457</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11,570</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94,065</w:t>
            </w:r>
          </w:p>
        </w:tc>
        <w:tc>
          <w:tcPr>
            <w:tcW w:w="8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On January 12, 2018, the Company entered into a lease agreement for office space located in Cambridge, Massachusetts. The lease agreement expires in January 2023, with a landlord who is an affiliate of the landlord of the Company’s prior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$842 in 2018. Such incentive allowance is being amortized as a reduction of rent expense on a straight-line basis over the lease period. In accordance with the lease agreement, the Company is required to maintain a security deposit of $209, which was recorded in other assets. In contemplation of this agreement, the Company terminated its prior lease agreement.</w:t>
      </w:r>
    </w:p>
    <w:p>
      <w:pPr>
        <w:spacing w:after="0" w:line="164" w:lineRule="exact"/>
        <w:rPr>
          <w:sz w:val="20"/>
          <w:szCs w:val="20"/>
          <w:color w:val="auto"/>
        </w:rPr>
      </w:pPr>
    </w:p>
    <w:p>
      <w:pPr>
        <w:ind w:right="40" w:firstLine="510"/>
        <w:spacing w:after="0" w:line="290" w:lineRule="auto"/>
        <w:rPr>
          <w:sz w:val="20"/>
          <w:szCs w:val="20"/>
          <w:color w:val="auto"/>
        </w:rPr>
      </w:pPr>
      <w:r>
        <w:rPr>
          <w:rFonts w:ascii="Arial" w:cs="Arial" w:eastAsia="Arial" w:hAnsi="Arial"/>
          <w:sz w:val="17"/>
          <w:szCs w:val="17"/>
          <w:color w:val="auto"/>
        </w:rPr>
        <w:t>On August 31, 2018, the Company entered into a sub-lease agreement for laboratory space located in Cambridge, Massachusetts, United States, which was set to expire in October 2020. On June 9, 2020, the Company amended the terms of the sublease, which is now set to expire in April 2022. The annual lease payments are subject to a 5% increase each year. In accordance with the lease agreement, the Company is required to maintain a security deposit of $283, which was recorded in other assets as of December 31, 2019 and June 30, 2020.</w:t>
      </w:r>
    </w:p>
    <w:p>
      <w:pPr>
        <w:spacing w:after="0" w:line="162"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On June 1, 2020, the Company entered into a lease agreement for office space located in Toronto, Ontario, Canada, which is set to expire in June 2025. The annual lease payments are fixed for years 1 and 2, and then subject to a 6.67% increase for years 2 through 5. In accordance with the lease agreement, the Company is required to maintain a security deposit of CAD $27, which was recorded in prepaids and other current assets as of June 30,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98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six months ended June 30, 2020 and 2019 and to the best of its knowledge, no material legal proceedings are currently pending or threatened.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The Company is also party to various agreements, principally relating to licensed technology, that require future payments relating to milestones not met at June 30, 2020 and December 31, 2019, or royalties on future sales. No milestone or royalty payments under these agreements are expected to be payable in the immediate future, except as disclosed in Note 9. See Note 9 for discussion of these arrangements.</w:t>
      </w:r>
    </w:p>
    <w:p>
      <w:pPr>
        <w:spacing w:after="0" w:line="165"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at June 30, 2020.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In connection with the Company’s entry into a license agreement with UHN on January 27, 2016, the Company issued UHN 1,161,665 shares of its common stock. Upon the closing of the IPO, as UHN’s fully-diluted percentage ownership of the Company was reduced within a range of specified percentages, the Company was obligated to pay UHN an amount up to $2,000, which was paid in July 2018.</w:t>
      </w:r>
    </w:p>
    <w:p>
      <w:pPr>
        <w:spacing w:after="0" w:line="165" w:lineRule="exact"/>
        <w:rPr>
          <w:sz w:val="20"/>
          <w:szCs w:val="20"/>
          <w:color w:val="auto"/>
        </w:rPr>
      </w:pPr>
    </w:p>
    <w:p>
      <w:pPr>
        <w:jc w:val="both"/>
        <w:ind w:right="200" w:firstLine="510"/>
        <w:spacing w:after="0" w:line="279" w:lineRule="auto"/>
        <w:rPr>
          <w:sz w:val="20"/>
          <w:szCs w:val="20"/>
          <w:color w:val="auto"/>
        </w:rPr>
      </w:pPr>
      <w:r>
        <w:rPr>
          <w:rFonts w:ascii="Arial" w:cs="Arial" w:eastAsia="Arial" w:hAnsi="Arial"/>
          <w:sz w:val="18"/>
          <w:szCs w:val="18"/>
          <w:color w:val="auto"/>
        </w:rPr>
        <w:t>For the three months ended June 30, 2020 and 2019, the Company recognized $147 and $132, respectively, of research and development expense related to the license agreements with UHN. For the six months ended June 30, 2020 and 2019, the Company recognized $185 and $363, respectively, of research and development expense related to the license agreements with UHN (Note 9).</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 three months ended June 30, 2020 and 2019, the Company recorded expenses of $365 and $365, respectively, related to a sublease to rent lab space, provided by an entity affiliated with a member of the Company’s board of directors. For the six months ended June 30, 2020 and 2019, the Company recorded expenses of $725 and $721, respectively, related to a sublease to rent lab space, provided by an entity affiliated with a member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Quarterly Report on Form 10-Q and our audited consolidated financial statements and related notes for the year ended December 31, 2019 included in our Annual Report on Form 10-K for the year ended December 31, 2019. Some of the information contained in this discussion and analysis or set forth elsewhere in this report, including information with respect to our plans and strategy for our business, includes forward-looking statements that involve risks, uncertainties and assumptions. Factors that might cause future results to differ materially from those projected in the forward-looking statements include, but are not limited to, those set forth in our Annual Report on Form 10-K for the year ended December 31, 2019, as supplemented by our subsequent filings with the SEC.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We are a leading clinical-stage gene therapy company with a mission to free people from a lifetime of genetic disease. Our Company is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patients with rare diseases following a single dose treatment regimen. Our investigational gene therapies employ hematopoietic stem cells that are harvested from the patient and then modified with a lentiviral vector to insert the equivalent of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diseases, some of which today are primarily managed with enzyme replacement therapies, or ERTs. These lysosomal diseases have well-understood biologies, identified patient populations, established standards of care yet with significant unmet needs, and represent large market opportunities with approximately $4.0 billion in worldwide net sales in 2019.</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initial pipeline is comprised of four lentiviral-based gene therapy programs, including AVR-RD-01 for the treatment of Fabry disease, AVR-RD-04 for the treatment of cystinosis, AVR-RD-02 for the treatment of Gaucher disease and AVR-RD-03 for the treatment of Pompe disease. AVR-RD-01 is currently being studied in an investigator-sponsored Phase 1 clinical trial and a Company-sponsored Phase 2 clinical trial, which we refer to as FAB-201. Five patients have been dosed in the investigator-sponsored Phase 1 clinical trial of AVR-RD-01, and enrollment is complete. Four patients have been dosed in the Company-sponsored Phase 2 FAB-201 trial. AVR-RD-04 is currently being studied by our collaborators at the University of California, San Diego, or UCSD, in a Phase 1/2 investigator-sponsored clinical trial, and two patients have been dosed. AVR-RD-02 is currently being studied in a Company-sponsored Phase 1/2 clinical trial, which we refer to as GuardOne, and one patient has been dosed. AVR-RD-03 is currently in preclinical development, with IND-enabling preclinical studies, including a proof-of-concept study, expected to conclude in 2020.</w:t>
      </w:r>
    </w:p>
    <w:p>
      <w:pPr>
        <w:spacing w:after="0" w:line="17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and our initial public offering, or IPO, and we have raised additional capital through an underwritten public offering that closed in July 2019, or the July 2019 Follow-On Offering, and an underwritten public offering that closed in February 2020, or the February 2020 Follow-On Offering. Through June 30, 2020, we had received gross cash proceeds of</w:t>
      </w:r>
    </w:p>
    <w:p>
      <w:pPr>
        <w:spacing w:after="0" w:line="4"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$87.5 million from sales of our preferred stock, and gross cash proceeds, before deducting underwriting discounts and commissions and expenses, of $114.7 million, $138.3 million and $100.0 million from sales of our common stock through our IPO, July 2019 Follow-On Offering and February 2020 Follow-On Offering, respectively. In July 2019, we entered into a Sales Agreement with Cowen and Company, LLC, as sales agent, to provide for the offering, issuance and sale of up to $50.0 million of our common stock from time to time in “at-the-market” offerings, or the ATM Facility. During the quarter ended June 30, 2020, we sold and issued 384,140 shares of common stock under the ATM Facility for gross proceeds of approximately $8.5 million.</w:t>
      </w:r>
    </w:p>
    <w:p>
      <w:pPr>
        <w:spacing w:after="0" w:line="1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$54.8 million and $33.2 million for the six months ended June 30, 2020 and 2019, respectively. As of June 30, 2020, we had an accumulated deficit of $199.5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line="271"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net proceeds from our IPO, follow-on offerings, and our ATM Facility.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of June 30, 2020, we had cash and cash equivalents of $244.4 million. We believe that our existing cash and cash equivalents as of June 30, 2020 will enable us to fund our operating expenses and capital expenditure requirements into the second half of 2022. We have based this estimate on assumptions that may prove to be wrong, and we could exhaust our available capital resources sooner than we expect. See “—Liquidity and Capital Resources.” To finance our operations beyond that point, we will need to raise additional capital, which cannot be assured.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Update – AVR-RD-01 for Fabry disease</w:t>
      </w:r>
    </w:p>
    <w:p>
      <w:pPr>
        <w:spacing w:after="0" w:line="13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AVR-RD-01 is currently being studied in two ongoing clinical trials. A Phase 1 investigator-sponsored clinical trial of AVR-RD-01 is being conducted by the University Health Network, or UHN, and sponsored by Fabry Disease Clinical Research and Therapeutics, or FACTs, at three centers in Canada. A total of five male patients with Fabry disease who have been previously treated with enzyme replacement therapy, or ERT, for at least six months have been enrolled and enrollment is complete. We are also sponsoring a Phase 2 open-label, multinational clinical trial, which we refer to as FAB-201, with expected enrollment of eight to 12 male patients with classic Fabry disease, 16 to 50 years old, who have not been treated with ERT or chaperone therapy within three years prior to enrollment. As of August 6, 2020, four patients in Australia have enrolled in the Phase 2 FAB-201 trial.</w:t>
      </w:r>
    </w:p>
    <w:p>
      <w:pPr>
        <w:spacing w:after="0" w:line="2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primary efficacy endpoint of our Phase 2 FAB-201 clinical trial is the change from baseline in the average number of globotriaosylceramide, or Gb3, inclusions per peritubular capillary, or PTC, as measured in a patient kidney biopsy one year (48 weeks) after treatment with AVR-RD-01. In addition to safety, the Phase 2 and Phase 1 clinical trials are also examining additional secondary efficacy endpoints including biomarkers such as plasma lyso-globotriaosylsphingosine, or lyso-Gb3, alpha-galactosidase A, or AGA, enzyme levels measured in plasma and leukocytes, as well as certain parameters of organ function. In addition, vector copy number, or VCN, is being measured in these trials to assess the potential durability of the gene therapy. Safety and tolerability parameters are also being assessed in these trials.</w:t>
      </w:r>
    </w:p>
    <w:p>
      <w:pPr>
        <w:spacing w:after="0" w:line="70" w:lineRule="exact"/>
        <w:rPr>
          <w:sz w:val="20"/>
          <w:szCs w:val="20"/>
          <w:color w:val="auto"/>
        </w:rPr>
      </w:pPr>
    </w:p>
    <w:p>
      <w:pPr>
        <w:ind w:left="880" w:right="140" w:hanging="373"/>
        <w:spacing w:after="0" w:line="275"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Kidney biopsy / Gb3 PTC reductions. </w:t>
      </w:r>
      <w:r>
        <w:rPr>
          <w:rFonts w:ascii="Arial" w:cs="Arial" w:eastAsia="Arial" w:hAnsi="Arial"/>
          <w:sz w:val="17"/>
          <w:szCs w:val="17"/>
          <w:color w:val="auto"/>
        </w:rPr>
        <w:t>The primary efficacy endpoint of our Phase 2 FAB-201 clinical trial is the change, from baseline to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post-treatment with AVR-RD-01, in the average number of Gb3 inclusions per PTC, as measured in a patient kidney biopsy. Gb3, also referred to as GL-3, is a type of fatty substrate that builds in the cells of Fabry patients, resulting in damage to organs such as kidneys and heart. PTCs, also referred to as kidney interstitial capillaries, or KICs, in Fabry clinical trials, convey blood after filtration in the glomeruli, enabling the blood to eventually exit the kidney and return to the circulatory system.</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July 2019, we announced that the first patient in our Phase 2 FAB-201 clinical trial, who had not previously received ERT, exhibited a reduction from an average of 3.55 Gb3 inclusions per PTC at baseline to an average of 0.47 inclusions per PTC one year after administration of AVR-RD-01, representing an 87% reduction and a numerical decrease of 3.08. The second patient in the Phase 2 clinical trial has an N215S genotype, which is associated with a late-onset cardiac variant phenotype. This patient’s cardiac variant phenotype does not typically result in Gb3 accumulation in the kidney, and accordingly this patient’s kidney biopsy had low levels of Gb3 and lyso-Gb3 at all measurements, including at baseline. Although we expect that data obtained from this patient will not provide meaningful insight on the primary efficacy endpoint in our Phase 2 clinical trial, including kidney biopsies, other important efficacy and safety measures continue to be derived from data collected from this patient. A kidney biopsy was conducted on the third patient in the Phase 2 clinical trial, but due to human error in processing the biopsy sample at the external laboratory vendor, the kidney Gb3 inclusions could not be evaluated and will not be available. Our quality assurance personnel have worked closely with the external vendor to identify the cause of the vendor error and to identify additional protocols for implementation by the vendor that are designed to prevent similar errors in the future. The kidney biopsy for the fourth patient in the Phase 2 FAB-201 clinical trial, who was dosed using our plato platform, is expected to occur in the first quarter of 2021, subject to any potential delays due to the COVID-19 pandemic.</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left="880" w:hanging="373"/>
        <w:spacing w:after="0" w:line="254"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Kidney and cardiac function stability. </w:t>
      </w:r>
      <w:r>
        <w:rPr>
          <w:rFonts w:ascii="Arial" w:cs="Arial" w:eastAsia="Arial" w:hAnsi="Arial"/>
          <w:sz w:val="18"/>
          <w:szCs w:val="18"/>
          <w:color w:val="auto"/>
        </w:rPr>
        <w:t>Secondary endpoints of our Phase 2 FAB-201 clinical trial include measurements of kidney function,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measured by estimated glomerular filtration rate, or eGFR, and measured glomerular filtration rate, or mGFR, as well as measures of cardiac function, as assessed by Left Ventricular Mass Index, or LVMI. eGFR is determined using the Chronic Kidney Disease Epidemiology Collaboration, or CKD-EPI, formula and mGFR is determined using plasma clearance of iohexol. The left ventricular mass, or LVM, is assessed by cardiac magnetic resonance imaging, or cardiac MRI, which is an imaging technology that enables non-invasive assessment of the function and structure of the heart. In general, for a patient with Fabry disease, an increase over time in LVM could potentially be expected. Improving patient outcomes by slowing or halting the progression of organ damage is a key mission of our Company and our investigational gene therapy programs.</w:t>
      </w:r>
    </w:p>
    <w:p>
      <w:pPr>
        <w:spacing w:after="0" w:line="23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shown below, data from the third patient in our Phase 2 FAB-201 clinical trial indicates kidney and cardiac functions remain stable and in the normal range at one year following administration of AVR-RD-01, with a 19.8% increase in both LVM and LVMI observed from baseline to one year post-treatment.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Phase 2: Patient 3 kidney and cardiac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154305</wp:posOffset>
            </wp:positionV>
            <wp:extent cx="4517390" cy="2185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1739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following figure summarizes eGFR data for all enrolled patients in the Phase 1 and Phase 2 clinical trials, which has remained stable for eight out of nine patients. Patient 2 in the Phase 1 trial, who entered the trial with moderate chronic kidney disease and an eGFR below 50 mL/min/1.73m2, has not stabilized his kidney function, which is expected given the low initial eGFR. This patient has remained on ERT throughout the course of the clinical study.</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Phase 1 and Phase 2: Estimated glomerular filtration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360045</wp:posOffset>
            </wp:positionV>
            <wp:extent cx="4517390" cy="17487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1739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1" w:name="page22"/>
    <w:bookmarkEnd w:id="21"/>
    <w:p>
      <w:pPr>
        <w:jc w:val="both"/>
        <w:ind w:left="880" w:right="120" w:hanging="373"/>
        <w:spacing w:after="0" w:line="311"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Plasma lyso-Gb3 reductions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substrate, Gb3, and its toxic metabolite, known as lyso-Gb3, are considered surrogate markers for disease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activity and treatment response for Fabry disease. In the case of ERT-naïve patients and patients who have discontinued ERT, we believe that reductions in Gb3 levels following treatment with gene therapy are likely driven by the therapeutic effect of gene therapy.</w:t>
      </w:r>
    </w:p>
    <w:p>
      <w:pPr>
        <w:spacing w:after="0" w:line="149"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The first patient in our Phase 2 clinical trial had an 86% reduction in plasma lyso-Gb3 as of 22 months post-treatment with AVR-RD-01; the third patient had a plasma lyso-Gb3 reduction of 49% as of 12 months post-treatment; and the fourth patient had a plasma lyso-Gb3 reduction of 59% as of six months post-treatment. Plasma lyso-Gb3 data are also available for the second patient in the Phase 2 trial, up to 18 months post-treatment with AVR-RD-01. This patient has an N215S genotype, which is associated with a late-onset cardiac variant phenotype and lower plasma lyso-Gb3 levels.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figures below summarize the plasma lyso-Gb3 data observed in the four enrolled patients from our ongoing Phase 2 FAB-201 clinical trial.</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Phase 2: Plasma lyso-Gb3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154305</wp:posOffset>
            </wp:positionV>
            <wp:extent cx="4526280" cy="2203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2628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i w:val="1"/>
          <w:iCs w:val="1"/>
          <w:color w:val="auto"/>
        </w:rPr>
        <w:t>Lyso-Gb3 plasma reference value: 2.4 nM</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each of the five patients in the Phase 1 clinical trial of AVR-RD-01, we have observed plasma lyso-Gb3 at post-treatment levels that are lower or similar to the levels observed when the patient received only ERT prior to administration of AVR-RD-01, which we refer to as baseline ERT levels. We define baseline ERT for these Phase 1 patients as the mean of the plasma lyso-Gb3 values reported prior to initiating mobilization.</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22" w:name="page23"/>
    <w:bookmarkEnd w:id="22"/>
    <w:p>
      <w:pPr>
        <w:ind w:right="160"/>
        <w:spacing w:after="0" w:line="277" w:lineRule="auto"/>
        <w:rPr>
          <w:sz w:val="20"/>
          <w:szCs w:val="20"/>
          <w:color w:val="auto"/>
        </w:rPr>
      </w:pPr>
      <w:r>
        <w:rPr>
          <w:rFonts w:ascii="Arial" w:cs="Arial" w:eastAsia="Arial" w:hAnsi="Arial"/>
          <w:sz w:val="18"/>
          <w:szCs w:val="18"/>
          <w:color w:val="auto"/>
        </w:rPr>
        <w:t>The following figure summarizes the plasma lyso-Gb3 data observed in all five patients from the ongoing Phase 1 clinical trial of AVR-RD-01, as well as each patient’s ERT status and the change in plasma lyso-Gb3 levels from baseline.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Phase 1: Plasma lyso-Gb3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360045</wp:posOffset>
            </wp:positionV>
            <wp:extent cx="6060440" cy="2366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04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i w:val="1"/>
          <w:iCs w:val="1"/>
          <w:color w:val="auto"/>
        </w:rPr>
        <w:t>Lyso-Gb3 plasma reference value: 2.4 nM</w:t>
      </w:r>
    </w:p>
    <w:p>
      <w:pPr>
        <w:spacing w:after="0" w:line="100" w:lineRule="exact"/>
        <w:rPr>
          <w:sz w:val="20"/>
          <w:szCs w:val="20"/>
          <w:color w:val="auto"/>
        </w:rPr>
      </w:pPr>
    </w:p>
    <w:p>
      <w:pPr>
        <w:ind w:left="880" w:hanging="373"/>
        <w:spacing w:after="0" w:line="291"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AGA enzyme activity as measured in plasma and leukocytes. </w:t>
      </w:r>
      <w:r>
        <w:rPr>
          <w:rFonts w:ascii="Arial" w:cs="Arial" w:eastAsia="Arial" w:hAnsi="Arial"/>
          <w:sz w:val="16"/>
          <w:szCs w:val="16"/>
          <w:color w:val="auto"/>
        </w:rPr>
        <w:t>We believe, based on years of observations of Fabry patients prescribed ERT,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even partial plasma AGA activity is associated with improved outcomes in Fabry patients. AGA enzyme activity is able to reduce Gb3 levels in multiple cells and tissues. For our gene therapy, functional AGA is in part produced by the pool of circulating leukocytes derived from genetically-modified CD34+ hematopoietic stem cells, which may directly contribute to clearance of accumulated Gb3 in cells. Functional plasma AGA enters cells and travels to the lysosomes, where it can degrade Gb3. This process is referred to as cross-correction. Genetically-modified leukocytes are the progeny of transduced cells from the gene therapy. As a result, we believe that assessing leukocyte AGA activity provides a potentially improved measure to assess the durability of the gene therapy than plasma AGA enzyme activity alone.</w:t>
      </w:r>
    </w:p>
    <w:p>
      <w:pPr>
        <w:spacing w:after="0" w:line="19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All nine patients in our Phase 2 and Phase 1 clinical trials have exhibited sustained AGA enzyme activity in both the plasma and leukocytes. The following figures summarize the plasma and leukocyte AGA enzyme activity reported from the ongoing Phase 2 and Phase 1 clinical trials of AVR-RD-01.</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jc w:val="center"/>
        <w:ind w:right="-119"/>
        <w:spacing w:after="0"/>
        <w:rPr>
          <w:sz w:val="20"/>
          <w:szCs w:val="20"/>
          <w:color w:val="auto"/>
        </w:rPr>
      </w:pPr>
      <w:r>
        <w:rPr>
          <w:rFonts w:ascii="Arial" w:cs="Arial" w:eastAsia="Arial" w:hAnsi="Arial"/>
          <w:sz w:val="18"/>
          <w:szCs w:val="18"/>
          <w:b w:val="1"/>
          <w:bCs w:val="1"/>
          <w:color w:val="auto"/>
        </w:rPr>
        <w:t>Phase 2: Leukocyte and plasma enzyme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154305</wp:posOffset>
            </wp:positionV>
            <wp:extent cx="6000750" cy="27774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0075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color w:val="auto"/>
        </w:rPr>
        <w:t>leukocyte AGA activity reference Range: 24–56 nmol/hr/mg protein; plasma AGA Activity Reference Range: 5.1–9.2 nmol/hr/mL.</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Phase 1: Leukocyte and plasma enzyme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360045</wp:posOffset>
            </wp:positionV>
            <wp:extent cx="6000750" cy="23660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0075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color w:val="auto"/>
        </w:rPr>
        <w:t>leukocyte AGA activity reference Range: 24–56 nmol/hr/mg protein; plasma AGA Activity Reference Range: 5.1–9.2 nmol/hr/mL</w:t>
      </w:r>
    </w:p>
    <w:p>
      <w:pPr>
        <w:spacing w:after="0" w:line="113" w:lineRule="exact"/>
        <w:rPr>
          <w:sz w:val="20"/>
          <w:szCs w:val="20"/>
          <w:color w:val="auto"/>
        </w:rPr>
      </w:pPr>
    </w:p>
    <w:p>
      <w:pPr>
        <w:ind w:left="880" w:hanging="373"/>
        <w:spacing w:after="0" w:line="254"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Vector Copy Number. </w:t>
      </w:r>
      <w:r>
        <w:rPr>
          <w:rFonts w:ascii="Arial" w:cs="Arial" w:eastAsia="Arial" w:hAnsi="Arial"/>
          <w:sz w:val="18"/>
          <w:szCs w:val="18"/>
          <w:color w:val="auto"/>
        </w:rPr>
        <w:t>Vector Copy Number, or VCN, which is expressed as VCN per diploid genome, refers to the average number of copies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lentiviral-vector inserted gene that are integrated into the genome of a cell, and is another measure that can be used to help assess the durability of a gene therapy. We believe that different diseases may require varying levels of VCN based on the underlying condition, and therefore VCN measurements across different diseases should be assessed separately. For example, a VCN of 0.1 may represent 5% to 10% of all nucleated circulating blood cells carrying one to two copies of the inserted gene, which we believe may be sufficient to result in clinically meaningful AGA enzyme activity in the case of Fabry disease, as suggested by our emerging interim data from our ongoing clinical trials of AVR-RD-01.</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4" w:name="page25"/>
    <w:bookmarkEnd w:id="24"/>
    <w:p>
      <w:pPr>
        <w:ind w:right="440"/>
        <w:spacing w:after="0" w:line="277" w:lineRule="auto"/>
        <w:rPr>
          <w:sz w:val="20"/>
          <w:szCs w:val="20"/>
          <w:color w:val="auto"/>
        </w:rPr>
      </w:pPr>
      <w:r>
        <w:rPr>
          <w:rFonts w:ascii="Arial" w:cs="Arial" w:eastAsia="Arial" w:hAnsi="Arial"/>
          <w:sz w:val="18"/>
          <w:szCs w:val="18"/>
          <w:color w:val="auto"/>
        </w:rPr>
        <w:t>The following figures summarize the VCN observations from the ongoing Phase 2 and Phase 1 clinical trials of AVR-RD-01. The fourth patient in the Phase 2 FAB-201 clinical trial was dosed using our plato platform.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Phase 2: VCN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317500</wp:posOffset>
            </wp:positionV>
            <wp:extent cx="5812155" cy="2314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1215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i w:val="1"/>
          <w:iCs w:val="1"/>
          <w:color w:val="auto"/>
        </w:rPr>
        <w:t>0.1 VCN is indicative of approximately 5-10% of all nucleated circulating blood cells having an average of 1-2 copies of the transgene.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Phase 1: VCN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317500</wp:posOffset>
            </wp:positionV>
            <wp:extent cx="5872480" cy="25114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7248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Note: </w:t>
      </w:r>
      <w:r>
        <w:rPr>
          <w:rFonts w:ascii="Arial" w:cs="Arial" w:eastAsia="Arial" w:hAnsi="Arial"/>
          <w:sz w:val="14"/>
          <w:szCs w:val="14"/>
          <w:i w:val="1"/>
          <w:iCs w:val="1"/>
          <w:color w:val="auto"/>
        </w:rPr>
        <w:t>0.1 VCN is indicative of approximately 5-10% of all nucleated circulating blood cells having an average of 1-2 copies of the transgene.</w:t>
      </w:r>
    </w:p>
    <w:p>
      <w:pPr>
        <w:spacing w:after="0" w:line="113" w:lineRule="exact"/>
        <w:rPr>
          <w:sz w:val="20"/>
          <w:szCs w:val="20"/>
          <w:color w:val="auto"/>
        </w:rPr>
      </w:pPr>
    </w:p>
    <w:p>
      <w:pPr>
        <w:ind w:left="880" w:hanging="373"/>
        <w:spacing w:after="0" w:line="29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Skin Biopsy. </w:t>
      </w:r>
      <w:r>
        <w:rPr>
          <w:rFonts w:ascii="Arial" w:cs="Arial" w:eastAsia="Arial" w:hAnsi="Arial"/>
          <w:sz w:val="16"/>
          <w:szCs w:val="16"/>
          <w:color w:val="auto"/>
        </w:rPr>
        <w:t>Skin biopsies have been performed on the four enrolled patients in the Phase 2 trial and evaluated by two independent blinded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readers using a standard scoring system for Gb3 accumulation and clearance. The scoring system has a range of zero to three, with a score of zero representing none or trace accumulation, and a score of three representing severe accumulation. At six- and 12-months post-treatment with AVR-RD-01, skin biopsy assessment revealed that the first patient scored a three at baseline, a two at six months post-treatment with AVR-RD-01 and a one at 12 months post-treatment. The second patient in the Phase 2 trial, whose cardiac variant phenotype does not typically result in Gb3 accumulation in the kidney and skin, scored a zero at baseline and at six- and 12-months post-treatment with AVR-RD-01.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5" w:name="page26"/>
    <w:bookmarkEnd w:id="25"/>
    <w:p>
      <w:pPr>
        <w:ind w:left="880" w:right="380"/>
        <w:spacing w:after="0" w:line="342" w:lineRule="auto"/>
        <w:rPr>
          <w:sz w:val="20"/>
          <w:szCs w:val="20"/>
          <w:color w:val="auto"/>
        </w:rPr>
      </w:pPr>
      <w:r>
        <w:rPr>
          <w:rFonts w:ascii="Arial" w:cs="Arial" w:eastAsia="Arial" w:hAnsi="Arial"/>
          <w:sz w:val="16"/>
          <w:szCs w:val="16"/>
          <w:color w:val="auto"/>
        </w:rPr>
        <w:t>The third patient in the Phase 2 trial scored a two at baseline, a two at six months post-treatment with AVR-RD-01 and a two at 12 months post-treatment. The fourth patient in the Phase 2 trial scored a two at baseline and a two at six months post-treatment with AVR-RD-01.</w:t>
      </w:r>
    </w:p>
    <w:p>
      <w:pPr>
        <w:spacing w:after="0" w:line="124" w:lineRule="exact"/>
        <w:rPr>
          <w:sz w:val="20"/>
          <w:szCs w:val="20"/>
          <w:color w:val="auto"/>
        </w:rPr>
      </w:pPr>
    </w:p>
    <w:p>
      <w:pPr>
        <w:ind w:left="900" w:right="20"/>
        <w:spacing w:after="0" w:line="269" w:lineRule="auto"/>
        <w:rPr>
          <w:sz w:val="20"/>
          <w:szCs w:val="20"/>
          <w:color w:val="auto"/>
        </w:rPr>
      </w:pPr>
      <w:r>
        <w:rPr>
          <w:rFonts w:ascii="Arial" w:cs="Arial" w:eastAsia="Arial" w:hAnsi="Arial"/>
          <w:sz w:val="17"/>
          <w:szCs w:val="17"/>
          <w:color w:val="auto"/>
        </w:rPr>
        <w:t>We are continuing to evaluate the clinical relevance of skin biopsy data as a secondary surrogate efficacy endpoint in our Phase 2 study of AVR-RD-01. Draft guidance from the FDA, published in August 2019, identifies kidney biopsy data (such as our Phase 2 primary efficacy endpoint, the reduction of Gb3 inclusions per kidney PTC) as reasonably likely to predict clinical benefit to support accelerated approval of new therapies for Fabry disease, but it does not identify skin biopsy measurements as a potential surrogate efficacy endpoint. Moreover, we are aware that recent therapies for Fabry disease have been approved by the FDA without skin biopsy data. Our Phase 2 trial design included skin biopsy measurements as a secondary endpoint, in part because the procedure is minimally invasive and could produce clinical data sooner than the kidney biopsy. However, the skin biopsy data we have received to date has been inconsistent and not correlative to the other data we are collecting. As we continue to collect and analyze data from our Phase 2 trial, we plan to focus on clinically meaningful measurements, such as kidney and cardiac function, as well as other key biomarkers that we believe are more reasonably likely to predict clinical benefit, such as reductions of Gb3 in kidney and lyso-Gb3 in plasma.</w:t>
      </w:r>
    </w:p>
    <w:p>
      <w:pPr>
        <w:spacing w:after="0" w:line="91" w:lineRule="exact"/>
        <w:rPr>
          <w:sz w:val="20"/>
          <w:szCs w:val="20"/>
          <w:color w:val="auto"/>
        </w:rPr>
      </w:pPr>
    </w:p>
    <w:p>
      <w:pPr>
        <w:ind w:left="880" w:right="20" w:hanging="373"/>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ERT Discontinuation by Phase 1 Patients. </w:t>
      </w:r>
      <w:r>
        <w:rPr>
          <w:rFonts w:ascii="Arial" w:cs="Arial" w:eastAsia="Arial" w:hAnsi="Arial"/>
          <w:sz w:val="18"/>
          <w:szCs w:val="18"/>
          <w:color w:val="auto"/>
        </w:rPr>
        <w:t>Three patients in the Phase 1 clinical trial who have been treated with AVR-RD-01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discontinued ERT and remain off ERT since such discontinuations. Patient 1 received his last ERT dose in July 2018, Patient 3 received his last ERT dose in May 2018, and Patient 4 received his last ERT dose in June 2019.</w:t>
      </w:r>
    </w:p>
    <w:p>
      <w:pPr>
        <w:spacing w:after="0" w:line="89" w:lineRule="exact"/>
        <w:rPr>
          <w:rFonts w:ascii="Arial" w:cs="Arial" w:eastAsia="Arial" w:hAnsi="Arial"/>
          <w:sz w:val="18"/>
          <w:szCs w:val="18"/>
          <w:color w:val="auto"/>
        </w:rPr>
      </w:pPr>
    </w:p>
    <w:p>
      <w:pPr>
        <w:ind w:left="880" w:right="20" w:hanging="373"/>
        <w:spacing w:after="0" w:line="285"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Safety Update. </w:t>
      </w:r>
      <w:r>
        <w:rPr>
          <w:rFonts w:ascii="Arial" w:cs="Arial" w:eastAsia="Arial" w:hAnsi="Arial"/>
          <w:sz w:val="16"/>
          <w:szCs w:val="16"/>
          <w:color w:val="auto"/>
        </w:rPr>
        <w:t>Interim clinical data for all nine patients dosed to date in the Phase 2 and Phase 1 clinical trials appear to indicate that our AVR-RD-01 investigational gene therapy has been generally well-tolerated with no unexpected trends or safety events identified. No serious adverse events, or SAEs, related to the AVR-RD-01 drug product were reported as of the safety data cut-off date of April 23, 2020, for both the Phase 2 trial and the Phase 1 trial. As of the safety data cut-off date, six SAEs were reported in the Phase 2 trial and two SAEs were reported in the Phase 1 trial and were consistent with expectations for the myeloablative conditioning regimen, underlying Fabry disease, or pre-</w:t>
      </w:r>
    </w:p>
    <w:p>
      <w:pPr>
        <w:spacing w:after="0" w:line="1"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existing conditions.</w:t>
      </w:r>
    </w:p>
    <w:p>
      <w:pPr>
        <w:spacing w:after="0" w:line="2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the Phase 2 trial, the six SAEs that were reported through the safety data cut-off date of April 23, 2020 included one report of a Grade 2 pre-treatment seizure experienced after commencing stem cell mobilization but prior to undergoing the conditioning regimen and treatment with AVR-RD-01; one report of Grade 3 dehydration, nausea and vomiting following the conditioning regimen and treatment with AVR-RD-01; two reports of febrile neutropenia (Grades 3 and 4, respectively) in separate patients following the conditioning regimen and treatment with AVR-RD-01; one report of Grade 2 culture-negative fevers following the conditioning regimen and treatment with AVR-RD-01; and one report of Grade 2 mucositis following the conditioning regimen and treatment with AVR-RD-01. All six SAEs have subsequently resolved.</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the Phase 1 trial, the two SAEs that were reported through the safety data cut-off date of April 23, 2020 included one report of Grade 3 febrile neutropenia and one report of Grade 2 thrombophlebitis, each occurring following the conditioning regimen and treatment with AVR-RD-01. Both SAEs have subsequently resolved.</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Anti-AGA antibody titers have been observed in four patients in the Phase 1 trial and two patients in the Phase 2 trial. We believe none of these are of clinical significance.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Programs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the global healthcare community continues to respond to the COVID-19 pandemic, many hospitals, including our clinical sites, have temporarily paused elective medical procedures, including dosing of new patients in clinical trials of our investigational gene therapies. While dosing of new patients and data collection from enrolled patients has begun to resume at certain clinical sites, the extent to which clinical activities continue to be delayed or interrupted will depend on future developments that are highly uncertain and cannot be accurately predicted, including new information that may emerge concerning COVID-19, the actions taken to contain it or treat its impact and the economic impact on local, regional, national and international markets. We continue to closely monitor this rapidly evolving situation and the potential impact on our Company. Set forth below is a summary of updates for each of our clinical trial programs.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auto"/>
        </w:rPr>
        <w:t>AVR-RD-01 clinical trials in Fabry disease</w:t>
      </w:r>
    </w:p>
    <w:p>
      <w:pPr>
        <w:spacing w:after="0" w:line="117" w:lineRule="exact"/>
        <w:rPr>
          <w:sz w:val="20"/>
          <w:szCs w:val="20"/>
          <w:color w:val="auto"/>
        </w:rPr>
      </w:pPr>
    </w:p>
    <w:p>
      <w:pPr>
        <w:ind w:left="880" w:right="360" w:hanging="373"/>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 recruitment activities for the Company-sponsored Phase 2 FAB-201 trial continue for our clinical sites in Australia, Canada and the United States.</w:t>
      </w:r>
    </w:p>
    <w:p>
      <w:pPr>
        <w:spacing w:after="0" w:line="62" w:lineRule="exact"/>
        <w:rPr>
          <w:rFonts w:ascii="Arial" w:cs="Arial" w:eastAsia="Arial" w:hAnsi="Arial"/>
          <w:sz w:val="18"/>
          <w:szCs w:val="18"/>
          <w:color w:val="auto"/>
        </w:rPr>
      </w:pPr>
    </w:p>
    <w:p>
      <w:pPr>
        <w:ind w:left="880" w:right="80" w:hanging="373"/>
        <w:spacing w:after="0" w:line="308"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Multiple patients have been identified as possible study candidates, and we anticipate some patient dosing may resume as allowed by hospitals and travel restrictions. However, further delays are expected as multiple sites remain impacted by COVID-19-related care.</w:t>
      </w:r>
    </w:p>
    <w:p>
      <w:pPr>
        <w:spacing w:after="0" w:line="38" w:lineRule="exact"/>
        <w:rPr>
          <w:rFonts w:ascii="Arial" w:cs="Arial" w:eastAsia="Arial" w:hAnsi="Arial"/>
          <w:sz w:val="17"/>
          <w:szCs w:val="17"/>
          <w:color w:val="auto"/>
        </w:rPr>
      </w:pPr>
    </w:p>
    <w:p>
      <w:pPr>
        <w:ind w:left="880" w:right="40" w:hanging="373"/>
        <w:spacing w:after="0" w:line="26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data collection has continued for dosed patients in both our Phase 1 investigator-sponsored clinical trial and Phase 2 FAB-201 clinical trial. Although certain data collection is being delayed by the COVID-19 pandemic, such delays are being remediated and are not expected to impact the integrity or interpretation of the emerging study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AVR-RD-04 Phase 1/2 investigator-sponsored clinical trial in cystinosis</w:t>
      </w:r>
    </w:p>
    <w:p>
      <w:pPr>
        <w:spacing w:after="0" w:line="117" w:lineRule="exact"/>
        <w:rPr>
          <w:sz w:val="20"/>
          <w:szCs w:val="20"/>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July 2020, we announced that the second patient in the trial has been dosed.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 recruitment activities continue.</w:t>
      </w:r>
    </w:p>
    <w:p>
      <w:pPr>
        <w:spacing w:after="0" w:line="117" w:lineRule="exact"/>
        <w:rPr>
          <w:rFonts w:ascii="Arial" w:cs="Arial" w:eastAsia="Arial" w:hAnsi="Arial"/>
          <w:sz w:val="18"/>
          <w:szCs w:val="18"/>
          <w:color w:val="auto"/>
        </w:rPr>
      </w:pPr>
    </w:p>
    <w:p>
      <w:pPr>
        <w:ind w:left="880" w:right="560" w:hanging="373"/>
        <w:spacing w:after="0" w:line="342"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Ongoing data collection for the two enrolled patients has continued. Although certain data collection is being delayed by the COVID-19 pandemic, such delays are being remediated and are not expected to impact the integrity or interpretation of the emerging study results.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AVR-RD-02 Phase 1/2 clinical trial in Gaucher disease</w:t>
      </w:r>
    </w:p>
    <w:p>
      <w:pPr>
        <w:spacing w:after="0" w:line="117" w:lineRule="exact"/>
        <w:rPr>
          <w:sz w:val="20"/>
          <w:szCs w:val="20"/>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July 2020, we announced that the first patient in the trial has been dosed.</w:t>
      </w:r>
    </w:p>
    <w:p>
      <w:pPr>
        <w:spacing w:after="0" w:line="117" w:lineRule="exact"/>
        <w:rPr>
          <w:rFonts w:ascii="Arial" w:cs="Arial" w:eastAsia="Arial" w:hAnsi="Arial"/>
          <w:sz w:val="18"/>
          <w:szCs w:val="18"/>
          <w:color w:val="auto"/>
        </w:rPr>
      </w:pPr>
    </w:p>
    <w:p>
      <w:pPr>
        <w:ind w:left="880" w:right="5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Subsequent new patient dosing and enrollment timelines have been impacted by the COVID-19 pandemic. However, patient recruitment activities continue for our clinical sites in Australia and Canada.</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expect to open new clinical sites in the United States and Israel in the fourth quarter of the year.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Operations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internal, cross-functional COVID-19 Response Team continues to closely monitor the evolving situation and advise on the Company’s activities in response to the evolving COVID-19 pandemic. We have continued our work-from-home policy for most employees, excluding our laboratory staff and a limited number of non-laboratory employees. For those employees, we have implemented safety measures designed to comply with applicable federal, state and local guidelines in response to the COVID-19 pandemic. We may be required to take additional actions that impact our operations as required by applicable laws or regulations, or which we determine to be in the best interests of our employees. We currently cannot determine how long our work-from-home policy will remain in effect. Any modifications to our current policy will in part be determined by updated guidance from local, state and federal authorities, and we expect that any changes will be implemented gradually and with appropriate safety measures and policies designed to comply with applicable guidelines and regulations. Notwithstanding these changes to our business operations, we have continued to recruit and hire key personnel to support the Company’s objectives, increasing our headcount to 121 full-time employees as of June 30,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Regulatory</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AVR-RD-03 program for Pompe disease is currently in preclinical development with IND-enabling preclinical studies, including a proof-of-concept study, expected to conclude in 2020. We are also continuing early studies for future potential disease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currently do not anticipate any material impact on our regulatory activities for our clinical programs.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additional information regarding the impact of the COVID-19 pandemic on our business, please see the section titled “Risk Factors” in Part II, Section 1.A of this Quarterly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Other Updates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May 4, 2020, we announced a new development and commercialization agreement with Saladax Biomedical, Inc., or Saladax, to develop and validate a fully automated nanoparticle immunoassay kit designed to simplify and streamline therapeutic drug monitoring, or TDM, for patients treated with the conditioning agent busulfan. We believe the Saladax immunoassay will enable us to achieve a more consistent targeted exposure to busulfan, as compared to traditional TDM.</w:t>
      </w:r>
    </w:p>
    <w:p>
      <w:pPr>
        <w:spacing w:after="0" w:line="22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On May 6, 2020, we announced a research and clinical collaboration agreement with Magenta Therapeutics, Inc., or Magenta, to evaluate the potential utility of MGTA-117, Magenta’s novel targeted antibody-drug conjugate for conditioning patients before they receive one of our investigational lentiviral gene therapies. Under the collaboration, we and Magenta will jointly evaluate MGTA-117 in conjunction with one or more of our investigational gene therapies. Magenta will retain all commercial rights to MGTA-117, and we will retain all commercial rights to our gene therapies and will be responsible for the clinical trial costs related to the evaluation of MGTA-117 with our gene therapies.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May 2020, we presented new clinical data at the 23rd Annual Meeting of the American Society of Gene &amp; Cell Therapy, including new data on AVR-RD-01 for Fabry disease and AVR-RD-04 for cystinosis, as well as preclinical data on AVR-RD-03 for Pompe disease.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2020, Kim Raineri, MBA, joined the Company as our new Chief Manufacturing and Technology Officer. Our founding Chief Manufacturing and Technology Officer, Kim Warren, Ph.D., retired at the end of July 2020 but will remain with the Company on a part-time basis through the end of the year to assist with transition and onboarding efforts. In addition, we have entered into a transitional services and separation agreement with Birgitte Volck, M.D., Ph.D, our President of Research and Development, pursuant to which Dr. Volck will depart the Company on November 15, 2020. Pursuant to this agreement, Dr. Volck will continue to serve in her current role through September 30, 2020, and thereafter through her departure, Dr. Volck will be available to facilitate an orderly transition of her responsibilities.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consist of costs incurred in connection with the development of our product candidates, including:</w:t>
      </w:r>
    </w:p>
    <w:p>
      <w:pPr>
        <w:spacing w:after="0" w:line="76" w:lineRule="exact"/>
        <w:rPr>
          <w:sz w:val="20"/>
          <w:szCs w:val="20"/>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17" w:lineRule="exact"/>
        <w:rPr>
          <w:rFonts w:ascii="Arial" w:cs="Arial" w:eastAsia="Arial" w:hAnsi="Arial"/>
          <w:sz w:val="18"/>
          <w:szCs w:val="18"/>
          <w:color w:val="auto"/>
        </w:rPr>
      </w:pPr>
    </w:p>
    <w:p>
      <w:pPr>
        <w:ind w:left="880" w:right="40" w:hanging="373"/>
        <w:spacing w:after="0" w:line="308"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38" w:lineRule="exact"/>
        <w:rPr>
          <w:rFonts w:ascii="Arial" w:cs="Arial" w:eastAsia="Arial" w:hAnsi="Arial"/>
          <w:sz w:val="17"/>
          <w:szCs w:val="17"/>
          <w:color w:val="auto"/>
        </w:rPr>
      </w:pPr>
    </w:p>
    <w:p>
      <w:pPr>
        <w:ind w:left="880" w:right="8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62" w:lineRule="exact"/>
        <w:rPr>
          <w:rFonts w:ascii="Arial" w:cs="Arial" w:eastAsia="Arial" w:hAnsi="Arial"/>
          <w:sz w:val="18"/>
          <w:szCs w:val="18"/>
          <w:color w:val="auto"/>
        </w:rPr>
      </w:pPr>
    </w:p>
    <w:p>
      <w:pPr>
        <w:ind w:left="880" w:right="600" w:hanging="373"/>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ind w:right="260"/>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modified the presentation within the following tables to include expenses related to other preclinical development activities outside of our already presented programs in our direct research and development expenses, which were previously included as other unallocated research and development expenses. We have adjusted prior period amounts to reflect the changes in presentation made in the current period. The table below summarizes our research and development expenses incurred by program (in thousands):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6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9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Fabry</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5,484</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4,557</w:t>
            </w:r>
          </w:p>
        </w:tc>
        <w:tc>
          <w:tcPr>
            <w:tcW w:w="100" w:type="dxa"/>
            <w:vAlign w:val="bottom"/>
            <w:shd w:val="clear" w:color="auto" w:fill="CFF0FC"/>
          </w:tcPr>
          <w:p>
            <w:pPr>
              <w:spacing w:after="0"/>
              <w:rPr>
                <w:sz w:val="19"/>
                <w:szCs w:val="19"/>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Gaucher</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1,742</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2,973</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3,808</w:t>
            </w:r>
          </w:p>
        </w:tc>
        <w:tc>
          <w:tcPr>
            <w:tcW w:w="100" w:type="dxa"/>
            <w:vAlign w:val="bottom"/>
          </w:tcPr>
          <w:p>
            <w:pPr>
              <w:spacing w:after="0"/>
              <w:rPr>
                <w:sz w:val="21"/>
                <w:szCs w:val="21"/>
                <w:color w:val="auto"/>
              </w:rPr>
            </w:pPr>
          </w:p>
        </w:tc>
      </w:tr>
      <w:tr>
        <w:trPr>
          <w:trHeight w:val="24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Pompe</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100" w:type="dxa"/>
            <w:vAlign w:val="bottom"/>
            <w:shd w:val="clear" w:color="auto" w:fill="CFF0FC"/>
          </w:tcPr>
          <w:p>
            <w:pPr>
              <w:spacing w:after="0"/>
              <w:rPr>
                <w:sz w:val="21"/>
                <w:szCs w:val="2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Cystinosis</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r>
      <w:tr>
        <w:trPr>
          <w:trHeight w:val="24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FF0FC"/>
          </w:tcPr>
          <w:p>
            <w:pPr>
              <w:spacing w:after="0"/>
              <w:rPr>
                <w:sz w:val="21"/>
                <w:szCs w:val="21"/>
                <w:color w:val="auto"/>
              </w:rPr>
            </w:pPr>
          </w:p>
        </w:tc>
      </w:tr>
      <w:tr>
        <w:trPr>
          <w:trHeight w:val="243"/>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 research and development expenses</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12,368</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6,171</w:t>
            </w:r>
          </w:p>
        </w:tc>
        <w:tc>
          <w:tcPr>
            <w:tcW w:w="4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23,158</w:t>
            </w:r>
          </w:p>
        </w:tc>
        <w:tc>
          <w:tcPr>
            <w:tcW w:w="3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11,573</w:t>
            </w:r>
          </w:p>
        </w:tc>
        <w:tc>
          <w:tcPr>
            <w:tcW w:w="100" w:type="dxa"/>
            <w:vAlign w:val="bottom"/>
            <w:tcBorders>
              <w:bottom w:val="single" w:sz="8" w:color="CFF0FC"/>
            </w:tcBorders>
          </w:tcPr>
          <w:p>
            <w:pPr>
              <w:spacing w:after="0"/>
              <w:rPr>
                <w:sz w:val="21"/>
                <w:szCs w:val="21"/>
                <w:color w:val="auto"/>
              </w:rPr>
            </w:pPr>
          </w:p>
        </w:tc>
      </w:tr>
      <w:tr>
        <w:trPr>
          <w:trHeight w:val="237"/>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12,267</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39,140</w:t>
            </w:r>
          </w:p>
        </w:tc>
        <w:tc>
          <w:tcPr>
            <w:tcW w:w="5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24,713</w:t>
            </w:r>
          </w:p>
        </w:tc>
        <w:tc>
          <w:tcPr>
            <w:tcW w:w="100" w:type="dxa"/>
            <w:vAlign w:val="bottom"/>
            <w:shd w:val="clear" w:color="auto" w:fill="CFF0FC"/>
          </w:tcPr>
          <w:p>
            <w:pPr>
              <w:spacing w:after="0"/>
              <w:rPr>
                <w:sz w:val="20"/>
                <w:szCs w:val="20"/>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 These amounts reflect a prior period reclass of $1,003 between the Fabry and Gaucher programs.</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9"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impact of the COVID-19 pandemic on our preclinical development activities, clinical trials and other research and development activities;</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patient enrollment in, and the design, initiation and completion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establishing and maintaining clinical and commercial manufacturing capabilities or making arrangements with third-party manufacturers;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development and timely delivery of commercial-grade drug formulations that can be used in our clinical trials and for commercial launch;</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9" w:name="page30"/>
    <w:bookmarkEnd w:id="29"/>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for any reason, including as a result of the ongoing COVID-19 pandemic,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continue to incur increased accounting, audit, legal, regulatory, compliance, director and officer 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money market funds and other bank deposits.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expense consists of foreign exchange gain or loss.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results of operations for the three months ended June 30, 2020 and 2019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20,866</w:t>
            </w:r>
          </w:p>
        </w:tc>
        <w:tc>
          <w:tcPr>
            <w:tcW w:w="12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12,267</w:t>
            </w:r>
          </w:p>
        </w:tc>
        <w:tc>
          <w:tcPr>
            <w:tcW w:w="2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Other income (expense):</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net</w:t>
            </w:r>
          </w:p>
        </w:tc>
        <w:tc>
          <w:tcPr>
            <w:tcW w:w="1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Net loss</w:t>
            </w:r>
          </w:p>
        </w:tc>
        <w:tc>
          <w:tcPr>
            <w:tcW w:w="15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incurred during the three months ended June 30, 2020 and 2019 (in thousands):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5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Fabry</w:t>
            </w:r>
          </w:p>
        </w:tc>
        <w:tc>
          <w:tcPr>
            <w:tcW w:w="7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2,987</w:t>
            </w:r>
          </w:p>
        </w:tc>
        <w:tc>
          <w:tcPr>
            <w:tcW w:w="4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2,336</w:t>
            </w:r>
          </w:p>
        </w:tc>
        <w:tc>
          <w:tcPr>
            <w:tcW w:w="2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Gaucher</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Pompe</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Cystinosis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Personnel related (including stock-based compensation)</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9,067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3,301</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480"/>
              <w:spacing w:after="0"/>
              <w:rPr>
                <w:sz w:val="20"/>
                <w:szCs w:val="20"/>
                <w:color w:val="auto"/>
              </w:rPr>
            </w:pPr>
            <w:r>
              <w:rPr>
                <w:rFonts w:ascii="Arial" w:cs="Arial" w:eastAsia="Arial" w:hAnsi="Arial"/>
                <w:sz w:val="18"/>
                <w:szCs w:val="18"/>
                <w:color w:val="auto"/>
              </w:rPr>
              <w:t>Total research and development expenses</w:t>
            </w:r>
          </w:p>
        </w:tc>
        <w:tc>
          <w:tcPr>
            <w:tcW w:w="5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20,866</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expenses were $20.9 million for the three months ended June 30, 2020, as compared to $12.3 million for the three months ended June 30, 2019. The increase of $8.6 million was primarily due to an increase of $6.2 million in unallocated research and development expenses, an increase of $0.7 million in direct costs related to our Fabry program, an increase of $0.7 million in direct costs related to our Pompe program, an increase of $0.5 million in direct costs related to our Cystinosis program and an increase of $0.6 million in direct costs related to our Other programs, offset by a decrease of $0.1 million in direct costs related to our Gaucher program.</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in direct costs related to our Fabry program was primarily due to a $1.3 million increase in clinical costs, offset by a $0.5 million decrease in preclinical costs and a $0.1 million decrease in manufacturing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direct costs related to our Gaucher program was primarily due to a $0.2 million decrease in manufacturing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increase in direct costs related to our Pompe program was primarily due to a $0.8 million increase in preclinical costs.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increase in direct costs related to our Cystinosis program was primarily due to a $0.3 million increase in manufacturing costs and a $0.2 million increase in preclinical costs.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increase in direct costs related to our Other programs was primarily due to a $0.5 million increase in preclinical costs and a $0.1 million increase in manufacturing costs.</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increase in unallocated research and development expenses was primarily due to an increase of $4.7 million in personnel-related costs, including non-cash stock-based compensation, as a result of hiring additional personnel in our research and development department and an increase of $1.5 million primarily related to a $0.7 million increase in unallocated research costs and a $0.7 million increase in unallocated facilities costs. Personnel-related costs for the three months ended June 30, 2020 and 2019 included non-cash stock-based compensation expense of $2.0 million and $0.9 million,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General and administrative expenses were $8.0 million for the three months ended June 30, 2020, compared to $4.3 million for the three months ended June 30, 2019. The increase of $3.7 million was primarily due to an increase of $2.3 million in personnel-related costs, including non-cash stock-based compensation and an increase of $0.9 million in professional fees and consulting costs. The increase in personnel-related costs was due to the hiring of additional personnel in our general and administrative functions.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income, net was income of less than $0.1 million for the three months ended June 30, 2020, compared to $0.6 million for the three months ended June 30, 2019. The decrease was primarily a result of lower yields on our money market funds.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results of operations for the six months ended June 30, 2020 and 2019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7"/>
              </w:rPr>
              <w:t>Six Months Ended June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8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39,140</w:t>
            </w:r>
          </w:p>
        </w:tc>
        <w:tc>
          <w:tcPr>
            <w:tcW w:w="120" w:type="dxa"/>
            <w:vAlign w:val="bottom"/>
          </w:tcPr>
          <w:p>
            <w:pPr>
              <w:spacing w:after="0"/>
              <w:rPr>
                <w:sz w:val="19"/>
                <w:szCs w:val="19"/>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24,713</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14,427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6,707</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21,134</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Other income (expense):</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Other expenses</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other income (expense), net</w:t>
            </w:r>
          </w:p>
        </w:tc>
        <w:tc>
          <w:tcPr>
            <w:tcW w:w="16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6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60" w:type="dxa"/>
            <w:vAlign w:val="bottom"/>
            <w:vMerge w:val="restart"/>
          </w:tcPr>
          <w:p>
            <w:pPr>
              <w:jc w:val="right"/>
              <w:ind w:right="630"/>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incurred during the six months ended June 30, 2020 and 2019 (in thousands):</w:t>
      </w:r>
    </w:p>
    <w:p>
      <w:pPr>
        <w:spacing w:after="0" w:line="36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4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40"/>
              <w:spacing w:after="0"/>
              <w:rPr>
                <w:sz w:val="20"/>
                <w:szCs w:val="20"/>
                <w:color w:val="auto"/>
              </w:rPr>
            </w:pPr>
            <w:r>
              <w:rPr>
                <w:rFonts w:ascii="Arial" w:cs="Arial" w:eastAsia="Arial" w:hAnsi="Arial"/>
                <w:sz w:val="18"/>
                <w:szCs w:val="18"/>
                <w:color w:val="auto"/>
              </w:rPr>
              <w:t>Fabry</w:t>
            </w:r>
          </w:p>
        </w:tc>
        <w:tc>
          <w:tcPr>
            <w:tcW w:w="7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5,484</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4,557</w:t>
            </w:r>
          </w:p>
        </w:tc>
        <w:tc>
          <w:tcPr>
            <w:tcW w:w="2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Gaucher</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9"/>
        </w:trPr>
        <w:tc>
          <w:tcPr>
            <w:tcW w:w="4720" w:type="dxa"/>
            <w:vAlign w:val="bottom"/>
          </w:tcPr>
          <w:p>
            <w:pPr>
              <w:ind w:left="240"/>
              <w:spacing w:after="0"/>
              <w:rPr>
                <w:sz w:val="20"/>
                <w:szCs w:val="20"/>
                <w:color w:val="auto"/>
              </w:rPr>
            </w:pPr>
            <w:r>
              <w:rPr>
                <w:rFonts w:ascii="Arial" w:cs="Arial" w:eastAsia="Arial" w:hAnsi="Arial"/>
                <w:sz w:val="18"/>
                <w:szCs w:val="18"/>
                <w:color w:val="auto"/>
              </w:rPr>
              <w:t>Pompe</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Cystinosis</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Unallocated research and development expenses:</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40"/>
              <w:spacing w:after="0"/>
              <w:rPr>
                <w:sz w:val="20"/>
                <w:szCs w:val="20"/>
                <w:color w:val="auto"/>
              </w:rPr>
            </w:pPr>
            <w:r>
              <w:rPr>
                <w:rFonts w:ascii="Arial" w:cs="Arial" w:eastAsia="Arial" w:hAnsi="Arial"/>
                <w:sz w:val="18"/>
                <w:szCs w:val="18"/>
                <w:color w:val="auto"/>
                <w:w w:val="99"/>
              </w:rPr>
              <w:t>Personnel related (including stock-based compensation)</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480"/>
              <w:spacing w:after="0"/>
              <w:rPr>
                <w:sz w:val="20"/>
                <w:szCs w:val="20"/>
                <w:color w:val="auto"/>
              </w:rPr>
            </w:pPr>
            <w:r>
              <w:rPr>
                <w:rFonts w:ascii="Arial" w:cs="Arial" w:eastAsia="Arial" w:hAnsi="Arial"/>
                <w:sz w:val="18"/>
                <w:szCs w:val="18"/>
                <w:color w:val="auto"/>
              </w:rPr>
              <w:t>Total research and development expenses</w:t>
            </w:r>
          </w:p>
        </w:tc>
        <w:tc>
          <w:tcPr>
            <w:tcW w:w="4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These amounts reflect a prior period reclass of $1,003 between the Fabry and Gaucher programs.</w:t>
      </w:r>
    </w:p>
    <w:p>
      <w:pPr>
        <w:spacing w:after="0" w:line="2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Research and development expenses were $39.1 million for the six months ended June 30, 2020, as compared to $24.7 million for the six months ended June 30, 2019. The increase of $14.4 million was primarily due to an increase of $11.6 million in unallocated research and development expenses, an increase of $2.0 million in direct costs related to our Other programs, an increase of $0.9 million in direct costs related to our Fabry program, an increase of $0.4 million in direct costs related to our Cystinosis program and an increase of $0.3 million in direct costs related to our Pompe program, partially offset by a decrease of $0.8 million in direct costs related to our Gaucher program.</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increase in direct costs related to our Fabry program was primarily due to a $2.1 million increase in clinical costs, partially offset by a $1.2 million decrease in preclinical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direct costs related to our Gaucher program was primarily due to a $0.8 million decrease in manufacturing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direct costs related to our Pompe program was primarily due to a $0.2 million increase in preclinical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direct costs related to our Cystinosis program was primarily due to a $0.4 million increase in manufacturing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increase in direct costs related to our Other programs was primarily due to a $1.4 million increase in manufacturing costs and a $0.5 million increase in preclinical costs.</w:t>
      </w:r>
    </w:p>
    <w:p>
      <w:pPr>
        <w:spacing w:after="0" w:line="1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increase in unallocated research and development expenses was primarily due to an increase of $8.2 million in personnel-related costs, including non-cash stock-based compensation, as a result of hiring additional personnel in our research and development department and an increase of $3.4 million primarily related to a $1.4 million increase in unallocated research costs and a $1.4 million increase in unallocated facilities costs. Personnel-related costs for the six months ended June 30, 2020 included non-cash stock-based compensation expense of $3.4 million and $1.8 million,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General and administrative expenses were $16.3 million for the six months ended June 30, 2020, compared to $9.6 million for the six months ended June 30, 2019. The increase of $6.7 million was primarily due to an increase of $4.7 million in personnel-related costs, including non-cash stock-based compensation and an increase of $2.0 million in professional fees and consulting costs. The increase in personnel-related costs was due to the hiring of additional personnel in our general and administrative functions.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Other income, net was income of $0.7 million for the six months ended June 30, 2020, compared to $1.2 million for the six months ended June 30,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a result of lower yields on our money market funds.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 of preferred stock and our common stock through our IPO, our July 2019 Follow-On Offering, our February 2020 Follow-On Offering and our ATM Facility. Through June 30, 2020, we had received gross cash proceeds of $87.5 million from sales of our preferred stock, and gross cash proceeds, before deducting underwriting discounts and commissions and expenses, of $114.7 million, $138.3 million, $100.0 million and $8.5 million from sales of our common stock through our IPO, July 2019 Follow-On Offering, February 2020 Follow-On Offering and ATM Facility, respectively.</w:t>
      </w:r>
    </w:p>
    <w:p>
      <w:pPr>
        <w:spacing w:after="0" w:line="19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On July 1, 2019, we filed a shelf registration statement on Form S-3 with the SEC, or the July 2019 Shelf, which covers the offering, issuance and sale by us of up to an aggregate of $200.0 million of our common stock, preferred stock, debt securities, warrants and/or units. We simultaneously entered into a Sales Agreement with Cowen and Company, LLC, as sales agent, to provide for the offering, issuance and sale by us of up to $50.0 million of our common stock from time to time in “at-the-market” offerings under the July 2019 Shelf. The July 2019 Shelf was declared effective by the SEC on July 10, 2019.</w:t>
      </w:r>
    </w:p>
    <w:p>
      <w:pPr>
        <w:spacing w:after="0" w:line="15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July 2019, we closed the July 2019 Follow-On Offering as an underwritten public offering under the July 2019 Shelf of 7,475,000 shares of our common stock at a public offering price of $18.50 per share, which included 975,000 shares of our common stock resulting from the full exercise of the underwriters’ option to purchase additional shares at the public offering price, less underwriting discounts and commissions. The net proceeds to us from this offering, after deducting underwriting discounts and commissions and other offering expenses payable by us, were approximately $129.5 million.</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December 20, 2019, we filed a shelf registration statement on Form S-3 with the SEC, or the December 2019 Shelf, which covers the offering, issuance and sale by us of up to an aggregate of $250.0 million of our common stock, preferred stock, debt securities, warrants and/or units. The December 2019 Shelf was declared effective by the SEC on January 14, 2020.</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February 2020, we closed the February 2020 Follow-On Offering as an underwritten public offering under the December 2019 Shelf of 4,350,000 shares of our common stock at a public offering price of $23.00 per share, less underwriting discounts and commissions. The net proceeds to us from this offering, after deducting underwriting discounts and commissions and other offering expenses payable by us, were approximately $93.6 million.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June 30, 2020, we sold an aggregate of 384,140 shares of common stock under the ATM Facility for net proceeds, after deducting commissions and other offering expenses payable by us, of approximately $8.1 million. As of June 30, 2020, approximately $41.5 million of common stock remained available for future issuance under the ATM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each of the periods presented (in thousands):</w:t>
      </w:r>
    </w:p>
    <w:p>
      <w:pPr>
        <w:spacing w:after="0" w:line="230"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Six Months Ended</w:t>
      </w:r>
    </w:p>
    <w:p>
      <w:pPr>
        <w:jc w:val="center"/>
        <w:ind w:left="52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700" w:type="dxa"/>
        <w:tblCellMar>
          <w:top w:w="0" w:type="dxa"/>
          <w:left w:w="0" w:type="dxa"/>
          <w:bottom w:w="0" w:type="dxa"/>
          <w:right w:w="0" w:type="dxa"/>
        </w:tblCellMar>
      </w:tblP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(35,703)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(741)</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(35,954)</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the six months ended June 30, 2020, operating activities used $43.5 million of cash, cash equivalents and restricted cash, resulting from our net loss of $54.8 million partially offset by cash provided by changes in our operating assets and liabilities of $4.2 million and non-cash charges of $7.2 million. The net changes in our operating assets and liabilities were primarily due to decreases in prepaid expenses and other current assets of $2.0 million due to ongoing preclinical, manufacturing, and clinical trial efforts, a decrease in other assets of $0.1 million and an increase in accrued expenses and other liabilities of $3.0 million, partially offset by a decrease in accounts payable of $0.9 million. The non-cash charges primarily included $6.7 million of stock-based compensation expense and $0.6 million of depreciation expense.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During the six months ended June 30, 2020, we used $1.1 million of cash and cash equivalents in investing activities consisting of purchases of property and equipment. During the six months ended June 30, 2019, we used $0.7 million of cash and cash equivalents in investing activities consisting of purchases of property and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six months ended June 30, 2020, net cash provided by financing activities was $101.9 million, primarily consisting of net cash proceeds from our February 2020 Follow-On Offering which raised net proceeds of $93.6 million and sales under our ATM Facility which raised net proceeds of $8.1 million. During the six months ended June 30, 2019, net cash provided by financing activities was $0.5 million, primarily consisting of proceeds from the exercise of stock options.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Notwithstanding the impact of the COVID-19 pandemic on our company and the global economy generally, we expect our expenses to increase substantially in connection with our ongoing activities, particularly as we advance the preclinical activities and clinical trials of our product candidates. Our expenses will also increase as we:</w:t>
      </w:r>
    </w:p>
    <w:p>
      <w:pPr>
        <w:spacing w:after="0" w:line="76" w:lineRule="exact"/>
        <w:rPr>
          <w:sz w:val="20"/>
          <w:szCs w:val="20"/>
          <w:color w:val="auto"/>
        </w:rPr>
      </w:pPr>
    </w:p>
    <w:p>
      <w:pPr>
        <w:ind w:left="880" w:right="4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Phase 2 clinical trial for AVR-RD-01, the ongoing investigator-sponsored clinical trial of AVR-RD-04 and our ongoing clinical trial of AVR-RD-02;</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current and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encounter delays or interruptions in our preclinical studies, clinical trials, or supply chain as a result of the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880" w:right="56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infrastructure, office space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believe that our existing cash and cash equivalents as of June 30, 2020 will enable us to fund our operating expenses and capital expenditure requirements into the second half of 2022. We have based these estimates on assumptions that may prove to be wrong, and we could utilize our available capital resources sooner than we expect. If we receive regulatory approval for any of our product candidates, we expect to incur significant commercialization expenses related to product manufacturing, sales, marketing and distribution, depending on where we choose to commercialize.</w:t>
      </w:r>
    </w:p>
    <w:p>
      <w:pPr>
        <w:spacing w:after="0" w:line="15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The disclosure of our contractual obligations and commitments is set forth under the heading “Management’s Discussion and Analysis of Financial Condition and Results of Operations—Contractual Obligations and Commitments” in our Annual Report on Form 10-K for the fiscal year ended December 31, 2019, filed with the SEC on March 16, 2020. There have been no significant changes to the table contained therein as of June 30,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six months ended June 30, 2020, there were no material changes to our critical accounting policies. Our critical accounting policies are described under the heading “Management’s Discussion and Analysis of Financial Condition and Results of Operations— Critical Accounting Policies and Significant Judgments and Estimates” in our Annual Report on Form 10-K for the fiscal year ended December 31, 2019, which was filed with the SEC on March 16, 2020, and the notes to the consolidated financial statements included in Item 1, “Condensed Consolidated Unaudited Financial Statements,” of this Quarterly Report on Form 10-Q.</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at the beginning of this Quarterly Report on Form 10-Q.</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6" w:name="page37"/>
    <w:bookmarkEnd w:id="36"/>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June 30, 2020, we had cash and cash equivalents of $244.4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exposed to foreign exchange rate risk. Our headquarters are located in the United States, where the majority of our general and administrative expenses and research and development costs are incurred in U.S. dollars. A portion of our research and development costs are incurred by our subsidiaries in Australia and Canada, whose functional currencies are the U.S. dollar but engage in transactions in Australian dollars and Canadian dollars, respectively. During each of the three months ended June 30, 2020 and 2019, we recognized foreign currency transaction losses of $33 and $8, respectively. During each of the six months ended June 30, 2020 and 2019, we recognized foreign currency transaction losses of $49 and $68, respectively These losses primarily related to unrealized and realized foreign currency gains and losses as a result of transactions entered into by our Australian and Canadian subsidiaries in currencies other than the U.S. dollar. These foreign currency transaction gains and losses were recorded in other expense, net in our consolidated statements of operations. We believe that a 10% change in the exchange rate between the U.S. dollar, Australian dollar and Canadian dollar would not have a material impact on our financial position or results of operations.</w:t>
      </w:r>
    </w:p>
    <w:p>
      <w:pPr>
        <w:spacing w:after="0" w:line="18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(our principal executive officer and principal financial officer, respectively), evaluated the effectiveness of our disclosure controls and procedures as of June 30,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While we continue to evaluate our disclosure controls and procedures, including new procedures and processes relating to our internal control over financial reporting, based on the evaluation of our disclosure controls and procedures as of June 30, 2020, our Chief Executive Officer and Chief Financial Officer concluded that, as a result of the material weaknesses in our internal control over financial reporting as described below and in Part II, Item 1A. of this Quarterly Report on Form 10-Q, our disclosure controls and procedures were not effective as of June 30, 2020. Notwithstanding the material weaknesses, our management has concluded that the financial statements included elsewhere in this report present fairly, in all material respects, our financial position, results of operations, changes in stockholders’ equity (deficit) and cash flows in conformity with GAAP.</w:t>
      </w:r>
    </w:p>
    <w:p>
      <w:pPr>
        <w:spacing w:after="0" w:line="22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our Annual Report on Form 10-K for the year ended December 31, 2018, we reported material weaknesses in our internal control over financial reporting related to deficiencies in our controls over the financial statement close process, including over complex accounting issues, expense classification and accrued research and development expenses, as well as the cash disbursement process. During 2019 and the first half of 2020, we took a number of actions, including the efforts outlined below, designed to improve our internal control over financial reporting to remediate these material weaknesses. These efforts, which we have continued to test through the first half of 2020, include:</w:t>
      </w:r>
    </w:p>
    <w:p>
      <w:pPr>
        <w:spacing w:after="0" w:line="68" w:lineRule="exact"/>
        <w:rPr>
          <w:sz w:val="20"/>
          <w:szCs w:val="20"/>
          <w:color w:val="auto"/>
        </w:rPr>
      </w:pPr>
    </w:p>
    <w:p>
      <w:pPr>
        <w:ind w:left="880" w:right="160" w:hanging="373"/>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hiring additional qualified accounting and financial planning and analysis personnel, including an Assistant Controller and Senior Director of Financial Planning and Analysis;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conducting a review of our IT infrastructure, personnel and services, and hiring a Senior Director of Information Technology;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7" w:name="page38"/>
    <w:bookmarkEnd w:id="37"/>
    <w:p>
      <w:pPr>
        <w:ind w:left="880" w:right="22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engaging a professional accounting services firm to help us assess and commence documentation of our internal controls for complying with the Sarbanes-Oxley Act of 2002;</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strengthening, formalizing, documenting and testing accounting processes and internal controls;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engaging consultants to provide additional technical accounting expertise; and</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implementing new financial software systems including a purchase requisition system, expense reporting system and a system to track and account for stock-based awards to automate these processes.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significant progress was made in 2019 and during the first half of 2020 to enhance and strengthen our internal control over financial reporting. However, while we believe our internal controls were properly designed and implemented as of December 31, 2019, they were not in all cases in place for a sufficient period of time to demonstrate operating effectiveness as of December 31, 2019. As a result, management concluded that the material weaknesses were not fully remediated as of December 31, 2019 or June 30, 2020.</w:t>
      </w:r>
    </w:p>
    <w:p>
      <w:pPr>
        <w:spacing w:after="0" w:line="214"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The measures we are implementing are subject to continued management review supported by confirmation and testing, as well as audit committee oversight. Management remains committed to remediating these material weaknesses. We will continue to implement measures to remedy our internal control deficiencies, though there can be no assurance that our efforts will be successful or avoid potential future material weaknesses.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changes intended to remediate the material weaknesses noted above, no change in our internal control over financial reporting (as defined in Rules 13a-15(f) and 15d-15(f) under the Exchange Act) occurred during the quarter ended June 30, 2020 that has materially affected, or is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From time to time, we may become subject to various legal proceedings and claims that arise in the ordinary course of our business activities. Although the results of litigation and claims cannot be predicted with certainty, as of June 30, 2020, we do not believe we are party to any claim or litigation the outcome of which, if determined adversely to us, would individually or in the aggregate be reasonably expected to have a material adverse effect on our business.</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Regardless of the outcome, litigation can have an adverse impact on us because of defense and settlement costs, diversion of management resources and other factors.</w:t>
      </w:r>
    </w:p>
    <w:p>
      <w:pPr>
        <w:spacing w:after="0" w:line="2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uncertainties, together with all other information in this Quarterly Report on Form 10-Q, including our consolidated financial statements and related notes and “Management’s Discussion and Analysis of Financial Condition and Results of Operations,” as well as our other filings with the Securities and Exchange Commission, or the SEC,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“Forward-Looking Information” in this Quarterly Report on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net losses since inception. We expect to incur net losses for the foreseeable future and may never achieve or maintain profitability.</w:t>
      </w:r>
    </w:p>
    <w:p>
      <w:pPr>
        <w:spacing w:after="0" w:line="1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Since inception, we have incurred net losses. We incurred net losses of $73.0 million and $46.4 million for the years ended December 31, 2019 and 2018, respectively, and $54.8 million for the six months ended June 30, 2020. We historically financed our operations primarily through private placements of our preferred stock and, more recently, our initial public offering and follow-on public offerings of our common stock, as well as our ATM Facility.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56" w:lineRule="exact"/>
        <w:rPr>
          <w:sz w:val="20"/>
          <w:szCs w:val="20"/>
          <w:color w:val="auto"/>
        </w:rPr>
      </w:pPr>
    </w:p>
    <w:p>
      <w:pPr>
        <w:ind w:left="880" w:right="6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ongoing Phase 2 clinical trial for AVR-RD-01, the investigator-sponsored Phase 1/2 clinical trial for AVR-RD-04 and our Phase 1/2 clinical trial for AVR-RD-02;</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current and future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delays or interruptions in preclinical studies, clinical trials, or our supply chain due to the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62" w:lineRule="exact"/>
        <w:rPr>
          <w:rFonts w:ascii="Arial" w:cs="Arial" w:eastAsia="Arial" w:hAnsi="Arial"/>
          <w:sz w:val="18"/>
          <w:szCs w:val="18"/>
          <w:color w:val="auto"/>
        </w:rPr>
      </w:pPr>
    </w:p>
    <w:p>
      <w:pPr>
        <w:ind w:left="880" w:right="60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continue our implementation of our plato platform as we seek to industrialize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therapy approach into a robust, scalable and, if approved, commercially viable process;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17" w:lineRule="exact"/>
        <w:rPr>
          <w:rFonts w:ascii="Arial" w:cs="Arial" w:eastAsia="Arial" w:hAnsi="Arial"/>
          <w:sz w:val="18"/>
          <w:szCs w:val="18"/>
          <w:color w:val="auto"/>
        </w:rPr>
      </w:pPr>
    </w:p>
    <w:p>
      <w:pPr>
        <w:ind w:left="880" w:right="28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office space, infrastructure and facilities to accommodate our growing employee base, including adding equipment and physical infrastructure to support our research and development;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incur additional public company-related costs.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right="60"/>
        <w:spacing w:after="0" w:line="275" w:lineRule="auto"/>
        <w:rPr>
          <w:sz w:val="20"/>
          <w:szCs w:val="20"/>
          <w:color w:val="auto"/>
        </w:rPr>
      </w:pPr>
      <w:r>
        <w:rPr>
          <w:rFonts w:ascii="Arial" w:cs="Arial" w:eastAsia="Arial" w:hAnsi="Arial"/>
          <w:sz w:val="17"/>
          <w:szCs w:val="17"/>
          <w:color w:val="auto"/>
        </w:rPr>
        <w:t>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79" w:lineRule="exact"/>
        <w:rPr>
          <w:sz w:val="20"/>
          <w:szCs w:val="20"/>
          <w:color w:val="auto"/>
        </w:rPr>
      </w:pPr>
    </w:p>
    <w:p>
      <w:pPr>
        <w:ind w:left="880" w:right="42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17" w:lineRule="exact"/>
        <w:rPr>
          <w:rFonts w:ascii="Arial" w:cs="Arial" w:eastAsia="Arial" w:hAnsi="Arial"/>
          <w:sz w:val="18"/>
          <w:szCs w:val="18"/>
          <w:color w:val="auto"/>
        </w:rPr>
      </w:pPr>
    </w:p>
    <w:p>
      <w:pPr>
        <w:ind w:left="880" w:right="54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880" w:hanging="373"/>
        <w:spacing w:after="0" w:line="342"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2020, we had cash and cash equivalents of $244.4 million. We believe that our existing cash and cash equivalents as of June 30, 2020 will enable us to fund our operating expenses and capital expenditure requirements into the second half of 2022. This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For example, as part of our registration strategy for AVR-RD-01, we are evaluating expanding our clinical development program in support of optimizing the potential for a broad label. Such expansion, if implemented, could require significant additional development costs for AVR-RD-01. In addition, if we obtain marketing approval for any of our product candidates, we expect to incur significant expenses related to product sales, medical affairs, marketing, manufacturing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 Our future capital requirements will depend on many factors, including:</w:t>
      </w:r>
    </w:p>
    <w:p>
      <w:pPr>
        <w:spacing w:after="0" w:line="73" w:lineRule="exact"/>
        <w:rPr>
          <w:sz w:val="20"/>
          <w:szCs w:val="20"/>
          <w:color w:val="auto"/>
        </w:rPr>
      </w:pPr>
    </w:p>
    <w:p>
      <w:pPr>
        <w:ind w:left="880" w:right="38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 including the extent of any impacts from the COVID-19 pandemic on these activities;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if any, received from commercial sale of our products, should any of our product candidates receive marketing approval;</w:t>
      </w:r>
    </w:p>
    <w:p>
      <w:pPr>
        <w:spacing w:after="0" w:line="117" w:lineRule="exact"/>
        <w:rPr>
          <w:rFonts w:ascii="Arial" w:cs="Arial" w:eastAsia="Arial" w:hAnsi="Arial"/>
          <w:sz w:val="18"/>
          <w:szCs w:val="18"/>
          <w:color w:val="auto"/>
        </w:rPr>
      </w:pPr>
    </w:p>
    <w:p>
      <w:pPr>
        <w:ind w:left="880" w:right="440" w:hanging="373"/>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stockholders, restrict our operations or cause us to relinquish valuable rights.</w:t>
      </w:r>
    </w:p>
    <w:p>
      <w:pPr>
        <w:spacing w:after="0" w:line="1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clinical-stage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 clinical trials of our product candidates and establishing research and development and manufacturing capabilities. Although we initiated our ongoing Phase 2 clinical trial for AVR-RD-01 in June 2018, two patients have been dosed in the ongoing investigator-sponsored clinical trial of AVR-RD-04, and the first patient has been dosed in our ongoing Phase 1/2 clinical trial of AVR-RD-02,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an early-stage company, we may encounter unforeseen expenses, difficulties, complications, delays and other known and unknown factors.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For example, timely enrollment in our clinical trials is dependent upon global clinical trial sites which have been and may continue to be adversely affected by the COVID-19 pandemic. In addition,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line="269" w:lineRule="auto"/>
        <w:rPr>
          <w:sz w:val="20"/>
          <w:szCs w:val="20"/>
          <w:color w:val="auto"/>
        </w:rPr>
      </w:pPr>
      <w:r>
        <w:rPr>
          <w:rFonts w:ascii="Arial" w:cs="Arial" w:eastAsia="Arial" w:hAnsi="Arial"/>
          <w:sz w:val="17"/>
          <w:szCs w:val="17"/>
          <w:color w:val="auto"/>
        </w:rPr>
        <w:t>implementation of our plato platform and upgrades, including our transition to therapeutic drug monitoring, or TDM, conditioning using busulfan for our single-agent conditioning regimen, may result in delays or setbacks in our research and development activities, and we may not realize the intended benefits of these efforts.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we have only dosed two patients using our plato platform, which we plan to utilize for the majority of patients in our ongoing Phase 2 clinical trial for AVR-RD-01 and all patients in the Phase 1/2 clinical trial of AVR-RD-02. Our implementation of the LV2 lentiviral vector or of our cell processing to an industrialized, automated closed system using disposable supplies may not be successful or may experience unforeseen delays, which may cause shortages or delays in the supply of our products available for clinical trials and future commercial sales, if any, or impair our research and development efforts, including those in our ongoing and future clinical trials. In addition, there is no assurance that products using our proprietary LV2 lentiviral vector or manufactured using this automated system will ultimately achieve the same favorable preliminary results observed to date in the Phase 1 and Phase 2 clinical trials of AVR-RD-01.</w:t>
      </w:r>
    </w:p>
    <w:p>
      <w:pPr>
        <w:spacing w:after="0" w:line="18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7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subject to the NIH Guidelines, under which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If we were to engage an NIH-funded institution to conduct a clinical trial, that institution’s IBC as well as its institutional review board, or IRB,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6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FDA continues to develop its approach to assessing gene and cell therapy products. For example, the agency has released a series of draft and final guidance documents relating to, among other topics, various aspects of gene therapy product development, review, and approval, including aspects relating to clinical and manufacturing issues related to gene therapy products. In January 2020, the FDA released a final guidance with recommendations for long-term follow-up studies of patients following human gene therapy administration due to the increased risk of undesirable and unpredictable outcomes with gene therapies that may present as delayed adverse events. We cannot be certain whether such guidance, or other guidance that the FDA may issue, will be relevant to or have an adversely impact on our gene therapy candidates or the duration or expense of any applicable regulatory development and review processes.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60"/>
        <w:spacing w:after="0" w:line="263"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AVR-RD-01, AVR-RD-04, AVR-RD-02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any of our product candidates have side effects or causes serious or life-threatening side effects, the development of the product candidate may fail or be delayed, or, if the product candidate has received regulatory approval, such approval may be revoked or limited.</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There have been several significant adverse side effects in gene therapy treatments in the past, including multiple reported cases of leukemia, myelodysplastic syndrome and death seen in other clinical trials. 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against the vector after administration, there can be no assurance that patients would not create antibodies that may impair treatment. If any of our gene therapy product candidates demonstrates adverse side effects at unacceptable rates or degrees of severity, we may decide or be required to halt or delay clinical development of such product candidates.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side effects caused by our product candidates, the conditioning, administration process or related procedures, which we evaluate from time to time as part of our process improvement and optimization efforts, also can cause adverse side effects. A gene therapy patient is generally administered one or more myeloablative drugs to remove stem cells from the bone marrow to create sufficient space in the bone marrow for the modified gene-corrected stem cells to engraft and produce their progeny. This procedure transiently compromises the patient’s immune system, known as neutropenia, and ability to form blood clots, known as thrombocytopenia.</w:t>
      </w:r>
    </w:p>
    <w:p>
      <w:pPr>
        <w:spacing w:after="0" w:line="18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2019 we began transitioning, in connection with our Company-sponsored clinical trials, towards a new conditioning regimen for our product candidates utilizing busulfan as the myeloablative conditioning agent instead of the melphalan that we previously used. The use of this conditioning regimen is designed to utilize TDM to achieve a balance between the removal of a sufficient amount of bone marrow cells from a patient against potential risks such as toxicity or graft failure. While we anticipate that the conditioning regimen may be performed during a limited hospital stay or potentially through an outpatient procedure, on a case-by-case basis as directed by a patient’s physician, we cannot guarantee that the conditioning will not require a lengthier hospitalization. Our conditioning regimens may not be successful or may nevertheless result in adverse side effects. For example, in the ongoing investigator-sponsored Phase 1 clinical trial and our ongoing Company-sponsored Phase 2 clinical trial of AVR-RD-01, as well as the investigator-sponsored Phase 1/2 clinical trial of AVR-RD-04, several adverse events, including suppression of neutrophils and platelet counts following the conditioning process, were observed. While such adverse events in connection with conditioning is expected, if in the future any such adverse events caused by the conditioning process or related procedures continue at unacceptable rates or degrees of severity, the FDA or other foreign regulatory authorities could order us to cease development of, or deny approval of, AVR-RD-01, AVR-RD-04 or our other product candidates for any or all targeted indications. In addition, although in the future we may implement new procedures to screen for certain pre-cancerous genetic mutations prior to commencement of the conditioning regimen as an additional risk reduction measure, there can be no guarantees that these procedures, if implemented, would be successful. Even if we are able to demonstrate that adverse events are not product-related, such occurrences could adversely affect patient recruitment or the ability of enrolled patients to complete the clinical trial.</w:t>
      </w:r>
    </w:p>
    <w:p>
      <w:pPr>
        <w:spacing w:after="0" w:line="18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AVR-RD-04, AVR-RD-02 or our other product candidates, several potentially significant negative consequences could result, including:</w:t>
      </w:r>
    </w:p>
    <w:p>
      <w:pPr>
        <w:spacing w:after="0" w:line="68" w:lineRule="exact"/>
        <w:rPr>
          <w:sz w:val="20"/>
          <w:szCs w:val="20"/>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or boxed warnings on the label;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distributed, dispensed, or administered or conduct additional clinical trials;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completed a pivotal clinical trial, and may be unable to do so for any product candidates we may develop, including AVR-RD-01, AVR-RD-04 and AVR-RD-02.</w:t>
      </w:r>
    </w:p>
    <w:p>
      <w:pPr>
        <w:spacing w:after="0" w:line="6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are at an early stage of development for all of our product candidates including AVR-RD-01, AVR-RD-04 and AVR-RD-02. Our product candidate AVR-RD-01 has been administered to only five patients in an ongoing investigator-sponsored Phase 1 clinical trial and to four patients in our ongoing Phase 2 clinical trial, AVR-RD-04 has been administered to only two patients in the ongoing investigator-sponsored Phase 1/2 clinical, and AVR-RD-02 has been administered to only one patient in the ongoing Phase 1/2 clinical trial. These ongoing clinical trials must be completed, as well as potentially additional pivotal clinical trials in order to obtain FDA approval to market these product candidates. We have limited experience in preparing, submitting and prosecuting regulatory filings, and have not previously submitted a biologics license application, or BLA, for any product candidate.</w:t>
      </w:r>
    </w:p>
    <w:p>
      <w:pPr>
        <w:spacing w:after="0" w:line="16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Carrying out later-stage clinical trials is a complicated and lengthy process, and we do not expect that all data from patients participating in the clinical trials will be relevant or meaningful. For example, the primary efficacy endpoint of our Phase 2 clinical trial of AVR-RD-01 is the change, from baseline to one year post-treatment with AVR-RD-01, in the average number of Gb3 inclusions per PTC, as measured in a patient kidney biopsy. The second patient in the Phase 2 trial has an N215S genotype, which is associated with a late-onset cardiac variant phenotype and lower plasma lyso-Gb3 levels. This patient’s cardiac variant phenotype does not typically result in Gb3 accumulation in the kidney and skin, and accordingly we do not expect that data obtained from this patient will have a meaningful impact on certain efficacy endpoints in our Phase 2 clinical trial, including kidney and skin biopsies. Nonetheless, there may be other important insights derived from data collected from this patient in the Phase 2 clinical trial. In addition, although a kidney biopsy was performed on the third patient in the Phase 2 clinical trial, as a result of human error in processing the biopsy sample at the external laboratory vendor, the kidney Gb3 inclusions could not be evaluated and will not be available. However, we expect to continue collecting other data from the third patient, including measures of kidney function such as estimated glomerular filtration rate and measured glomerular filtration rate.</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we have not yet conducted any Company-sponsored clinical trials of any of our product candidates in the United States, and our interactions with the FDA have generally been limited. We cannot be certain how many additional clinical trials of AVR-RD-01, AVR-RD-04, AVR-RD-02 or any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While we have received clearance from the FDA to commence clinical testing in the United States for AVR-RD-01 and AVR-RD-02, and the sponsor of the investigator-led clinical trial for AVR-RD-04 has received the same, there can be no assurance that we will be able to submit and secure similar clearances for any of our other product candidates.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AVR-RD-04, AVR-RD-02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 AVR-RD-04, AVR-RD-02 or any of our other product candidates.</w:t>
      </w:r>
    </w:p>
    <w:p>
      <w:pPr>
        <w:spacing w:after="0" w:line="1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ongoing Phase 1/2 clinical trial of AVR-RD-04 is also an investigator-sponsored clinical trial, which is being conducted by our collaborators at the University of California, San Diego.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Results from preclinical studies or early clinical trials are not necessarily predictive of future clinical trial results and are not necessarily indicative of final results. For example, there can be no assurance that prior results, such as signals of safety, activity or durability of effect, observed from preclinical studies or clinical trials will be replicated or will continue in ongoing or future studies or trials. Furthermore, preliminary results may not be indicative of the final results of a trial after all data have been collected and analyzed. Based on results observed from ongoing trials of AVR-RD-01, there can be no assurance that increased levels of plasma α-galactosidase A in patients treated with AVR-RD-01 will be maintained over time. In addition, while the first, third and fifth patients from the ongoing investigator-sponsored Phase 1 clinical trial of AVR-RD-01 discontinued ERT, there can be no assurance that these patients, or others who in the future may discontinue ERT, will remain off ERT. The initial results from the investigator-sponsored clinical trial of AVR-RD-04 only represent three months of clinical data from one patient, and there is no assurance that future clinical data from this patient or other patients will produce similar results.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 other foreign regulatory bodies regarding the necessary endpoints for approval of any of our product candidates, including AVR-RD-01, AVR-RD-04 and AVR-RD-02. While we are aware that the FDA utilized an efficacy endpoint based on patients’ kidney biopsy in the recent approval of Migalastat for Fabry disease, for which we are also measuring as our primary efficacy endpoint in our ongoing Phase 2 clinical trial of AVR-RD-01, there can be no guarantees that regulatory agencies will permit us to use the same endpoint in connection with further development of AVR-RD-01. Therefore,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AVR-RD-03 product candidate is in preclinical development and has not yet been tested in humans. Any of our other current or future product candidates may fail to show the desired safety and efficacy in clinical development despite positive results in preclinical studies. Any such failure would cause us to abandon the product candidate.</w:t>
      </w:r>
    </w:p>
    <w:p>
      <w:pPr>
        <w:spacing w:after="0" w:line="1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Additionally, the clinical trials performed to date have been open-label studies and have been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that patients have received treatment and may interpret the information more favorably given this knowledge.</w:t>
      </w:r>
    </w:p>
    <w:p>
      <w:pPr>
        <w:spacing w:after="0" w:line="27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including as a result of the ongoing COVID-19 pandemic, which could result in increased costs, delays in advancing our product candidates, delays in testing the effectiveness of our product candidates or termination of the clinical trials altogether. For example, as a result of the COVID-19 pandemic, patient enrollment and dosing was temporarily paused in our Phase 2 clinical trial of AVR-RD-01, the investigator-sponsored clinical trial of AVR-RD-04 and our Phase 1/2 clinical trial of AVR-RD-02, and certain data collection has been delayed for the investigator-sponsored Phase 1 and Company-sponsored Phase 2 clinical trials of AVR-RD-01 and the investigator-sponsored clinical trial of AVR-RD-04. While patient enrollment and dosing activities have begun to resume, there could be additional pauses in the future as a result of the COVID-19 pandemic or other factors.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5" w:name="page46"/>
    <w:bookmarkEnd w:id="45"/>
    <w:p>
      <w:pPr>
        <w:ind w:right="120"/>
        <w:spacing w:after="0" w:line="255"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While a number of patients had been identified for the Phase 1/2 clinical trial, we encountered patient pre-screening failures that impacted the commencement of enrollment.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and trial completion is affected by factors including the:</w:t>
      </w:r>
    </w:p>
    <w:p>
      <w:pPr>
        <w:spacing w:after="0" w:line="117" w:lineRule="exact"/>
        <w:rPr>
          <w:sz w:val="20"/>
          <w:szCs w:val="20"/>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enroll patients and conduct studies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880" w:right="460" w:hanging="373"/>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anticipate expanding our patient enrollment activities to include patients who reside in a country other than the country where the applicable clinical site is located, and who would be required to travel for some or all of the clinical testing and procedures required for patients in the applicable clinical trial. We may encounter logistical and regulatory challenges that could delay or prevent any such international patients from successfully enrolling and completing clinical trial procedures, including delays in processing or obtaining patient travel visas or denials of entry at borders, potential travel disruptions, or de-prioritization or unavailability of resources at clinical sites for non-resident international clinical trial participants, any of which could delay our progress and completion of planned clinical trials and which would have an adverse effect on our business.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63"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6" w:name="page47"/>
    <w:bookmarkEnd w:id="46"/>
    <w:p>
      <w:pPr>
        <w:ind w:right="140"/>
        <w:spacing w:after="0" w:line="277" w:lineRule="auto"/>
        <w:rPr>
          <w:sz w:val="20"/>
          <w:szCs w:val="20"/>
          <w:color w:val="auto"/>
        </w:rPr>
      </w:pPr>
      <w:r>
        <w:rPr>
          <w:rFonts w:ascii="Arial" w:cs="Arial" w:eastAsia="Arial" w:hAnsi="Arial"/>
          <w:sz w:val="18"/>
          <w:szCs w:val="18"/>
          <w:b w:val="1"/>
          <w:bCs w:val="1"/>
          <w:i w:val="1"/>
          <w:iCs w:val="1"/>
          <w:color w:val="auto"/>
        </w:rPr>
        <w:t>Business interruptions resulting from the coronavirus disease (COVID-19) pandemic or similar public health crises have caused and may continue to cause a disruption of the development of our product candidates and adversely impact our business.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Public health crises such as pandemics or similar outbreaks could adversely impact our business. In December 2019, a novel strain of a virus named SARS-CoV-2 (severe acute respiratory syndrome coronavirus 2), or coronavirus, which causes coronavirus disease, or COVID-19, was reported to have surfaced in Wuhan, China and has reached many other regions and countries, including Cambridge, Massachusetts where our primary office and laboratory space is located and Toronto, Ontario where we have a satellite office. The COVID-19 pandemic is still evolving, and to date has led to the implementation of various responses, including government-imposed quarantines and stay-at-home orders, business closures, border closures and travel restrictions, cancellations of public gatherings, and other public health safety measures. These measures continue to disrupt normal business operations both in and outside of affected areas and have had significant negative impacts on businesses and financial markets worldwide.</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continue to monitor our operations and applicable government recommendations and have implemented a work-from-home policy for most employees, excluding our laboratory staff and a limited number of non-laboratory employees. Notwithstanding these measures, the COVID-19 pandemic could affect the health and availability of our workforce as well as those of the third parties on which we rely. If members of our management and other key personnel are unable to perform their duties or have limited availability due to COVID-19, we may not be able to execute on our business strategy and/or our operations may be negatively impacted. We may experience limitations in employee resources, including because of sickness of employees or their families or the desire of employees to avoid contact with individuals or large groups of people.</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clinical trial activities, including patient enrollment and data collection, are dependent upon global clinical trial sites which have been and continue to be adversely affected by the COVID-19 pandemic. For example, as the global healthcare community continues to respond to the increase in COVID-19 cases and hospitalizations, many hospitals, including our clinical sites, have temporarily paused elective procedures, which included dosing of new patients with our investigational gene therapies. While dosing of new patients has begun to resume, our ability to continue clinical activities without further delay or interruption will depend on future developments that are highly uncertain and cannot be accurately predicted. Additionally, while ongoing data collection has continued for our patients that have been dosed, certain data collection has been delayed and additional delays could result from COVID-19-related interruptions. We are currently conducting clinical trials for our product candidates in the United States, Canada and Australia, and plan to expand to other geographies including Japan, Europe and Israel, and each of these regions are currently being affected by COVID-19.</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 factors from the COVID-19 pandemic that have delayed and may continue to delay or otherwise adversely affect enrollment in or the progress of the clinical trials of our product candidates, as well as our business generally, include:</w:t>
      </w:r>
    </w:p>
    <w:p>
      <w:pPr>
        <w:spacing w:after="0" w:line="62" w:lineRule="exact"/>
        <w:rPr>
          <w:sz w:val="20"/>
          <w:szCs w:val="20"/>
          <w:color w:val="auto"/>
        </w:rPr>
      </w:pPr>
    </w:p>
    <w:p>
      <w:pPr>
        <w:jc w:val="both"/>
        <w:ind w:left="880" w:right="160" w:hanging="373"/>
        <w:spacing w:after="0" w:line="263"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880" w:right="60" w:hanging="373"/>
        <w:spacing w:after="0" w:line="279"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limitations on travel that could interrupt key trial activities, such as clinical trial site initiations and monitoring, domestic and international travel by employees, contractors or patients to clinical trial sites, including any government-imposed travel restrictions or quarantines that may impact the ability or willingness of patients, employees or contractors to travel to our clinical trial sites or secure visas or entry permissions, any of which could delay or adversely impact the conduct or progress of our clinical trials;</w:t>
      </w:r>
    </w:p>
    <w:p>
      <w:pPr>
        <w:spacing w:after="0" w:line="63" w:lineRule="exact"/>
        <w:rPr>
          <w:rFonts w:ascii="Arial" w:cs="Arial" w:eastAsia="Arial" w:hAnsi="Arial"/>
          <w:sz w:val="17"/>
          <w:szCs w:val="17"/>
          <w:color w:val="auto"/>
        </w:rPr>
      </w:pPr>
    </w:p>
    <w:p>
      <w:pPr>
        <w:ind w:left="880" w:right="50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clinical trials;</w:t>
      </w:r>
    </w:p>
    <w:p>
      <w:pPr>
        <w:spacing w:after="0" w:line="62" w:lineRule="exact"/>
        <w:rPr>
          <w:rFonts w:ascii="Arial" w:cs="Arial" w:eastAsia="Arial" w:hAnsi="Arial"/>
          <w:sz w:val="18"/>
          <w:szCs w:val="18"/>
          <w:color w:val="auto"/>
        </w:rPr>
      </w:pPr>
    </w:p>
    <w:p>
      <w:pPr>
        <w:ind w:left="880" w:right="60" w:hanging="373"/>
        <w:spacing w:after="0" w:line="255"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disruptions caused by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those of third party service providers, contractors, or suppliers on whom we rely, impair the productivity of our personnel, subject us to additional cybersecurity risks, create data accessibility problems, cause us to become more susceptible to communication disruptions, or delay necessary interactions with local regulators, ethics committees and other important agencies and contractors;</w:t>
      </w:r>
    </w:p>
    <w:p>
      <w:pPr>
        <w:spacing w:after="0" w:line="84" w:lineRule="exact"/>
        <w:rPr>
          <w:rFonts w:ascii="Arial" w:cs="Arial" w:eastAsia="Arial" w:hAnsi="Arial"/>
          <w:sz w:val="18"/>
          <w:szCs w:val="18"/>
          <w:color w:val="auto"/>
        </w:rPr>
      </w:pPr>
    </w:p>
    <w:p>
      <w:pPr>
        <w:ind w:left="880" w:right="120" w:hanging="373"/>
        <w:spacing w:after="0" w:line="34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business disruptions involving our third parties on whom we rely, including CROs and other collaborators for the conduct of our clinical trials or our third party suppliers or manufacturers, which could impact their ability to perform adequately or disrupt our supply chain; and</w:t>
      </w:r>
    </w:p>
    <w:p>
      <w:pPr>
        <w:spacing w:after="0" w:line="15" w:lineRule="exact"/>
        <w:rPr>
          <w:rFonts w:ascii="Arial" w:cs="Arial" w:eastAsia="Arial" w:hAnsi="Arial"/>
          <w:sz w:val="16"/>
          <w:szCs w:val="16"/>
          <w:color w:val="auto"/>
        </w:rPr>
      </w:pPr>
    </w:p>
    <w:p>
      <w:pPr>
        <w:ind w:left="880" w:right="4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hospital or research institution policies or government regulations, which could delay or adversely impact our ability to conduct our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7" w:name="page48"/>
    <w:bookmarkEnd w:id="47"/>
    <w:p>
      <w:pPr>
        <w:ind w:right="140"/>
        <w:spacing w:after="0" w:line="301" w:lineRule="auto"/>
        <w:rPr>
          <w:sz w:val="20"/>
          <w:szCs w:val="20"/>
          <w:color w:val="auto"/>
        </w:rPr>
      </w:pPr>
      <w:r>
        <w:rPr>
          <w:rFonts w:ascii="Arial" w:cs="Arial" w:eastAsia="Arial" w:hAnsi="Arial"/>
          <w:sz w:val="16"/>
          <w:szCs w:val="16"/>
          <w:color w:val="auto"/>
        </w:rPr>
        <w:t>These and other factors arising from the COVID-19 pandemic could worsen and further adversely impact our ability to conduct clinical trials and our business generally, and could have a material adverse impact on our operations and financial condition and results. The extent to which the COVID-19 pandemic impacts our operations or those of our third party partners will depend on future developments, which are highly uncertain and cannot be predicted with confidence, including the duration of the pandemic and the actions to contain or mitigate the coronavirus or treat its impact, among others.</w:t>
      </w:r>
    </w:p>
    <w:p>
      <w:pPr>
        <w:spacing w:after="0" w:line="2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63" w:lineRule="exact"/>
        <w:rPr>
          <w:sz w:val="20"/>
          <w:szCs w:val="20"/>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for our Phase 2 clinical trial of AVR-RD-01, we have transitioned our lentiviral vectors to an LV2 version in connection with our plato platform implementation.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planned Phase 2 clinical study of AVR-RD-01 for Fabry disease in the United States, which was cleared by the FDA in April 2019, included data to demonstrate comparability between LV1 and LV2 and a transition to an automated manufacturing platform. In addition, our CTA (including amendments) and IND for our Phase 1/2 clinical study of AVR-RD-02 for Gaucher disease in Canada and the United States, for which Health Canada has issued no objection letters and the FDA has cleared, respectively, included data utilizing LV2 and our automated manufacturing platform. While these applications included data relating to our LV2 lentiviral vector and our automated manufacturing process, which are elements of our plato platform, and allow us to commence clinical trials incorporating such elements, there can be no assurance that the FDA, Health Canada or other regulatory authorities will not require us to undertake additional actions in connection with our transition to our plato platform, including submission of additional comparability studies in connection with future regulatory filings, which may result in delays, suspension or termination of ongoing or future clinical trials, or our inability to conduct our trials according to the plans or the timelines that we have envisioned. For example, the Phase 1/2 investigator-sponsored clinical study of AVR-RD-04 for cystinosis in the United States, which has been cleared by the FDA, does not include our LV2 lentiviral vector or our automated manufacturing platform, and we anticipate that we will be required to submit comparability data in future regulatory filings relating to our transition to LV2 and the automated manufacturing platform. Any such filings may result in delay, suspension or termination of ongoing or future clinical trials pending our submission, and the applicable regulatory agency’s review, of such updates.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 may:</w:t>
      </w:r>
    </w:p>
    <w:p>
      <w:pPr>
        <w:spacing w:after="0" w:line="140" w:lineRule="exact"/>
        <w:rPr>
          <w:sz w:val="20"/>
          <w:szCs w:val="20"/>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REMS;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and clinical studies, we cannot predict when or if we will obtain regulatory approval to commercialize a product candidate and the approval may be for a narrower indication than we seek.</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28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i w:val="1"/>
          <w:iCs w:val="1"/>
          <w:color w:val="auto"/>
        </w:rPr>
        <w:t>Certain of our clinical trials, including the ongoing investigator-sponsored clinical trial of AVR-RD-01, a portion of our Company-sponsored clinical trial of AVR-RD-01, and the investigator-sponsored clinical trial of AVR-RD-04, do not utilize our commercial-scale plato platform. While we have submitted and intend to continue to submit comparability studies to the FDA and other regulatory agencies, as needed, with respect to our implementation of our commercial-scale plato platform, there can be no assurance that the FDA or other regulatory agencies will not in the future require us to conduct additional preclinical studies or clinical trials with respect to these programs or our other product candidates that could result in delays in our development or commercialization programs of our product candidates, if approved, and additional expenses and otherwise could adversely affect our business.</w:t>
      </w:r>
    </w:p>
    <w:p>
      <w:pPr>
        <w:spacing w:after="0" w:line="6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intend to continue implementing our commercial-scale plato platform, including heightened vector efficiency, our closed, automated manufacturing system and utilization of a TDM conditioning regimen with busulfan, in connection with each of our investigational product candidates. We have developed the plato platform to form the backbone of our commercial programs, with the intent of replacing our original academic platform with improved solutions for delivering our gene therapy candidates to patients in multiple disease indications. We believe improvements from our plato platform may lead to better patient outcomes with our gene therapy candidates. In order to implement this transition, we have been and will be required to conduct additional studies to bridge our modified product candidates to earlier versions, which could delay our clinical development plans or marketing approvals, if any, including for AVR-RD-01, where the ongoing investigator-sponsored clinical trial does not use the plato platform, a portion of our Company-sponsored clinical trial for AVR-RD-01, and for AVR-RD-04 where the investigator-sponsored clinical trial will not utilize the plato platform. For example, we have transitioned our AVR-RD-01 lentiviral vectors to an LV2 version, and the fourth patient in our Phase 2 trial of AVR-RD-01 was dosed in 2019 using the plato platform. While LV2 is intended to confer improvements in transduction efficiency in viral production, there is no guarantee that we can realize these intended benefits. In addition, the transition from LV1 to LV2 has required (and is anticipated to continue to require) submission of relevant data to the applicable regulatory authorities in connection with certain of our regulatory filings, including our INDs and clinical trial applications, to demonstrate analytic comparability between LV1 and LV2. Our IND application for our planned Phase 2 clinical study of AVR-RD-01 for Fabry disease in the United States, which was cleared by the FDA in April 2019, included data to demonstrate comparability between LV1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right="60"/>
        <w:spacing w:after="0" w:line="271" w:lineRule="auto"/>
        <w:rPr>
          <w:sz w:val="20"/>
          <w:szCs w:val="20"/>
          <w:color w:val="auto"/>
        </w:rPr>
      </w:pPr>
      <w:r>
        <w:rPr>
          <w:rFonts w:ascii="Arial" w:cs="Arial" w:eastAsia="Arial" w:hAnsi="Arial"/>
          <w:sz w:val="17"/>
          <w:szCs w:val="17"/>
          <w:color w:val="auto"/>
        </w:rPr>
        <w:t>and LV2 and a transition to an automated manufacturing platform, which are elements of our plato platform. In addition, our CTA (including amendments) and IND for our Phase 1/2 clinical study of AVR-RD-02 for Gaucher disease in Canada and the United States, for which Health Canada has issued no objection letters and the FDA has cleared, respectively, included data utilizing LV2 and our automated manufacturing platform. Nevertheless, there can be no assurance that the FDA, Health Canada or other regulatory agencies will not in the future require us to conduct additional preclinical studies or clinical trials with respect to these programs or our other product candidates, which may result in delay, suspension or termination of ongoing or future clinical trials. Clinical trial delays could also shorten any periods during which we may have the exclusive right to commercialize our product candidates, if approved, or allow our competitors to bring products to market before we do, which could impair our ability to successfully commercialize our product candidates and may harm our business and results of operations.</w:t>
      </w:r>
    </w:p>
    <w:p>
      <w:pPr>
        <w:spacing w:after="0" w:line="2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100"/>
        <w:spacing w:after="0" w:line="311" w:lineRule="auto"/>
        <w:rPr>
          <w:sz w:val="20"/>
          <w:szCs w:val="20"/>
          <w:color w:val="auto"/>
        </w:rPr>
      </w:pPr>
      <w:r>
        <w:rPr>
          <w:rFonts w:ascii="Arial" w:cs="Arial" w:eastAsia="Arial" w:hAnsi="Arial"/>
          <w:sz w:val="16"/>
          <w:szCs w:val="16"/>
          <w:color w:val="auto"/>
        </w:rPr>
        <w:t>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ongoing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December 2018, October 2019 and March 2020, the FDA granted our requests for orphan drug designation for AVR-RD-01 for the treatment of Fabry disease, AVR-RD-02 for the treatment of Gaucher disease and AVR-RD-04 for the treatment of cystinosis, respectively. If we request orphan drug designation (or the foreign equivalent) for any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9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0" w:lineRule="exact"/>
        <w:rPr>
          <w:sz w:val="20"/>
          <w:szCs w:val="20"/>
          <w:color w:val="auto"/>
        </w:rPr>
      </w:pPr>
    </w:p>
    <w:p>
      <w:pPr>
        <w:ind w:left="880" w:right="62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If we fail to comply with applicable regulatory requirements following approval of any of our product candidates, a regulatory authority may:</w:t>
      </w:r>
    </w:p>
    <w:p>
      <w:pPr>
        <w:spacing w:after="0" w:line="117" w:lineRule="exact"/>
        <w:rPr>
          <w:sz w:val="20"/>
          <w:szCs w:val="20"/>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ind w:right="120"/>
        <w:spacing w:after="0" w:line="286" w:lineRule="auto"/>
        <w:rPr>
          <w:sz w:val="20"/>
          <w:szCs w:val="20"/>
          <w:color w:val="auto"/>
        </w:rPr>
      </w:pPr>
      <w:r>
        <w:rPr>
          <w:rFonts w:ascii="Arial" w:cs="Arial" w:eastAsia="Arial" w:hAnsi="Arial"/>
          <w:sz w:val="17"/>
          <w:szCs w:val="17"/>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5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6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anticipate competing with the largest pharmaceutical companies in the world. For example, Sanofi Genzyme and Shire, acquired by Takeda Pharmaceutical Company Ltd., market the enzyme replacement therapies, or ERTs, that represent the standard of care for Fabry patients. Amicus has secured regulatory approval in the United States and Europe for Migalastat, its oral therapy for Fabry disease. For Gaucher disease, we expect to compete with existing enzyme replacement therapies marketed by Sanofi Genzyme, Shire, Protalix and Pfizer, as well as oral therapies marketed by Actelion and Sanofi. Sanofi also markets an enzyme replacement therapy for Pompe disease. Cystinosis is currently treated by therapies marketed by Horizon Orphan, Mylan, Chiesi, Recordati and Sigma Tau Pharmaceuticals, and Eloxx Pharmaceuticals has been advancing a new treatment in clinical trials, though in March 2020 it announced that its Phase 2 study of the new treatment has been discontinued. In addition, we may compete with other gene therapy companies in our industry such as bluebird bio and Spark Therapeutics (which was acquired by Roche in the fourth quarter of 2019). In particular, a number of gene therapy companies have announced preclinical or clinical adeno-associated virus, or AAV, based gene therapy programs that, if such programs are successful in obtaining regulatory approval, could compete with our gene therapies. These include companies such as Abeona, Amicus, Freeline, JCR Pharmaceuticals, Sangamo and uniQure which have announced gene therapy programs for Fabry disease; Freeline and Prevail which have announced gene therapy programs for Gaucher disease; and Abeona, Actus, Amicus, Audentes (acquired by Astellas), Sarepta and Spark Therapeutics which have announced gene therapy programs for Pompe disease.</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7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beyond our existing product candidates for Fabry disease, cystinosis, Gaucher disease and Pompe disease.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our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ind w:right="240"/>
        <w:spacing w:after="0" w:line="263"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Accordingly, our focus on treating these diseases may not result in the development of commercially viable products.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have moved our cell processing to an automated, closed system with a single third-party supplier.</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 In 2019, we encountered delays in the enrollment of patients in the Company-sponsored Phase 1/2 clinical trial of AVR-RD-02 for Gaucher disease. While a number of interested patients had been identified for the Phase 1/2 clinical trial, we encountered patient pre-screening failures that impacted the commencement of enrollment in these studies. In 2020, a kidney biopsy was conducted on the third patient in the Phase 2 clinical trial of AVR-RD-01, but due to human error in processing the biopsy sample at the external laboratory vendor, the kidney Gb3 inclusions could not be evaluated and will not be available. Although our quality assurance personnel have worked closely with the external vendor to identify the cause of the vendor error and to identify additional protocols for implementation by the vendor that are designed to prevent similar errors in the future, there can be no assurances that such protocols will be successfully implemented by the vendor.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third-party manufacturers entails risks to which we would not be subject if we manufactured the product candidates ourselves, including:</w:t>
      </w:r>
    </w:p>
    <w:p>
      <w:pPr>
        <w:spacing w:after="0" w:line="129" w:lineRule="exact"/>
        <w:rPr>
          <w:sz w:val="20"/>
          <w:szCs w:val="20"/>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880" w:right="620" w:hanging="373"/>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impact of the ongoing COVID-19 pandemic or the bankruptcy of the manufacturer or supplier.</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right="140"/>
        <w:spacing w:after="0" w:line="277"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18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CGMP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2"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limited number of suppliers for some of our components and materials used in our product candidates.</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are required to switch to a replacement supplier or manufacture materials ourselves, the manufacture and delivery of our product candidates could be interrupted for an extended period, adversely affecting our business. Establishing additional or replacement suppliers may not be accomplished quickly, and we may not be able to enter agreements with replacement suppliers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If we are able to find a replacement supplier, the replacement supplier would need to be qualified and may require additional regulatory authority approval, which could result in further delay. For example, the FDA could require additional supplemental bridging data if we rely upon a new supplier. We may be unsuccessful in demonstrating the comparability of clinical supplies which could require the conduct of additional clinical trials.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5" w:name="page56"/>
    <w:bookmarkEnd w:id="55"/>
    <w:p>
      <w:pPr>
        <w:spacing w:after="0" w:line="311" w:lineRule="auto"/>
        <w:rPr>
          <w:sz w:val="20"/>
          <w:szCs w:val="20"/>
          <w:color w:val="auto"/>
        </w:rPr>
      </w:pPr>
      <w:r>
        <w:rPr>
          <w:rFonts w:ascii="Arial" w:cs="Arial" w:eastAsia="Arial" w:hAnsi="Arial"/>
          <w:sz w:val="16"/>
          <w:szCs w:val="16"/>
          <w:color w:val="auto"/>
        </w:rPr>
        <w:t>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62" w:lineRule="exact"/>
        <w:rPr>
          <w:sz w:val="20"/>
          <w:szCs w:val="20"/>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production, supply, shipment or delivery as a result of 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production delays related to the evaluation and testing of products from alternative suppliers, and corresponding regulatory qualifications;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increased cost of our warranty program due to product repair or replacement based upon defects in components produced by our suppliers; and</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9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our product candidates, we will be unable to generate any product revenue.</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in the preliminary stages of building our commercial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focus our research and product development on treatments for serious lysosomal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49"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 including any similar generic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efficacy and safety as demonstrated in pivotal clinical trials and published in peer-reviewed journals;</w:t>
      </w:r>
    </w:p>
    <w:p>
      <w:pPr>
        <w:spacing w:after="0" w:line="117" w:lineRule="exact"/>
        <w:rPr>
          <w:rFonts w:ascii="Arial" w:cs="Arial" w:eastAsia="Arial" w:hAnsi="Arial"/>
          <w:sz w:val="18"/>
          <w:szCs w:val="18"/>
          <w:color w:val="auto"/>
        </w:rPr>
      </w:pPr>
    </w:p>
    <w:p>
      <w:pPr>
        <w:ind w:left="880" w:right="460" w:hanging="373"/>
        <w:spacing w:after="0" w:line="308"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prevalence and severity of any adverse events or side effects, including any limitations or warnings contained in a product’s approved labeling or that are later found to be associated with a product, including in findings from long-term follow-up studies;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offer the products for sale at competitive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by the FDA or comparable regulatory agencies;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relative convenience and ease of dosing and administration compared to alternative treatments;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favorable third-party insurance coverage and sufficient reimbursement.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ind w:right="200"/>
        <w:spacing w:after="0" w:line="296" w:lineRule="auto"/>
        <w:rPr>
          <w:sz w:val="20"/>
          <w:szCs w:val="20"/>
          <w:color w:val="auto"/>
        </w:rPr>
      </w:pPr>
      <w:r>
        <w:rPr>
          <w:rFonts w:ascii="Arial" w:cs="Arial" w:eastAsia="Arial" w:hAnsi="Arial"/>
          <w:sz w:val="16"/>
          <w:szCs w:val="16"/>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currently conducting clinical trials for our product candidates in the United States, Canada and Australia, and plan to expand to other geographies including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79" w:lineRule="exact"/>
        <w:rPr>
          <w:sz w:val="20"/>
          <w:szCs w:val="20"/>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right="300" w:hanging="373"/>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are uncertain. Failure to obtain or maintain adequate coverage and reimbursement for any of our product candidates, if approved, could limit our ability to market those products and decrease our ability to generate revenue.</w:t>
      </w:r>
    </w:p>
    <w:p>
      <w:pPr>
        <w:spacing w:after="0" w:line="7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or their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ability to successfully commercialize our product candidates or any other products that we or they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and extent of reimbursement by governmental and private payors is essential for most patients to be able to afford treatments. Sales of our product candidates will depend substantially, both domestically and abroad, on the extent to which the costs of our product candidates will be paid by health maintenance, managed care, pharmacy benefit and similar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spacing w:after="0" w:line="257" w:lineRule="auto"/>
        <w:rPr>
          <w:sz w:val="20"/>
          <w:szCs w:val="20"/>
          <w:color w:val="auto"/>
        </w:rPr>
      </w:pPr>
      <w:r>
        <w:rPr>
          <w:rFonts w:ascii="Arial" w:cs="Arial" w:eastAsia="Arial" w:hAnsi="Arial"/>
          <w:sz w:val="18"/>
          <w:szCs w:val="18"/>
          <w:color w:val="auto"/>
        </w:rPr>
        <w:t>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CMS decides whether and to what extent a new medicine will be covered and reimbursed under Medicare. Private payors tend to follow CMS to a substantial degree. It is difficult to predict what CMS will decide with respect to reimbursement for fundamentally novel products such as ours, as there is no body of established practices and precedents for these new products. Patients who are provided medical treatment for their conditions generally rely on third-party payors to reimburse all or part of the costs associated with their treatment. Adequate coverage and reimbursement from governmental healthcare programs and commercial payors are critical to new product acceptance. 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77" w:lineRule="exact"/>
        <w:rPr>
          <w:sz w:val="20"/>
          <w:szCs w:val="20"/>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medications. 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and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Moreover, efforts by governmental and other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ind w:right="16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8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2010, the Patient Protection and Affordable Care Act, as amended by the Health Care and Education Reconciliation Act of 2010, or the ACA, was enacted, which, substantially changes the way healthcare is financed by both governmental and private insurers, and significantly impacts the U.S. pharmaceutical industry. The 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most manufacturers under the Medicaid Drug Rebate Program, increases the minimum Medicaid rebates owed by manufacturers under the Medicaid Drug Rebate Program, extends the Medicaid Drug Rebate program to utilization of prescriptions of individuals enrolled in Medicaid managed care organizations, subjects manufacturers to new annual fees and taxes for certain branded prescription drugs, creates a new Medicare Part D coverage gap discount program, in which manufacturers must agree to offer 50% (increased to 70% as of 2019 due to subsequent legislation) point-of-sale discounts off negotiated prices of applicable brand drugs to eligible beneficiaries during their coverage gap period, as a condition for the manufacturer’s outpatient drugs to be covered under Medicare Part D, and provides incentives to programs that increase the federal government’s comparative effectiveness research.</w:t>
      </w:r>
    </w:p>
    <w:p>
      <w:pPr>
        <w:spacing w:after="0" w:line="1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For example, various portions of the ACA are currently undergoing legal and constitutional challenges in the United States Supreme Court, and the Trump Administration has issued various Executive Orders that eliminated cost sharing subsidies and various provisions that would impose a fiscal burden on states or a cost, fee, tax, penalty or regulatory burden on individuals, healthcare providers, health insurers, or manufacturers of pharmaceuticals or medical devices. Additionally, Congress has introduced several pieces of legislation aimed at significantly revising or repealing the ACA. It is unclear whether the ACA will be overturned, repealed, replaced, or further amended. We cannot predict what affect further changes to the ACA would have on our business.</w:t>
      </w:r>
    </w:p>
    <w:p>
      <w:pPr>
        <w:spacing w:after="0" w:line="17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ind w:right="40"/>
        <w:spacing w:after="0" w:line="254" w:lineRule="auto"/>
        <w:rPr>
          <w:sz w:val="20"/>
          <w:szCs w:val="20"/>
          <w:color w:val="auto"/>
        </w:rPr>
      </w:pPr>
      <w:r>
        <w:rPr>
          <w:rFonts w:ascii="Arial" w:cs="Arial" w:eastAsia="Arial" w:hAnsi="Arial"/>
          <w:sz w:val="18"/>
          <w:szCs w:val="18"/>
          <w:color w:val="auto"/>
        </w:rPr>
        <w:t>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2030 unless additional Congressional action is taken; however, pursuant to the Coronavirus Aid, Relief, and Economic Security Act, also known as the CARES Act, these reductions will be suspended from May 1, 2020 through December 31, 2020 due to the COVID-19 pandemic.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budgets for fiscal year 2021 includes a $135 billion allowance (over a period of time) to support legislative proposals seeking to reduce drug prices, increase competition, lower out-of-pocket drug costs for patients, and increase patient access to lower-cost generic and biosimilar drugs.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On July 24, 2020, President Trump signed four Executive Orders aimed at lowering drug prices. The Executive Orders direct the Secretary of the U.S. Department of Health and Human Services, or HHS, to: (1) eliminate protection under an Anti-Kickback Statute safe harbor for certain retrospective price reductions provided by drug manufacturers to sponsors of Medicare Part D plans or pharmacy benefit managers that are not applied at the point-of-sale; (2) allow the importation of certain drugs from other countries through individual waivers, permit the re-importation of insulin products, and prioritize finalization of FDA’s December 2019 proposed rule to permit the importation of drugs from Canada; (3) ensure that payment by the Medicare program for certain Medicare Part B drugs is not higher than the payment by other comparable countries (depending on whether pharmaceutical manufacturers agree to other measures); and (4) allow certain low-income individuals receiving insulin and epinephrine purchased by a Federally Qualified Health Center (“FQHC”) as part of the 340B drug program to purchase those drugs at the discounted price paid by the FQHC. It is unclear if, when, and to what extent the Executive Orders and the Draft Guidance may be implemented. The regulatory and market implications of the Executive Orders and Draft Guidance are unknown at this time, but legislation, regulations or policies allowing the reimportation of drugs, if enacted and implemented, could decrease the price we receive for any products that we may develop and commercialize and could adversely affect our future revenues and prospects for profitability. Additionally, HHS, has already started the process of soliciting feedback on certain measures and, at the same time, is immediately implementing others under its existing authority. For example, in May 2019, CMS issued a final rule to allow Medicare Advantage Plans the option of using step therapy, a type of prior authorization, for Part B drugs beginning January 1, 2020. This final rule codified CMS’s policy change that was effective January 1, 2019. Although a number of these, and other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right="220"/>
        <w:spacing w:after="0" w:line="311"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agencies on which our operations may rely, including those that fund research and development activities, is subject to the political process, which is inherently fluid and unpredictable. Since March 2020, foreign and domestic inspections by the FDA have largely been on hold with the FDA announcing plans in July 2020 to resume prioritized domestic inspections.</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Additionally, as of June 23, 2020, the FDA noted it is continuing to ensure timely reviews of applications for medical products during the COVID-19 pandemic in line with its user fee performance goals; however, the FDA may not be able to continue its current pace and review timelines could be extended. If a prolonged government shutdown occurs, it could significantly impact the ability of the FDA to timely review and process our regulatory submissions, which could have a material adverse effect on our business. Further, future shutdowns of other government agencies, such as the SEC, may also impact our business through review of our public filings and our ability to access the public markets.</w:t>
      </w:r>
    </w:p>
    <w:p>
      <w:pPr>
        <w:spacing w:after="0" w:line="28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16"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4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myelodysplastic syndromes and deaths seen in other trials using other vectors. Adverse events in our clinical studies or discovered in long-term follow-up,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2" w:name="page63"/>
    <w:bookmarkEnd w:id="62"/>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highly dependent on principal members of our executive team and key employees, the loss of whose services may adversely impact the achievement of our 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expand our operations and we may experience difficulties in managing this growth, which could disrupt our operations.</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June 30, 2020, we had 121 full-time employees. As we mature, we expect to rapidly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3" w:name="page64"/>
    <w:bookmarkEnd w:id="63"/>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United States Foreign Corrupt Practices Act’s accounting provisions.</w:t>
      </w:r>
    </w:p>
    <w:p>
      <w:pPr>
        <w:spacing w:after="0" w:line="287"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84" w:lineRule="exact"/>
        <w:rPr>
          <w:sz w:val="20"/>
          <w:szCs w:val="20"/>
          <w:color w:val="auto"/>
        </w:rPr>
      </w:pPr>
    </w:p>
    <w:p>
      <w:pPr>
        <w:ind w:left="880" w:right="100" w:hanging="373"/>
        <w:spacing w:after="0" w:line="270"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including items or services resulting from a violation of the federal Anti-Kickback Statute constitutes a false or fraudulent claim for purposes of the False Claims Act, or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72" w:lineRule="exact"/>
        <w:rPr>
          <w:rFonts w:ascii="Arial" w:cs="Arial" w:eastAsia="Arial" w:hAnsi="Arial"/>
          <w:sz w:val="17"/>
          <w:szCs w:val="17"/>
          <w:color w:val="auto"/>
        </w:rPr>
      </w:pPr>
    </w:p>
    <w:p>
      <w:pPr>
        <w:ind w:left="880" w:right="80" w:hanging="373"/>
        <w:spacing w:after="0" w:line="271"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FCA,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70" w:lineRule="exact"/>
        <w:rPr>
          <w:rFonts w:ascii="Arial" w:cs="Arial" w:eastAsia="Arial" w:hAnsi="Arial"/>
          <w:sz w:val="17"/>
          <w:szCs w:val="17"/>
          <w:color w:val="auto"/>
        </w:rPr>
      </w:pPr>
    </w:p>
    <w:p>
      <w:pPr>
        <w:ind w:left="880" w:right="100" w:hanging="373"/>
        <w:spacing w:after="0" w:line="259"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8" w:lineRule="exact"/>
        <w:rPr>
          <w:rFonts w:ascii="Arial" w:cs="Arial" w:eastAsia="Arial" w:hAnsi="Arial"/>
          <w:sz w:val="18"/>
          <w:szCs w:val="18"/>
          <w:color w:val="auto"/>
        </w:rPr>
      </w:pPr>
    </w:p>
    <w:p>
      <w:pPr>
        <w:ind w:left="880" w:right="60" w:hanging="373"/>
        <w:spacing w:after="0" w:line="291"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ind w:left="880" w:right="120" w:hanging="373"/>
        <w:spacing w:after="0" w:line="279"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880" w:hanging="373"/>
        <w:spacing w:after="0" w:line="272"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(currently defined to include doctors, dentists, optometrists, podiatrists and chiropractors) and teaching hospitals, as well as ownership and investment interests held by the physicians described above and their immediate family members. Effective January 1, 2022, these reporting obligations will extend to include transfers of value made to certain non-physician providers such as physician assistants and nurse practitioners;</w:t>
      </w:r>
    </w:p>
    <w:p>
      <w:pPr>
        <w:spacing w:after="0" w:line="69" w:lineRule="exact"/>
        <w:rPr>
          <w:rFonts w:ascii="Arial" w:cs="Arial" w:eastAsia="Arial" w:hAnsi="Arial"/>
          <w:sz w:val="17"/>
          <w:szCs w:val="17"/>
          <w:color w:val="auto"/>
        </w:rPr>
      </w:pPr>
    </w:p>
    <w:p>
      <w:pPr>
        <w:ind w:left="880" w:right="120" w:hanging="373"/>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62"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180"/>
        <w:spacing w:after="0" w:line="286" w:lineRule="auto"/>
        <w:rPr>
          <w:sz w:val="20"/>
          <w:szCs w:val="20"/>
          <w:color w:val="auto"/>
        </w:rPr>
      </w:pPr>
      <w:r>
        <w:rPr>
          <w:rFonts w:ascii="Arial" w:cs="Arial" w:eastAsia="Arial" w:hAnsi="Arial"/>
          <w:sz w:val="17"/>
          <w:szCs w:val="17"/>
          <w:color w:val="auto"/>
        </w:rPr>
        <w:t>damages, reputational harm, diminished profits and future earnings, and curtailment of our operations, any of which could adversely affect our ability to operate our business and our results of operations. In addition, the approval and commercialization of any of our candidates outside the United States will also likely subject us to foreign equivalents of the healthcare laws mentioned above, among other foreign laws.</w:t>
      </w:r>
    </w:p>
    <w:p>
      <w:pPr>
        <w:spacing w:after="0" w:line="27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patients,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use, processing and cross-border transfer of personal information.</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currently plan to conduct clinical trials in the European Union, or EU, and as a result we expect to become subject to additional privacy restrictions. The collection and use of personal health data in the EU is governed by the provisions of the General Data Protection Regulation, or GDPR.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imposes strict rules on the transfer of personal data out of the European Union to the United States. Failure to comply with the requirements of the Data Protection Directive, the GDPR, and the related national data protection laws of the European Union Member States may result in fines and other administrative penalties. The GDPR introduces new data protection requirements in the European Union and substantial fines for breaches of the data protection rules. The GDPR regulations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293" w:lineRule="exact"/>
        <w:rPr>
          <w:sz w:val="20"/>
          <w:szCs w:val="20"/>
          <w:color w:val="auto"/>
        </w:rPr>
      </w:pPr>
    </w:p>
    <w:p>
      <w:pPr>
        <w:jc w:val="both"/>
        <w:ind w:right="560"/>
        <w:spacing w:after="0" w:line="340" w:lineRule="auto"/>
        <w:rPr>
          <w:sz w:val="20"/>
          <w:szCs w:val="20"/>
          <w:color w:val="auto"/>
        </w:rPr>
      </w:pPr>
      <w:r>
        <w:rPr>
          <w:rFonts w:ascii="Arial" w:cs="Arial" w:eastAsia="Arial" w:hAnsi="Arial"/>
          <w:sz w:val="15"/>
          <w:szCs w:val="15"/>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2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carry master product liability insurance of $5.0 million per occurrence and $5.0 million in the aggregate in the United States. For Canada, we carry product liability insurance of CAD $10.0 million in the aggregate. For Australia, we carry product liability insurance of AUD $20.0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9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The COVID-19 pandemic has caused extreme volatility and disruptions in the capital and credit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In addition, in February 2019, one of our vendors was subject to a cyberattack by a third party, which resulted in the payment by us of a fraudulent invoice. We have implemented remedial measures following this breach and do not believe that this breach had a material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business data,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could adversely affect our business and financial condition.</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December 31, 2019, we had federal and state net operating loss carryforwards of $121.8 million and $115.1 million, respectively, and federal and state research and development tax credit carryforwards of approximately $1.0 million and $0.2 million, respectively. If not utilized, the net operating loss carryforwards and research and development credits will generally expire at various dates through 2037 (other than federal net operating loss carryforwards generated in taxable years ending after December 31, 2017, which are not subject to expiration). These net operating loss and tax credit carryforwards could expire unused and be unavailable to offset future income tax liabilities. In addition, under Section 382 of the Internal Revenue Code,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reexamination proceedings before the U.S. Patent and Trademark Office, or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6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6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rights to develop and commercialize our product candidates are subject, in part, to the terms and conditions of licenses granted to us by others.</w:t>
      </w:r>
    </w:p>
    <w:p>
      <w:pPr>
        <w:spacing w:after="0" w:line="15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ind w:right="380"/>
        <w:spacing w:after="0" w:line="279" w:lineRule="auto"/>
        <w:rPr>
          <w:sz w:val="20"/>
          <w:szCs w:val="20"/>
          <w:color w:val="auto"/>
        </w:rPr>
      </w:pPr>
      <w:r>
        <w:rPr>
          <w:rFonts w:ascii="Arial" w:cs="Arial" w:eastAsia="Arial" w:hAnsi="Arial"/>
          <w:sz w:val="17"/>
          <w:szCs w:val="17"/>
          <w:color w:val="auto"/>
        </w:rPr>
        <w:t>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 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3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9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While we have in-licensed patents and patent applications relevant to AVR-RD-03,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spacing w:after="0" w:line="272" w:lineRule="auto"/>
        <w:rPr>
          <w:sz w:val="20"/>
          <w:szCs w:val="20"/>
          <w:color w:val="auto"/>
        </w:rPr>
      </w:pPr>
      <w:r>
        <w:rPr>
          <w:rFonts w:ascii="Arial" w:cs="Arial" w:eastAsia="Arial" w:hAnsi="Arial"/>
          <w:sz w:val="17"/>
          <w:szCs w:val="17"/>
          <w:color w:val="auto"/>
        </w:rPr>
        <w:t>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6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7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1" w:name="page72"/>
    <w:bookmarkEnd w:id="71"/>
    <w:p>
      <w:pPr>
        <w:ind w:right="220"/>
        <w:spacing w:after="0" w:line="277" w:lineRule="auto"/>
        <w:rPr>
          <w:sz w:val="20"/>
          <w:szCs w:val="20"/>
          <w:color w:val="auto"/>
        </w:rPr>
      </w:pPr>
      <w:r>
        <w:rPr>
          <w:rFonts w:ascii="Arial" w:cs="Arial" w:eastAsia="Arial" w:hAnsi="Arial"/>
          <w:sz w:val="18"/>
          <w:szCs w:val="18"/>
          <w:color w:val="auto"/>
        </w:rPr>
        <w:t>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7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the patents and other intellectual property that we own or license.</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5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Some of the intellectual property rights we have licensed, including rights licensed to us by GenStem, may have been generated through the use of U.S. government and California state funding and may therefore be subject to certain federal and state laws and regulations. For example, with respect to the AVR-RD-04 program for cystinosis, the NIH previously granted funding to UCSD for certain research in connection with the development of UCSD’s gene therapy program for cystinosis, which we have licensed from GenStem. As a result, the U.S. government may have certain rights to intellectual property embodied in our AVR-RD-04 program, or in other product candidates to the extent funded by the U.S. government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which has granted funds for the study of AVR-RD-04 for cystinosis,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 candidates.</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7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4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If we do not obtain patent term extension and data exclusivity for our product candidates, our business may be materially harmed.</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registered the mark “plato” with the USPTO and have pending trademark applications with the USPTO for the mark “AVROBIO” but do not have trademarks or trademark applications with the USPTO for the marks “AVRO” or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80" w:right="540" w:hanging="373"/>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62" w:lineRule="exact"/>
        <w:rPr>
          <w:rFonts w:ascii="Arial" w:cs="Arial" w:eastAsia="Arial" w:hAnsi="Arial"/>
          <w:sz w:val="18"/>
          <w:szCs w:val="18"/>
          <w:color w:val="auto"/>
        </w:rPr>
      </w:pPr>
    </w:p>
    <w:p>
      <w:pPr>
        <w:ind w:left="880" w:right="60" w:hanging="373"/>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62" w:lineRule="exact"/>
        <w:rPr>
          <w:rFonts w:ascii="Arial" w:cs="Arial" w:eastAsia="Arial" w:hAnsi="Arial"/>
          <w:sz w:val="18"/>
          <w:szCs w:val="18"/>
          <w:color w:val="auto"/>
        </w:rPr>
      </w:pPr>
    </w:p>
    <w:p>
      <w:pPr>
        <w:ind w:left="880" w:right="340" w:hanging="373"/>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it is possible that our pending licensed patent applications or those that we may own or license in the future will not lead to issued patents;</w:t>
      </w:r>
    </w:p>
    <w:p>
      <w:pPr>
        <w:spacing w:after="0" w:line="128" w:lineRule="exact"/>
        <w:rPr>
          <w:rFonts w:ascii="Arial" w:cs="Arial" w:eastAsia="Arial" w:hAnsi="Arial"/>
          <w:sz w:val="17"/>
          <w:szCs w:val="17"/>
          <w:color w:val="auto"/>
        </w:rPr>
      </w:pPr>
    </w:p>
    <w:p>
      <w:pPr>
        <w:ind w:left="880" w:right="440" w:hanging="373"/>
        <w:spacing w:after="0" w:line="27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17" w:lineRule="exact"/>
        <w:rPr>
          <w:rFonts w:ascii="Arial" w:cs="Arial" w:eastAsia="Arial" w:hAnsi="Arial"/>
          <w:sz w:val="18"/>
          <w:szCs w:val="18"/>
          <w:color w:val="auto"/>
        </w:rPr>
      </w:pPr>
    </w:p>
    <w:p>
      <w:pPr>
        <w:ind w:left="880" w:right="860" w:hanging="373"/>
        <w:spacing w:after="0" w:line="308" w:lineRule="auto"/>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880" w:hanging="373"/>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880" w:right="76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price at which you purchased our shares.</w:t>
      </w:r>
    </w:p>
    <w:p>
      <w:pPr>
        <w:spacing w:after="0" w:line="6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stock price is likely to be volatile. Since our initial public offering, or IPO, in June 2018, through July 31, 2020, the trading price of our common stock has ranged from $9.76 to $53.70.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price at which you purchased shares. The market price for our common stock may be influenced by many factors, including:</w:t>
      </w:r>
    </w:p>
    <w:p>
      <w:pPr>
        <w:spacing w:after="0" w:line="49" w:lineRule="exact"/>
        <w:rPr>
          <w:sz w:val="20"/>
          <w:szCs w:val="20"/>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17" w:lineRule="exact"/>
        <w:rPr>
          <w:rFonts w:ascii="Arial" w:cs="Arial" w:eastAsia="Arial" w:hAnsi="Arial"/>
          <w:sz w:val="18"/>
          <w:szCs w:val="18"/>
          <w:color w:val="auto"/>
        </w:rPr>
      </w:pPr>
    </w:p>
    <w:p>
      <w:pPr>
        <w:ind w:left="880" w:right="380" w:hanging="373"/>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62"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Prior to our IPO in June 2018,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purchased without depressing the market price for the shares, or at all.</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Based on shares outstanding as of July 31, 2020, our executive officers, directors, five percent stockholders and their affiliates beneficially owned approximately 28% of our voting stock. As a result, if these stockholders were to act together, they would be able to significantly influence all matters submitted to our stockholders for approval, as well as our management and affairs. For example, these stockholders, acting together, may be able to influence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w:t>
      </w:r>
    </w:p>
    <w:p>
      <w:pPr>
        <w:spacing w:after="0" w:line="30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in any given year. For so long as we remain an EGC, we are permitted and intend to rely on exemptions from certain disclosure requirements that are applicable to other public companies that are not emerging growth companies. These exemptions include:</w:t>
      </w:r>
    </w:p>
    <w:p>
      <w:pPr>
        <w:spacing w:after="0" w:line="69" w:lineRule="exact"/>
        <w:rPr>
          <w:sz w:val="20"/>
          <w:szCs w:val="20"/>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117" w:lineRule="exact"/>
        <w:rPr>
          <w:rFonts w:ascii="Arial" w:cs="Arial" w:eastAsia="Arial" w:hAnsi="Arial"/>
          <w:sz w:val="18"/>
          <w:szCs w:val="18"/>
          <w:color w:val="auto"/>
        </w:rPr>
      </w:pPr>
    </w:p>
    <w:p>
      <w:pPr>
        <w:ind w:left="880" w:right="560" w:hanging="373"/>
        <w:spacing w:after="0" w:line="263"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6" w:name="page77"/>
    <w:bookmarkEnd w:id="76"/>
    <w:p>
      <w:pPr>
        <w:ind w:left="880" w:right="220" w:hanging="373"/>
        <w:spacing w:after="0" w:line="342" w:lineRule="auto"/>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880" w:hanging="373"/>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report. In particular, we have not included in our Annual Report on Form 10-K for the year ended December 31, 2019 or in our 2020 annual proxy statement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is required to devote substantial time to new compliance initiatives.</w:t>
      </w:r>
    </w:p>
    <w:p>
      <w:pPr>
        <w:spacing w:after="0" w:line="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Moreover, these rules and regulations have increased our legal and financial compliance costs and will continue to make some activities more time-consuming and costly. For example, we expect that these rules and regulations may make it more difficult and increasingly more expensive for us to obtain and maintain director and officer liability insurance.</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and, once we are no longer an EGC or a “smaller reporting company”, we will be required to furnish an attestation report on internal control over financial reporting issued by our independent registered public accounting firm. To achieve compliance with Section 404, we continue to be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as required by Section 404. This could result in an adverse reaction in the financial markets due to a loss of confidence in the reliability of our financial statements.</w:t>
      </w:r>
    </w:p>
    <w:p>
      <w:pPr>
        <w:spacing w:after="0" w:line="28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7" w:name="page78"/>
    <w:bookmarkEnd w:id="77"/>
    <w:p>
      <w:pPr>
        <w:ind w:right="320"/>
        <w:spacing w:after="0" w:line="308" w:lineRule="auto"/>
        <w:rPr>
          <w:sz w:val="20"/>
          <w:szCs w:val="20"/>
          <w:color w:val="auto"/>
        </w:rPr>
      </w:pPr>
      <w:r>
        <w:rPr>
          <w:rFonts w:ascii="Arial" w:cs="Arial" w:eastAsia="Arial" w:hAnsi="Arial"/>
          <w:sz w:val="17"/>
          <w:szCs w:val="17"/>
          <w:color w:val="auto"/>
        </w:rPr>
        <w:t>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4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EGC or a “smaller reporting company”, our independent registered public accounting firm will not be required to attest to the effectiveness of our internal control over financial reporting pursuant to Section 404. We could be an EGC for up to five years following the completion of our IPO and will qualify as a “smaller reporting company” if the market value of our common stock held by non-affiliates is below $250 million (or $700 million if our annual revenue is less than $100 million) as of June 30 in any given year.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30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i w:val="1"/>
          <w:iCs w:val="1"/>
          <w:color w:val="auto"/>
        </w:rPr>
        <w:t>We and our independent registered public accounting firm have identified material weaknesses in our internal control over financial reporting. While we have taken numerous steps to address these material weaknesses and believe we have made progress toward remediating them,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8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our Annual Report on Form 10-K for the year ended December 31, 2018, we reported material weaknesses in our internal control over financial reporting related to deficiencies in our controls over the financial statement close process, including over complex accounting issues, expense classification and accrued research and development expenses, as well as the cash disbursement process. During 2019 and the first half of 2020, we took a number of actions, including the efforts outlined in Item 4 of this Quarterly Report on Form 10-Q, designed to improve our internal control over financial reporting to remediate these material weaknesses. We have continued to test these improvements through the first half of 2020.</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significant progress was made in 2019 and through the first half of 2020 to enhance and strengthen our internal control over financial reporting. However, while we believe our internal controls were properly designed and implemented as of December 31, 2019, they were not in all cases in place for a sufficient period of time to demonstrate operating effectiveness as of December 31, 2019. As a result, management concluded that the material weaknesses were not fully remediated as of December 31, 2019 or June 30, 2020.</w:t>
      </w:r>
    </w:p>
    <w:p>
      <w:pPr>
        <w:spacing w:after="0" w:line="18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expect to continue our efforts to improve our control processes, though there can be no assurance that our efforts will ultimately be successful or avoid potential future material weaknesses, and we expect to continue incurring additional costs as a result of these efforts. Management remains committed to the implementation of remediation efforts to address these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As of July 31, 2020, holders of an aggregate of approximately 4.5 million shares of our common stock will have rights, subject to certain conditions, to require us to file registration statements covering their shares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ind w:right="240"/>
        <w:spacing w:after="0" w:line="279" w:lineRule="auto"/>
        <w:rPr>
          <w:sz w:val="20"/>
          <w:szCs w:val="20"/>
          <w:color w:val="auto"/>
        </w:rPr>
      </w:pPr>
      <w:r>
        <w:rPr>
          <w:rFonts w:ascii="Arial" w:cs="Arial" w:eastAsia="Arial" w:hAnsi="Arial"/>
          <w:sz w:val="17"/>
          <w:szCs w:val="17"/>
          <w:color w:val="auto"/>
        </w:rPr>
        <w:t>to include their shares in registration statements that we may file for ourselves or other stockholders. In addition, 5,586,794 shares reserved for issuance upon the exercise of existing stock options outstanding as of June 30, 2020 under our equity incentive plans will become eligible for sale in the public market in the future. We have registered all shares of common stock that we may issue under our equity compensation plans, which can be freely sold in the public market upon issuance, subject to volume limitations applicable to affiliates.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284"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76" w:lineRule="exact"/>
        <w:rPr>
          <w:sz w:val="20"/>
          <w:szCs w:val="20"/>
          <w:color w:val="auto"/>
        </w:rPr>
      </w:pPr>
    </w:p>
    <w:p>
      <w:pPr>
        <w:ind w:left="880" w:right="20" w:hanging="373"/>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880" w:right="640" w:hanging="373"/>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880" w:hanging="373"/>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 require supermajority votes of the holders of our common stock to amend specified provisions of our amended and restated certificate of incorporation and amended and restated by-laws.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our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9" w:name="page80"/>
    <w:bookmarkEnd w:id="79"/>
    <w:p>
      <w:pPr>
        <w:spacing w:after="0" w:line="290" w:lineRule="auto"/>
        <w:rPr>
          <w:sz w:val="20"/>
          <w:szCs w:val="20"/>
          <w:color w:val="auto"/>
        </w:rPr>
      </w:pPr>
      <w:r>
        <w:rPr>
          <w:rFonts w:ascii="Arial" w:cs="Arial" w:eastAsia="Arial" w:hAnsi="Arial"/>
          <w:sz w:val="16"/>
          <w:szCs w:val="16"/>
          <w:color w:val="auto"/>
        </w:rPr>
        <w:t>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Cambridge,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recognize that 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jc w:val="right"/>
              <w:ind w:right="408"/>
              <w:spacing w:after="0"/>
              <w:rPr>
                <w:sz w:val="20"/>
                <w:szCs w:val="20"/>
                <w:color w:val="auto"/>
              </w:rPr>
            </w:pPr>
            <w:r>
              <w:rPr>
                <w:rFonts w:ascii="Arial" w:cs="Arial" w:eastAsia="Arial" w:hAnsi="Arial"/>
                <w:sz w:val="18"/>
                <w:szCs w:val="18"/>
                <w:b w:val="1"/>
                <w:bCs w:val="1"/>
                <w:color w:val="auto"/>
                <w:w w:val="91"/>
              </w:rPr>
              <w:t>Item 6.</w:t>
            </w:r>
          </w:p>
        </w:tc>
        <w:tc>
          <w:tcPr>
            <w:tcW w:w="10120" w:type="dxa"/>
            <w:vAlign w:val="bottom"/>
            <w:gridSpan w:val="13"/>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12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gridSpan w:val="8"/>
            <w:vMerge w:val="restart"/>
          </w:tcPr>
          <w:p>
            <w:pPr>
              <w:ind w:left="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9900" w:type="dxa"/>
            <w:vAlign w:val="bottom"/>
            <w:tcBorders>
              <w:bottom w:val="single" w:sz="8" w:color="0000EE"/>
            </w:tcBorders>
            <w:gridSpan w:val="11"/>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Fourth Amended and Restated Certificate of Incorporation of the Registrant (filed as Exhibit 3.1 to our Current Report on Form 8-K filed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on June 25, 2018 and incorporated herein by reference).</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9800" w:type="dxa"/>
            <w:vAlign w:val="bottom"/>
            <w:tcBorders>
              <w:bottom w:val="single" w:sz="8" w:color="0000EE"/>
            </w:tcBorders>
            <w:gridSpan w:val="9"/>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Amended and Restated By-laws (filed as Exhibit 3.2 to our Current Report on Form 8-K filed on June 25, 2018 and incorporated herein</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by reference).</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9860" w:type="dxa"/>
            <w:vAlign w:val="bottom"/>
            <w:tcBorders>
              <w:bottom w:val="single" w:sz="8" w:color="0000EE"/>
            </w:tcBorders>
            <w:gridSpan w:val="10"/>
          </w:tcPr>
          <w:p>
            <w:pPr>
              <w:spacing w:after="0"/>
              <w:rPr>
                <w:rFonts w:ascii="Arial" w:cs="Arial" w:eastAsia="Arial" w:hAnsi="Arial"/>
                <w:sz w:val="18"/>
                <w:szCs w:val="18"/>
                <w:color w:val="0000EE"/>
                <w:w w:val="92"/>
              </w:rPr>
            </w:pPr>
            <w:hyperlink r:id="rId115">
              <w:r>
                <w:rPr>
                  <w:rFonts w:ascii="Arial" w:cs="Arial" w:eastAsia="Arial" w:hAnsi="Arial"/>
                  <w:sz w:val="18"/>
                  <w:szCs w:val="18"/>
                  <w:color w:val="0000EE"/>
                  <w:w w:val="92"/>
                </w:rPr>
                <w:t>First Amendment to the AVROBIO, Inc. 2018 Stock Option and Incentive Plan (filed as Exhibit 10.1 to our Current Report on Form 8-K</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filed on June 9, 2020 and incorporated herein by reference).</w:t>
              </w:r>
            </w:hyperlink>
          </w:p>
        </w:tc>
        <w:tc>
          <w:tcPr>
            <w:tcW w:w="56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gridSpan w:val="2"/>
          </w:tcPr>
          <w:p>
            <w:pPr>
              <w:jc w:val="right"/>
              <w:ind w:right="328"/>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9940" w:type="dxa"/>
            <w:vAlign w:val="bottom"/>
            <w:gridSpan w:val="12"/>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Separation Agreement and Release, by and between the Registrant and Birgitte Volck, M.D., Ph.D., dated July 16, 2020.</w:t>
              </w:r>
            </w:hyperlink>
          </w:p>
        </w:tc>
        <w:tc>
          <w:tcPr>
            <w:tcW w:w="0" w:type="dxa"/>
            <w:vAlign w:val="bottom"/>
          </w:tcPr>
          <w:p>
            <w:pPr>
              <w:spacing w:after="0"/>
              <w:rPr>
                <w:sz w:val="1"/>
                <w:szCs w:val="1"/>
                <w:color w:val="auto"/>
              </w:rPr>
            </w:pPr>
          </w:p>
        </w:tc>
      </w:tr>
      <w:tr>
        <w:trPr>
          <w:trHeight w:val="297"/>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96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9940" w:type="dxa"/>
            <w:vAlign w:val="bottom"/>
            <w:gridSpan w:val="12"/>
          </w:tcPr>
          <w:p>
            <w:pPr>
              <w:spacing w:after="0"/>
              <w:rPr>
                <w:rFonts w:ascii="Arial" w:cs="Arial" w:eastAsia="Arial" w:hAnsi="Arial"/>
                <w:sz w:val="18"/>
                <w:szCs w:val="18"/>
                <w:color w:val="0000EE"/>
                <w:w w:val="94"/>
              </w:rPr>
            </w:pPr>
            <w:hyperlink w:anchor="page93">
              <w:r>
                <w:rPr>
                  <w:rFonts w:ascii="Arial" w:cs="Arial" w:eastAsia="Arial" w:hAnsi="Arial"/>
                  <w:sz w:val="18"/>
                  <w:szCs w:val="18"/>
                  <w:color w:val="0000EE"/>
                  <w:w w:val="94"/>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Adopted Pursuant to Section 302 of the Sarbanes-Oxley Act of 2002.</w:t>
              </w:r>
            </w:hyperlink>
          </w:p>
        </w:tc>
        <w:tc>
          <w:tcPr>
            <w:tcW w:w="3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jc w:val="right"/>
              <w:ind w:right="328"/>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9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35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34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6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7"/>
        </w:trPr>
        <w:tc>
          <w:tcPr>
            <w:tcW w:w="102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00" w:right="480" w:hanging="1077"/>
        <w:spacing w:after="0" w:line="277" w:lineRule="auto"/>
        <w:tabs>
          <w:tab w:leader="none" w:pos="1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the exhibit is being furnished, not filed, with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6769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30" w:lineRule="exact"/>
        <w:rPr>
          <w:sz w:val="20"/>
          <w:szCs w:val="20"/>
          <w:color w:val="auto"/>
        </w:rPr>
      </w:pPr>
    </w:p>
    <w:p>
      <w:pPr>
        <w:ind w:left="5540" w:right="4760" w:hanging="5532"/>
        <w:spacing w:after="0" w:line="641" w:lineRule="auto"/>
        <w:tabs>
          <w:tab w:leader="none" w:pos="257"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81" w:name="page82"/>
    <w:bookmarkEnd w:id="8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7"/>
          <w:szCs w:val="17"/>
          <w:b w:val="1"/>
          <w:bCs w:val="1"/>
          <w:color w:val="auto"/>
        </w:rPr>
        <w:t>President, Chief Executive Officer, and Principal Executive Officer</w:t>
      </w:r>
    </w:p>
    <w:p>
      <w:pPr>
        <w:spacing w:after="0" w:line="222"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23"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Chief Financial Officer and 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80"/>
          </w:cols>
          <w:pgMar w:left="320" w:top="337" w:right="39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10.2</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July 16, 2020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Dr. Birgitte Volck</w:t>
      </w:r>
    </w:p>
    <w:p>
      <w:pPr>
        <w:spacing w:after="0" w:line="238" w:lineRule="auto"/>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Transitional Services and Separation Agreement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Dear Birgitte:</w:t>
      </w:r>
    </w:p>
    <w:p>
      <w:pPr>
        <w:spacing w:after="0" w:line="206"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This letter agreement follows our conversations regarding your employment with AVROBIO, Inc.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This confirms that you will be transitioning from your employment. We appreciate your contributions and would like to work with you to make this transition as smooth as possible. Consistent with that, the Company is offering you an opportunity continue your at-will employment during a transition period and then receive the severance pay and benefits provided in your Employment Agreement with the Company dated as of </w:t>
      </w:r>
      <w:r>
        <w:rPr>
          <w:rFonts w:ascii="Arial" w:cs="Arial" w:eastAsia="Arial" w:hAnsi="Arial"/>
          <w:sz w:val="19"/>
          <w:szCs w:val="19"/>
          <w:color w:val="auto"/>
        </w:rPr>
        <w:t>December 17, 2018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w:t>
      </w:r>
      <w:r>
        <w:rPr>
          <w:rFonts w:ascii="Arial" w:cs="Arial" w:eastAsia="Arial" w:hAnsi="Arial"/>
          <w:sz w:val="21"/>
          <w:szCs w:val="21"/>
          <w:color w:val="auto"/>
        </w:rPr>
        <w:t xml:space="preserve"> This is the “Separation Agreement and Release” referred to in the Employment Agreement.</w:t>
      </w:r>
    </w:p>
    <w:p>
      <w:pPr>
        <w:spacing w:after="0" w:line="177" w:lineRule="exact"/>
        <w:rPr>
          <w:sz w:val="20"/>
          <w:szCs w:val="20"/>
          <w:color w:val="auto"/>
        </w:rPr>
      </w:pPr>
    </w:p>
    <w:p>
      <w:pPr>
        <w:ind w:left="880" w:right="20" w:hanging="440"/>
        <w:spacing w:after="0" w:line="277" w:lineRule="auto"/>
        <w:tabs>
          <w:tab w:leader="none" w:pos="8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As provided in the Employment Agreement, the Company shall pay you your Accrued Benefit, i.e.: (i) any base salary earned through the Separation Date (as defined below), unpaid expense reimbursements (subject to, and in accordance with, Sections 2(c) and 2(d) of the Employment Agreement) and unused vacation (which, to avoid doubt, equals 25 days of vacation, minus any approved vacation that you use during the Transition Period), in each case on or before the time required by law but in no event more than 30 days after the Separation Date; and (ii) any vested benefits you may have under any employee benefit plan of the Company through the Separation Date, which vested benefits shall be paid and/or provided in accordance with the terms of such employee benefit plans.</w:t>
      </w:r>
    </w:p>
    <w:p>
      <w:pPr>
        <w:spacing w:after="0" w:line="151" w:lineRule="exact"/>
        <w:rPr>
          <w:rFonts w:ascii="Arial" w:cs="Arial" w:eastAsia="Arial" w:hAnsi="Arial"/>
          <w:sz w:val="19"/>
          <w:szCs w:val="19"/>
          <w:color w:val="auto"/>
        </w:rPr>
      </w:pPr>
    </w:p>
    <w:p>
      <w:pPr>
        <w:ind w:left="880" w:right="40" w:hanging="440"/>
        <w:spacing w:after="0" w:line="238" w:lineRule="auto"/>
        <w:tabs>
          <w:tab w:leader="none" w:pos="8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You are subject to continuing obligations under your AVROBIO, Inc. Employee Confidentiality, Assignment and Noncompetition Agreement dated December 17, 2018 (the “</w:t>
      </w:r>
      <w:r>
        <w:rPr>
          <w:rFonts w:ascii="Arial" w:cs="Arial" w:eastAsia="Arial" w:hAnsi="Arial"/>
          <w:sz w:val="22"/>
          <w:szCs w:val="22"/>
          <w:u w:val="single" w:color="auto"/>
          <w:color w:val="auto"/>
        </w:rPr>
        <w:t>Restrictive Covenants Agreement</w:t>
      </w:r>
      <w:r>
        <w:rPr>
          <w:rFonts w:ascii="Arial" w:cs="Arial" w:eastAsia="Arial" w:hAnsi="Arial"/>
          <w:sz w:val="22"/>
          <w:szCs w:val="22"/>
          <w:color w:val="auto"/>
        </w:rPr>
        <w:t>”) and Sections 7 and 8 of the Employment Agreement (along with any other confidentiality and restrictive covenant obligation you have to the Company, the “</w:t>
      </w:r>
      <w:r>
        <w:rPr>
          <w:rFonts w:ascii="Arial" w:cs="Arial" w:eastAsia="Arial" w:hAnsi="Arial"/>
          <w:sz w:val="22"/>
          <w:szCs w:val="22"/>
          <w:u w:val="single" w:color="auto"/>
          <w:color w:val="auto"/>
        </w:rPr>
        <w:t>Continuing Obligations</w:t>
      </w:r>
      <w:r>
        <w:rPr>
          <w:rFonts w:ascii="Arial" w:cs="Arial" w:eastAsia="Arial" w:hAnsi="Arial"/>
          <w:sz w:val="22"/>
          <w:szCs w:val="22"/>
          <w:color w:val="auto"/>
        </w:rPr>
        <w:t>”).</w:t>
      </w:r>
    </w:p>
    <w:p>
      <w:pPr>
        <w:spacing w:after="0" w:line="185"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The remainder of this letter proposes an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between you and the Company. You and the Company agree as follows:</w:t>
      </w:r>
    </w:p>
    <w:p>
      <w:pPr>
        <w:spacing w:after="0" w:line="169" w:lineRule="exact"/>
        <w:rPr>
          <w:sz w:val="20"/>
          <w:szCs w:val="20"/>
          <w:color w:val="auto"/>
        </w:rPr>
      </w:pPr>
    </w:p>
    <w:p>
      <w:pPr>
        <w:ind w:left="860" w:hanging="852"/>
        <w:spacing w:after="0"/>
        <w:tabs>
          <w:tab w:leader="none" w:pos="8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Separation Date; Transition Period</w:t>
      </w:r>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If you enter into and comply with this Agreement you will continue to be employed until November 15, 2020 unless you resign, whether to begin alternative employment or otherwise, or you are terminated for Cause (as defined in your Employment Agreement) prior to that date. Your last day of employment, whether it is November 15, 2020 or an earlier date, shall be referred to as the “</w:t>
      </w:r>
      <w:r>
        <w:rPr>
          <w:rFonts w:ascii="Arial" w:cs="Arial" w:eastAsia="Arial" w:hAnsi="Arial"/>
          <w:sz w:val="22"/>
          <w:szCs w:val="22"/>
          <w:u w:val="single" w:color="auto"/>
          <w:color w:val="auto"/>
        </w:rPr>
        <w:t>Separation Date</w:t>
      </w:r>
      <w:r>
        <w:rPr>
          <w:rFonts w:ascii="Arial" w:cs="Arial" w:eastAsia="Arial" w:hAnsi="Arial"/>
          <w:sz w:val="22"/>
          <w:szCs w:val="22"/>
          <w:color w:val="auto"/>
        </w:rPr>
        <w:t>.” The time period between the date of this letter and the Separation Date shall be referred to as the “</w:t>
      </w:r>
      <w:r>
        <w:rPr>
          <w:rFonts w:ascii="Arial" w:cs="Arial" w:eastAsia="Arial" w:hAnsi="Arial"/>
          <w:sz w:val="22"/>
          <w:szCs w:val="22"/>
          <w:u w:val="single" w:color="auto"/>
          <w:color w:val="auto"/>
        </w:rPr>
        <w:t>Transition Period</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22"/>
          <w:szCs w:val="22"/>
          <w:color w:val="auto"/>
        </w:rPr>
        <w:t>Page 2</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During the Transition Period until September 30, 2020, you will (i) continue to provide your existing services to the Company;</w:t>
      </w:r>
    </w:p>
    <w:p>
      <w:pPr>
        <w:spacing w:after="0" w:line="43" w:lineRule="exact"/>
        <w:rPr>
          <w:sz w:val="20"/>
          <w:szCs w:val="20"/>
          <w:color w:val="auto"/>
        </w:rPr>
      </w:pPr>
    </w:p>
    <w:p>
      <w:pPr>
        <w:ind w:firstLine="8"/>
        <w:spacing w:after="0" w:line="287" w:lineRule="auto"/>
        <w:tabs>
          <w:tab w:leader="none" w:pos="318" w:val="left"/>
        </w:tabs>
        <w:numPr>
          <w:ilvl w:val="0"/>
          <w:numId w:val="54"/>
        </w:numPr>
        <w:rPr>
          <w:rFonts w:ascii="Arial" w:cs="Arial" w:eastAsia="Arial" w:hAnsi="Arial"/>
          <w:sz w:val="19"/>
          <w:szCs w:val="19"/>
          <w:color w:val="auto"/>
        </w:rPr>
      </w:pPr>
      <w:r>
        <w:rPr>
          <w:rFonts w:ascii="Arial" w:cs="Arial" w:eastAsia="Arial" w:hAnsi="Arial"/>
          <w:sz w:val="19"/>
          <w:szCs w:val="19"/>
          <w:color w:val="auto"/>
        </w:rPr>
        <w:t>assist in the transition of your responsibilities and (iii) provide such other services as the Chief Executive Officer (the “</w:t>
      </w:r>
      <w:r>
        <w:rPr>
          <w:rFonts w:ascii="Arial" w:cs="Arial" w:eastAsia="Arial" w:hAnsi="Arial"/>
          <w:sz w:val="19"/>
          <w:szCs w:val="19"/>
          <w:u w:val="single" w:color="auto"/>
          <w:color w:val="auto"/>
        </w:rPr>
        <w:t>CEO</w:t>
      </w:r>
      <w:r>
        <w:rPr>
          <w:rFonts w:ascii="Arial" w:cs="Arial" w:eastAsia="Arial" w:hAnsi="Arial"/>
          <w:sz w:val="19"/>
          <w:szCs w:val="19"/>
          <w:color w:val="auto"/>
        </w:rPr>
        <w:t>”) or the CEO’s designee reasonably requests. Between October 1 and November 15, 2020, your only responsibility will be to provide services as may be requested from time to time by the Company’s CEO, to whom you will report.</w:t>
      </w:r>
    </w:p>
    <w:p>
      <w:pPr>
        <w:spacing w:after="0" w:line="143" w:lineRule="exact"/>
        <w:rPr>
          <w:sz w:val="20"/>
          <w:szCs w:val="20"/>
          <w:color w:val="auto"/>
        </w:rPr>
      </w:pPr>
    </w:p>
    <w:p>
      <w:pPr>
        <w:ind w:right="80"/>
        <w:spacing w:after="0" w:line="257" w:lineRule="auto"/>
        <w:rPr>
          <w:sz w:val="20"/>
          <w:szCs w:val="20"/>
          <w:color w:val="auto"/>
        </w:rPr>
      </w:pPr>
      <w:r>
        <w:rPr>
          <w:rFonts w:ascii="Arial" w:cs="Arial" w:eastAsia="Arial" w:hAnsi="Arial"/>
          <w:sz w:val="21"/>
          <w:szCs w:val="21"/>
          <w:color w:val="auto"/>
        </w:rPr>
        <w:t>You shall continue to receive your current salary and benefits as a regular employee during the Transition Period. Your unvested stock options shall continue to vest in accordance with the Equity Documents (as defined below) during the Transition Period. Your benefits will cease on the Separation Date, except as expressly provided in Section 2.</w:t>
      </w:r>
    </w:p>
    <w:p>
      <w:pPr>
        <w:spacing w:after="0" w:line="169"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You acknowledge and agree that this Agreement constitutes proper notice of your termination under Section 3(f) of the Employment Agreement and that the Separation Date is the “Date of Termination” under the Employment Agreement. You hereby agree to resign, effective as of the earlier of the Separation Date or September 30, 2020, from all other positions you occupy at the Company (including as President, Research and Development and as an executive officer of the Company), and agree to effectuate any documentation requested by the Company, in its reasonable good faith, to effectuate such resignation(s).</w:t>
      </w:r>
    </w:p>
    <w:p>
      <w:pPr>
        <w:spacing w:after="0" w:line="141" w:lineRule="exact"/>
        <w:rPr>
          <w:sz w:val="20"/>
          <w:szCs w:val="20"/>
          <w:color w:val="auto"/>
        </w:rPr>
      </w:pPr>
    </w:p>
    <w:p>
      <w:pPr>
        <w:ind w:left="860" w:hanging="852"/>
        <w:spacing w:after="0"/>
        <w:tabs>
          <w:tab w:leader="none" w:pos="8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Provided you (i) are not terminated by the Company for Cause (as defined in your Employment Agreement) and do not resign without Good Reason (as defined in your Employment Agreement) during the Transition Period and (ii) reaffirm the terms of this Agreement, including the release of claims, so that the release covers the period between the date of this Agreement and the Separation Date by signing and returning the Certificate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after the Separation Date but no later than seven days after the Separation Date, you will be entitled to the following, as provided in Section 4(b) of the Employment Agreement:</w:t>
      </w:r>
    </w:p>
    <w:p>
      <w:pPr>
        <w:spacing w:after="0" w:line="188" w:lineRule="exact"/>
        <w:rPr>
          <w:sz w:val="20"/>
          <w:szCs w:val="20"/>
          <w:color w:val="auto"/>
        </w:rPr>
      </w:pPr>
    </w:p>
    <w:p>
      <w:pPr>
        <w:ind w:right="80" w:firstLine="8"/>
        <w:spacing w:after="0"/>
        <w:tabs>
          <w:tab w:leader="none" w:pos="900" w:val="left"/>
        </w:tabs>
        <w:numPr>
          <w:ilvl w:val="0"/>
          <w:numId w:val="56"/>
        </w:numPr>
        <w:rPr>
          <w:rFonts w:ascii="Arial" w:cs="Arial" w:eastAsia="Arial" w:hAnsi="Arial"/>
          <w:sz w:val="22"/>
          <w:szCs w:val="22"/>
          <w:b w:val="1"/>
          <w:bCs w:val="1"/>
          <w:color w:val="auto"/>
        </w:rPr>
      </w:pPr>
      <w:r>
        <w:rPr>
          <w:rFonts w:ascii="Arial" w:cs="Arial" w:eastAsia="Arial" w:hAnsi="Arial"/>
          <w:sz w:val="22"/>
          <w:szCs w:val="22"/>
          <w:u w:val="single" w:color="auto"/>
          <w:color w:val="auto"/>
        </w:rPr>
        <w:t>Severance Pay</w:t>
      </w:r>
      <w:r>
        <w:rPr>
          <w:rFonts w:ascii="Arial" w:cs="Arial" w:eastAsia="Arial" w:hAnsi="Arial"/>
          <w:sz w:val="22"/>
          <w:szCs w:val="22"/>
          <w:color w:val="auto"/>
        </w:rPr>
        <w:t>. The Company shall pay you severance pay consisting of nine (9) months of your final base salary rate (the “</w:t>
      </w:r>
      <w:r>
        <w:rPr>
          <w:rFonts w:ascii="Arial" w:cs="Arial" w:eastAsia="Arial" w:hAnsi="Arial"/>
          <w:sz w:val="22"/>
          <w:szCs w:val="22"/>
          <w:u w:val="single" w:color="auto"/>
          <w:color w:val="auto"/>
        </w:rPr>
        <w:t>Severance Pay</w:t>
      </w:r>
      <w:r>
        <w:rPr>
          <w:rFonts w:ascii="Arial" w:cs="Arial" w:eastAsia="Arial" w:hAnsi="Arial"/>
          <w:sz w:val="22"/>
          <w:szCs w:val="22"/>
          <w:color w:val="auto"/>
        </w:rPr>
        <w:t>”). The Company shall pay you Severance Pay in a single lump sum payment during the first two weeks of January,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Page 3</w:t>
      </w:r>
    </w:p>
    <w:p>
      <w:pPr>
        <w:spacing w:after="0" w:line="206" w:lineRule="exact"/>
        <w:rPr>
          <w:sz w:val="20"/>
          <w:szCs w:val="20"/>
          <w:color w:val="auto"/>
        </w:rPr>
      </w:pPr>
    </w:p>
    <w:p>
      <w:pPr>
        <w:ind w:left="920" w:hanging="912"/>
        <w:spacing w:after="0"/>
        <w:tabs>
          <w:tab w:leader="none" w:pos="920" w:val="left"/>
        </w:tabs>
        <w:numPr>
          <w:ilvl w:val="0"/>
          <w:numId w:val="57"/>
        </w:numPr>
        <w:rPr>
          <w:rFonts w:ascii="Arial" w:cs="Arial" w:eastAsia="Arial" w:hAnsi="Arial"/>
          <w:sz w:val="22"/>
          <w:szCs w:val="22"/>
          <w:b w:val="1"/>
          <w:bCs w:val="1"/>
          <w:color w:val="auto"/>
        </w:rPr>
      </w:pPr>
      <w:r>
        <w:rPr>
          <w:rFonts w:ascii="Arial" w:cs="Arial" w:eastAsia="Arial" w:hAnsi="Arial"/>
          <w:sz w:val="22"/>
          <w:szCs w:val="22"/>
          <w:u w:val="single" w:color="auto"/>
          <w:color w:val="auto"/>
        </w:rPr>
        <w:t>Equity Acceleration; Extension of Exercise Period</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880" w:firstLine="391"/>
        <w:spacing w:after="0" w:line="245" w:lineRule="auto"/>
        <w:tabs>
          <w:tab w:leader="none" w:pos="2131" w:val="left"/>
        </w:tabs>
        <w:numPr>
          <w:ilvl w:val="2"/>
          <w:numId w:val="57"/>
        </w:numPr>
        <w:rPr>
          <w:rFonts w:ascii="Arial" w:cs="Arial" w:eastAsia="Arial" w:hAnsi="Arial"/>
          <w:sz w:val="21"/>
          <w:szCs w:val="21"/>
          <w:color w:val="auto"/>
        </w:rPr>
      </w:pPr>
      <w:r>
        <w:rPr>
          <w:rFonts w:ascii="Arial" w:cs="Arial" w:eastAsia="Arial" w:hAnsi="Arial"/>
          <w:sz w:val="21"/>
          <w:szCs w:val="21"/>
          <w:color w:val="auto"/>
        </w:rPr>
        <w:t>On December 17, 2018, you were granted an option to purchase 293,000 shares of the Company’s common stock subject to applicable NASDAQ rules, with reference to the Company’s equity plan and the applicable stock option agreement (such rules and agreements collectively, the “</w:t>
      </w:r>
      <w:r>
        <w:rPr>
          <w:rFonts w:ascii="Arial" w:cs="Arial" w:eastAsia="Arial" w:hAnsi="Arial"/>
          <w:sz w:val="21"/>
          <w:szCs w:val="21"/>
          <w:u w:val="single" w:color="auto"/>
          <w:color w:val="auto"/>
        </w:rPr>
        <w:t>Equity Documents</w:t>
      </w:r>
      <w:r>
        <w:rPr>
          <w:rFonts w:ascii="Arial" w:cs="Arial" w:eastAsia="Arial" w:hAnsi="Arial"/>
          <w:sz w:val="21"/>
          <w:szCs w:val="21"/>
          <w:color w:val="auto"/>
        </w:rPr>
        <w:t>”) (the “</w:t>
      </w:r>
      <w:r>
        <w:rPr>
          <w:rFonts w:ascii="Arial" w:cs="Arial" w:eastAsia="Arial" w:hAnsi="Arial"/>
          <w:sz w:val="21"/>
          <w:szCs w:val="21"/>
          <w:u w:val="single" w:color="auto"/>
          <w:color w:val="auto"/>
        </w:rPr>
        <w:t>First Grant</w:t>
      </w:r>
      <w:r>
        <w:rPr>
          <w:rFonts w:ascii="Arial" w:cs="Arial" w:eastAsia="Arial" w:hAnsi="Arial"/>
          <w:sz w:val="21"/>
          <w:szCs w:val="21"/>
          <w:color w:val="auto"/>
        </w:rPr>
        <w:t>”). On March 4, 2020, you were granted another option to purchase 76,000 shares of the Company’s common stock, subject to the applicable Equity Documents (the “</w:t>
      </w:r>
      <w:r>
        <w:rPr>
          <w:rFonts w:ascii="Arial" w:cs="Arial" w:eastAsia="Arial" w:hAnsi="Arial"/>
          <w:sz w:val="21"/>
          <w:szCs w:val="21"/>
          <w:u w:val="single" w:color="auto"/>
          <w:color w:val="auto"/>
        </w:rPr>
        <w:t>Second Grant</w:t>
      </w:r>
      <w:r>
        <w:rPr>
          <w:rFonts w:ascii="Arial" w:cs="Arial" w:eastAsia="Arial" w:hAnsi="Arial"/>
          <w:sz w:val="21"/>
          <w:szCs w:val="21"/>
          <w:color w:val="auto"/>
        </w:rPr>
        <w:t>”) (collectively, the “</w:t>
      </w:r>
      <w:r>
        <w:rPr>
          <w:rFonts w:ascii="Arial" w:cs="Arial" w:eastAsia="Arial" w:hAnsi="Arial"/>
          <w:sz w:val="21"/>
          <w:szCs w:val="21"/>
          <w:u w:val="single" w:color="auto"/>
          <w:color w:val="auto"/>
        </w:rPr>
        <w:t>Options</w:t>
      </w:r>
      <w:r>
        <w:rPr>
          <w:rFonts w:ascii="Arial" w:cs="Arial" w:eastAsia="Arial" w:hAnsi="Arial"/>
          <w:sz w:val="21"/>
          <w:szCs w:val="21"/>
          <w:color w:val="auto"/>
        </w:rPr>
        <w:t>”). As of the date of this Agreement, with respect to the First Grant, your option to purchase 109,875 Shares is vested and your option to purchase the remaining 183,125 Shares is unvested, and your Second Grant is wholly unvested. Your Options will continue to vest, as applicable, in accordance with and subject to the Equity Documents during the Transition Period until the Separation Date.</w:t>
      </w:r>
    </w:p>
    <w:p>
      <w:pPr>
        <w:spacing w:after="0" w:line="184" w:lineRule="exact"/>
        <w:rPr>
          <w:rFonts w:ascii="Arial" w:cs="Arial" w:eastAsia="Arial" w:hAnsi="Arial"/>
          <w:sz w:val="21"/>
          <w:szCs w:val="21"/>
          <w:color w:val="auto"/>
        </w:rPr>
      </w:pPr>
    </w:p>
    <w:p>
      <w:pPr>
        <w:ind w:left="880" w:right="40" w:firstLine="391"/>
        <w:spacing w:after="0" w:line="273" w:lineRule="auto"/>
        <w:tabs>
          <w:tab w:leader="none" w:pos="2191" w:val="left"/>
        </w:tabs>
        <w:numPr>
          <w:ilvl w:val="2"/>
          <w:numId w:val="57"/>
        </w:numPr>
        <w:rPr>
          <w:rFonts w:ascii="Arial" w:cs="Arial" w:eastAsia="Arial" w:hAnsi="Arial"/>
          <w:sz w:val="19"/>
          <w:szCs w:val="19"/>
          <w:color w:val="auto"/>
        </w:rPr>
      </w:pPr>
      <w:r>
        <w:rPr>
          <w:rFonts w:ascii="Arial" w:cs="Arial" w:eastAsia="Arial" w:hAnsi="Arial"/>
          <w:sz w:val="19"/>
          <w:szCs w:val="19"/>
          <w:color w:val="auto"/>
        </w:rPr>
        <w:t>As provided in Section 4(b) of the Employment Agreement, notwithstanding anything to the contrary in the Equity Documents, all time-based stock options and other time-based stock-based awards held by you in which such stock option or other stock-based award would have vested if you had remained employed for an additional nine</w:t>
      </w:r>
    </w:p>
    <w:p>
      <w:pPr>
        <w:spacing w:after="0" w:line="1" w:lineRule="exact"/>
        <w:rPr>
          <w:rFonts w:ascii="Arial" w:cs="Arial" w:eastAsia="Arial" w:hAnsi="Arial"/>
          <w:sz w:val="19"/>
          <w:szCs w:val="19"/>
          <w:color w:val="auto"/>
        </w:rPr>
      </w:pPr>
    </w:p>
    <w:p>
      <w:pPr>
        <w:ind w:left="880" w:right="140" w:hanging="8"/>
        <w:spacing w:after="0" w:line="234" w:lineRule="auto"/>
        <w:tabs>
          <w:tab w:leader="none" w:pos="1186" w:val="left"/>
        </w:tabs>
        <w:numPr>
          <w:ilvl w:val="1"/>
          <w:numId w:val="57"/>
        </w:numPr>
        <w:rPr>
          <w:rFonts w:ascii="Arial" w:cs="Arial" w:eastAsia="Arial" w:hAnsi="Arial"/>
          <w:sz w:val="22"/>
          <w:szCs w:val="22"/>
          <w:color w:val="auto"/>
        </w:rPr>
      </w:pPr>
      <w:r>
        <w:rPr>
          <w:rFonts w:ascii="Arial" w:cs="Arial" w:eastAsia="Arial" w:hAnsi="Arial"/>
          <w:sz w:val="22"/>
          <w:szCs w:val="22"/>
          <w:color w:val="auto"/>
        </w:rPr>
        <w:t>months following the Separation Date (which would equal 54,936 accelerated shares subject to the First Grant and 28,498 accelerated shares subject to the Second Grant) shall vest and become exercisable or nonforfeitable as of the Separation Date.</w:t>
      </w:r>
    </w:p>
    <w:p>
      <w:pPr>
        <w:spacing w:after="0" w:line="187" w:lineRule="exact"/>
        <w:rPr>
          <w:rFonts w:ascii="Arial" w:cs="Arial" w:eastAsia="Arial" w:hAnsi="Arial"/>
          <w:sz w:val="22"/>
          <w:szCs w:val="22"/>
          <w:color w:val="auto"/>
        </w:rPr>
      </w:pPr>
    </w:p>
    <w:p>
      <w:pPr>
        <w:ind w:left="2240" w:hanging="969"/>
        <w:spacing w:after="0"/>
        <w:tabs>
          <w:tab w:leader="none" w:pos="2240" w:val="left"/>
        </w:tabs>
        <w:numPr>
          <w:ilvl w:val="2"/>
          <w:numId w:val="58"/>
        </w:numPr>
        <w:rPr>
          <w:rFonts w:ascii="Arial" w:cs="Arial" w:eastAsia="Arial" w:hAnsi="Arial"/>
          <w:sz w:val="19"/>
          <w:szCs w:val="19"/>
          <w:color w:val="auto"/>
        </w:rPr>
      </w:pPr>
      <w:r>
        <w:rPr>
          <w:rFonts w:ascii="Arial" w:cs="Arial" w:eastAsia="Arial" w:hAnsi="Arial"/>
          <w:sz w:val="19"/>
          <w:szCs w:val="19"/>
          <w:color w:val="auto"/>
        </w:rPr>
        <w:t>Pursuant to the terms of the Equity Documents, you have three months from the Separation Date (the</w:t>
      </w:r>
    </w:p>
    <w:p>
      <w:pPr>
        <w:spacing w:after="0" w:line="43" w:lineRule="exact"/>
        <w:rPr>
          <w:sz w:val="20"/>
          <w:szCs w:val="20"/>
          <w:color w:val="auto"/>
        </w:rPr>
      </w:pPr>
    </w:p>
    <w:p>
      <w:pPr>
        <w:ind w:left="880" w:right="80"/>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Exercise Period</w:t>
      </w:r>
      <w:r>
        <w:rPr>
          <w:rFonts w:ascii="Arial" w:cs="Arial" w:eastAsia="Arial" w:hAnsi="Arial"/>
          <w:sz w:val="21"/>
          <w:szCs w:val="21"/>
          <w:color w:val="auto"/>
        </w:rPr>
        <w:t>”) to exercise your right to purchase up to the number of shares equal to your vested Options. If you enter into and comply with this Agreement and subject to approval by the Company’s Board of Directors, the Exercise Period with respect to the vested Options shall be extended until 12 months from the Separation Date. You acknowledge that as a result of this extension of the Exercise Period, to the extent your vested Options were incentive stock options, they will convert to nonqualified stock options, consistent with the Equity Documents and applicable law. You are advised to seek tax guidance from your personal tax advisors with regard to the potential change in tax treatment of the vested Options if you agree to the extension of the Exercise Period. The Equity Documents shall otherwise be in full force and effect.</w:t>
      </w:r>
    </w:p>
    <w:p>
      <w:pPr>
        <w:spacing w:after="0" w:line="186" w:lineRule="exact"/>
        <w:rPr>
          <w:sz w:val="20"/>
          <w:szCs w:val="20"/>
          <w:color w:val="auto"/>
        </w:rPr>
      </w:pPr>
    </w:p>
    <w:p>
      <w:pPr>
        <w:ind w:right="280" w:firstLine="8"/>
        <w:spacing w:after="0" w:line="250" w:lineRule="auto"/>
        <w:tabs>
          <w:tab w:leader="none" w:pos="888" w:val="left"/>
        </w:tabs>
        <w:numPr>
          <w:ilvl w:val="0"/>
          <w:numId w:val="59"/>
        </w:numPr>
        <w:rPr>
          <w:rFonts w:ascii="Arial" w:cs="Arial" w:eastAsia="Arial" w:hAnsi="Arial"/>
          <w:sz w:val="22"/>
          <w:szCs w:val="22"/>
          <w:b w:val="1"/>
          <w:bCs w:val="1"/>
          <w:color w:val="auto"/>
        </w:rPr>
      </w:pPr>
      <w:r>
        <w:rPr>
          <w:rFonts w:ascii="Arial" w:cs="Arial" w:eastAsia="Arial" w:hAnsi="Arial"/>
          <w:sz w:val="22"/>
          <w:szCs w:val="22"/>
          <w:u w:val="single" w:color="auto"/>
          <w:color w:val="auto"/>
        </w:rPr>
        <w:t>Health Benefits</w:t>
      </w:r>
      <w:r>
        <w:rPr>
          <w:rFonts w:ascii="Arial" w:cs="Arial" w:eastAsia="Arial" w:hAnsi="Arial"/>
          <w:sz w:val="22"/>
          <w:szCs w:val="22"/>
          <w:color w:val="auto"/>
        </w:rPr>
        <w:t>. Since you are not participating in the Company's group health plan, you will not be eligible for the health benefit continuation payments provided in Section 4(b)(iii) of the Employment Agreement.</w:t>
      </w:r>
    </w:p>
    <w:p>
      <w:pPr>
        <w:spacing w:after="0" w:line="174" w:lineRule="exact"/>
        <w:rPr>
          <w:rFonts w:ascii="Arial" w:cs="Arial" w:eastAsia="Arial" w:hAnsi="Arial"/>
          <w:sz w:val="22"/>
          <w:szCs w:val="22"/>
          <w:b w:val="1"/>
          <w:bCs w:val="1"/>
          <w:color w:val="auto"/>
        </w:rPr>
      </w:pPr>
    </w:p>
    <w:p>
      <w:pPr>
        <w:ind w:right="20" w:firstLine="8"/>
        <w:spacing w:after="0" w:line="279" w:lineRule="auto"/>
        <w:tabs>
          <w:tab w:leader="none" w:pos="912" w:val="left"/>
        </w:tabs>
        <w:numPr>
          <w:ilvl w:val="0"/>
          <w:numId w:val="59"/>
        </w:numPr>
        <w:rPr>
          <w:rFonts w:ascii="Arial" w:cs="Arial" w:eastAsia="Arial" w:hAnsi="Arial"/>
          <w:sz w:val="19"/>
          <w:szCs w:val="19"/>
          <w:b w:val="1"/>
          <w:bCs w:val="1"/>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Although not provided in the Employment Agreement, you will be eligible to receive a prorated bonus calculated by multiplying your current bonus level (50%) of your base salary by a Company performance multiplier equal to the mean average of the performance multipliers of the other non-CEO members of the Company’s executive team (the “Bonus”). Any Bonus will be prorated based on when the Separation Date occurs. Notwithstanding the foregoing, you will not be eligible for any Bonus in the unlikely event you are terminated by the Company for Cause. The Company will pay any Bonus at the same time that the Company makes other bonus payments to employees (anticipated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Page 4</w:t>
      </w:r>
    </w:p>
    <w:p>
      <w:pPr>
        <w:spacing w:after="0" w:line="206" w:lineRule="exact"/>
        <w:rPr>
          <w:sz w:val="20"/>
          <w:szCs w:val="20"/>
          <w:color w:val="auto"/>
        </w:rPr>
      </w:pPr>
    </w:p>
    <w:p>
      <w:pPr>
        <w:ind w:right="200" w:firstLine="8"/>
        <w:spacing w:after="0" w:line="287" w:lineRule="auto"/>
        <w:tabs>
          <w:tab w:leader="none" w:pos="888" w:val="left"/>
        </w:tabs>
        <w:numPr>
          <w:ilvl w:val="0"/>
          <w:numId w:val="60"/>
        </w:numPr>
        <w:rPr>
          <w:rFonts w:ascii="Arial" w:cs="Arial" w:eastAsia="Arial" w:hAnsi="Arial"/>
          <w:sz w:val="19"/>
          <w:szCs w:val="19"/>
          <w:b w:val="1"/>
          <w:bCs w:val="1"/>
          <w:color w:val="auto"/>
        </w:rPr>
      </w:pPr>
      <w:r>
        <w:rPr>
          <w:rFonts w:ascii="Arial" w:cs="Arial" w:eastAsia="Arial" w:hAnsi="Arial"/>
          <w:sz w:val="19"/>
          <w:szCs w:val="19"/>
          <w:u w:val="single" w:color="auto"/>
          <w:color w:val="auto"/>
        </w:rPr>
        <w:t>Tax Expenses</w:t>
      </w:r>
      <w:r>
        <w:rPr>
          <w:rFonts w:ascii="Arial" w:cs="Arial" w:eastAsia="Arial" w:hAnsi="Arial"/>
          <w:sz w:val="19"/>
          <w:szCs w:val="19"/>
          <w:color w:val="auto"/>
        </w:rPr>
        <w:t>. As provided in, and subject to, Section 2(d) of the Employment Agreement, the Company shall reimburse you for up to $20,000 for expenses directly related to tax advice and incurred by you with respect to each of calendar years 2019 and 2020, subject to your submission of documentation of such expenses promptly after they are incurred, not to exceed an aggregate of $40,000 in total (less any amounts previously reimbursed by the Company for such tax advice).</w:t>
      </w:r>
    </w:p>
    <w:p>
      <w:pPr>
        <w:spacing w:after="0" w:line="137" w:lineRule="exact"/>
        <w:rPr>
          <w:sz w:val="20"/>
          <w:szCs w:val="20"/>
          <w:color w:val="auto"/>
        </w:rPr>
      </w:pPr>
    </w:p>
    <w:p>
      <w:pPr>
        <w:ind w:left="860" w:hanging="852"/>
        <w:spacing w:after="0"/>
        <w:tabs>
          <w:tab w:leader="none" w:pos="8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Release of Claims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In consideration for, among other terms, your continued employment through the Transition Period and the payments and benefits set forth in this Agreement, you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employees, attorneys, accountants and agents of each of the foregoing in their official and personal capacities (collectively referred to as the “</w:t>
      </w:r>
      <w:r>
        <w:rPr>
          <w:rFonts w:ascii="Arial" w:cs="Arial" w:eastAsia="Arial" w:hAnsi="Arial"/>
          <w:sz w:val="21"/>
          <w:szCs w:val="21"/>
          <w:u w:val="single" w:color="auto"/>
          <w:color w:val="auto"/>
        </w:rPr>
        <w:t>Releasees</w:t>
      </w:r>
      <w:r>
        <w:rPr>
          <w:rFonts w:ascii="Arial" w:cs="Arial" w:eastAsia="Arial" w:hAnsi="Arial"/>
          <w:sz w:val="21"/>
          <w:szCs w:val="21"/>
          <w:color w:val="auto"/>
        </w:rPr>
        <w:t>”) generally from all claims, demands, debts, damages and liabilities of every name and nature, known or unknown (“</w:t>
      </w:r>
      <w:r>
        <w:rPr>
          <w:rFonts w:ascii="Arial" w:cs="Arial" w:eastAsia="Arial" w:hAnsi="Arial"/>
          <w:sz w:val="21"/>
          <w:szCs w:val="21"/>
          <w:u w:val="single" w:color="auto"/>
          <w:color w:val="auto"/>
        </w:rPr>
        <w:t>Claims</w:t>
      </w:r>
      <w:r>
        <w:rPr>
          <w:rFonts w:ascii="Arial" w:cs="Arial" w:eastAsia="Arial" w:hAnsi="Arial"/>
          <w:sz w:val="21"/>
          <w:szCs w:val="21"/>
          <w:color w:val="auto"/>
        </w:rPr>
        <w:t>”) that, as of the date when you sign this Agreement, you have, ever had, now claim to have or ever claimed to have had against any or all of the Releasees. This release includes, without limitation, all Claims:</w:t>
      </w:r>
    </w:p>
    <w:p>
      <w:pPr>
        <w:spacing w:after="0" w:line="72" w:lineRule="exact"/>
        <w:rPr>
          <w:sz w:val="20"/>
          <w:szCs w:val="20"/>
          <w:color w:val="auto"/>
        </w:rPr>
      </w:pPr>
    </w:p>
    <w:p>
      <w:pPr>
        <w:ind w:left="1300" w:hanging="442"/>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relating to your employment by and termination of employment with the Company;</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of wrongful discharge or violation of public policy;</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of breach of contract including, without limitation, the Employment Agreement;</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of defamation or other torts;</w:t>
      </w:r>
    </w:p>
    <w:p>
      <w:pPr>
        <w:spacing w:after="0" w:line="98" w:lineRule="exact"/>
        <w:rPr>
          <w:rFonts w:ascii="Arial" w:cs="Arial" w:eastAsia="Arial" w:hAnsi="Arial"/>
          <w:sz w:val="22"/>
          <w:szCs w:val="22"/>
          <w:color w:val="auto"/>
        </w:rPr>
      </w:pPr>
    </w:p>
    <w:p>
      <w:pPr>
        <w:ind w:left="1300" w:right="120" w:hanging="442"/>
        <w:spacing w:after="0" w:line="250"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of retaliation or discrimination under federal, state or local law (including, without limitation, the Americans with Disabilities Act, and Title VII of the Civil Rights Act of 1964);</w:t>
      </w:r>
    </w:p>
    <w:p>
      <w:pPr>
        <w:spacing w:after="0" w:line="66" w:lineRule="exact"/>
        <w:rPr>
          <w:rFonts w:ascii="Arial" w:cs="Arial" w:eastAsia="Arial" w:hAnsi="Arial"/>
          <w:sz w:val="22"/>
          <w:szCs w:val="22"/>
          <w:color w:val="auto"/>
        </w:rPr>
      </w:pPr>
    </w:p>
    <w:p>
      <w:pPr>
        <w:ind w:left="1300" w:hanging="442"/>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under the Age Discrimination in Employment Act,</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under any other federal or state statute</w:t>
      </w:r>
    </w:p>
    <w:p>
      <w:pPr>
        <w:spacing w:after="0" w:line="98" w:lineRule="exact"/>
        <w:rPr>
          <w:rFonts w:ascii="Arial" w:cs="Arial" w:eastAsia="Arial" w:hAnsi="Arial"/>
          <w:sz w:val="22"/>
          <w:szCs w:val="22"/>
          <w:color w:val="auto"/>
        </w:rPr>
      </w:pPr>
    </w:p>
    <w:p>
      <w:pPr>
        <w:ind w:left="1300" w:hanging="442"/>
        <w:spacing w:after="0"/>
        <w:tabs>
          <w:tab w:leader="none" w:pos="1300" w:val="left"/>
        </w:tabs>
        <w:numPr>
          <w:ilvl w:val="0"/>
          <w:numId w:val="62"/>
        </w:numPr>
        <w:rPr>
          <w:rFonts w:ascii="Arial" w:cs="Arial" w:eastAsia="Arial" w:hAnsi="Arial"/>
          <w:sz w:val="21"/>
          <w:szCs w:val="21"/>
          <w:color w:val="auto"/>
        </w:rPr>
      </w:pPr>
      <w:r>
        <w:rPr>
          <w:rFonts w:ascii="Arial" w:cs="Arial" w:eastAsia="Arial" w:hAnsi="Arial"/>
          <w:sz w:val="21"/>
          <w:szCs w:val="21"/>
          <w:color w:val="auto"/>
        </w:rPr>
        <w:t>for any right to Garden Leave Pay or any other compensation under the Restrictive Covenants Agreement;</w:t>
      </w:r>
    </w:p>
    <w:p>
      <w:pPr>
        <w:spacing w:after="0" w:line="109" w:lineRule="exact"/>
        <w:rPr>
          <w:rFonts w:ascii="Arial" w:cs="Arial" w:eastAsia="Arial" w:hAnsi="Arial"/>
          <w:sz w:val="21"/>
          <w:szCs w:val="21"/>
          <w:color w:val="auto"/>
        </w:rPr>
      </w:pPr>
    </w:p>
    <w:p>
      <w:pPr>
        <w:ind w:left="1300" w:right="20" w:hanging="442"/>
        <w:spacing w:after="0" w:line="326" w:lineRule="auto"/>
        <w:tabs>
          <w:tab w:leader="none" w:pos="13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for wages, bonuses, incentive compensation, commissions, stock, stock options, vacation pay or any other compensation or benefits, either under the Massachusetts Wage Act, M.G.L. c. 149, §§148-150C, or otherwise; and</w:t>
      </w:r>
    </w:p>
    <w:p>
      <w:pPr>
        <w:ind w:left="1300" w:right="820" w:hanging="442"/>
        <w:spacing w:after="0" w:line="250"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for damages or other remedies of any sort, including, without limitation, compensatory damages, punitive damages, injunctive relief and attorney’s fees;</w:t>
      </w:r>
    </w:p>
    <w:p>
      <w:pPr>
        <w:spacing w:after="0" w:line="175" w:lineRule="exact"/>
        <w:rPr>
          <w:sz w:val="20"/>
          <w:szCs w:val="20"/>
          <w:color w:val="auto"/>
        </w:rPr>
      </w:pPr>
    </w:p>
    <w:p>
      <w:pPr>
        <w:ind w:right="180"/>
        <w:spacing w:after="0"/>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 however, that this release shall not affect any vested rights you have under the Company’s Section 401(k) plan, any of</w:t>
      </w:r>
      <w:r>
        <w:rPr>
          <w:rFonts w:ascii="Arial" w:cs="Arial" w:eastAsia="Arial" w:hAnsi="Arial"/>
          <w:sz w:val="22"/>
          <w:szCs w:val="22"/>
          <w:i w:val="1"/>
          <w:iCs w:val="1"/>
          <w:color w:val="auto"/>
        </w:rPr>
        <w:t xml:space="preserve"> </w:t>
      </w:r>
      <w:r>
        <w:rPr>
          <w:rFonts w:ascii="Arial" w:cs="Arial" w:eastAsia="Arial" w:hAnsi="Arial"/>
          <w:sz w:val="22"/>
          <w:szCs w:val="22"/>
          <w:color w:val="auto"/>
        </w:rPr>
        <w:t>your rights under any applicable Company insurance policy (including any applicable D &amp; O insurance policy) or your rights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Page 5</w:t>
      </w:r>
    </w:p>
    <w:p>
      <w:pPr>
        <w:spacing w:after="0" w:line="206"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You agree not to accept damages of any nature, other equitable or legal remedies for your own benefit or attorney’s fees or costs from any of the Releasees with respect to any Claim released by this Agreement. As a material inducement to the Company to enter into this Agreement, you represent that you have not assigned any Claim to any third party.</w:t>
      </w:r>
    </w:p>
    <w:p>
      <w:pPr>
        <w:spacing w:after="0" w:line="134"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You acknowledge and represent that, except as expressly provided in this Agreement, the Company has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you.</w:t>
      </w:r>
    </w:p>
    <w:p>
      <w:pPr>
        <w:spacing w:after="0" w:line="179" w:lineRule="exact"/>
        <w:rPr>
          <w:sz w:val="20"/>
          <w:szCs w:val="20"/>
          <w:color w:val="auto"/>
        </w:rPr>
      </w:pPr>
    </w:p>
    <w:p>
      <w:pPr>
        <w:ind w:left="860" w:hanging="852"/>
        <w:spacing w:after="0"/>
        <w:tabs>
          <w:tab w:leader="none" w:pos="8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Return of Property</w:t>
      </w:r>
    </w:p>
    <w:p>
      <w:pPr>
        <w:spacing w:after="0" w:line="21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You shall not dispose of Company property (including information or documents, including computerized data Company and any copies made of any computerized data Company or software (“</w:t>
      </w:r>
      <w:r>
        <w:rPr>
          <w:rFonts w:ascii="Arial" w:cs="Arial" w:eastAsia="Arial" w:hAnsi="Arial"/>
          <w:sz w:val="21"/>
          <w:szCs w:val="21"/>
          <w:u w:val="single" w:color="auto"/>
          <w:color w:val="auto"/>
        </w:rPr>
        <w:t>Documents</w:t>
      </w:r>
      <w:r>
        <w:rPr>
          <w:rFonts w:ascii="Arial" w:cs="Arial" w:eastAsia="Arial" w:hAnsi="Arial"/>
          <w:sz w:val="21"/>
          <w:szCs w:val="21"/>
          <w:color w:val="auto"/>
        </w:rPr>
        <w:t>”)), without authorization on or before the Separation Date. You agree to return to the Company all Company property, including, without limitation, computer equipment, software, keys and access cards, credit cards, files and any Documents containing information concerning the Company, its business or its business relationships (in the latter two cases, actual or prospective) and any information about the Company’s commercial and technical strategies and mechanics associated with implementing those strategies. After returning all Documents and Company property, you commit to deleting and finally purging any duplicates of files or documents that may contain Company information from any non-Company computer or other device that remains your property. In the event that you discover that you continue to retain any such property, you shall return it to the Company immediately. Nothing in this Section limits your Continuing Obligations.</w:t>
      </w:r>
    </w:p>
    <w:p>
      <w:pPr>
        <w:spacing w:after="0" w:line="175" w:lineRule="exact"/>
        <w:rPr>
          <w:sz w:val="20"/>
          <w:szCs w:val="20"/>
          <w:color w:val="auto"/>
        </w:rPr>
      </w:pPr>
    </w:p>
    <w:p>
      <w:pPr>
        <w:ind w:left="860" w:hanging="852"/>
        <w:spacing w:after="0"/>
        <w:tabs>
          <w:tab w:leader="none" w:pos="8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 Agreement</w:t>
      </w:r>
    </w:p>
    <w:p>
      <w:pPr>
        <w:spacing w:after="0" w:line="212" w:lineRule="exact"/>
        <w:rPr>
          <w:sz w:val="20"/>
          <w:szCs w:val="20"/>
          <w:color w:val="auto"/>
        </w:rPr>
      </w:pPr>
    </w:p>
    <w:p>
      <w:pPr>
        <w:ind w:right="260"/>
        <w:spacing w:after="0" w:line="235" w:lineRule="auto"/>
        <w:rPr>
          <w:sz w:val="20"/>
          <w:szCs w:val="20"/>
          <w:color w:val="auto"/>
        </w:rPr>
      </w:pPr>
      <w:r>
        <w:rPr>
          <w:rFonts w:ascii="Arial" w:cs="Arial" w:eastAsia="Arial" w:hAnsi="Arial"/>
          <w:sz w:val="22"/>
          <w:szCs w:val="22"/>
          <w:color w:val="auto"/>
        </w:rPr>
        <w:t>You acknowledge and agree that in consideration for the compensation and benefits provided herein, you shall be bound in all respects by the post-employment noncompetition provision contained in Section 8(c) of the Restrictive Covenants Agreement, but you shall not be entitled to or eligible for any “Garden Leave Pay” or any other compensation under the Restrictive Covenants Agreement, and you hereby waive any right to or eligibility for any such Garden Leave Pay or other compensation. Notwithstanding the foregoing, Section 8(c) of the Restrictive Covenants Agreement is hereby amended to replace the words:</w:t>
      </w:r>
    </w:p>
    <w:p>
      <w:pPr>
        <w:spacing w:after="0" w:line="188" w:lineRule="exact"/>
        <w:rPr>
          <w:sz w:val="20"/>
          <w:szCs w:val="20"/>
          <w:color w:val="auto"/>
        </w:rPr>
      </w:pPr>
    </w:p>
    <w:p>
      <w:pPr>
        <w:ind w:left="880" w:right="96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 connection with any business that develops, manufactures or markets any products, or performs any</w:t>
      </w:r>
      <w:r>
        <w:rPr>
          <w:rFonts w:ascii="Arial" w:cs="Arial" w:eastAsia="Arial" w:hAnsi="Arial"/>
          <w:sz w:val="22"/>
          <w:szCs w:val="22"/>
          <w:color w:val="auto"/>
        </w:rPr>
        <w:t xml:space="preserve"> </w:t>
      </w:r>
      <w:r>
        <w:rPr>
          <w:rFonts w:ascii="Arial" w:cs="Arial" w:eastAsia="Arial" w:hAnsi="Arial"/>
          <w:sz w:val="22"/>
          <w:szCs w:val="22"/>
          <w:i w:val="1"/>
          <w:iCs w:val="1"/>
          <w:color w:val="auto"/>
        </w:rPr>
        <w:t>services, that are competitive with the products or services of the Company, or products or services that the Company or any of its affiliates has under development or that are the subject of active planning at any time during my employment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87" w:name="page88"/>
    <w:bookmarkEnd w:id="87"/>
    <w:p>
      <w:pPr>
        <w:spacing w:after="0"/>
        <w:rPr>
          <w:sz w:val="20"/>
          <w:szCs w:val="20"/>
          <w:color w:val="auto"/>
        </w:rPr>
      </w:pPr>
      <w:r>
        <w:rPr>
          <w:rFonts w:ascii="Arial" w:cs="Arial" w:eastAsia="Arial" w:hAnsi="Arial"/>
          <w:sz w:val="22"/>
          <w:szCs w:val="22"/>
          <w:color w:val="auto"/>
        </w:rPr>
        <w:t>Page 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with</w:t>
      </w:r>
    </w:p>
    <w:p>
      <w:pPr>
        <w:spacing w:after="0" w:line="206" w:lineRule="exact"/>
        <w:rPr>
          <w:sz w:val="20"/>
          <w:szCs w:val="20"/>
          <w:color w:val="auto"/>
        </w:rPr>
      </w:pPr>
    </w:p>
    <w:p>
      <w:pPr>
        <w:ind w:left="880" w:right="960"/>
        <w:spacing w:after="0" w:line="238" w:lineRule="auto"/>
        <w:rPr>
          <w:sz w:val="20"/>
          <w:szCs w:val="20"/>
          <w:color w:val="auto"/>
        </w:rPr>
      </w:pPr>
      <w:r>
        <w:rPr>
          <w:rFonts w:ascii="Arial" w:cs="Arial" w:eastAsia="Arial" w:hAnsi="Arial"/>
          <w:sz w:val="22"/>
          <w:szCs w:val="22"/>
          <w:i w:val="1"/>
          <w:iCs w:val="1"/>
          <w:color w:val="auto"/>
        </w:rPr>
        <w:t>“to any business, person or organization that is developing, marketing or manufacturing, or actively planning to develop, market or manufacture, any gene therapy (regardless of modality) for the treatment any of the following lysosomal storage disorders (LSDs): Fabry disease, Gaucher disease, Pompe disease, Cystinosis or Hunter syndrome (MPS II).”</w:t>
      </w:r>
    </w:p>
    <w:p>
      <w:pPr>
        <w:spacing w:after="0" w:line="18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Except as specifically amended in this Section, the Continuing Obligations remain in full effect and are incorporated by reference herein.</w:t>
      </w:r>
    </w:p>
    <w:p>
      <w:pPr>
        <w:spacing w:after="0" w:line="169" w:lineRule="exact"/>
        <w:rPr>
          <w:sz w:val="20"/>
          <w:szCs w:val="20"/>
          <w:color w:val="auto"/>
        </w:rPr>
      </w:pPr>
    </w:p>
    <w:p>
      <w:pPr>
        <w:ind w:left="860" w:hanging="852"/>
        <w:spacing w:after="0"/>
        <w:tabs>
          <w:tab w:leader="none" w:pos="8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Non-Disparagement</w:t>
      </w:r>
    </w:p>
    <w:p>
      <w:pPr>
        <w:spacing w:after="0" w:line="212"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color w:val="auto"/>
        </w:rPr>
        <w:t>You agree not to make any oral or written disparaging statements (including through social media) concerning the Company or any of its affiliates or current or former officers, directors, shareholders, employees or agents. You further agree not to take any actions or conduct yourself in any way that would reasonably be expected to affect adversely the reputation or goodwill of the Company or any of its affiliates or any of its current or former officers, members, directors, shareholders, employees or agents. These non-disparagement obligations shall not in any way affect your obligation to testify truthfully in any legal proceeding.</w:t>
      </w:r>
    </w:p>
    <w:p>
      <w:pPr>
        <w:spacing w:after="0" w:line="182" w:lineRule="exact"/>
        <w:rPr>
          <w:sz w:val="20"/>
          <w:szCs w:val="20"/>
          <w:color w:val="auto"/>
        </w:rPr>
      </w:pPr>
    </w:p>
    <w:p>
      <w:pPr>
        <w:ind w:left="860" w:hanging="852"/>
        <w:spacing w:after="0"/>
        <w:tabs>
          <w:tab w:leader="none" w:pos="8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 of Agreement-Related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You agree, to the fullest extent permitted by law, to keep all Agreement-Related Information completely</w:t>
      </w:r>
    </w:p>
    <w:p>
      <w:pPr>
        <w:spacing w:after="0" w:line="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confidential. “</w:t>
      </w:r>
      <w:r>
        <w:rPr>
          <w:rFonts w:ascii="Arial" w:cs="Arial" w:eastAsia="Arial" w:hAnsi="Arial"/>
          <w:sz w:val="19"/>
          <w:szCs w:val="19"/>
          <w:u w:val="single" w:color="auto"/>
          <w:color w:val="auto"/>
        </w:rPr>
        <w:t>Agreement-Related Information</w:t>
      </w:r>
      <w:r>
        <w:rPr>
          <w:rFonts w:ascii="Arial" w:cs="Arial" w:eastAsia="Arial" w:hAnsi="Arial"/>
          <w:sz w:val="19"/>
          <w:szCs w:val="19"/>
          <w:color w:val="auto"/>
        </w:rPr>
        <w:t>” means the negotiations leading to this Agreement and the terms of this Agreement. Notwithstanding the foregoing, you may disclose Agreement-Related Information to your spouse, your attorney and your financial advisors, and to them only provided that they first agree for the benefit of the Company to keep Agreement-Related Information confidential. Nothing in this section shall be construed to prevent you from disclosing Agreement-Related Information to the extent required by a lawfully issued subpoena or duly issued court order; provided that you provide the Company with advance written notice and a reasonable opportunity to contest such subpoena or court order.</w:t>
      </w:r>
    </w:p>
    <w:p>
      <w:pPr>
        <w:spacing w:after="0" w:line="148" w:lineRule="exact"/>
        <w:rPr>
          <w:sz w:val="20"/>
          <w:szCs w:val="20"/>
          <w:color w:val="auto"/>
        </w:rPr>
      </w:pPr>
    </w:p>
    <w:p>
      <w:pPr>
        <w:ind w:left="860" w:hanging="852"/>
        <w:spacing w:after="0"/>
        <w:tabs>
          <w:tab w:leader="none" w:pos="8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Protected Disclosures and Other Protected Actions</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Nothing contained in this Agreement limits your ability to file a charge or complaint with any federal, state or local governmental agency or commission (a “</w:t>
      </w:r>
      <w:r>
        <w:rPr>
          <w:rFonts w:ascii="Arial" w:cs="Arial" w:eastAsia="Arial" w:hAnsi="Arial"/>
          <w:sz w:val="19"/>
          <w:szCs w:val="19"/>
          <w:u w:val="single" w:color="auto"/>
          <w:color w:val="auto"/>
        </w:rPr>
        <w:t>Government Agency</w:t>
      </w:r>
      <w:r>
        <w:rPr>
          <w:rFonts w:ascii="Arial" w:cs="Arial" w:eastAsia="Arial" w:hAnsi="Arial"/>
          <w:sz w:val="19"/>
          <w:szCs w:val="19"/>
          <w:color w:val="auto"/>
        </w:rPr>
        <w:t xml:space="preserve">”). In addition, nothing contained in this Agreement limits your ability to communicate with any Government Agency or otherwise participate in any investigation or proceeding that may be conducted by any Government Agency, including your ability to provide documents or other information, without notice to the Company, nor does anything contained in this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this Agreement limits any right you may have to receive a whistleblower award or bounty for information provided to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Page 7</w:t>
      </w:r>
    </w:p>
    <w:p>
      <w:pPr>
        <w:spacing w:after="0" w:line="200" w:lineRule="exact"/>
        <w:rPr>
          <w:sz w:val="20"/>
          <w:szCs w:val="20"/>
          <w:color w:val="auto"/>
        </w:rPr>
      </w:pPr>
    </w:p>
    <w:p>
      <w:pPr>
        <w:ind w:left="860" w:hanging="852"/>
        <w:spacing w:after="0"/>
        <w:tabs>
          <w:tab w:leader="none" w:pos="8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Defend Trade Secrets Act Notice</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You understand that pursuant to the Defend Trade Secrets Act of 2016, you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81" w:lineRule="exact"/>
        <w:rPr>
          <w:sz w:val="20"/>
          <w:szCs w:val="20"/>
          <w:color w:val="auto"/>
        </w:rPr>
      </w:pPr>
    </w:p>
    <w:p>
      <w:pPr>
        <w:ind w:left="860" w:hanging="852"/>
        <w:spacing w:after="0"/>
        <w:tabs>
          <w:tab w:leader="none" w:pos="8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Provisions</w:t>
      </w:r>
    </w:p>
    <w:p>
      <w:pPr>
        <w:spacing w:after="0" w:line="212" w:lineRule="exact"/>
        <w:rPr>
          <w:sz w:val="20"/>
          <w:szCs w:val="20"/>
          <w:color w:val="auto"/>
        </w:rPr>
      </w:pPr>
    </w:p>
    <w:p>
      <w:pPr>
        <w:ind w:right="160" w:firstLine="8"/>
        <w:spacing w:after="0" w:line="252" w:lineRule="auto"/>
        <w:tabs>
          <w:tab w:leader="none" w:pos="900" w:val="left"/>
        </w:tabs>
        <w:numPr>
          <w:ilvl w:val="0"/>
          <w:numId w:val="70"/>
        </w:numPr>
        <w:rPr>
          <w:rFonts w:ascii="Arial" w:cs="Arial" w:eastAsia="Arial" w:hAnsi="Arial"/>
          <w:sz w:val="21"/>
          <w:szCs w:val="21"/>
          <w:b w:val="1"/>
          <w:bCs w:val="1"/>
          <w:color w:val="auto"/>
        </w:rPr>
      </w:pPr>
      <w:r>
        <w:rPr>
          <w:rFonts w:ascii="Arial" w:cs="Arial" w:eastAsia="Arial" w:hAnsi="Arial"/>
          <w:sz w:val="21"/>
          <w:szCs w:val="21"/>
          <w:u w:val="single" w:color="auto"/>
          <w:color w:val="auto"/>
        </w:rPr>
        <w:t>Termination of Severance Pay</w:t>
      </w:r>
      <w:r>
        <w:rPr>
          <w:rFonts w:ascii="Arial" w:cs="Arial" w:eastAsia="Arial" w:hAnsi="Arial"/>
          <w:sz w:val="21"/>
          <w:szCs w:val="21"/>
          <w:color w:val="auto"/>
        </w:rPr>
        <w:t>. As provided in Section 4(b) of the Employment Agreement, and without limiting the other legal or equitable remedies the Company may have for such breach, if you breach any of your Continuing Obligations, the Company shall have the right to require the return of some or all of the Severance Pay. The foregoing will not affect your Continuing Obligations or any other of your obligations under this Agreement.</w:t>
      </w:r>
    </w:p>
    <w:p>
      <w:pPr>
        <w:spacing w:after="0" w:line="173" w:lineRule="exact"/>
        <w:rPr>
          <w:rFonts w:ascii="Arial" w:cs="Arial" w:eastAsia="Arial" w:hAnsi="Arial"/>
          <w:sz w:val="21"/>
          <w:szCs w:val="21"/>
          <w:b w:val="1"/>
          <w:bCs w:val="1"/>
          <w:color w:val="auto"/>
        </w:rPr>
      </w:pPr>
    </w:p>
    <w:p>
      <w:pPr>
        <w:ind w:right="120" w:firstLine="8"/>
        <w:spacing w:after="0" w:line="235" w:lineRule="auto"/>
        <w:tabs>
          <w:tab w:leader="none" w:pos="912" w:val="left"/>
        </w:tabs>
        <w:numPr>
          <w:ilvl w:val="0"/>
          <w:numId w:val="70"/>
        </w:numPr>
        <w:rPr>
          <w:rFonts w:ascii="Arial" w:cs="Arial" w:eastAsia="Arial" w:hAnsi="Arial"/>
          <w:sz w:val="22"/>
          <w:szCs w:val="22"/>
          <w:b w:val="1"/>
          <w:bCs w:val="1"/>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All compensation and benefits hereunder shall be subject to applicable taxes.</w:t>
      </w:r>
    </w:p>
    <w:p>
      <w:pPr>
        <w:spacing w:after="0" w:line="187" w:lineRule="exact"/>
        <w:rPr>
          <w:rFonts w:ascii="Arial" w:cs="Arial" w:eastAsia="Arial" w:hAnsi="Arial"/>
          <w:sz w:val="22"/>
          <w:szCs w:val="22"/>
          <w:b w:val="1"/>
          <w:bCs w:val="1"/>
          <w:color w:val="auto"/>
        </w:rPr>
      </w:pPr>
    </w:p>
    <w:p>
      <w:pPr>
        <w:ind w:right="20" w:firstLine="8"/>
        <w:spacing w:after="0" w:line="282" w:lineRule="auto"/>
        <w:tabs>
          <w:tab w:leader="none" w:pos="888" w:val="left"/>
        </w:tabs>
        <w:numPr>
          <w:ilvl w:val="0"/>
          <w:numId w:val="70"/>
        </w:numPr>
        <w:rPr>
          <w:rFonts w:ascii="Arial" w:cs="Arial" w:eastAsia="Arial" w:hAnsi="Arial"/>
          <w:sz w:val="19"/>
          <w:szCs w:val="19"/>
          <w:b w:val="1"/>
          <w:bCs w:val="1"/>
          <w:color w:val="auto"/>
        </w:rPr>
      </w:pPr>
      <w:r>
        <w:rPr>
          <w:rFonts w:ascii="Arial" w:cs="Arial" w:eastAsia="Arial" w:hAnsi="Arial"/>
          <w:sz w:val="19"/>
          <w:szCs w:val="19"/>
          <w:u w:val="single" w:color="auto"/>
          <w:color w:val="auto"/>
        </w:rPr>
        <w:t>Waiver; Absence of Reliance</w:t>
      </w:r>
      <w:r>
        <w:rPr>
          <w:rFonts w:ascii="Arial" w:cs="Arial" w:eastAsia="Arial" w:hAnsi="Arial"/>
          <w:sz w:val="19"/>
          <w:szCs w:val="19"/>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 In signing this Agreement, you are not relying upon any promises or representations made by anyone at or on behalf of the Company except those that are expressly set forth herein.</w:t>
      </w:r>
    </w:p>
    <w:p>
      <w:pPr>
        <w:spacing w:after="0" w:line="147" w:lineRule="exact"/>
        <w:rPr>
          <w:rFonts w:ascii="Arial" w:cs="Arial" w:eastAsia="Arial" w:hAnsi="Arial"/>
          <w:sz w:val="19"/>
          <w:szCs w:val="19"/>
          <w:b w:val="1"/>
          <w:bCs w:val="1"/>
          <w:color w:val="auto"/>
        </w:rPr>
      </w:pPr>
    </w:p>
    <w:p>
      <w:pPr>
        <w:ind w:firstLine="8"/>
        <w:spacing w:after="0" w:line="234" w:lineRule="auto"/>
        <w:tabs>
          <w:tab w:leader="none" w:pos="912" w:val="left"/>
        </w:tabs>
        <w:numPr>
          <w:ilvl w:val="0"/>
          <w:numId w:val="70"/>
        </w:numPr>
        <w:rPr>
          <w:rFonts w:ascii="Arial" w:cs="Arial" w:eastAsia="Arial" w:hAnsi="Arial"/>
          <w:sz w:val="22"/>
          <w:szCs w:val="22"/>
          <w:b w:val="1"/>
          <w:bCs w:val="1"/>
          <w:color w:val="auto"/>
        </w:rPr>
      </w:pPr>
      <w:r>
        <w:rPr>
          <w:rFonts w:ascii="Arial" w:cs="Arial" w:eastAsia="Arial" w:hAnsi="Arial"/>
          <w:sz w:val="22"/>
          <w:szCs w:val="22"/>
          <w:u w:val="single" w:color="auto"/>
          <w:color w:val="auto"/>
        </w:rPr>
        <w:t>Jurisdiction; Governing Law; Interpretation</w:t>
      </w:r>
      <w:r>
        <w:rPr>
          <w:rFonts w:ascii="Arial" w:cs="Arial" w:eastAsia="Arial" w:hAnsi="Arial"/>
          <w:sz w:val="22"/>
          <w:szCs w:val="22"/>
          <w:color w:val="auto"/>
        </w:rPr>
        <w:t>. Section 8 of the Employment Agreement (Arbitration of Disputes) shall remain in full effect and shall govern any disputes under this Agreement. To the extent permitted by such Section 8, you and the Company hereby agree that the state and federal courts of Massachusetts located in Boston shall have the exclusive jurisdiction to consider any matters related to this Agreement, including without limitation any claim of a violation of this Agreement. With respect to any such court action, you submit to the jurisdiction of such courts and you acknowledge that venue in such courts is proper. This Agreement shall be interpreted and enforced under the laws of Massachusetts, without regard to conflict of law principles.</w:t>
      </w:r>
    </w:p>
    <w:p>
      <w:pPr>
        <w:spacing w:after="0" w:line="190" w:lineRule="exact"/>
        <w:rPr>
          <w:rFonts w:ascii="Arial" w:cs="Arial" w:eastAsia="Arial" w:hAnsi="Arial"/>
          <w:sz w:val="22"/>
          <w:szCs w:val="22"/>
          <w:b w:val="1"/>
          <w:bCs w:val="1"/>
          <w:color w:val="auto"/>
        </w:rPr>
      </w:pPr>
    </w:p>
    <w:p>
      <w:pPr>
        <w:ind w:right="220" w:firstLine="8"/>
        <w:spacing w:after="0"/>
        <w:tabs>
          <w:tab w:leader="none" w:pos="888" w:val="left"/>
        </w:tabs>
        <w:numPr>
          <w:ilvl w:val="0"/>
          <w:numId w:val="70"/>
        </w:numPr>
        <w:rPr>
          <w:rFonts w:ascii="Arial" w:cs="Arial" w:eastAsia="Arial" w:hAnsi="Arial"/>
          <w:sz w:val="22"/>
          <w:szCs w:val="22"/>
          <w:b w:val="1"/>
          <w:bCs w:val="1"/>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the Continuing Obligations and the Equity Documents constitute the entire agreement between you and the Company and supersede any previous agreements, understandings or communications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Page 8</w:t>
      </w:r>
    </w:p>
    <w:p>
      <w:pPr>
        <w:spacing w:after="0" w:line="206" w:lineRule="exact"/>
        <w:rPr>
          <w:sz w:val="20"/>
          <w:szCs w:val="20"/>
          <w:color w:val="auto"/>
        </w:rPr>
      </w:pPr>
    </w:p>
    <w:p>
      <w:pPr>
        <w:ind w:firstLine="8"/>
        <w:spacing w:after="0" w:line="271" w:lineRule="auto"/>
        <w:tabs>
          <w:tab w:leader="none" w:pos="864" w:val="left"/>
        </w:tabs>
        <w:numPr>
          <w:ilvl w:val="0"/>
          <w:numId w:val="71"/>
        </w:numPr>
        <w:rPr>
          <w:rFonts w:ascii="Arial" w:cs="Arial" w:eastAsia="Arial" w:hAnsi="Arial"/>
          <w:sz w:val="19"/>
          <w:szCs w:val="19"/>
          <w:b w:val="1"/>
          <w:bCs w:val="1"/>
          <w:color w:val="auto"/>
        </w:rPr>
      </w:pPr>
      <w:r>
        <w:rPr>
          <w:rFonts w:ascii="Arial" w:cs="Arial" w:eastAsia="Arial" w:hAnsi="Arial"/>
          <w:sz w:val="19"/>
          <w:szCs w:val="19"/>
          <w:u w:val="single" w:color="auto"/>
          <w:color w:val="auto"/>
        </w:rPr>
        <w:t>Time for Consideration; Effective Date</w:t>
      </w:r>
      <w:r>
        <w:rPr>
          <w:rFonts w:ascii="Arial" w:cs="Arial" w:eastAsia="Arial" w:hAnsi="Arial"/>
          <w:sz w:val="19"/>
          <w:szCs w:val="19"/>
          <w:color w:val="auto"/>
        </w:rPr>
        <w:t>. The Company previously proposed an agreement to you in a letter dated June 29, 2020 (the “</w:t>
      </w:r>
      <w:r>
        <w:rPr>
          <w:rFonts w:ascii="Arial" w:cs="Arial" w:eastAsia="Arial" w:hAnsi="Arial"/>
          <w:sz w:val="19"/>
          <w:szCs w:val="19"/>
          <w:u w:val="single" w:color="auto"/>
          <w:color w:val="auto"/>
        </w:rPr>
        <w:t>Initial Proposal</w:t>
      </w:r>
      <w:r>
        <w:rPr>
          <w:rFonts w:ascii="Arial" w:cs="Arial" w:eastAsia="Arial" w:hAnsi="Arial"/>
          <w:sz w:val="19"/>
          <w:szCs w:val="19"/>
          <w:color w:val="auto"/>
        </w:rPr>
        <w:t>”). You were given the opportunity to consider the Initial Proposal for twenty-one (21) days from the date of the Initial Proposal (the “</w:t>
      </w:r>
      <w:r>
        <w:rPr>
          <w:rFonts w:ascii="Arial" w:cs="Arial" w:eastAsia="Arial" w:hAnsi="Arial"/>
          <w:sz w:val="19"/>
          <w:szCs w:val="19"/>
          <w:u w:val="single" w:color="auto"/>
          <w:color w:val="auto"/>
        </w:rPr>
        <w:t>Consideration Period</w:t>
      </w:r>
      <w:r>
        <w:rPr>
          <w:rFonts w:ascii="Arial" w:cs="Arial" w:eastAsia="Arial" w:hAnsi="Arial"/>
          <w:sz w:val="19"/>
          <w:szCs w:val="19"/>
          <w:color w:val="auto"/>
        </w:rPr>
        <w:t>”). The Company proposed this Agreement in place of the Initial Proposal following discussions between the parties, with the aid of counsel. The last day of the Consideration Period remains unchanged by the offer of this Agreement in place of the Initial Proposal. You acknowledge that the above release of claims expressly includes without limitation claims under the Age Discrimination in Employment Act. You are advised to consult with an attorney before signing this Agreement. To accept this Agreement, you must return a signed original or a signed PDF copy of this Agreement so that it is received by the undersigned at or before the expiration of the Consideration Period. If you sign this Agreement before the end of the Consideration Period, you acknowledge by signing this Agreement that such decision was entirely voluntary and that you had the opportunity to consider this Agreement for the entire Consideration Period. For the period of seven (7) business days from the date when you sign this Agreement, you have the right to revoke this Agreement by written notice to the undersigned. For such a revocation to be effective, it must be delivered so that it is received by the undersigned at or before the expiration of the seven (7) business day revocation period (the “</w:t>
      </w:r>
      <w:r>
        <w:rPr>
          <w:rFonts w:ascii="Arial" w:cs="Arial" w:eastAsia="Arial" w:hAnsi="Arial"/>
          <w:sz w:val="19"/>
          <w:szCs w:val="19"/>
          <w:u w:val="single" w:color="auto"/>
          <w:color w:val="auto"/>
        </w:rPr>
        <w:t>Revocation Period</w:t>
      </w:r>
      <w:r>
        <w:rPr>
          <w:rFonts w:ascii="Arial" w:cs="Arial" w:eastAsia="Arial" w:hAnsi="Arial"/>
          <w:sz w:val="19"/>
          <w:szCs w:val="19"/>
          <w:color w:val="auto"/>
        </w:rPr>
        <w:t>”). This Agreement shall not become effective or enforceable during the Revocation Period. It will become effective on the day after the Revocation Period ends (the “</w:t>
      </w:r>
      <w:r>
        <w:rPr>
          <w:rFonts w:ascii="Arial" w:cs="Arial" w:eastAsia="Arial" w:hAnsi="Arial"/>
          <w:sz w:val="19"/>
          <w:szCs w:val="19"/>
          <w:u w:val="single" w:color="auto"/>
          <w:color w:val="auto"/>
        </w:rPr>
        <w:t>Effective Date</w:t>
      </w:r>
      <w:r>
        <w:rPr>
          <w:rFonts w:ascii="Arial" w:cs="Arial" w:eastAsia="Arial" w:hAnsi="Arial"/>
          <w:sz w:val="19"/>
          <w:szCs w:val="19"/>
          <w:color w:val="auto"/>
        </w:rPr>
        <w:t>”).</w:t>
      </w:r>
    </w:p>
    <w:p>
      <w:pPr>
        <w:spacing w:after="0" w:line="200" w:lineRule="exact"/>
        <w:rPr>
          <w:rFonts w:ascii="Arial" w:cs="Arial" w:eastAsia="Arial" w:hAnsi="Arial"/>
          <w:sz w:val="19"/>
          <w:szCs w:val="19"/>
          <w:b w:val="1"/>
          <w:bCs w:val="1"/>
          <w:color w:val="auto"/>
        </w:rPr>
      </w:pPr>
    </w:p>
    <w:p>
      <w:pPr>
        <w:spacing w:after="0" w:line="207" w:lineRule="exact"/>
        <w:rPr>
          <w:rFonts w:ascii="Arial" w:cs="Arial" w:eastAsia="Arial" w:hAnsi="Arial"/>
          <w:sz w:val="19"/>
          <w:szCs w:val="19"/>
          <w:b w:val="1"/>
          <w:bCs w:val="1"/>
          <w:color w:val="auto"/>
        </w:rPr>
      </w:pPr>
    </w:p>
    <w:p>
      <w:pPr>
        <w:ind w:firstLine="8"/>
        <w:spacing w:after="0" w:line="250" w:lineRule="auto"/>
        <w:tabs>
          <w:tab w:leader="none" w:pos="900" w:val="left"/>
        </w:tabs>
        <w:numPr>
          <w:ilvl w:val="0"/>
          <w:numId w:val="71"/>
        </w:numPr>
        <w:rPr>
          <w:rFonts w:ascii="Arial" w:cs="Arial" w:eastAsia="Arial" w:hAnsi="Arial"/>
          <w:sz w:val="22"/>
          <w:szCs w:val="22"/>
          <w:b w:val="1"/>
          <w:bCs w:val="1"/>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separate counterparts. When all counterparts are signed, they shall be treated together as one and the same document.</w:t>
      </w:r>
    </w:p>
    <w:p>
      <w:pPr>
        <w:spacing w:after="0" w:line="17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Please indicate your agreement to the terms of this Agreement by signing and returning to the undersigned the original or a PDF copy of this letter within the time period set forth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AVROBIO, Inc.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By:  /s/ Geoff MacKay</w:t>
            </w:r>
          </w:p>
        </w:tc>
        <w:tc>
          <w:tcPr>
            <w:tcW w:w="28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195"/>
        </w:trPr>
        <w:tc>
          <w:tcPr>
            <w:tcW w:w="440" w:type="dxa"/>
            <w:vAlign w:val="bottom"/>
          </w:tcPr>
          <w:p>
            <w:pPr>
              <w:spacing w:after="0"/>
              <w:rPr>
                <w:sz w:val="16"/>
                <w:szCs w:val="16"/>
                <w:color w:val="auto"/>
              </w:rPr>
            </w:pPr>
          </w:p>
        </w:tc>
        <w:tc>
          <w:tcPr>
            <w:tcW w:w="2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Geoff MacKay</w:t>
            </w:r>
          </w:p>
        </w:tc>
        <w:tc>
          <w:tcPr>
            <w:tcW w:w="282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Date</w:t>
            </w:r>
          </w:p>
        </w:tc>
      </w:tr>
      <w:tr>
        <w:trPr>
          <w:trHeight w:val="230"/>
        </w:trPr>
        <w:tc>
          <w:tcPr>
            <w:tcW w:w="44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President and CEO</w:t>
            </w:r>
          </w:p>
        </w:tc>
        <w:tc>
          <w:tcPr>
            <w:tcW w:w="282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8"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sectPr>
          <w:pgSz w:w="11900" w:h="16838" w:orient="portrait"/>
          <w:cols w:equalWidth="0" w:num="1">
            <w:col w:w="11140"/>
          </w:cols>
          <w:pgMar w:left="320" w:top="334" w:right="4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 Birgitte Volck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0999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Birgitte Volck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460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108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680720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5480" w:space="720"/>
            <w:col w:w="4940"/>
          </w:cols>
          <w:pgMar w:left="320" w:top="334" w:right="4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22"/>
          <w:szCs w:val="22"/>
          <w:color w:val="auto"/>
        </w:rPr>
        <w:t>Page 9</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EXHIBIT A</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CERTIFICATE UPDATING RELEASE OF CLAIMS</w:t>
      </w:r>
    </w:p>
    <w:p>
      <w:pPr>
        <w:spacing w:after="0" w:line="172" w:lineRule="exact"/>
        <w:rPr>
          <w:sz w:val="20"/>
          <w:szCs w:val="20"/>
          <w:color w:val="auto"/>
        </w:rPr>
      </w:pPr>
    </w:p>
    <w:p>
      <w:pPr>
        <w:ind w:firstLine="864"/>
        <w:spacing w:after="0" w:line="277" w:lineRule="auto"/>
        <w:rPr>
          <w:sz w:val="20"/>
          <w:szCs w:val="20"/>
          <w:color w:val="auto"/>
        </w:rPr>
      </w:pPr>
      <w:r>
        <w:rPr>
          <w:rFonts w:ascii="Arial" w:cs="Arial" w:eastAsia="Arial" w:hAnsi="Arial"/>
          <w:sz w:val="19"/>
          <w:szCs w:val="19"/>
          <w:color w:val="auto"/>
        </w:rPr>
        <w:t>I, hereby acknowledge and certify that I entered into a Transitional Services and Separation Agreement with AVROBIO, Inc. (the “</w:t>
      </w:r>
      <w:r>
        <w:rPr>
          <w:rFonts w:ascii="Arial" w:cs="Arial" w:eastAsia="Arial" w:hAnsi="Arial"/>
          <w:sz w:val="19"/>
          <w:szCs w:val="19"/>
          <w:u w:val="single" w:color="auto"/>
          <w:color w:val="auto"/>
        </w:rPr>
        <w:t>Company</w:t>
      </w:r>
      <w:r>
        <w:rPr>
          <w:rFonts w:ascii="Arial" w:cs="Arial" w:eastAsia="Arial" w:hAnsi="Arial"/>
          <w:sz w:val="19"/>
          <w:szCs w:val="19"/>
          <w:color w:val="auto"/>
        </w:rPr>
        <w:t>”), dated July 16, 2020 (the “</w:t>
      </w:r>
      <w:r>
        <w:rPr>
          <w:rFonts w:ascii="Arial" w:cs="Arial" w:eastAsia="Arial" w:hAnsi="Arial"/>
          <w:sz w:val="19"/>
          <w:szCs w:val="19"/>
          <w:u w:val="single" w:color="auto"/>
          <w:color w:val="auto"/>
        </w:rPr>
        <w:t>Agreement</w:t>
      </w:r>
      <w:r>
        <w:rPr>
          <w:rFonts w:ascii="Arial" w:cs="Arial" w:eastAsia="Arial" w:hAnsi="Arial"/>
          <w:sz w:val="19"/>
          <w:szCs w:val="19"/>
          <w:color w:val="auto"/>
        </w:rPr>
        <w:t>”). Capitalized but undefined terms in this Certificate are defined in the Agreement. Pursuant to the Agreement, I am required to sign this “</w:t>
      </w:r>
      <w:r>
        <w:rPr>
          <w:rFonts w:ascii="Arial" w:cs="Arial" w:eastAsia="Arial" w:hAnsi="Arial"/>
          <w:sz w:val="19"/>
          <w:szCs w:val="19"/>
          <w:u w:val="single" w:color="auto"/>
          <w:color w:val="auto"/>
        </w:rPr>
        <w:t>Certificate</w:t>
      </w:r>
      <w:r>
        <w:rPr>
          <w:rFonts w:ascii="Arial" w:cs="Arial" w:eastAsia="Arial" w:hAnsi="Arial"/>
          <w:sz w:val="19"/>
          <w:szCs w:val="19"/>
          <w:color w:val="auto"/>
        </w:rPr>
        <w:t xml:space="preserve">,” which updates the release of claims in the Agreement, in order to receive the severance benefits described in the Agreement. </w:t>
      </w:r>
      <w:r>
        <w:rPr>
          <w:rFonts w:ascii="Arial" w:cs="Arial" w:eastAsia="Arial" w:hAnsi="Arial"/>
          <w:sz w:val="19"/>
          <w:szCs w:val="19"/>
          <w:b w:val="1"/>
          <w:bCs w:val="1"/>
          <w:i w:val="1"/>
          <w:iCs w:val="1"/>
          <w:color w:val="auto"/>
        </w:rPr>
        <w:t>For this Certificate to become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effective and for me to receive such severance benefits, I must sign this Certificate after the Separation Date but no later than seven days after the Separation Date. I will not sign this Certificate before the Separation Date. </w:t>
      </w:r>
      <w:r>
        <w:rPr>
          <w:rFonts w:ascii="Arial" w:cs="Arial" w:eastAsia="Arial" w:hAnsi="Arial"/>
          <w:sz w:val="19"/>
          <w:szCs w:val="19"/>
          <w:color w:val="auto"/>
        </w:rPr>
        <w:t>Subject to the foregoing,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date I sign this Certificate is the “</w:t>
      </w:r>
      <w:r>
        <w:rPr>
          <w:rFonts w:ascii="Arial" w:cs="Arial" w:eastAsia="Arial" w:hAnsi="Arial"/>
          <w:sz w:val="19"/>
          <w:szCs w:val="19"/>
          <w:u w:val="single" w:color="auto"/>
          <w:color w:val="auto"/>
        </w:rPr>
        <w:t>Certificate Effective Date</w:t>
      </w:r>
      <w:r>
        <w:rPr>
          <w:rFonts w:ascii="Arial" w:cs="Arial" w:eastAsia="Arial" w:hAnsi="Arial"/>
          <w:sz w:val="19"/>
          <w:szCs w:val="19"/>
          <w:color w:val="auto"/>
        </w:rPr>
        <w:t>.” I further agree as follows:</w:t>
      </w:r>
    </w:p>
    <w:p>
      <w:pPr>
        <w:spacing w:after="0" w:line="111" w:lineRule="exact"/>
        <w:rPr>
          <w:sz w:val="20"/>
          <w:szCs w:val="20"/>
          <w:color w:val="auto"/>
        </w:rPr>
      </w:pPr>
    </w:p>
    <w:p>
      <w:pPr>
        <w:ind w:left="1700" w:hanging="842"/>
        <w:spacing w:after="0"/>
        <w:tabs>
          <w:tab w:leader="none" w:pos="17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A copy of this Certificate was attached as an Exhibit to the Agreement.</w:t>
      </w:r>
    </w:p>
    <w:p>
      <w:pPr>
        <w:spacing w:after="0" w:line="57" w:lineRule="exact"/>
        <w:rPr>
          <w:rFonts w:ascii="Arial" w:cs="Arial" w:eastAsia="Arial" w:hAnsi="Arial"/>
          <w:sz w:val="22"/>
          <w:szCs w:val="22"/>
          <w:color w:val="auto"/>
        </w:rPr>
      </w:pPr>
    </w:p>
    <w:p>
      <w:pPr>
        <w:ind w:left="1700" w:right="100" w:hanging="842"/>
        <w:spacing w:after="0" w:line="238" w:lineRule="auto"/>
        <w:tabs>
          <w:tab w:leader="none" w:pos="17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In consideration of the benefits described in the Agreement, for which I become eligible only if I sign this Certificate, I hereby extend the release of claims set forth in the Agreement to any and all claims that arose after the date I signed the Agreement through the date I signed this Certificate, subject to all other exclusions and terms set forth in the Agreement.</w:t>
      </w:r>
    </w:p>
    <w:p>
      <w:pPr>
        <w:spacing w:after="0" w:line="36" w:lineRule="exact"/>
        <w:rPr>
          <w:rFonts w:ascii="Arial" w:cs="Arial" w:eastAsia="Arial" w:hAnsi="Arial"/>
          <w:sz w:val="22"/>
          <w:szCs w:val="22"/>
          <w:color w:val="auto"/>
        </w:rPr>
      </w:pPr>
    </w:p>
    <w:p>
      <w:pPr>
        <w:ind w:left="1700" w:right="40" w:hanging="842"/>
        <w:spacing w:after="0" w:line="236" w:lineRule="auto"/>
        <w:tabs>
          <w:tab w:leader="none" w:pos="17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 have carefully read and fully understand all of the provisions of this Certificate, I knowingly and voluntarily agree to all of the terms set forth in this Certificate, and I acknowledge that in entering into this Certificate, I am not relying on any representation, promise or inducement made by the Company or its officers, directors, employees, agents or other representatives with the exception of those promises expressly contained in this Certificate and the Agreement.</w:t>
      </w:r>
    </w:p>
    <w:p>
      <w:pPr>
        <w:spacing w:after="0" w:line="38" w:lineRule="exact"/>
        <w:rPr>
          <w:rFonts w:ascii="Arial" w:cs="Arial" w:eastAsia="Arial" w:hAnsi="Arial"/>
          <w:sz w:val="22"/>
          <w:szCs w:val="22"/>
          <w:color w:val="auto"/>
        </w:rPr>
      </w:pPr>
    </w:p>
    <w:p>
      <w:pPr>
        <w:ind w:left="1700" w:right="120" w:hanging="842"/>
        <w:spacing w:after="0" w:line="246" w:lineRule="auto"/>
        <w:tabs>
          <w:tab w:leader="none" w:pos="17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I also represent that I have not been subject to any retaliation or any other form of adverse action by the released parties for any action taken by me as an employee or resulting from my exercise of or attempt to exercise any statutory rights recognized under federal, state or local law. I agree that I have been paid all unpaid wages and other compensation owed to me as of the Separation Date. I also agree that none of my rights have been violated under any statute, common law or Company policy, program or agreement. I represent that I have reported any and all workplace injuries that I suffered during my employment, if any, to the Company before executing this Certificate.</w:t>
      </w:r>
    </w:p>
    <w:p>
      <w:pPr>
        <w:spacing w:after="0" w:line="35" w:lineRule="exact"/>
        <w:rPr>
          <w:rFonts w:ascii="Arial" w:cs="Arial" w:eastAsia="Arial" w:hAnsi="Arial"/>
          <w:sz w:val="21"/>
          <w:szCs w:val="21"/>
          <w:color w:val="auto"/>
        </w:rPr>
      </w:pPr>
    </w:p>
    <w:p>
      <w:pPr>
        <w:ind w:left="1700" w:hanging="842"/>
        <w:spacing w:after="0" w:line="274" w:lineRule="auto"/>
        <w:tabs>
          <w:tab w:leader="none" w:pos="1700" w:val="left"/>
        </w:tabs>
        <w:numPr>
          <w:ilvl w:val="0"/>
          <w:numId w:val="72"/>
        </w:numPr>
        <w:rPr>
          <w:rFonts w:ascii="Arial" w:cs="Arial" w:eastAsia="Arial" w:hAnsi="Arial"/>
          <w:sz w:val="21"/>
          <w:szCs w:val="21"/>
          <w:color w:val="auto"/>
        </w:rPr>
      </w:pPr>
      <w:r>
        <w:rPr>
          <w:rFonts w:ascii="Arial" w:cs="Arial" w:eastAsia="Arial" w:hAnsi="Arial"/>
          <w:sz w:val="21"/>
          <w:szCs w:val="21"/>
          <w:color w:val="auto"/>
        </w:rPr>
        <w:t>I represent that during the period since the date of the Agreement, I have not made any disclosures contrary to my obligations under Section 7 (“Confidentiality of Agreement-Related Information”).</w:t>
      </w:r>
    </w:p>
    <w:p>
      <w:pPr>
        <w:spacing w:after="0" w:line="2" w:lineRule="exact"/>
        <w:rPr>
          <w:rFonts w:ascii="Arial" w:cs="Arial" w:eastAsia="Arial" w:hAnsi="Arial"/>
          <w:sz w:val="21"/>
          <w:szCs w:val="21"/>
          <w:color w:val="auto"/>
        </w:rPr>
      </w:pPr>
    </w:p>
    <w:p>
      <w:pPr>
        <w:ind w:left="1700" w:hanging="842"/>
        <w:spacing w:after="0"/>
        <w:tabs>
          <w:tab w:leader="none" w:pos="17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 agree that this Certificate is part of the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Accepted and Agreed:</w:t>
      </w:r>
    </w:p>
    <w:p>
      <w:pPr>
        <w:spacing w:after="0" w:line="3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Birgitte Volck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-130175</wp:posOffset>
            </wp:positionV>
            <wp:extent cx="33089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-130175</wp:posOffset>
            </wp:positionV>
            <wp:extent cx="33089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Geoff MacKay, certify that:</w:t>
      </w:r>
    </w:p>
    <w:p>
      <w:pPr>
        <w:spacing w:after="0" w:line="117"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53"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Erik Ostrowski, certify that:</w:t>
      </w:r>
    </w:p>
    <w:p>
      <w:pPr>
        <w:spacing w:after="0" w:line="117"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AVROBIO,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60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53"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connection with the Quarterly Report of AVROBIO, Inc. (the “Company”) on Form 10-Q for the period ending June 30, 2020 as filed with the Securities and Exchange Commission on the date hereof (the “Report”), each of the undersigned officers of the Company certifies, pursuant to 18 U.S.C. § 1350, as adopted pursuant to § 906 of the Sarbanes-Oxley Act of 2002, to the best of his or her knowledge that:</w:t>
      </w:r>
    </w:p>
    <w:p>
      <w:pPr>
        <w:spacing w:after="0" w:line="76" w:lineRule="exact"/>
        <w:rPr>
          <w:sz w:val="20"/>
          <w:szCs w:val="20"/>
          <w:color w:val="auto"/>
        </w:rPr>
      </w:pPr>
    </w:p>
    <w:p>
      <w:pPr>
        <w:ind w:left="880" w:hanging="373"/>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880" w:right="760" w:hanging="373"/>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240" w:val="left"/>
          <w:tab w:leader="none" w:pos="778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Executive Officer</w:t>
      </w:r>
    </w:p>
    <w:p>
      <w:pPr>
        <w:spacing w:after="0" w:line="251" w:lineRule="exact"/>
        <w:rPr>
          <w:sz w:val="20"/>
          <w:szCs w:val="20"/>
          <w:color w:val="auto"/>
        </w:rPr>
      </w:pPr>
    </w:p>
    <w:p>
      <w:pPr>
        <w:spacing w:after="0"/>
        <w:tabs>
          <w:tab w:leader="none" w:pos="5240" w:val="left"/>
          <w:tab w:leader="none" w:pos="776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Erik Ostrowski</w:t>
      </w:r>
    </w:p>
    <w:p>
      <w:pPr>
        <w:spacing w:after="0" w:line="27" w:lineRule="exact"/>
        <w:rPr>
          <w:sz w:val="20"/>
          <w:szCs w:val="20"/>
          <w:color w:val="auto"/>
        </w:rPr>
      </w:pPr>
    </w:p>
    <w:p>
      <w:pPr>
        <w:jc w:val="center"/>
        <w:ind w:left="562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1."/>
      <w:numFmt w:val="decimal"/>
      <w:start w:val="15"/>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lvl w:ilvl="1">
      <w:lvlJc w:val="left"/>
      <w:lvlText w:val="%2"/>
      <w:numFmt w:val="decimal"/>
      <w:start w:val="104"/>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lowerRoman"/>
      <w:start w:val="2"/>
    </w:lvl>
  </w:abstractNum>
  <w:abstractNum w:abstractNumId="54">
    <w:nsid w:val="2F305DEF"/>
    <w:multiLevelType w:val="hybridMultilevel"/>
    <w:lvl w:ilvl="0">
      <w:lvlJc w:val="left"/>
      <w:lvlText w:val="%1."/>
      <w:numFmt w:val="decimal"/>
      <w:start w:val="2"/>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lowerLetter"/>
      <w:start w:val="2"/>
    </w:lvl>
    <w:lvl w:ilvl="1">
      <w:lvlJc w:val="left"/>
      <w:lvlText w:val="(%2)"/>
      <w:numFmt w:val="decimal"/>
      <w:start w:val="8"/>
    </w:lvl>
    <w:lvl w:ilvl="2">
      <w:lvlJc w:val="left"/>
      <w:lvlText w:val="(%3)"/>
      <w:numFmt w:val="lowerRoman"/>
      <w:start w:val="1"/>
    </w:lvl>
  </w:abstractNum>
  <w:abstractNum w:abstractNumId="57">
    <w:nsid w:val="4AD084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58">
    <w:nsid w:val="1F48EAA1"/>
    <w:multiLevelType w:val="hybridMultilevel"/>
    <w:lvl w:ilvl="0">
      <w:lvlJc w:val="left"/>
      <w:lvlText w:val="(%1)"/>
      <w:numFmt w:val="lowerLetter"/>
      <w:start w:val="3"/>
    </w:lvl>
  </w:abstractNum>
  <w:abstractNum w:abstractNumId="59">
    <w:nsid w:val="1381823A"/>
    <w:multiLevelType w:val="hybridMultilevel"/>
    <w:lvl w:ilvl="0">
      <w:lvlJc w:val="left"/>
      <w:lvlText w:val="(%1)"/>
      <w:numFmt w:val="lowerLetter"/>
      <w:start w:val="5"/>
    </w:lvl>
  </w:abstractNum>
  <w:abstractNum w:abstractNumId="60">
    <w:nsid w:val="5DB70AE5"/>
    <w:multiLevelType w:val="hybridMultilevel"/>
    <w:lvl w:ilvl="0">
      <w:lvlJc w:val="left"/>
      <w:lvlText w:val="%1."/>
      <w:numFmt w:val="decimal"/>
      <w:start w:val="3"/>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1."/>
      <w:numFmt w:val="decimal"/>
      <w:start w:val="4"/>
    </w:lvl>
  </w:abstractNum>
  <w:abstractNum w:abstractNumId="63">
    <w:nsid w:val="15014ACB"/>
    <w:multiLevelType w:val="hybridMultilevel"/>
    <w:lvl w:ilvl="0">
      <w:lvlJc w:val="left"/>
      <w:lvlText w:val="%1."/>
      <w:numFmt w:val="decimal"/>
      <w:start w:val="5"/>
    </w:lvl>
  </w:abstractNum>
  <w:abstractNum w:abstractNumId="64">
    <w:nsid w:val="5F5E7FD0"/>
    <w:multiLevelType w:val="hybridMultilevel"/>
    <w:lvl w:ilvl="0">
      <w:lvlJc w:val="left"/>
      <w:lvlText w:val="%1."/>
      <w:numFmt w:val="decimal"/>
      <w:start w:val="6"/>
    </w:lvl>
  </w:abstractNum>
  <w:abstractNum w:abstractNumId="65">
    <w:nsid w:val="98A3148"/>
    <w:multiLevelType w:val="hybridMultilevel"/>
    <w:lvl w:ilvl="0">
      <w:lvlJc w:val="left"/>
      <w:lvlText w:val="%1."/>
      <w:numFmt w:val="decimal"/>
      <w:start w:val="7"/>
    </w:lvl>
  </w:abstractNum>
  <w:abstractNum w:abstractNumId="66">
    <w:nsid w:val="799D0247"/>
    <w:multiLevelType w:val="hybridMultilevel"/>
    <w:lvl w:ilvl="0">
      <w:lvlJc w:val="left"/>
      <w:lvlText w:val="%1."/>
      <w:numFmt w:val="decimal"/>
      <w:start w:val="8"/>
    </w:lvl>
  </w:abstractNum>
  <w:abstractNum w:abstractNumId="67">
    <w:nsid w:val="6B94764"/>
    <w:multiLevelType w:val="hybridMultilevel"/>
    <w:lvl w:ilvl="0">
      <w:lvlJc w:val="left"/>
      <w:lvlText w:val="%1."/>
      <w:numFmt w:val="decimal"/>
      <w:start w:val="9"/>
    </w:lvl>
  </w:abstractNum>
  <w:abstractNum w:abstractNumId="68">
    <w:nsid w:val="42C296BD"/>
    <w:multiLevelType w:val="hybridMultilevel"/>
    <w:lvl w:ilvl="0">
      <w:lvlJc w:val="left"/>
      <w:lvlText w:val="%1."/>
      <w:numFmt w:val="decimal"/>
      <w:start w:val="10"/>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Letter"/>
      <w:start w:val="6"/>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13" Type="http://schemas.openxmlformats.org/officeDocument/2006/relationships/hyperlink" Target="http://www.sec.gov/Archives/edgar/data/1681087/000119312518202460/d153924dex31.htm" TargetMode="External"/><Relationship Id="rId114" Type="http://schemas.openxmlformats.org/officeDocument/2006/relationships/hyperlink" Target="http://www.sec.gov/Archives/edgar/data/1681087/000119312518202460/d153924dex32.htm" TargetMode="External"/><Relationship Id="rId115" Type="http://schemas.openxmlformats.org/officeDocument/2006/relationships/hyperlink" Target="http://www.sec.gov/Archives/edgar/data/1681087/000156459020028774/avro-ex101_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2020-08-06T06:14:35Z</dcterms:created>
  <dcterms:modified xsi:type="dcterms:W3CDTF">2020-08-06T06:14:35Z</dcterms:modified>
</cp:coreProperties>
</file>