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333-280909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160020</wp:posOffset>
            </wp:positionV>
            <wp:extent cx="12687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Tectonic Therapeutic, Inc.</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2,969,583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July 30, 2024 (the “Prospectus”), which forms a part of our registration statement on Form S-1 (No. 333-280909). This prospectus supplement is being filed to update and supplement the information in the Prospectus with certain information contained in our Current Report on Form 8-K, filed with the Securities and Exchange Commission on July 30, 2024 (the “Current Report”). Accordingly, we have attached the Current Report in relevant part to this prospectus supplement.</w:t>
      </w:r>
    </w:p>
    <w:p>
      <w:pPr>
        <w:spacing w:after="0" w:line="180" w:lineRule="exact"/>
        <w:rPr>
          <w:sz w:val="24"/>
          <w:szCs w:val="24"/>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proposed offer and resale or other disposition from time to time by the selling stockholders identified in the Prospectus of up to an aggregate of 2,969,583 shares of common stock, par value $0.0001 per share (“Common Stock”), of Tectonic Therapeutic, Inc.</w:t>
      </w:r>
    </w:p>
    <w:p>
      <w:pPr>
        <w:spacing w:after="0" w:line="176" w:lineRule="exact"/>
        <w:rPr>
          <w:sz w:val="24"/>
          <w:szCs w:val="24"/>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ticker symbol “TECX.” On July 29, 2024, the last reported sales price of our Common Stock was $18.13 per share.</w:t>
      </w:r>
    </w:p>
    <w:p>
      <w:pPr>
        <w:spacing w:after="0" w:line="162" w:lineRule="exact"/>
        <w:rPr>
          <w:sz w:val="24"/>
          <w:szCs w:val="24"/>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to it, which is to be delivered with this prospectus supplement. This prospectus supplement is qualified by reference to the Prospectus, including any amendments or supplements thereto, except to the extent that the information provided by this prospectus supplement supersedes information contained in the Prospectus.</w:t>
      </w:r>
    </w:p>
    <w:p>
      <w:pPr>
        <w:spacing w:after="0" w:line="180" w:lineRule="exact"/>
        <w:rPr>
          <w:sz w:val="24"/>
          <w:szCs w:val="24"/>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used except in conjunction with, the Prospectus, including any amendments or supplements to 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w:t>
      </w:r>
    </w:p>
    <w:p>
      <w:pPr>
        <w:spacing w:after="0" w:line="132" w:lineRule="exact"/>
        <w:rPr>
          <w:sz w:val="24"/>
          <w:szCs w:val="24"/>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30, 2024</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684" w:type="dxa"/>
        <w:tblCellMar>
          <w:top w:w="0" w:type="dxa"/>
          <w:left w:w="0" w:type="dxa"/>
          <w:bottom w:w="0" w:type="dxa"/>
          <w:right w:w="0" w:type="dxa"/>
        </w:tblCellMar>
      </w:tblPr>
      <w:tr>
        <w:trPr>
          <w:trHeight w:val="214"/>
        </w:trPr>
        <w:tc>
          <w:tcPr>
            <w:tcW w:w="2780" w:type="dxa"/>
            <w:vAlign w:val="bottom"/>
          </w:tcPr>
          <w:p>
            <w:pPr>
              <w:jc w:val="center"/>
              <w:ind w:right="3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19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8"/>
        </w:trPr>
        <w:tc>
          <w:tcPr>
            <w:tcW w:w="2780" w:type="dxa"/>
            <w:vAlign w:val="bottom"/>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440" w:type="dxa"/>
            <w:vAlign w:val="bottom"/>
          </w:tcPr>
          <w:p>
            <w:pPr>
              <w:ind w:left="17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920" w:type="dxa"/>
            <w:vAlign w:val="bottom"/>
          </w:tcPr>
          <w:p>
            <w:pPr>
              <w:jc w:val="center"/>
              <w:ind w:left="7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8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44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20" w:type="dxa"/>
            <w:vAlign w:val="bottom"/>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780" w:type="dxa"/>
            <w:vAlign w:val="bottom"/>
          </w:tcPr>
          <w:p>
            <w:pPr>
              <w:jc w:val="center"/>
              <w:ind w:right="319"/>
              <w:spacing w:after="0"/>
              <w:rPr>
                <w:sz w:val="20"/>
                <w:szCs w:val="20"/>
                <w:color w:val="auto"/>
              </w:rPr>
            </w:pPr>
            <w:r>
              <w:rPr>
                <w:rFonts w:ascii="Times New Roman" w:cs="Times New Roman" w:eastAsia="Times New Roman" w:hAnsi="Times New Roman"/>
                <w:sz w:val="18"/>
                <w:szCs w:val="18"/>
                <w:b w:val="1"/>
                <w:bCs w:val="1"/>
                <w:color w:val="auto"/>
                <w:w w:val="99"/>
              </w:rPr>
              <w:t>490 Arsenal Way, Suite 210</w:t>
            </w:r>
          </w:p>
        </w:tc>
        <w:tc>
          <w:tcPr>
            <w:tcW w:w="4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7"/>
        </w:trPr>
        <w:tc>
          <w:tcPr>
            <w:tcW w:w="2780" w:type="dxa"/>
            <w:vAlign w:val="bottom"/>
          </w:tcPr>
          <w:p>
            <w:pPr>
              <w:jc w:val="center"/>
              <w:ind w:right="319"/>
              <w:spacing w:after="0"/>
              <w:rPr>
                <w:sz w:val="20"/>
                <w:szCs w:val="20"/>
                <w:color w:val="auto"/>
              </w:rPr>
            </w:pPr>
            <w:r>
              <w:rPr>
                <w:rFonts w:ascii="Times New Roman" w:cs="Times New Roman" w:eastAsia="Times New Roman" w:hAnsi="Times New Roman"/>
                <w:sz w:val="18"/>
                <w:szCs w:val="18"/>
                <w:b w:val="1"/>
                <w:bCs w:val="1"/>
                <w:color w:val="auto"/>
                <w:w w:val="99"/>
              </w:rPr>
              <w:t>Watertown, MA</w:t>
            </w:r>
          </w:p>
        </w:tc>
        <w:tc>
          <w:tcPr>
            <w:tcW w:w="4440" w:type="dxa"/>
            <w:vAlign w:val="bottom"/>
          </w:tcPr>
          <w:p>
            <w:pPr>
              <w:spacing w:after="0"/>
              <w:rPr>
                <w:sz w:val="19"/>
                <w:szCs w:val="19"/>
                <w:color w:val="auto"/>
              </w:rPr>
            </w:pPr>
          </w:p>
        </w:tc>
        <w:tc>
          <w:tcPr>
            <w:tcW w:w="19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278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40" w:type="dxa"/>
            <w:vAlign w:val="bottom"/>
          </w:tcPr>
          <w:p>
            <w:pPr>
              <w:spacing w:after="0"/>
              <w:rPr>
                <w:sz w:val="16"/>
                <w:szCs w:val="16"/>
                <w:color w:val="auto"/>
              </w:rPr>
            </w:pPr>
          </w:p>
        </w:tc>
        <w:tc>
          <w:tcPr>
            <w:tcW w:w="1920" w:type="dxa"/>
            <w:vAlign w:val="bottom"/>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7"/>
        </w:trPr>
        <w:tc>
          <w:tcPr>
            <w:tcW w:w="2780" w:type="dxa"/>
            <w:vAlign w:val="bottom"/>
          </w:tcPr>
          <w:p>
            <w:pPr>
              <w:spacing w:after="0"/>
              <w:rPr>
                <w:sz w:val="24"/>
                <w:szCs w:val="24"/>
                <w:color w:val="auto"/>
              </w:rPr>
            </w:pPr>
          </w:p>
        </w:tc>
        <w:tc>
          <w:tcPr>
            <w:tcW w:w="4440" w:type="dxa"/>
            <w:vAlign w:val="bottom"/>
          </w:tcPr>
          <w:p>
            <w:pPr>
              <w:jc w:val="right"/>
              <w:ind w:right="1761"/>
              <w:spacing w:after="0"/>
              <w:rPr>
                <w:sz w:val="20"/>
                <w:szCs w:val="20"/>
                <w:color w:val="auto"/>
              </w:rPr>
            </w:pPr>
            <w:r>
              <w:rPr>
                <w:rFonts w:ascii="Times New Roman" w:cs="Times New Roman" w:eastAsia="Times New Roman" w:hAnsi="Times New Roman"/>
                <w:sz w:val="18"/>
                <w:szCs w:val="18"/>
                <w:b w:val="1"/>
                <w:bCs w:val="1"/>
                <w:color w:val="auto"/>
              </w:rPr>
              <w:t>(339) 666-3320</w:t>
            </w:r>
          </w:p>
        </w:tc>
        <w:tc>
          <w:tcPr>
            <w:tcW w:w="1920" w:type="dxa"/>
            <w:vAlign w:val="bottom"/>
          </w:tcPr>
          <w:p>
            <w:pPr>
              <w:spacing w:after="0"/>
              <w:rPr>
                <w:sz w:val="24"/>
                <w:szCs w:val="24"/>
                <w:color w:val="auto"/>
              </w:rPr>
            </w:pPr>
          </w:p>
        </w:tc>
      </w:tr>
      <w:tr>
        <w:trPr>
          <w:trHeight w:val="190"/>
        </w:trPr>
        <w:tc>
          <w:tcPr>
            <w:tcW w:w="2780" w:type="dxa"/>
            <w:vAlign w:val="bottom"/>
          </w:tcPr>
          <w:p>
            <w:pPr>
              <w:spacing w:after="0"/>
              <w:rPr>
                <w:sz w:val="16"/>
                <w:szCs w:val="16"/>
                <w:color w:val="auto"/>
              </w:rPr>
            </w:pPr>
          </w:p>
        </w:tc>
        <w:tc>
          <w:tcPr>
            <w:tcW w:w="4440" w:type="dxa"/>
            <w:vAlign w:val="bottom"/>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w:t>
      </w:r>
    </w:p>
    <w:p>
      <w:pPr>
        <w:spacing w:after="0" w:line="189"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 w:right="2560" w:hanging="4"/>
        <w:spacing w:after="0" w:line="51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bookmarkStart w:id="2" w:name="page3"/>
    <w:bookmarkEnd w:id="2"/>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tab/>
        <w:t>Other Events.</w:t>
      </w:r>
    </w:p>
    <w:p>
      <w:pPr>
        <w:spacing w:after="0" w:line="121"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The Company announced today that the U.S. Food and Drug Administration (the “FDA”) has cleared its Investigational New Drug (“IND”) application for TX45, an Fc-relaxin fusion protein being evaluated for the treatment of patients with Group 2 Pulmonary Hypertension (“PH”) due to Heart Failure with Preserved Ejection Fraction (“HFpEF”).</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is also updating its guidance in regard to the TX45 program as follows:</w:t>
      </w:r>
    </w:p>
    <w:p>
      <w:pPr>
        <w:spacing w:after="0" w:line="131" w:lineRule="exact"/>
        <w:rPr>
          <w:sz w:val="20"/>
          <w:szCs w:val="20"/>
          <w:color w:val="auto"/>
        </w:rPr>
      </w:pPr>
    </w:p>
    <w:p>
      <w:pPr>
        <w:ind w:left="424" w:hanging="316"/>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trial results of the Phase 1a clinical trial of TX45 in healthy volunteers is expected to be released in September 2024.</w:t>
      </w:r>
    </w:p>
    <w:p>
      <w:pPr>
        <w:spacing w:after="0" w:line="130" w:lineRule="exact"/>
        <w:rPr>
          <w:rFonts w:ascii="Times New Roman" w:cs="Times New Roman" w:eastAsia="Times New Roman" w:hAnsi="Times New Roman"/>
          <w:sz w:val="18"/>
          <w:szCs w:val="18"/>
          <w:color w:val="auto"/>
        </w:rPr>
      </w:pPr>
    </w:p>
    <w:p>
      <w:pPr>
        <w:ind w:left="424" w:right="400" w:hanging="316"/>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1b hemodynamic trial evaluating single doses of TX45 in subjects with Group 2 PH due to HFpEF continues to enroll as planned, with topline trial results expected in mid-2025.</w:t>
      </w:r>
    </w:p>
    <w:p>
      <w:pPr>
        <w:spacing w:after="0" w:line="67" w:lineRule="exact"/>
        <w:rPr>
          <w:rFonts w:ascii="Times New Roman" w:cs="Times New Roman" w:eastAsia="Times New Roman" w:hAnsi="Times New Roman"/>
          <w:sz w:val="18"/>
          <w:szCs w:val="18"/>
          <w:color w:val="auto"/>
        </w:rPr>
      </w:pPr>
    </w:p>
    <w:p>
      <w:pPr>
        <w:ind w:left="424" w:right="160" w:hanging="316"/>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initiate a global, 24-week Phase 2 clinical trial to evaluate TX45 administered subcutaneously in subjects with Group 2 PH due to HFpEF in the third quarter of 2024.</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7"/>
          <w:szCs w:val="17"/>
          <w:color w:val="auto"/>
        </w:rPr>
        <w:t>Statements contained in this Current Report on Form 8-K regarding matters that are not historical facts are “forward looking statements” within the meaning of the Private Securities Litigation Reform Act of 1995. The Company may, in some cases, use terms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include, but are not limited to, statements regarding: the design, objectives, initiation, timing, progress and results of current and future clinical trials of the Company’s product candidate, TX45, including the ongoing Phase 1a and Phase 1b clinical trials of TX45 and initiation of the Phase 2 clinical trial of TX45. These forward-looking statements are based on the Company’s expectations and assumptions as of the date of this filing.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between Israel and Hamas, heightened inflation and uncertain credit and financial markets, on the Company’s business, clinical trials and financial position; unexpected safety or efficacy data observed during preclinical studies or clinical trials; clinical trial site activation or enrollment rates that are lower than expected; the Company’s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are identified in the section titled “Risk Factors” in the final prospectus on Form 424(b)(3) filed by AVROBIO with the Securities and Exchange Commission on May 3, 2024, and in other filings that the Company makes and will make with the Securities and Exchange Commission in the future. The Company expressly disclaims any obligation to update any forward-looking statements contained herein, whether as a result of any new information, future events, changed circumstances or otherwise, except as otherwise required by law.</w:t>
      </w:r>
    </w:p>
    <w:p>
      <w:pPr>
        <w:spacing w:after="0" w:line="21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56"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004"/>
          </w:cols>
          <w:pgMar w:left="436" w:top="266" w:right="459" w:bottom="1440" w:gutter="0" w:footer="0" w:header="0"/>
        </w:sect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ectPr>
          <w:pgSz w:w="11900" w:h="16838" w:orient="portrait"/>
          <w:cols w:equalWidth="0" w:num="2">
            <w:col w:w="744" w:space="720"/>
            <w:col w:w="9540"/>
          </w:cols>
          <w:pgMar w:left="436" w:top="266"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w:t>
      </w:r>
    </w:p>
    <w:p>
      <w:pPr>
        <w:sectPr>
          <w:pgSz w:w="11900" w:h="16838" w:orient="portrait"/>
          <w:cols w:equalWidth="0" w:num="2">
            <w:col w:w="744" w:space="720"/>
            <w:col w:w="9540"/>
          </w:cols>
          <w:pgMar w:left="436" w:top="266" w:right="459" w:bottom="1440" w:gutter="0" w:footer="0" w:header="0"/>
          <w:type w:val="continuous"/>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2024-07-31T05:24:50Z</dcterms:created>
  <dcterms:modified xsi:type="dcterms:W3CDTF">2024-07-31T05:24:50Z</dcterms:modified>
</cp:coreProperties>
</file>