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20" w:right="1580" w:hanging="3812"/>
        <w:spacing w:after="0" w:line="360" w:lineRule="auto"/>
        <w:tabs>
          <w:tab w:leader="none" w:pos="51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720" w:type="dxa"/>
            <w:vAlign w:val="bottom"/>
            <w:tcBorders>
              <w:bottom w:val="single" w:sz="8" w:color="auto"/>
            </w:tcBorders>
          </w:tcPr>
          <w:p>
            <w:pPr>
              <w:spacing w:after="0"/>
              <w:rPr>
                <w:sz w:val="17"/>
                <w:szCs w:val="17"/>
                <w:color w:val="auto"/>
              </w:rPr>
            </w:pPr>
          </w:p>
        </w:tc>
      </w:tr>
      <w:tr>
        <w:trPr>
          <w:trHeight w:val="318"/>
        </w:trPr>
        <w:tc>
          <w:tcPr>
            <w:tcW w:w="4040" w:type="dxa"/>
            <w:vAlign w:val="bottom"/>
            <w:gridSpan w:val="4"/>
          </w:tcPr>
          <w:p>
            <w:pPr>
              <w:ind w:left="600"/>
              <w:spacing w:after="0"/>
              <w:rPr>
                <w:sz w:val="20"/>
                <w:szCs w:val="20"/>
                <w:color w:val="auto"/>
              </w:rPr>
            </w:pPr>
            <w:r>
              <w:rPr>
                <w:rFonts w:ascii="Arial" w:cs="Arial" w:eastAsia="Arial" w:hAnsi="Arial"/>
                <w:sz w:val="18"/>
                <w:szCs w:val="18"/>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81-0710585</w:t>
            </w:r>
          </w:p>
        </w:tc>
      </w:tr>
      <w:tr>
        <w:trPr>
          <w:trHeight w:val="148"/>
        </w:trPr>
        <w:tc>
          <w:tcPr>
            <w:tcW w:w="4340" w:type="dxa"/>
            <w:vAlign w:val="bottom"/>
          </w:tcPr>
          <w:p>
            <w:pPr>
              <w:jc w:val="center"/>
              <w:ind w:right="189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98"/>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One Kendall Square</w:t>
            </w:r>
          </w:p>
        </w:tc>
        <w:tc>
          <w:tcPr>
            <w:tcW w:w="3080" w:type="dxa"/>
            <w:vAlign w:val="bottom"/>
          </w:tcPr>
          <w:p>
            <w:pPr>
              <w:spacing w:after="0"/>
              <w:rPr>
                <w:sz w:val="22"/>
                <w:szCs w:val="22"/>
                <w:color w:val="auto"/>
              </w:rPr>
            </w:pPr>
          </w:p>
        </w:tc>
      </w:tr>
      <w:tr>
        <w:trPr>
          <w:trHeight w:val="216"/>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89"/>
              </w:rPr>
              <w:t>Building 300, Suite 201</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212"/>
        </w:trPr>
        <w:tc>
          <w:tcPr>
            <w:tcW w:w="4340" w:type="dxa"/>
            <w:vAlign w:val="bottom"/>
          </w:tcPr>
          <w:p>
            <w:pPr>
              <w:jc w:val="center"/>
              <w:ind w:right="1878"/>
              <w:spacing w:after="0"/>
              <w:rPr>
                <w:sz w:val="20"/>
                <w:szCs w:val="20"/>
                <w:color w:val="auto"/>
              </w:rPr>
            </w:pPr>
            <w:r>
              <w:rPr>
                <w:rFonts w:ascii="Arial" w:cs="Arial" w:eastAsia="Arial" w:hAnsi="Arial"/>
                <w:sz w:val="18"/>
                <w:szCs w:val="18"/>
                <w:b w:val="1"/>
                <w:bCs w:val="1"/>
                <w:color w:val="auto"/>
                <w:w w:val="95"/>
              </w:rPr>
              <w:t>Cambridge, MA</w:t>
            </w:r>
          </w:p>
        </w:tc>
        <w:tc>
          <w:tcPr>
            <w:tcW w:w="3080" w:type="dxa"/>
            <w:vAlign w:val="bottom"/>
          </w:tcPr>
          <w:p>
            <w:pPr>
              <w:spacing w:after="0"/>
              <w:rPr>
                <w:sz w:val="18"/>
                <w:szCs w:val="18"/>
                <w:color w:val="auto"/>
              </w:rPr>
            </w:pPr>
          </w:p>
        </w:tc>
      </w:tr>
      <w:tr>
        <w:trPr>
          <w:trHeight w:val="186"/>
        </w:trPr>
        <w:tc>
          <w:tcPr>
            <w:tcW w:w="4340" w:type="dxa"/>
            <w:vAlign w:val="bottom"/>
          </w:tcPr>
          <w:p>
            <w:pPr>
              <w:jc w:val="center"/>
              <w:ind w:right="18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vMerge w:val="restart"/>
          </w:tcPr>
          <w:p>
            <w:pPr>
              <w:spacing w:after="0"/>
              <w:rPr>
                <w:sz w:val="14"/>
                <w:szCs w:val="14"/>
                <w:color w:val="auto"/>
              </w:rPr>
            </w:pPr>
          </w:p>
        </w:tc>
        <w:tc>
          <w:tcPr>
            <w:tcW w:w="3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50"/>
        </w:trPr>
        <w:tc>
          <w:tcPr>
            <w:tcW w:w="4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AVRO</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w w:val="97"/>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80" w:type="dxa"/>
            <w:vAlign w:val="bottom"/>
          </w:tcPr>
          <w:p>
            <w:pPr>
              <w:ind w:left="3260"/>
              <w:spacing w:after="0"/>
              <w:rPr>
                <w:sz w:val="20"/>
                <w:szCs w:val="20"/>
                <w:color w:val="auto"/>
              </w:rPr>
            </w:pPr>
            <w:r>
              <w:rPr>
                <w:rFonts w:ascii="Arial" w:cs="Arial" w:eastAsia="Arial" w:hAnsi="Arial"/>
                <w:sz w:val="18"/>
                <w:szCs w:val="18"/>
                <w:color w:val="auto"/>
                <w:w w:val="98"/>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7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3, 2022, the registrant had 43,696,470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485140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jc w:val="center"/>
        <w:ind w:right="36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FINANCIAL INFORMATION</w:t>
        </w:r>
      </w:hyperlink>
    </w:p>
    <w:p>
      <w:pPr>
        <w:spacing w:after="0" w:line="27"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Financial Statements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Balance Sheets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Statements of Operations and Comprehensive Loss</w:t>
        </w:r>
      </w:hyperlink>
    </w:p>
    <w:p>
      <w:pPr>
        <w:spacing w:after="0" w:line="33"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Statements o</w:t>
        </w:r>
        <w:r>
          <w:rPr>
            <w:rFonts w:ascii="Arial" w:cs="Arial" w:eastAsia="Arial" w:hAnsi="Arial"/>
            <w:sz w:val="21"/>
            <w:szCs w:val="21"/>
            <w:u w:val="single" w:color="auto"/>
            <w:color w:val="0000EE"/>
          </w:rPr>
          <w:t>f</w:t>
        </w:r>
        <w:r>
          <w:rPr>
            <w:rFonts w:ascii="Arial" w:cs="Arial" w:eastAsia="Arial" w:hAnsi="Arial"/>
            <w:sz w:val="18"/>
            <w:szCs w:val="18"/>
            <w:u w:val="single" w:color="auto"/>
            <w:color w:val="0000EE"/>
          </w:rPr>
          <w:t xml:space="preserve"> Stockholders’ Equity</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Statements of Cash Flows</w:t>
        </w:r>
      </w:hyperlink>
    </w:p>
    <w:p>
      <w:pPr>
        <w:spacing w:after="0" w:line="13"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Consolidated Financial Statements</w:t>
        </w:r>
      </w:hyperlink>
    </w:p>
    <w:p>
      <w:pPr>
        <w:spacing w:after="0" w:line="23" w:lineRule="exact"/>
        <w:rPr>
          <w:sz w:val="20"/>
          <w:szCs w:val="20"/>
          <w:color w:val="auto"/>
        </w:rPr>
      </w:pPr>
    </w:p>
    <w:p>
      <w:pPr>
        <w:ind w:right="2000"/>
        <w:spacing w:after="0" w:line="266"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 xml:space="preserve"> </w:t>
      </w:r>
      <w:hyperlink w:anchor="page33">
        <w:r>
          <w:rPr>
            <w:rFonts w:ascii="Arial" w:cs="Arial" w:eastAsia="Arial" w:hAnsi="Arial"/>
            <w:sz w:val="18"/>
            <w:szCs w:val="18"/>
            <w:u w:val="single" w:color="auto"/>
            <w:color w:val="0000EE"/>
          </w:rPr>
          <w:t>Controls and Procedures</w:t>
        </w:r>
      </w:hyperlink>
    </w:p>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Proceedings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Unregistered Sales of Equity Securities and Use of Proceeds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Defaults Upon Senior Securities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Mine Safety Disclosures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Other Information</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Exhibits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Signatures</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13" w:lineRule="exact"/>
        <w:rPr>
          <w:rFonts w:ascii="Arial" w:cs="Arial" w:eastAsia="Arial" w:hAnsi="Arial"/>
          <w:sz w:val="18"/>
          <w:szCs w:val="18"/>
          <w:u w:val="single" w:color="auto"/>
          <w:color w:val="0000EE"/>
        </w:rPr>
      </w:pPr>
    </w:p>
    <w:p>
      <w:pPr>
        <w:jc w:val="center"/>
        <w:ind w:right="360"/>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-1010285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-106045</wp:posOffset>
            </wp:positionH>
            <wp:positionV relativeFrom="paragraph">
              <wp:posOffset>6350</wp:posOffset>
            </wp:positionV>
            <wp:extent cx="351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790" cy="8255"/>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w:t>
      </w:r>
    </w:p>
    <w:p>
      <w:pPr>
        <w:spacing w:after="0" w:line="3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19</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26</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27</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28</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28</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28</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71</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71</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71</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71</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72</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73</w:t>
      </w:r>
    </w:p>
    <w:p>
      <w:pPr>
        <w:sectPr>
          <w:pgSz w:w="11900" w:h="16838" w:orient="portrait"/>
          <w:cols w:equalWidth="0" w:num="3">
            <w:col w:w="760" w:space="720"/>
            <w:col w:w="8460" w:space="720"/>
            <w:col w:w="380"/>
          </w:cols>
          <w:pgMar w:left="420" w:top="337"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76" w:lineRule="exact"/>
        <w:rPr>
          <w:sz w:val="20"/>
          <w:szCs w:val="20"/>
          <w:color w:val="auto"/>
        </w:rPr>
      </w:pPr>
    </w:p>
    <w:p>
      <w:pPr>
        <w:ind w:left="880" w:right="6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170" w:lineRule="exact"/>
        <w:rPr>
          <w:rFonts w:ascii="Arial" w:cs="Arial" w:eastAsia="Arial" w:hAnsi="Arial"/>
          <w:sz w:val="18"/>
          <w:szCs w:val="18"/>
          <w:color w:val="auto"/>
        </w:rPr>
      </w:pPr>
    </w:p>
    <w:p>
      <w:pPr>
        <w:ind w:left="880" w:right="20" w:hanging="373"/>
        <w:spacing w:after="0" w:line="259"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term loan agreement contains restrictions that potentially limit our flexibility in operating our business, and we may be required to make a prepayment or repay our outstanding indebtedness earlier than we expect. In addition, as a result of the deprioritization of our Fabry program, we can no longer draw $20.0 million of term loans that were contingent upon the achievement of certain milestones related to our development of AVR-RD-01 for Fabry disease.</w:t>
      </w:r>
    </w:p>
    <w:p>
      <w:pPr>
        <w:spacing w:after="0" w:line="92" w:lineRule="exact"/>
        <w:rPr>
          <w:rFonts w:ascii="Arial" w:cs="Arial" w:eastAsia="Arial" w:hAnsi="Arial"/>
          <w:sz w:val="18"/>
          <w:szCs w:val="18"/>
          <w:color w:val="auto"/>
        </w:rPr>
      </w:pPr>
    </w:p>
    <w:p>
      <w:pPr>
        <w:ind w:left="880" w:right="180" w:hanging="373"/>
        <w:spacing w:after="0" w:line="308"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Business interruptions resulting from the ongoing coronavirus disease (COVID-19) pandemic or similar public health crises have caused and may continue to cause a disruption of the development of our product candidates and adversely impact our business.</w:t>
      </w:r>
    </w:p>
    <w:p>
      <w:pPr>
        <w:spacing w:after="0" w:line="51" w:lineRule="exact"/>
        <w:rPr>
          <w:rFonts w:ascii="Arial" w:cs="Arial" w:eastAsia="Arial" w:hAnsi="Arial"/>
          <w:sz w:val="17"/>
          <w:szCs w:val="17"/>
          <w:color w:val="auto"/>
        </w:rPr>
      </w:pPr>
    </w:p>
    <w:p>
      <w:pPr>
        <w:ind w:left="880" w:right="1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880" w:right="14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preclinical studies or early clinical trials may not be indicative of results obtained in later trials.</w:t>
      </w:r>
    </w:p>
    <w:p>
      <w:pPr>
        <w:spacing w:after="0" w:line="157"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we may fail to demonstrate safety and efficacy to the satisfaction of applicable regulatory authorities.</w:t>
      </w:r>
    </w:p>
    <w:p>
      <w:pPr>
        <w:spacing w:after="0" w:line="75" w:lineRule="exact"/>
        <w:rPr>
          <w:rFonts w:ascii="Arial" w:cs="Arial" w:eastAsia="Arial" w:hAnsi="Arial"/>
          <w:sz w:val="18"/>
          <w:szCs w:val="18"/>
          <w:color w:val="auto"/>
        </w:rPr>
      </w:pPr>
    </w:p>
    <w:p>
      <w:pPr>
        <w:ind w:left="880" w:right="7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complete the necessary preclinical and clinical studies, we cannot predict when or if we will obtain regulatory approval to commercialize a product candidate and the approval may be for a narrower indication than anticipated.</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Only one of our clinical trials utilizes our plato</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157" w:lineRule="exact"/>
        <w:rPr>
          <w:rFonts w:ascii="Arial" w:cs="Arial" w:eastAsia="Arial" w:hAnsi="Arial"/>
          <w:sz w:val="18"/>
          <w:szCs w:val="18"/>
          <w:color w:val="auto"/>
        </w:rPr>
      </w:pPr>
    </w:p>
    <w:p>
      <w:pPr>
        <w:ind w:left="880" w:right="40" w:hanging="373"/>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70" w:lineRule="exact"/>
        <w:rPr>
          <w:rFonts w:ascii="Arial" w:cs="Arial" w:eastAsia="Arial" w:hAnsi="Arial"/>
          <w:sz w:val="17"/>
          <w:szCs w:val="17"/>
          <w:color w:val="auto"/>
        </w:rPr>
      </w:pPr>
    </w:p>
    <w:p>
      <w:pPr>
        <w:ind w:left="880" w:right="7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75"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spacing w:after="0" w:line="89"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5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 w:name="page4"/>
    <w:bookmarkEnd w:id="3"/>
    <w:p>
      <w:pPr>
        <w:ind w:left="880" w:hanging="373"/>
        <w:spacing w:after="0" w:line="263"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84"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Securities and Exchange Commission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Note Regarding Forward-looking Statements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are made pursuant to the safe harbor provisions of Section 27A of the Securities Act of 1933, as amended (the “Securities Act”), and Section 21E of the Securities Exchange Act of 1934, as amended (the “Exchange Act”). These statements may be identified by such forward-looking terminology as “aims,” “anticipates,” “believes,” “continue,” “could,” “designed to,” “estimates,” “expects,” “intends,” “may,” “plans,” “potential,” “predicts,” “strives,” “should,”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73" w:lineRule="exact"/>
        <w:rPr>
          <w:sz w:val="20"/>
          <w:szCs w:val="20"/>
          <w:color w:val="auto"/>
        </w:rPr>
      </w:pPr>
    </w:p>
    <w:p>
      <w:pPr>
        <w:jc w:val="both"/>
        <w:ind w:left="880" w:right="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75" w:lineRule="exact"/>
        <w:rPr>
          <w:rFonts w:ascii="Arial" w:cs="Arial" w:eastAsia="Arial" w:hAnsi="Arial"/>
          <w:sz w:val="18"/>
          <w:szCs w:val="18"/>
          <w:color w:val="auto"/>
        </w:rPr>
      </w:pPr>
    </w:p>
    <w:p>
      <w:pPr>
        <w:ind w:left="880" w:right="2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880" w:right="380" w:hanging="373"/>
        <w:spacing w:after="0" w:line="342"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durability of effects from our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anticipated regulatory pathway for our product candidates and planned interactions with regulatory agencies;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product candidates, technology and plato platform;</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scalability and commercial viability of our manufacturing methods and processes, including our move to a closed, automated system;</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44" w:lineRule="exact"/>
        <w:rPr>
          <w:rFonts w:ascii="Arial" w:cs="Arial" w:eastAsia="Arial" w:hAnsi="Arial"/>
          <w:sz w:val="18"/>
          <w:szCs w:val="18"/>
          <w:color w:val="auto"/>
        </w:rPr>
      </w:pPr>
    </w:p>
    <w:p>
      <w:pPr>
        <w:ind w:left="880" w:hanging="373"/>
        <w:spacing w:after="0" w:line="263"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 including other lentiviral-based gene therapy companies;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the terms of our term loan agreement;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avoid any findings of material weaknesses or significant deficiencies in the future;</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44"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or JOBS Act;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93"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Trademarks</w:t>
      </w:r>
    </w:p>
    <w:p>
      <w:pPr>
        <w:spacing w:after="0" w:line="13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All brand names or trademarks appearing in this Quarterly Report are the property of their respective holders. Unless the context requires otherwise, references in this Quarterly Report to the “Company,” “we,” “us,” and “our” refer to AVROBIO, Inc.</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46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I—FINANCIAL INFORMATION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6860" w:type="dxa"/>
            <w:vAlign w:val="bottom"/>
            <w:gridSpan w:val="3"/>
          </w:tcPr>
          <w:p>
            <w:pPr>
              <w:jc w:val="center"/>
              <w:ind w:left="20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46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460" w:type="dxa"/>
            <w:vAlign w:val="bottom"/>
          </w:tcPr>
          <w:p>
            <w:pPr>
              <w:jc w:val="center"/>
              <w:ind w:left="24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20" w:type="dxa"/>
            <w:vAlign w:val="bottom"/>
            <w:tcBorders>
              <w:bottom w:val="single" w:sz="8" w:color="CFF0FC"/>
            </w:tcBorders>
          </w:tcPr>
          <w:p>
            <w:pPr>
              <w:spacing w:after="0"/>
              <w:rPr>
                <w:sz w:val="14"/>
                <w:szCs w:val="14"/>
                <w:color w:val="auto"/>
              </w:rPr>
            </w:pPr>
          </w:p>
        </w:tc>
        <w:tc>
          <w:tcPr>
            <w:tcW w:w="64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161,663</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w w:val="88"/>
              </w:rPr>
              <w:t>Restricted cash</w:t>
            </w:r>
          </w:p>
        </w:tc>
        <w:tc>
          <w:tcPr>
            <w:tcW w:w="6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4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175,343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4,037</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Deferred rent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Note payable, net of discount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rent, net of current portion</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0"/>
              </w:rPr>
              <w:t>Common stock, $0.0001 par value; 150,000 shares authorized; 43,696 and 43,652 shares issued and</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outstanding as of March 31, 2022 and December 31, 2021, respectively</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556,534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553,014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(413,375)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(383,542)</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143,163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175,343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80" w:type="dxa"/>
            <w:vAlign w:val="bottom"/>
          </w:tcPr>
          <w:p>
            <w:pPr>
              <w:jc w:val="right"/>
              <w:ind w:right="37"/>
              <w:spacing w:after="0" w:line="155" w:lineRule="exact"/>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00" w:type="dxa"/>
            <w:vAlign w:val="bottom"/>
            <w:gridSpan w:val="2"/>
          </w:tcPr>
          <w:p>
            <w:pPr>
              <w:jc w:val="right"/>
              <w:ind w:right="99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19,253</w:t>
            </w:r>
          </w:p>
        </w:tc>
        <w:tc>
          <w:tcPr>
            <w:tcW w:w="180" w:type="dxa"/>
            <w:vAlign w:val="bottom"/>
          </w:tcPr>
          <w:p>
            <w:pPr>
              <w:spacing w:after="0"/>
              <w:rPr>
                <w:sz w:val="19"/>
                <w:szCs w:val="19"/>
                <w:color w:val="auto"/>
              </w:rPr>
            </w:pPr>
          </w:p>
        </w:tc>
        <w:tc>
          <w:tcPr>
            <w:tcW w:w="130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18,527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8,357</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26,884</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(29,418)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(26,884)</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Other (expense) income:</w:t>
            </w: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income, net</w:t>
            </w:r>
          </w:p>
        </w:tc>
        <w:tc>
          <w:tcPr>
            <w:tcW w:w="6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net</w:t>
            </w:r>
          </w:p>
        </w:tc>
        <w:tc>
          <w:tcPr>
            <w:tcW w:w="6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bottom w:val="single" w:sz="8" w:color="CFF0FC"/>
            </w:tcBorders>
          </w:tcPr>
          <w:p>
            <w:pPr>
              <w:spacing w:after="0"/>
              <w:rPr>
                <w:sz w:val="22"/>
                <w:szCs w:val="22"/>
                <w:color w:val="auto"/>
              </w:rPr>
            </w:pPr>
          </w:p>
        </w:tc>
        <w:tc>
          <w:tcPr>
            <w:tcW w:w="118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(29,833)</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(26,899)</w:t>
            </w:r>
          </w:p>
        </w:tc>
        <w:tc>
          <w:tcPr>
            <w:tcW w:w="3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6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997"/>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(29,833)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(26,899)</w:t>
            </w: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18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FF0FC"/>
            </w:tcBorders>
            <w:vMerge w:val="continue"/>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997"/>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3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w w:val="99"/>
              </w:rPr>
              <w:t>Weighted-average number of common shares outstanding — basic and diluted</w:t>
            </w:r>
          </w:p>
        </w:tc>
        <w:tc>
          <w:tcPr>
            <w:tcW w:w="6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43,695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41,618</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center"/>
              <w:ind w:left="716"/>
              <w:spacing w:after="0"/>
              <w:rPr>
                <w:sz w:val="20"/>
                <w:szCs w:val="20"/>
                <w:color w:val="auto"/>
              </w:rPr>
            </w:pPr>
            <w:r>
              <w:rPr>
                <w:rFonts w:ascii="Arial" w:cs="Arial" w:eastAsia="Arial" w:hAnsi="Arial"/>
                <w:sz w:val="14"/>
                <w:szCs w:val="14"/>
                <w:b w:val="1"/>
                <w:bCs w:val="1"/>
                <w:color w:val="auto"/>
                <w:w w:val="95"/>
              </w:rPr>
              <w:t>Three Months Ended March 31, 2021</w:t>
            </w:r>
          </w:p>
        </w:tc>
        <w:tc>
          <w:tcPr>
            <w:tcW w:w="1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4"/>
        </w:trPr>
        <w:tc>
          <w:tcPr>
            <w:tcW w:w="3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57"/>
              <w:spacing w:after="0" w:line="12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0"/>
                <w:szCs w:val="10"/>
                <w:color w:val="auto"/>
              </w:rPr>
            </w:pPr>
          </w:p>
        </w:tc>
      </w:tr>
      <w:tr>
        <w:trPr>
          <w:trHeight w:val="153"/>
        </w:trPr>
        <w:tc>
          <w:tcPr>
            <w:tcW w:w="3000" w:type="dxa"/>
            <w:vAlign w:val="bottom"/>
          </w:tcPr>
          <w:p>
            <w:pPr>
              <w:spacing w:after="0"/>
              <w:rPr>
                <w:sz w:val="13"/>
                <w:szCs w:val="13"/>
                <w:color w:val="auto"/>
              </w:rPr>
            </w:pPr>
          </w:p>
        </w:tc>
        <w:tc>
          <w:tcPr>
            <w:tcW w:w="2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Common Stock</w:t>
            </w:r>
          </w:p>
        </w:tc>
        <w:tc>
          <w:tcPr>
            <w:tcW w:w="10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5"/>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232"/>
        </w:trPr>
        <w:tc>
          <w:tcPr>
            <w:tcW w:w="3000" w:type="dxa"/>
            <w:vAlign w:val="bottom"/>
          </w:tcPr>
          <w:p>
            <w:pPr>
              <w:spacing w:after="0"/>
              <w:rPr>
                <w:sz w:val="20"/>
                <w:szCs w:val="20"/>
                <w:color w:val="auto"/>
              </w:rPr>
            </w:pPr>
          </w:p>
        </w:tc>
        <w:tc>
          <w:tcPr>
            <w:tcW w:w="1400" w:type="dxa"/>
            <w:vAlign w:val="bottom"/>
          </w:tcPr>
          <w:p>
            <w:pPr>
              <w:jc w:val="right"/>
              <w:ind w:right="4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16"/>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0"/>
              </w:rPr>
              <w:t>Paid-in Capital</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Equity</w:t>
            </w:r>
          </w:p>
        </w:tc>
      </w:tr>
      <w:tr>
        <w:trPr>
          <w:trHeight w:val="153"/>
        </w:trPr>
        <w:tc>
          <w:tcPr>
            <w:tcW w:w="3000" w:type="dxa"/>
            <w:vAlign w:val="bottom"/>
          </w:tcPr>
          <w:p>
            <w:pPr>
              <w:spacing w:after="0"/>
              <w:rPr>
                <w:sz w:val="20"/>
                <w:szCs w:val="20"/>
                <w:color w:val="auto"/>
              </w:rPr>
            </w:pPr>
            <w:r>
              <w:rPr>
                <w:rFonts w:ascii="Arial" w:cs="Arial" w:eastAsia="Arial" w:hAnsi="Arial"/>
                <w:sz w:val="13"/>
                <w:szCs w:val="13"/>
                <w:b w:val="1"/>
                <w:bCs w:val="1"/>
                <w:color w:val="auto"/>
              </w:rPr>
              <w:t>Balance as of December 31, 2020</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41,569</w:t>
            </w:r>
          </w:p>
        </w:tc>
        <w:tc>
          <w:tcPr>
            <w:tcW w:w="6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4</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518,756</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(264,416)</w:t>
            </w:r>
          </w:p>
        </w:tc>
        <w:tc>
          <w:tcPr>
            <w:tcW w:w="200" w:type="dxa"/>
            <w:vAlign w:val="bottom"/>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254,344</w:t>
            </w:r>
          </w:p>
        </w:tc>
        <w:tc>
          <w:tcPr>
            <w:tcW w:w="120" w:type="dxa"/>
            <w:vAlign w:val="bottom"/>
          </w:tcPr>
          <w:p>
            <w:pPr>
              <w:spacing w:after="0"/>
              <w:rPr>
                <w:sz w:val="13"/>
                <w:szCs w:val="13"/>
                <w:color w:val="auto"/>
              </w:rPr>
            </w:pPr>
          </w:p>
        </w:tc>
      </w:tr>
      <w:tr>
        <w:trPr>
          <w:trHeight w:val="149"/>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4,635</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4,635</w:t>
            </w:r>
          </w:p>
        </w:tc>
        <w:tc>
          <w:tcPr>
            <w:tcW w:w="120" w:type="dxa"/>
            <w:vAlign w:val="bottom"/>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Exercise of stock options</w:t>
            </w:r>
          </w:p>
        </w:tc>
        <w:tc>
          <w:tcPr>
            <w:tcW w:w="1400" w:type="dxa"/>
            <w:vAlign w:val="bottom"/>
          </w:tcPr>
          <w:p>
            <w:pPr>
              <w:jc w:val="right"/>
              <w:spacing w:after="0"/>
              <w:rPr>
                <w:sz w:val="20"/>
                <w:szCs w:val="20"/>
                <w:color w:val="auto"/>
              </w:rPr>
            </w:pPr>
            <w:r>
              <w:rPr>
                <w:rFonts w:ascii="Arial" w:cs="Arial" w:eastAsia="Arial" w:hAnsi="Arial"/>
                <w:sz w:val="13"/>
                <w:szCs w:val="13"/>
                <w:color w:val="auto"/>
              </w:rPr>
              <w:t>197</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850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850</w:t>
            </w:r>
          </w:p>
        </w:tc>
        <w:tc>
          <w:tcPr>
            <w:tcW w:w="120" w:type="dxa"/>
            <w:vAlign w:val="bottom"/>
          </w:tcPr>
          <w:p>
            <w:pPr>
              <w:spacing w:after="0"/>
              <w:rPr>
                <w:sz w:val="12"/>
                <w:szCs w:val="12"/>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(26,899)</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(26,899)</w:t>
            </w: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as of March 31, 2021</w:t>
            </w: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41,766</w:t>
            </w:r>
          </w:p>
        </w:tc>
        <w:tc>
          <w:tcPr>
            <w:tcW w:w="2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524,241</w:t>
            </w:r>
          </w:p>
        </w:tc>
        <w:tc>
          <w:tcPr>
            <w:tcW w:w="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(291,315)</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232,930</w:t>
            </w:r>
          </w:p>
        </w:tc>
        <w:tc>
          <w:tcPr>
            <w:tcW w:w="12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left="16"/>
              <w:spacing w:after="0"/>
              <w:rPr>
                <w:sz w:val="20"/>
                <w:szCs w:val="20"/>
                <w:color w:val="auto"/>
              </w:rPr>
            </w:pPr>
            <w:r>
              <w:rPr>
                <w:rFonts w:ascii="Arial" w:cs="Arial" w:eastAsia="Arial" w:hAnsi="Arial"/>
                <w:sz w:val="14"/>
                <w:szCs w:val="14"/>
                <w:b w:val="1"/>
                <w:bCs w:val="1"/>
                <w:color w:val="auto"/>
                <w:w w:val="95"/>
              </w:rPr>
              <w:t>Three Months Ended March 31, 2022</w:t>
            </w:r>
          </w:p>
        </w:tc>
        <w:tc>
          <w:tcPr>
            <w:tcW w:w="1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4"/>
        </w:trPr>
        <w:tc>
          <w:tcPr>
            <w:tcW w:w="3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ind w:right="157"/>
              <w:spacing w:after="0" w:line="12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0"/>
                <w:szCs w:val="10"/>
                <w:color w:val="auto"/>
              </w:rPr>
            </w:pPr>
          </w:p>
        </w:tc>
      </w:tr>
      <w:tr>
        <w:trPr>
          <w:trHeight w:val="153"/>
        </w:trPr>
        <w:tc>
          <w:tcPr>
            <w:tcW w:w="30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37"/>
              <w:spacing w:after="0"/>
              <w:rPr>
                <w:sz w:val="20"/>
                <w:szCs w:val="20"/>
                <w:color w:val="auto"/>
              </w:rPr>
            </w:pPr>
            <w:r>
              <w:rPr>
                <w:rFonts w:ascii="Arial" w:cs="Arial" w:eastAsia="Arial" w:hAnsi="Arial"/>
                <w:sz w:val="13"/>
                <w:szCs w:val="13"/>
                <w:b w:val="1"/>
                <w:bCs w:val="1"/>
                <w:color w:val="auto"/>
                <w:w w:val="91"/>
              </w:rPr>
              <w:t>Additional</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5"/>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3000" w:type="dxa"/>
            <w:vAlign w:val="bottom"/>
          </w:tcPr>
          <w:p>
            <w:pPr>
              <w:spacing w:after="0"/>
              <w:rPr>
                <w:sz w:val="12"/>
                <w:szCs w:val="12"/>
                <w:color w:val="auto"/>
              </w:rPr>
            </w:pPr>
          </w:p>
        </w:tc>
        <w:tc>
          <w:tcPr>
            <w:tcW w:w="960" w:type="dxa"/>
            <w:vAlign w:val="bottom"/>
          </w:tcPr>
          <w:p>
            <w:pPr>
              <w:ind w:left="500"/>
              <w:spacing w:after="0" w:line="142" w:lineRule="exact"/>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02"/>
              <w:spacing w:after="0" w:line="142" w:lineRule="exact"/>
              <w:rPr>
                <w:sz w:val="20"/>
                <w:szCs w:val="20"/>
                <w:color w:val="auto"/>
              </w:rPr>
            </w:pPr>
            <w:r>
              <w:rPr>
                <w:rFonts w:ascii="Arial" w:cs="Arial" w:eastAsia="Arial" w:hAnsi="Arial"/>
                <w:sz w:val="13"/>
                <w:szCs w:val="13"/>
                <w:b w:val="1"/>
                <w:bCs w:val="1"/>
                <w:color w:val="auto"/>
              </w:rPr>
              <w:t>Amount</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0"/>
              </w:rPr>
              <w:t>Paid-in Capital</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right"/>
              <w:ind w:right="800"/>
              <w:spacing w:after="0" w:line="142"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2"/>
                <w:szCs w:val="12"/>
                <w:color w:val="auto"/>
              </w:rPr>
            </w:pPr>
          </w:p>
        </w:tc>
        <w:tc>
          <w:tcPr>
            <w:tcW w:w="134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8"/>
        </w:trPr>
        <w:tc>
          <w:tcPr>
            <w:tcW w:w="39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2021</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43,652</w:t>
            </w:r>
          </w:p>
        </w:tc>
        <w:tc>
          <w:tcPr>
            <w:tcW w:w="1340" w:type="dxa"/>
            <w:vAlign w:val="bottom"/>
            <w:gridSpan w:val="2"/>
            <w:shd w:val="clear" w:color="auto" w:fill="CFF0FC"/>
          </w:tcPr>
          <w:p>
            <w:pPr>
              <w:jc w:val="right"/>
              <w:ind w:right="962"/>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3"/>
                <w:szCs w:val="13"/>
                <w:b w:val="1"/>
                <w:bCs w:val="1"/>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553,014</w:t>
            </w:r>
          </w:p>
        </w:tc>
        <w:tc>
          <w:tcPr>
            <w:tcW w:w="540" w:type="dxa"/>
            <w:vAlign w:val="bottom"/>
            <w:gridSpan w:val="2"/>
            <w:shd w:val="clear" w:color="auto" w:fill="CFF0FC"/>
          </w:tcPr>
          <w:p>
            <w:pPr>
              <w:jc w:val="right"/>
              <w:ind w:right="148"/>
              <w:spacing w:after="0"/>
              <w:rPr>
                <w:sz w:val="20"/>
                <w:szCs w:val="20"/>
                <w:color w:val="auto"/>
              </w:rPr>
            </w:pPr>
            <w:r>
              <w:rPr>
                <w:rFonts w:ascii="Arial" w:cs="Arial" w:eastAsia="Arial" w:hAnsi="Arial"/>
                <w:sz w:val="13"/>
                <w:szCs w:val="13"/>
                <w:b w:val="1"/>
                <w:bCs w:val="1"/>
                <w:color w:val="auto"/>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b w:val="1"/>
                <w:bCs w:val="1"/>
                <w:color w:val="auto"/>
              </w:rPr>
              <w:t>(383,542)</w:t>
            </w:r>
          </w:p>
        </w:tc>
        <w:tc>
          <w:tcPr>
            <w:tcW w:w="200" w:type="dxa"/>
            <w:vAlign w:val="bottom"/>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169,476</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Stock-based compensation expense</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3,378</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3,378</w:t>
            </w:r>
          </w:p>
        </w:tc>
        <w:tc>
          <w:tcPr>
            <w:tcW w:w="120" w:type="dxa"/>
            <w:vAlign w:val="bottom"/>
          </w:tcPr>
          <w:p>
            <w:pPr>
              <w:spacing w:after="0"/>
              <w:rPr>
                <w:sz w:val="12"/>
                <w:szCs w:val="12"/>
                <w:color w:val="auto"/>
              </w:rPr>
            </w:pPr>
          </w:p>
        </w:tc>
      </w:tr>
      <w:tr>
        <w:trPr>
          <w:trHeight w:val="134"/>
        </w:trPr>
        <w:tc>
          <w:tcPr>
            <w:tcW w:w="3960" w:type="dxa"/>
            <w:vAlign w:val="bottom"/>
            <w:gridSpan w:val="2"/>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2018 employee</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960" w:type="dxa"/>
            <w:vAlign w:val="bottom"/>
            <w:gridSpan w:val="2"/>
            <w:shd w:val="clear" w:color="auto" w:fill="CFF0FC"/>
          </w:tcPr>
          <w:p>
            <w:pPr>
              <w:ind w:left="260"/>
              <w:spacing w:after="0" w:line="135" w:lineRule="exact"/>
              <w:rPr>
                <w:sz w:val="20"/>
                <w:szCs w:val="20"/>
                <w:color w:val="auto"/>
              </w:rPr>
            </w:pPr>
            <w:r>
              <w:rPr>
                <w:rFonts w:ascii="Arial" w:cs="Arial" w:eastAsia="Arial" w:hAnsi="Arial"/>
                <w:sz w:val="13"/>
                <w:szCs w:val="13"/>
                <w:color w:val="auto"/>
              </w:rPr>
              <w:t>stock</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960" w:type="dxa"/>
            <w:vAlign w:val="bottom"/>
            <w:gridSpan w:val="2"/>
            <w:shd w:val="clear" w:color="auto" w:fill="CFF0FC"/>
          </w:tcPr>
          <w:p>
            <w:pPr>
              <w:ind w:left="380"/>
              <w:spacing w:after="0"/>
              <w:rPr>
                <w:sz w:val="20"/>
                <w:szCs w:val="20"/>
                <w:color w:val="auto"/>
              </w:rPr>
            </w:pPr>
            <w:r>
              <w:rPr>
                <w:rFonts w:ascii="Arial" w:cs="Arial" w:eastAsia="Arial" w:hAnsi="Arial"/>
                <w:sz w:val="13"/>
                <w:szCs w:val="13"/>
                <w:color w:val="auto"/>
              </w:rPr>
              <w:t>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FF0FC"/>
          </w:tcPr>
          <w:p>
            <w:pPr>
              <w:spacing w:after="0"/>
              <w:rPr>
                <w:sz w:val="12"/>
                <w:szCs w:val="12"/>
                <w:color w:val="auto"/>
              </w:rPr>
            </w:pPr>
          </w:p>
        </w:tc>
      </w:tr>
      <w:tr>
        <w:trPr>
          <w:trHeight w:val="148"/>
        </w:trPr>
        <w:tc>
          <w:tcPr>
            <w:tcW w:w="3960" w:type="dxa"/>
            <w:vAlign w:val="bottom"/>
            <w:gridSpan w:val="2"/>
          </w:tcPr>
          <w:p>
            <w:pPr>
              <w:ind w:left="260"/>
              <w:spacing w:after="0"/>
              <w:rPr>
                <w:sz w:val="20"/>
                <w:szCs w:val="20"/>
                <w:color w:val="auto"/>
              </w:rPr>
            </w:pPr>
            <w:r>
              <w:rPr>
                <w:rFonts w:ascii="Arial" w:cs="Arial" w:eastAsia="Arial" w:hAnsi="Arial"/>
                <w:sz w:val="13"/>
                <w:szCs w:val="13"/>
                <w:color w:val="auto"/>
              </w:rPr>
              <w:t>Net loss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3"/>
                <w:szCs w:val="13"/>
                <w:color w:val="auto"/>
              </w:rPr>
              <w:t>(29,833)</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(29,833)</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March 31, 2022</w:t>
            </w:r>
          </w:p>
        </w:tc>
        <w:tc>
          <w:tcPr>
            <w:tcW w:w="96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43,696</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ind w:right="962"/>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556,534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(413,375)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143,163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(29,833)</w:t>
            </w:r>
          </w:p>
        </w:tc>
        <w:tc>
          <w:tcPr>
            <w:tcW w:w="1060" w:type="dxa"/>
            <w:vAlign w:val="bottom"/>
          </w:tcPr>
          <w:p>
            <w:pPr>
              <w:jc w:val="right"/>
              <w:ind w:right="873"/>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(26,899)</w:t>
            </w: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3,378</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60" w:type="dxa"/>
            <w:vAlign w:val="bottom"/>
          </w:tcPr>
          <w:p>
            <w:pPr>
              <w:ind w:left="260"/>
              <w:spacing w:after="0"/>
              <w:rPr>
                <w:sz w:val="20"/>
                <w:szCs w:val="20"/>
                <w:color w:val="auto"/>
              </w:rPr>
            </w:pPr>
            <w:r>
              <w:rPr>
                <w:rFonts w:ascii="Arial" w:cs="Arial" w:eastAsia="Arial" w:hAnsi="Arial"/>
                <w:sz w:val="18"/>
                <w:szCs w:val="18"/>
                <w:color w:val="auto"/>
              </w:rPr>
              <w:t>Deferred rent expense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551</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(2,876)</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(28,014)</w:t>
            </w:r>
          </w:p>
        </w:tc>
        <w:tc>
          <w:tcPr>
            <w:tcW w:w="3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(27,339)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71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8"/>
                <w:szCs w:val="18"/>
                <w:color w:val="auto"/>
              </w:rPr>
              <w:t>Proceeds from issuance of common shares upon completion of public offering,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net of offering costs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ESPP shares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(27,904)</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190,059</w:t>
            </w:r>
          </w:p>
        </w:tc>
        <w:tc>
          <w:tcPr>
            <w:tcW w:w="3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260,174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162,155</w:t>
            </w: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233,519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80" w:type="dxa"/>
            <w:vAlign w:val="bottom"/>
            <w:gridSpan w:val="2"/>
            <w:shd w:val="clear" w:color="auto" w:fill="CFF0FC"/>
          </w:tcPr>
          <w:p>
            <w:pPr>
              <w:jc w:val="right"/>
              <w:ind w:right="8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Interest paid</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1"/>
              </w:rPr>
              <w:t>Reconciliation of cash, cash equivalents and restricted cash reported within the condensed</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28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161,663</w:t>
            </w:r>
          </w:p>
        </w:tc>
        <w:tc>
          <w:tcPr>
            <w:tcW w:w="300" w:type="dxa"/>
            <w:vAlign w:val="bottom"/>
          </w:tcPr>
          <w:p>
            <w:pPr>
              <w:spacing w:after="0"/>
              <w:rPr>
                <w:sz w:val="19"/>
                <w:szCs w:val="19"/>
                <w:color w:val="auto"/>
              </w:rPr>
            </w:pPr>
          </w:p>
        </w:tc>
        <w:tc>
          <w:tcPr>
            <w:tcW w:w="1060" w:type="dxa"/>
            <w:vAlign w:val="bottom"/>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233,027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162,155</w:t>
            </w:r>
          </w:p>
        </w:tc>
        <w:tc>
          <w:tcPr>
            <w:tcW w:w="300" w:type="dxa"/>
            <w:vAlign w:val="bottom"/>
          </w:tcPr>
          <w:p>
            <w:pPr>
              <w:spacing w:after="0"/>
              <w:rPr>
                <w:sz w:val="19"/>
                <w:szCs w:val="19"/>
                <w:color w:val="auto"/>
              </w:rPr>
            </w:pPr>
          </w:p>
        </w:tc>
        <w:tc>
          <w:tcPr>
            <w:tcW w:w="106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233,519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 xml:space="preserve">AVROBIO, Inc. (the “Company” or “AVROBIO”) is a clinical-stage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 treatment regimen.</w:t>
      </w:r>
    </w:p>
    <w:p>
      <w:pPr>
        <w:spacing w:after="0" w:line="170" w:lineRule="exact"/>
        <w:rPr>
          <w:sz w:val="20"/>
          <w:szCs w:val="20"/>
          <w:color w:val="auto"/>
        </w:rPr>
      </w:pPr>
    </w:p>
    <w:p>
      <w:pPr>
        <w:ind w:right="20" w:firstLine="510"/>
        <w:spacing w:after="0" w:line="258" w:lineRule="auto"/>
        <w:rPr>
          <w:sz w:val="20"/>
          <w:szCs w:val="20"/>
          <w:color w:val="auto"/>
        </w:rPr>
      </w:pPr>
      <w:r>
        <w:rPr>
          <w:rFonts w:ascii="Arial" w:cs="Arial" w:eastAsia="Arial" w:hAnsi="Arial"/>
          <w:sz w:val="18"/>
          <w:szCs w:val="18"/>
          <w:color w:val="auto"/>
        </w:rPr>
        <w:t>The Company is subject to risks and uncertainties common to clinical-stage companies in the biotechnology industry, including but not limited to, risks associated with completing preclinical studies and clinical trials, developing and scaling a clinical and commercial supply chain,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18"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The Company has incurred recurring losses since its inception, including net losses of $29,833 and $26,899 for the three months ended March 31, 2022 and 2021, respectively. In addition, as of March 31, 2022, the Company had an accumulated deficit of $413,375. The Company has primarily funded these losses through the proceeds from sales of common and preferred stock. In addition, in November 2021 the Company entered into the Term Loan Agreement. Although the Company has incurred recurring losses and expects to continue to incur losses for the foreseeable future, the Company expects that its existing cash and cash equivalents on hand as of March 31, 2022 of $161,663 will be sufficient to fund current planned operations and capital expenditure requirements for at least the next twelve months from the filing date of this Quarterly Report on Form 10-Q with the Securities and Exchange Commission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The accompanying condensed consolidated financial statements (the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71"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The unaudited condensed consolidated financial statements have been prepared on the same basis as the audited annual consolidated financial statements as of and for the year ended December 31, 2021, and, in the opinion of management, reflect all adjustments, consisting of normal recurring adjustments, necessary for the fair presentation of the Company’s financial position as of March 31, 2022, and the results of its operations for the three months ended March 31, 2022 and 2021, its statements of stockholders’ equity for the three months ended March 31, 2022 and 2021 and its statement of cash flows for the three months ended March 31, 2022 and 2021.</w:t>
      </w:r>
    </w:p>
    <w:p>
      <w:pPr>
        <w:spacing w:after="0" w:line="176"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results for the three months ended March 31, 2022 are not necessarily indicative of the results to be expected for the year ending December 31, 2022, any other interim periods, or any future year or period. These interim financial statements should be read in conjunction with the audited financial statements as of and for the year ended December 31, 2021, and the notes thereto, which are included in the Company’s Annual Report on Form 10-K for the year ended December 31, 2021, filed with the SEC on March 17, 2022.</w:t>
      </w:r>
    </w:p>
    <w:p>
      <w:pPr>
        <w:spacing w:after="0" w:line="187"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The unaudited condensed consolidated financial statements reflect the application of certain significant accounting policies as described below and elsewhere in these notes to the unaudited condensed consolidated financial statements. As of March 31, 2022, there have been no changes to the Company’s significant accounting policies as described in the Company’s Annual Report on Form 10-K for the fiscal year ended December 31, 2021.</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 w:name="page12"/>
    <w:bookmarkEnd w:id="11"/>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preparation of the unaudited condensed consolidated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16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Significant estimates relied upon in preparing the unaudited condensed consolidated financial statements include the determination of the fair value of share-based awards issued and the estimation of accrued research and development expenses.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6"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 xml:space="preserve">Prior to the adoption of Accounting Standards Update (“ASU”) No. 2018-07,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Nonemployee Share-Based Payment Accounting</w:t>
      </w:r>
      <w:r>
        <w:rPr>
          <w:rFonts w:ascii="Arial" w:cs="Arial" w:eastAsia="Arial" w:hAnsi="Arial"/>
          <w:sz w:val="16"/>
          <w:szCs w:val="16"/>
          <w:color w:val="auto"/>
        </w:rPr>
        <w:t>, the measurement date for non-employee awards was generally the date the services are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financial reporting period 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spacing w:after="0" w:line="16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Given the absence of an active market for the Company’s common stock prior to its initial public offering (“IPO”),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 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likelihood of achieving a liquidity event for the common stock underlying the stock-based awards, such as an IPO or sale of the Company, given prevailing market conditions.</w:t>
      </w:r>
    </w:p>
    <w:p>
      <w:pPr>
        <w:spacing w:after="0" w:line="21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2021, the Company determined the volatility for awards granted up through December 31, 2021 based on an analysis of reported data for a group of guideline companies that issued options with substantially similar terms. Beginning with options granted in 2022, the Company estimates its expected stock volatility using a weighted-average calculation based on the historical volatility of the Company and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its IPO or such earlier time that it is no longer an “emerging growth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right="580" w:firstLine="510"/>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(Topic 842) Leases,</w:t>
      </w:r>
      <w:r>
        <w:rPr>
          <w:rFonts w:ascii="Arial" w:cs="Arial" w:eastAsia="Arial" w:hAnsi="Arial"/>
          <w:sz w:val="16"/>
          <w:szCs w:val="16"/>
          <w:color w:val="auto"/>
        </w:rPr>
        <w:t xml:space="preserve"> or ASU 2016-02. ASU 2016-02 requires an entity to recognize assets and liabilities arising from a lease for both financing and operating leases. The ASU will also require new qualitative and quantitative disclosures to help investors and other financial statement users better understand the amount, timing, and uncertainty of cash flows arising from leases. For public</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entities, ASU 2016-02 is effective for fiscal years beginning after December 15, 2018. As a result of the Company having elected the extended transition period for complying with new or revised accounting standards pursuant to Section 107(b) of the JOBS Act, ASU 2016-02 is effective for the Company for the year ended December 31, 2022, and all interim periods thereafter. Early adoption is permitted. The Company is currently evaluating the impact that the adoption of ASU 2016-02 will have on its consolidated financial statements. Based on this evaluation the Company currently expects that its operating lease commitments will be subject to the new standard and recognized as right-of-use assets and operating lease liabilities upon adoption of this standard, which will increase the Company’s total assets and total liabilities.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or ASU 2016-13. ASU 2016-13 requires that credit losses be reported as an allowance using an expected losses model,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 ASU 2016-13 is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Early adoption is permitted. The Company is currently evaluating the effects the adoption of ASU 2016-13 may have on its financial statements.</w:t>
      </w:r>
    </w:p>
    <w:p>
      <w:pPr>
        <w:spacing w:after="0" w:line="19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November 2019, the FASB issued ASU 2019-11,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or ASU 2019-11. ASU 2019-11 is an accounting pronouncement that amends ASU 2016-13, “</w:t>
      </w:r>
      <w:r>
        <w:rPr>
          <w:rFonts w:ascii="Arial" w:cs="Arial" w:eastAsia="Arial" w:hAnsi="Arial"/>
          <w:sz w:val="16"/>
          <w:szCs w:val="16"/>
          <w:i w:val="1"/>
          <w:iCs w:val="1"/>
          <w:color w:val="auto"/>
        </w:rPr>
        <w:t>Financial Instruments – 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The amendments update guidance on reporting credit losses for financial assets. These amendments affect loans,</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2022, and interim periods within those fiscal years. The Company is currently evaluating ASU 2016-13 and ASU 2019-11 and their impact on its consolidated financial statements and financial statement disclosures.</w:t>
      </w:r>
    </w:p>
    <w:p>
      <w:pPr>
        <w:spacing w:after="0" w:line="16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ASU 2019-12 is effective for non-EGCs for fiscal years beginning after December 15, 2020 and interim periods within those fiscal years and will be effective for the Company for fiscal years beginning after December 15, 2021 and interim periods beginning after December 15, 2022, assuming the Company remains an EGC. Early adoption is permitted. The Company is currently evaluating the effects the adoption of ASU 2019-12 may have on its financial statements.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The University of Manchester</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spacing w:after="0" w:line="1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As part of the agreement, the Company is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 digit percentage of any sublicense fees received by the Company. The next anticipated payment milestones under the MPSII License Agreement include $2,000, which would become due following the date of regulatory approval of the clinical trial application for the investigator-sponsored Phase 1/2 clinical trial sponsored by UoM, and $4,000, upon the dosing of the first patient in the investigator-sponsored Phase 1/2 clinical trial sponsored by UoM.</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Unless terminated earlier, the agreement expires upon the later of 15 years from the effective date or the expiration of the last valid claim of the licensed patents, subject to certain surviving rights and obligations. UoM and the Company can each terminate the agreement in the event of the bankruptcy or insolvency of the other party, or a material breach by the other party and failure to cure such breach within a certain period of time. UoM has the right to terminate the agreement in the event of certain actions relating to challenge or opposition to the licensed intellectual property brought by the Company or its affiliates or sublicensees.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right="440" w:firstLine="510"/>
        <w:spacing w:after="0" w:line="269" w:lineRule="auto"/>
        <w:rPr>
          <w:sz w:val="20"/>
          <w:szCs w:val="20"/>
          <w:color w:val="auto"/>
        </w:rPr>
      </w:pPr>
      <w:r>
        <w:rPr>
          <w:rFonts w:ascii="Arial" w:cs="Arial" w:eastAsia="Arial" w:hAnsi="Arial"/>
          <w:sz w:val="18"/>
          <w:szCs w:val="18"/>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are currently expected to equal approximately £9,900 in the aggregate.</w:t>
      </w:r>
    </w:p>
    <w:p>
      <w:pPr>
        <w:spacing w:after="0" w:line="179"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For the three months ended March 31, 2022, the Company incurred $963 related to the CRFA. For the three months ended March 31, 2021 the Company incurred no expense related to the CFRA.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University Health Network (“UHN”)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For the three months ended March 31, 2022 and 2021, the Company recorded research and development expense related to this agreement with UHN of $24 and $44, respectively, which consists of reimbursable funded study trial costs. No milestone or maintenance fees were incurred related to this agreement in the three months ended March 31, 2022 and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certain patent rights for the commercial development, manufacture, distribution and use of any products or processes resulting from development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patent rights related to Interleukin 12. Upon execution of this agreement, the Company paid an upfront license fee of CAD $264. In addition, as part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initial consideration for the license, the Company issued to UHN 1,161,665 shares of the Company’s common stock and agreed to pay UHN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upon the closing of an IPO if certain criteria are met. The fair value of the shares issued to UHN of $480 and the upfront fee was expensed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execution of the agreement. Upon the closing of the IPO in 2018, as the criteria were met, the Company paid UHN $2,000. The Company is also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pay UHN future annual license maintenance fees of CAD $50 on each anniversary of the effective date of the license agreement prior to expiration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and potential future milestone payments of up to CAD $19,275 upon the achievement of specified clinical and regulatory milestones.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also agreed to pay UHN royalties of a low single-digit percentage of net sales of licensed products sold by the Company. If the Company grants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sublicense rights under the license agreement, the Company has agreed to pay UHN a low double-digit royalty percentage of any sublicense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received by the Company.</w:t>
      </w:r>
    </w:p>
    <w:p>
      <w:pPr>
        <w:spacing w:after="0" w:line="21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6"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For the three months ended March 31, 2022 the Company did not incur research and development expense related to this agreement with UHN. For the three months ended March 31, 2021 the Company recorded research and development expense related to this agreement with UHN of $39. No milestone fees were incurred related to this agreement in the three months ended March 31, 2022 and 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has a license agreement with BioMarin, pursuant to which BioMarin granted the Company an exclusive worldwide license under certain intellectual property rights owned or controlled by BioMarin to develop, commercialize and sell products for use in the treatment of Pompe disease.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recognized no expenses related to the license for the three months ended March 31, 2022 and 2021.</w:t>
      </w:r>
    </w:p>
    <w:p>
      <w:pPr>
        <w:spacing w:after="0" w:line="22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Papillon Therapeutics, Inc. (previously GenStem Therapeutics, Inc.)</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noticed that the license agreement with GenStem had been assigned to Papillon Therapeutics, Inc. (“Papillon”).</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recognized no expenses related to this agreement for the three months ended March 31, 2022 and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recognized no expenses related to this agreement for the three months ended March 31, 2022 and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March 31, 2022 and December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Fair Value Measurements as of March 31, 2022</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78"/>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1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4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Cash equivalents — money market funds</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160,512</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0"/>
          </w:tcPr>
          <w:p>
            <w:pPr>
              <w:jc w:val="center"/>
              <w:ind w:left="578"/>
              <w:spacing w:after="0"/>
              <w:rPr>
                <w:sz w:val="20"/>
                <w:szCs w:val="20"/>
                <w:color w:val="auto"/>
              </w:rPr>
            </w:pPr>
            <w:r>
              <w:rPr>
                <w:rFonts w:ascii="Arial" w:cs="Arial" w:eastAsia="Arial" w:hAnsi="Arial"/>
                <w:sz w:val="14"/>
                <w:szCs w:val="14"/>
                <w:b w:val="1"/>
                <w:bCs w:val="1"/>
                <w:color w:val="auto"/>
                <w:w w:val="91"/>
              </w:rPr>
              <w:t>Fair Value Measurements as of December 31, 2021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78"/>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1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4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Cash equivalents — money market funds</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189,332</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6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cash equivalents was determined through quoted prices by third-party pricing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2022, there were no transfers between levels.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expenses</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4,521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Tax incentive refund</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2,844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Prepaid compensation benefits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9,258</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w:t>
      </w:r>
    </w:p>
    <w:p>
      <w:pPr>
        <w:spacing w:after="0" w:line="339"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6,162</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1,635</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7,946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(3,820)</w:t>
            </w:r>
          </w:p>
        </w:tc>
      </w:tr>
      <w:tr>
        <w:trPr>
          <w:trHeight w:val="223"/>
        </w:trPr>
        <w:tc>
          <w:tcPr>
            <w:tcW w:w="536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4,126</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was $399 and $291, respectively, for the three months ended March 31, 2022 and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of March 31, 2022 and December 31, 2021, the Company had restricted cash of $492, which consists of cash used to secure letters of credit for the benefit of the landlord in connection with the Company’s lease agreements. The cash will be restricted until the termination or modification of the lease arrangement.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Compensation and benefit costs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5,579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FF0FC"/>
            </w:tcBorders>
          </w:tcPr>
          <w:p>
            <w:pPr>
              <w:spacing w:after="0"/>
              <w:rPr>
                <w:sz w:val="19"/>
                <w:szCs w:val="19"/>
                <w:color w:val="auto"/>
              </w:rPr>
            </w:pPr>
          </w:p>
        </w:tc>
      </w:tr>
      <w:tr>
        <w:trPr>
          <w:trHeight w:val="236"/>
        </w:trPr>
        <w:tc>
          <w:tcPr>
            <w:tcW w:w="77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three months ended March 31, 2022 and 2021 and to the best of the Company’s knowledge, no material legal proceedings are currently pending or threatened.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 xml:space="preserve">The Company is also party to various agreements, principally relating to licensed technology, that require future payments relating to milestones not met at March 31, 2022 and December 31, 2021, or royalties on future sales. No milestone or royalty payments under these agreements are expected to be payable in the immediate future, except as disclosed in Note 3 </w:t>
      </w:r>
      <w:r>
        <w:rPr>
          <w:rFonts w:ascii="Arial" w:cs="Arial" w:eastAsia="Arial" w:hAnsi="Arial"/>
          <w:sz w:val="18"/>
          <w:szCs w:val="18"/>
          <w:i w:val="1"/>
          <w:iCs w:val="1"/>
          <w:color w:val="auto"/>
        </w:rPr>
        <w:t>“License Agreements.”</w:t>
      </w:r>
    </w:p>
    <w:p>
      <w:pPr>
        <w:spacing w:after="0" w:line="184"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March 31, 2022.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 Payable</w:t>
      </w:r>
    </w:p>
    <w:p>
      <w:pPr>
        <w:spacing w:after="0" w:line="121" w:lineRule="exact"/>
        <w:rPr>
          <w:sz w:val="20"/>
          <w:szCs w:val="20"/>
          <w:color w:val="auto"/>
        </w:rPr>
      </w:pPr>
    </w:p>
    <w:p>
      <w:pPr>
        <w:jc w:val="both"/>
        <w:ind w:right="420" w:firstLine="619"/>
        <w:spacing w:after="0" w:line="287" w:lineRule="auto"/>
        <w:rPr>
          <w:sz w:val="20"/>
          <w:szCs w:val="20"/>
          <w:color w:val="auto"/>
        </w:rPr>
      </w:pPr>
      <w:r>
        <w:rPr>
          <w:rFonts w:ascii="Arial" w:cs="Arial" w:eastAsia="Arial" w:hAnsi="Arial"/>
          <w:sz w:val="16"/>
          <w:szCs w:val="16"/>
          <w:color w:val="auto"/>
        </w:rPr>
        <w:t>On November 2, 2021 (the “Closing Date”), the Company entered into a Loan and Security Agreement (the “Loan Agreement”) with Silicon Valley Bank (“SVB”) pursuant to which a term loan in an aggregate principal amount of up to $50,000 (the “Term Loan Facility”) is available to the Company in three tranches, subject to certain terms and conditions. The first tranche of $15,000 was advanced to the Company on the Closing Date.</w:t>
      </w:r>
    </w:p>
    <w:p>
      <w:pPr>
        <w:spacing w:after="0" w:line="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Subject to the terms and conditions of the Loan Agreement, the first tranche allows the Company to borrow an additional $15,000 through October 31, 2023. Upon satisfaction of certain milestones, the second and third tranches are available under the Term Loan Facility which allows the Company to borrow an additional amount up to $10,000 in each tranche through October 31, 2023. Additionally, the Company may seek to borrow up to an additional $15,000 at the sole discretion of the lender through the term of the Loan Agreement. The Loan Agreement matures on October 1, 2026 (the “Maturity Date”). The Company is required to pay an end of term fee (“End of Term Charge”) equal to 9.00% of the aggregate principal amount of the Term Loan advances upon repayment.</w:t>
      </w:r>
    </w:p>
    <w:p>
      <w:pPr>
        <w:spacing w:after="0" w:line="190" w:lineRule="exact"/>
        <w:rPr>
          <w:sz w:val="20"/>
          <w:szCs w:val="20"/>
          <w:color w:val="auto"/>
        </w:rPr>
      </w:pPr>
    </w:p>
    <w:p>
      <w:pPr>
        <w:jc w:val="both"/>
        <w:ind w:right="180" w:firstLine="619"/>
        <w:spacing w:after="0" w:line="286" w:lineRule="auto"/>
        <w:rPr>
          <w:sz w:val="20"/>
          <w:szCs w:val="20"/>
          <w:color w:val="auto"/>
        </w:rPr>
      </w:pPr>
      <w:r>
        <w:rPr>
          <w:rFonts w:ascii="Arial" w:cs="Arial" w:eastAsia="Arial" w:hAnsi="Arial"/>
          <w:sz w:val="17"/>
          <w:szCs w:val="17"/>
          <w:color w:val="auto"/>
        </w:rPr>
        <w:t>Advances under the Term Loan Facility will bear interest at a rate equal to the greater of either (i) the Prime Rate (as reported in The Wall Street Journal) plus 4.85%, and (ii) 8.10%. The Company will make interest only payments through November 1, 2024. Following the interest only period, the Company will repay the principal balance and interest of the advances in equal monthly installments through October 1, 2026.</w:t>
      </w:r>
    </w:p>
    <w:p>
      <w:pPr>
        <w:spacing w:after="0" w:line="165" w:lineRule="exact"/>
        <w:rPr>
          <w:sz w:val="20"/>
          <w:szCs w:val="20"/>
          <w:color w:val="auto"/>
        </w:rPr>
      </w:pPr>
    </w:p>
    <w:p>
      <w:pPr>
        <w:ind w:right="20" w:firstLine="619"/>
        <w:spacing w:after="0" w:line="259" w:lineRule="auto"/>
        <w:rPr>
          <w:sz w:val="20"/>
          <w:szCs w:val="20"/>
          <w:color w:val="auto"/>
        </w:rPr>
      </w:pPr>
      <w:r>
        <w:rPr>
          <w:rFonts w:ascii="Arial" w:cs="Arial" w:eastAsia="Arial" w:hAnsi="Arial"/>
          <w:sz w:val="18"/>
          <w:szCs w:val="18"/>
          <w:color w:val="auto"/>
        </w:rPr>
        <w:t>The Company may prepay advances under the Loan Agreement, in whole or in part, at any time subject to a prepayment charge (the “Prepayment Premium”) equal to: (a) 1.50% of amounts so prepaid, if such prepayment occurs during the first year following the Closing Date; (b) 1.00% of the amount so prepaid, if such prepayment occurs during the second year following the Closing Date, and (c) 0.00% of the amount so prepaid, if such prepayment occurs after the second year following the Closing Date.</w:t>
      </w:r>
    </w:p>
    <w:p>
      <w:pPr>
        <w:spacing w:after="0" w:line="187" w:lineRule="exact"/>
        <w:rPr>
          <w:sz w:val="20"/>
          <w:szCs w:val="20"/>
          <w:color w:val="auto"/>
        </w:rPr>
      </w:pPr>
    </w:p>
    <w:p>
      <w:pPr>
        <w:ind w:firstLine="619"/>
        <w:spacing w:after="0" w:line="277" w:lineRule="auto"/>
        <w:rPr>
          <w:sz w:val="20"/>
          <w:szCs w:val="20"/>
          <w:color w:val="auto"/>
        </w:rPr>
      </w:pPr>
      <w:r>
        <w:rPr>
          <w:rFonts w:ascii="Arial" w:cs="Arial" w:eastAsia="Arial" w:hAnsi="Arial"/>
          <w:sz w:val="18"/>
          <w:szCs w:val="18"/>
          <w:color w:val="auto"/>
        </w:rPr>
        <w:t>Upon prepayment or repayment of all or any of the term loans under the Term Loan Facility, the Company will pay (in addition to any Prepayment Premium) an end of term charge of 9.0% of the aggregate funded amount under the Term Loan Facility.</w:t>
      </w:r>
    </w:p>
    <w:p>
      <w:pPr>
        <w:spacing w:after="0" w:line="170" w:lineRule="exact"/>
        <w:rPr>
          <w:sz w:val="20"/>
          <w:szCs w:val="20"/>
          <w:color w:val="auto"/>
        </w:rPr>
      </w:pPr>
    </w:p>
    <w:p>
      <w:pPr>
        <w:ind w:right="80" w:firstLine="619"/>
        <w:spacing w:after="0" w:line="277" w:lineRule="auto"/>
        <w:rPr>
          <w:sz w:val="20"/>
          <w:szCs w:val="20"/>
          <w:color w:val="auto"/>
        </w:rPr>
      </w:pPr>
      <w:r>
        <w:rPr>
          <w:rFonts w:ascii="Arial" w:cs="Arial" w:eastAsia="Arial" w:hAnsi="Arial"/>
          <w:sz w:val="18"/>
          <w:szCs w:val="18"/>
          <w:color w:val="auto"/>
        </w:rPr>
        <w:t>The Term Loan Facility is secured by substantially all of the Company’s assets, other than the Company’s intellectual property. The Company has agreed to not pledge or secure its intellectual property to others.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120" w:firstLine="619"/>
        <w:spacing w:after="0" w:line="313" w:lineRule="auto"/>
        <w:rPr>
          <w:sz w:val="20"/>
          <w:szCs w:val="20"/>
          <w:color w:val="auto"/>
        </w:rPr>
      </w:pPr>
      <w:r>
        <w:rPr>
          <w:rFonts w:ascii="Arial" w:cs="Arial" w:eastAsia="Arial" w:hAnsi="Arial"/>
          <w:sz w:val="16"/>
          <w:szCs w:val="16"/>
          <w:color w:val="auto"/>
        </w:rPr>
        <w:t>The End of Term Charge is recorded as a debt discount with an initial carrying balance of $1,350. During the year ended December 31, 2021 the Company recognized $103 of debt issuance costs related to legal expenses that has been included in the debt discount balance. The debt discount costs are being accreted to the principal amount of debt and being amortized from the date of issuance through the Maturity Date to interest expense using the effective-interest rate method. The effective interest rate of the outstanding debt under the Loan Agreement is approximately 11.12%.</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of March 31, 2022 the carrying value of the note payable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jc w:val="center"/>
              <w:ind w:right="879"/>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20" w:type="dxa"/>
            <w:vAlign w:val="bottom"/>
            <w:vMerge w:val="restart"/>
          </w:tcPr>
          <w:p>
            <w:pPr>
              <w:spacing w:after="0"/>
              <w:rPr>
                <w:sz w:val="20"/>
                <w:szCs w:val="20"/>
                <w:color w:val="auto"/>
              </w:rPr>
            </w:pPr>
            <w:r>
              <w:rPr>
                <w:rFonts w:ascii="Arial" w:cs="Arial" w:eastAsia="Arial" w:hAnsi="Arial"/>
                <w:sz w:val="18"/>
                <w:szCs w:val="18"/>
                <w:color w:val="auto"/>
              </w:rPr>
              <w:t>Note payable, including End of Term Charge</w:t>
            </w:r>
          </w:p>
        </w:tc>
        <w:tc>
          <w:tcPr>
            <w:tcW w:w="940" w:type="dxa"/>
            <w:vAlign w:val="bottom"/>
          </w:tcPr>
          <w:p>
            <w:pPr>
              <w:spacing w:after="0"/>
              <w:rPr>
                <w:sz w:val="19"/>
                <w:szCs w:val="19"/>
                <w:color w:val="auto"/>
              </w:rPr>
            </w:pPr>
          </w:p>
        </w:tc>
        <w:tc>
          <w:tcPr>
            <w:tcW w:w="36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6620" w:type="dxa"/>
            <w:vAlign w:val="bottom"/>
            <w:vMerge w:val="continue"/>
          </w:tcPr>
          <w:p>
            <w:pPr>
              <w:spacing w:after="0"/>
              <w:rPr>
                <w:sz w:val="19"/>
                <w:szCs w:val="19"/>
                <w:color w:val="auto"/>
              </w:rPr>
            </w:pP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3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Debt discount, net of accretion</w:t>
            </w:r>
          </w:p>
        </w:tc>
        <w:tc>
          <w:tcPr>
            <w:tcW w:w="940" w:type="dxa"/>
            <w:vAlign w:val="bottom"/>
            <w:shd w:val="clear" w:color="auto" w:fill="CFF0FC"/>
          </w:tcPr>
          <w:p>
            <w:pPr>
              <w:spacing w:after="0"/>
              <w:rPr>
                <w:sz w:val="19"/>
                <w:szCs w:val="19"/>
                <w:color w:val="auto"/>
              </w:rPr>
            </w:pPr>
          </w:p>
        </w:tc>
        <w:tc>
          <w:tcPr>
            <w:tcW w:w="3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37"/>
        </w:trPr>
        <w:tc>
          <w:tcPr>
            <w:tcW w:w="6620" w:type="dxa"/>
            <w:vAlign w:val="bottom"/>
          </w:tcPr>
          <w:p>
            <w:pPr>
              <w:spacing w:after="0"/>
              <w:rPr>
                <w:sz w:val="20"/>
                <w:szCs w:val="20"/>
                <w:color w:val="auto"/>
              </w:rPr>
            </w:pPr>
            <w:r>
              <w:rPr>
                <w:rFonts w:ascii="Arial" w:cs="Arial" w:eastAsia="Arial" w:hAnsi="Arial"/>
                <w:sz w:val="18"/>
                <w:szCs w:val="18"/>
                <w:color w:val="auto"/>
              </w:rPr>
              <w:t>Note payable, net of discount, long-term</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3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of March 31, 2022, the future principal payments due under the arrangement, excluding interest and the end of term charge,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166370</wp:posOffset>
            </wp:positionV>
            <wp:extent cx="31546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40" w:type="dxa"/>
            <w:vAlign w:val="bottom"/>
            <w:gridSpan w:val="2"/>
          </w:tcPr>
          <w:p>
            <w:pPr>
              <w:ind w:left="1040"/>
              <w:spacing w:after="0"/>
              <w:rPr>
                <w:sz w:val="20"/>
                <w:szCs w:val="20"/>
                <w:color w:val="auto"/>
              </w:rPr>
            </w:pPr>
            <w:r>
              <w:rPr>
                <w:rFonts w:ascii="Arial" w:cs="Arial" w:eastAsia="Arial" w:hAnsi="Arial"/>
                <w:sz w:val="14"/>
                <w:szCs w:val="14"/>
                <w:b w:val="1"/>
                <w:bCs w:val="1"/>
                <w:color w:val="auto"/>
              </w:rPr>
              <w:t>Principle</w:t>
            </w: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1009"/>
              <w:spacing w:after="0"/>
              <w:rPr>
                <w:sz w:val="20"/>
                <w:szCs w:val="20"/>
                <w:color w:val="auto"/>
              </w:rPr>
            </w:pPr>
            <w:r>
              <w:rPr>
                <w:rFonts w:ascii="Arial" w:cs="Arial" w:eastAsia="Arial" w:hAnsi="Arial"/>
                <w:sz w:val="10"/>
                <w:szCs w:val="10"/>
                <w:color w:val="auto"/>
                <w:w w:val="71"/>
              </w:rPr>
              <w:t>$</w:t>
            </w:r>
          </w:p>
        </w:tc>
        <w:tc>
          <w:tcPr>
            <w:tcW w:w="3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3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120" w:type="dxa"/>
            <w:vAlign w:val="bottom"/>
            <w:shd w:val="clear" w:color="auto" w:fill="CFF0FC"/>
          </w:tcPr>
          <w:p>
            <w:pPr>
              <w:spacing w:after="0"/>
              <w:rPr>
                <w:sz w:val="19"/>
                <w:szCs w:val="19"/>
                <w:color w:val="auto"/>
              </w:rPr>
            </w:pPr>
          </w:p>
        </w:tc>
      </w:tr>
      <w:tr>
        <w:trPr>
          <w:trHeight w:val="237"/>
        </w:trPr>
        <w:tc>
          <w:tcPr>
            <w:tcW w:w="6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gridSpan w:val="2"/>
          </w:tcPr>
          <w:p>
            <w:pPr>
              <w:jc w:val="right"/>
              <w:ind w:right="1009"/>
              <w:spacing w:after="0"/>
              <w:rPr>
                <w:sz w:val="20"/>
                <w:szCs w:val="20"/>
                <w:color w:val="auto"/>
              </w:rPr>
            </w:pPr>
            <w:r>
              <w:rPr>
                <w:rFonts w:ascii="Arial" w:cs="Arial" w:eastAsia="Arial" w:hAnsi="Arial"/>
                <w:sz w:val="15"/>
                <w:szCs w:val="15"/>
                <w:color w:val="auto"/>
                <w:w w:val="71"/>
              </w:rPr>
              <w:t>$</w:t>
            </w:r>
          </w:p>
        </w:tc>
        <w:tc>
          <w:tcPr>
            <w:tcW w:w="3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619"/>
        <w:spacing w:after="0" w:line="263" w:lineRule="auto"/>
        <w:rPr>
          <w:sz w:val="20"/>
          <w:szCs w:val="20"/>
          <w:color w:val="auto"/>
        </w:rPr>
      </w:pPr>
      <w:r>
        <w:rPr>
          <w:rFonts w:ascii="Arial" w:cs="Arial" w:eastAsia="Arial" w:hAnsi="Arial"/>
          <w:sz w:val="18"/>
          <w:szCs w:val="18"/>
          <w:color w:val="auto"/>
        </w:rPr>
        <w:t>During the three months ended March 31, 2022, the Company recognized $304 of interest expense related to the Loan Agreement which is reflected in other (expense) income, net on the consolidated statements of operations and comprehensive loss. During the three months ended March 31, 2021 the Company recognized no interest expense related to the Loan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ommon Stock</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As of March 31, 2022 and December 31, 2021, the authorized capital stock of the Company included 150,000,000 shares of common stock, $0.0001 par value and 10,000,000 shares of undesignated preferred stock. As of March 31, 2022 and December 31, 2021, no undesignated preferred stock was outstanding.</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no cash dividends have been declared or paid.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and December 31, 2021, the Company has reserved the following shares of common stock for future issuance:</w:t>
      </w:r>
    </w:p>
    <w:p>
      <w:pPr>
        <w:spacing w:after="0" w:line="200" w:lineRule="exact"/>
        <w:rPr>
          <w:sz w:val="20"/>
          <w:szCs w:val="20"/>
          <w:color w:val="auto"/>
        </w:rPr>
      </w:pPr>
    </w:p>
    <w:p>
      <w:pPr>
        <w:spacing w:after="0" w:line="30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5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200" w:type="dxa"/>
            <w:vAlign w:val="bottom"/>
            <w:tcBorders>
              <w:bottom w:val="single" w:sz="8" w:color="CFF0FC"/>
            </w:tcBorders>
          </w:tcPr>
          <w:p>
            <w:pPr>
              <w:spacing w:after="0"/>
              <w:rPr>
                <w:sz w:val="14"/>
                <w:szCs w:val="14"/>
                <w:color w:val="auto"/>
              </w:rPr>
            </w:pPr>
          </w:p>
        </w:tc>
        <w:tc>
          <w:tcPr>
            <w:tcW w:w="278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9,471,305</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7,423,777</w:t>
            </w:r>
          </w:p>
        </w:tc>
        <w:tc>
          <w:tcPr>
            <w:tcW w:w="80" w:type="dxa"/>
            <w:vAlign w:val="bottom"/>
            <w:shd w:val="clear" w:color="auto" w:fill="CFF0FC"/>
          </w:tcPr>
          <w:p>
            <w:pPr>
              <w:spacing w:after="0"/>
              <w:rPr>
                <w:sz w:val="19"/>
                <w:szCs w:val="19"/>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380" w:type="dxa"/>
            <w:vAlign w:val="bottom"/>
          </w:tcPr>
          <w:p>
            <w:pPr>
              <w:jc w:val="right"/>
              <w:spacing w:after="0"/>
              <w:rPr>
                <w:sz w:val="20"/>
                <w:szCs w:val="20"/>
                <w:color w:val="auto"/>
              </w:rPr>
            </w:pPr>
            <w:r>
              <w:rPr>
                <w:rFonts w:ascii="Arial" w:cs="Arial" w:eastAsia="Arial" w:hAnsi="Arial"/>
                <w:sz w:val="18"/>
                <w:szCs w:val="18"/>
                <w:color w:val="auto"/>
              </w:rPr>
              <w:t>919,853</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599,850</w:t>
            </w:r>
          </w:p>
        </w:tc>
        <w:tc>
          <w:tcPr>
            <w:tcW w:w="8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issuance under the 2018</w:t>
            </w:r>
          </w:p>
        </w:tc>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 and Grant Plan</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1,777,657</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2,583,736</w:t>
            </w:r>
          </w:p>
        </w:tc>
        <w:tc>
          <w:tcPr>
            <w:tcW w:w="80" w:type="dxa"/>
            <w:vAlign w:val="bottom"/>
            <w:shd w:val="clear" w:color="auto" w:fill="CFF0FC"/>
          </w:tcPr>
          <w:p>
            <w:pPr>
              <w:spacing w:after="0"/>
              <w:rPr>
                <w:sz w:val="19"/>
                <w:szCs w:val="19"/>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w w:val="88"/>
              </w:rPr>
              <w:t>Shares reserved for issuance under the 2018</w:t>
            </w:r>
          </w:p>
        </w:tc>
        <w:tc>
          <w:tcPr>
            <w:tcW w:w="278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Pr>
          <w:p>
            <w:pPr>
              <w:jc w:val="right"/>
              <w:spacing w:after="0"/>
              <w:rPr>
                <w:sz w:val="20"/>
                <w:szCs w:val="20"/>
                <w:color w:val="auto"/>
              </w:rPr>
            </w:pPr>
            <w:r>
              <w:rPr>
                <w:rFonts w:ascii="Arial" w:cs="Arial" w:eastAsia="Arial" w:hAnsi="Arial"/>
                <w:sz w:val="18"/>
                <w:szCs w:val="18"/>
                <w:color w:val="auto"/>
              </w:rPr>
              <w:t>1,544,308</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1,151,010</w:t>
            </w:r>
          </w:p>
        </w:tc>
        <w:tc>
          <w:tcPr>
            <w:tcW w:w="8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reserved for issuance under the 2019</w:t>
            </w:r>
          </w:p>
        </w:tc>
        <w:tc>
          <w:tcPr>
            <w:tcW w:w="2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Inducement Plan</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573,944</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412,686</w:t>
            </w:r>
          </w:p>
        </w:tc>
        <w:tc>
          <w:tcPr>
            <w:tcW w:w="80" w:type="dxa"/>
            <w:vAlign w:val="bottom"/>
            <w:shd w:val="clear" w:color="auto" w:fill="CFF0FC"/>
          </w:tcPr>
          <w:p>
            <w:pPr>
              <w:spacing w:after="0"/>
              <w:rPr>
                <w:sz w:val="19"/>
                <w:szCs w:val="19"/>
                <w:color w:val="auto"/>
              </w:rPr>
            </w:pPr>
          </w:p>
        </w:tc>
      </w:tr>
      <w:tr>
        <w:trPr>
          <w:trHeight w:val="229"/>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8"/>
              </w:rPr>
              <w:t>Shares reserved for issuance under the 2020</w:t>
            </w:r>
          </w:p>
        </w:tc>
        <w:tc>
          <w:tcPr>
            <w:tcW w:w="2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Inducement Plan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1,637,000</w:t>
            </w:r>
          </w:p>
        </w:tc>
        <w:tc>
          <w:tcPr>
            <w:tcW w:w="24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1,637,000</w:t>
            </w:r>
          </w:p>
        </w:tc>
        <w:tc>
          <w:tcPr>
            <w:tcW w:w="80" w:type="dxa"/>
            <w:vAlign w:val="bottom"/>
            <w:tcBorders>
              <w:bottom w:val="single" w:sz="8" w:color="CFF0FC"/>
            </w:tcBorders>
          </w:tcPr>
          <w:p>
            <w:pPr>
              <w:spacing w:after="0"/>
              <w:rPr>
                <w:sz w:val="19"/>
                <w:szCs w:val="19"/>
                <w:color w:val="auto"/>
              </w:rPr>
            </w:pPr>
          </w:p>
        </w:tc>
      </w:tr>
      <w:tr>
        <w:trPr>
          <w:trHeight w:val="223"/>
        </w:trPr>
        <w:tc>
          <w:tcPr>
            <w:tcW w:w="5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15,924,067</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13,808,059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of directors were as follows, presented on a weighted-average basis:</w:t>
      </w:r>
    </w:p>
    <w:p>
      <w:pPr>
        <w:spacing w:after="0" w:line="40"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0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9"/>
                <w:szCs w:val="19"/>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0.63%</w:t>
            </w:r>
          </w:p>
        </w:tc>
      </w:tr>
      <w:tr>
        <w:trPr>
          <w:trHeight w:val="230"/>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80.19%</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80.67%</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31"/>
        </w:trPr>
        <w:tc>
          <w:tcPr>
            <w:tcW w:w="7600" w:type="dxa"/>
            <w:vAlign w:val="bottom"/>
          </w:tcPr>
          <w:p>
            <w:pPr>
              <w:ind w:left="5540"/>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76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three months ended March 31,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7,423,777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3,125,465</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(1,077,937)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13.38</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March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9,471,305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4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Exercisable as of March 31, 2022</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13.27</w:t>
            </w:r>
          </w:p>
        </w:tc>
        <w:tc>
          <w:tcPr>
            <w:tcW w:w="2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5.78</w:t>
            </w: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3,194,119</w:t>
            </w:r>
          </w:p>
        </w:tc>
        <w:tc>
          <w:tcPr>
            <w:tcW w:w="2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22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aggregate intrinsic value of options exercised during the three months ended March 31, 2021 was $1,729. No options were exercised during the three months ended March 31, 2022.</w:t>
      </w:r>
    </w:p>
    <w:p>
      <w:pPr>
        <w:spacing w:after="0" w:line="170"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three months ended March 31, 2022 and 2021 was $1.29 and $10.69,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common stock units for the three months ended March 31,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7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599,850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646,991</w:t>
            </w:r>
          </w:p>
        </w:tc>
        <w:tc>
          <w:tcPr>
            <w:tcW w:w="180" w:type="dxa"/>
            <w:vAlign w:val="bottom"/>
          </w:tcPr>
          <w:p>
            <w:pPr>
              <w:spacing w:after="0"/>
              <w:rPr>
                <w:sz w:val="19"/>
                <w:szCs w:val="19"/>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(143)</w:t>
            </w: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Forfeited, cancelled or expired</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(326,845)</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March 31, 2022</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919,853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total fair value of restricted stock units vested during the three months ended March 31, 2022 and 2021 was $1 thousand and $2 thousand,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04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3"/>
                <w:szCs w:val="13"/>
                <w:color w:val="auto"/>
              </w:rPr>
            </w:pPr>
          </w:p>
        </w:tc>
        <w:tc>
          <w:tcPr>
            <w:tcW w:w="1340" w:type="dxa"/>
            <w:vAlign w:val="bottom"/>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3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3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3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33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3,378</w:t>
            </w:r>
          </w:p>
        </w:tc>
        <w:tc>
          <w:tcPr>
            <w:tcW w:w="3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380" w:type="dxa"/>
            <w:vAlign w:val="bottom"/>
            <w:vMerge w:val="restart"/>
          </w:tcPr>
          <w:p>
            <w:pPr>
              <w:jc w:val="right"/>
              <w:ind w:right="1810"/>
              <w:spacing w:after="0"/>
              <w:rPr>
                <w:sz w:val="20"/>
                <w:szCs w:val="20"/>
                <w:color w:val="auto"/>
              </w:rPr>
            </w:pPr>
            <w:r>
              <w:rPr>
                <w:rFonts w:ascii="Arial" w:cs="Arial" w:eastAsia="Arial" w:hAnsi="Arial"/>
                <w:sz w:val="18"/>
                <w:szCs w:val="18"/>
                <w:color w:val="auto"/>
              </w:rPr>
              <w:t>16</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As of March 31, 2022, total unrecognized compensation cost related to the unvested stock-based awards was $34,360, which is expected to be recognized over a weighted-average period of 2.78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21"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For purposes of the diluted net loss per share calculation, stock options and unvested restricted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is the same.</w:t>
      </w:r>
    </w:p>
    <w:p>
      <w:pPr>
        <w:spacing w:after="0" w:line="16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for the periods indicated:</w:t>
      </w:r>
    </w:p>
    <w:p>
      <w:pPr>
        <w:spacing w:after="0" w:line="40"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6350</wp:posOffset>
            </wp:positionV>
            <wp:extent cx="21945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 w:lineRule="exact"/>
        <w:rPr>
          <w:sz w:val="20"/>
          <w:szCs w:val="20"/>
          <w:color w:val="auto"/>
        </w:rPr>
      </w:pPr>
    </w:p>
    <w:p>
      <w:pPr>
        <w:ind w:left="8340"/>
        <w:spacing w:after="0"/>
        <w:tabs>
          <w:tab w:leader="none" w:pos="1018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tbl>
      <w:tblPr>
        <w:tblLayout w:type="fixed"/>
        <w:tblInd w:w="0" w:type="dxa"/>
        <w:tblCellMar>
          <w:top w:w="0" w:type="dxa"/>
          <w:left w:w="0" w:type="dxa"/>
          <w:bottom w:w="0" w:type="dxa"/>
          <w:right w:w="0" w:type="dxa"/>
        </w:tblCellMar>
      </w:tblPr>
      <w:tr>
        <w:trPr>
          <w:trHeight w:val="223"/>
        </w:trPr>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9,471,305</w:t>
            </w:r>
          </w:p>
        </w:tc>
        <w:tc>
          <w:tcPr>
            <w:tcW w:w="1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7,663,046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919,853</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0"/>
                <w:szCs w:val="20"/>
                <w:color w:val="auto"/>
              </w:rPr>
            </w:pPr>
          </w:p>
        </w:tc>
      </w:tr>
    </w:tbl>
    <w:p>
      <w:pPr>
        <w:spacing w:after="0" w:line="30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4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225"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For the three months ended March 31, 2022 and 2021, the Company recognized $24 and $39, respectively, of research and development expense related to the license agreements with UHN. Refer to Note 3 “</w:t>
      </w:r>
      <w:r>
        <w:rPr>
          <w:rFonts w:ascii="Arial" w:cs="Arial" w:eastAsia="Arial" w:hAnsi="Arial"/>
          <w:sz w:val="16"/>
          <w:szCs w:val="16"/>
          <w:i w:val="1"/>
          <w:iCs w:val="1"/>
          <w:color w:val="auto"/>
        </w:rPr>
        <w:t>License Agreements</w:t>
      </w:r>
      <w:r>
        <w:rPr>
          <w:rFonts w:ascii="Arial" w:cs="Arial" w:eastAsia="Arial" w:hAnsi="Arial"/>
          <w:sz w:val="16"/>
          <w:szCs w:val="16"/>
          <w:color w:val="auto"/>
        </w:rPr>
        <w:t>” for additional information regarding the UHN license agreements.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For the three months ended March 31, 2022 and 2021, the Company recorded expenses of $794 and $641, respectively, related to a sublease to rent lab space, provided by an entity affiliated with a member of the Company’s board of directors.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Activities</w:t>
      </w:r>
    </w:p>
    <w:p>
      <w:pPr>
        <w:spacing w:after="0" w:line="121"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In January 2022, the Company announced the deprioritization of AVR-RD-01, its investigational gene therapy program for Fabry disease. This decision was made due to several factors, including new clinical data showing variable engraftment patterns from the five most recently dosed patients in the Company’s Phase 2 clinical trial of AVR-RD-01 for the treatment of Fabry disease, which the Company refers to as the FAB-GT clinical trial. The emergence of such new data would have significantly extended the program’s development timeline. That development, coupled with an increasingly challenging market and regulatory environment for Fabry disease, were among the primary factors leading to the Company’s deprioritization of its Fabry program. As a result of the deprioritization, the Company has stopped enrollment of its Phase 2 FAB-GT clinical trial and will focus on its other pipeline programs.</w:t>
      </w:r>
    </w:p>
    <w:p>
      <w:pPr>
        <w:spacing w:after="0" w:line="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connection with the deprioritization of AVR-RD-01 noted above, in January 2022, the Company approved changes to the Company’s organization as well as a broader operational cost reduction plan. As part of this plan, the Company approved a reduction in the Company’s workforce by approximately 23% across different areas and functions in the Company (the “Workforce Reduction”).</w:t>
      </w:r>
    </w:p>
    <w:p>
      <w:pPr>
        <w:spacing w:after="0" w:line="76"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Under the Workforce Reduction, the Company recognized total restructuring expenses of $1,369 for the three months ended March 31, 2022. No restructuring expenses were incurred for the three months ended March 31, 2021. These one-time employee termination benefits are related to affected employees, who were offered separation benefits, including severance payments. Approximately $1,324 of these payments were made during the three months ended March 31, 2022, and the accrued remaining payments at March 31, 2022 were approximately $45. These remaining payments are expected to be made in Q2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The outstanding restructuring liabilities are included in accrued expenses and other current liabilities on the consolidated balance sheets. The following table summarizes the charges related to the restructuring activities as of March 31,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Employee Severance</w:t>
            </w:r>
          </w:p>
        </w:tc>
        <w:tc>
          <w:tcPr>
            <w:tcW w:w="0" w:type="dxa"/>
            <w:vAlign w:val="bottom"/>
          </w:tcPr>
          <w:p>
            <w:pPr>
              <w:spacing w:after="0"/>
              <w:rPr>
                <w:sz w:val="1"/>
                <w:szCs w:val="1"/>
                <w:color w:val="auto"/>
              </w:rPr>
            </w:pPr>
          </w:p>
        </w:tc>
      </w:tr>
      <w:tr>
        <w:trPr>
          <w:trHeight w:val="171"/>
        </w:trPr>
        <w:tc>
          <w:tcPr>
            <w:tcW w:w="8900" w:type="dxa"/>
            <w:vAlign w:val="bottom"/>
            <w:vMerge w:val="restart"/>
          </w:tcPr>
          <w:p>
            <w:pPr>
              <w:spacing w:after="0"/>
              <w:rPr>
                <w:sz w:val="20"/>
                <w:szCs w:val="20"/>
                <w:color w:val="auto"/>
              </w:rPr>
            </w:pPr>
            <w:r>
              <w:rPr>
                <w:rFonts w:ascii="Arial" w:cs="Arial" w:eastAsia="Arial" w:hAnsi="Arial"/>
                <w:sz w:val="18"/>
                <w:szCs w:val="18"/>
                <w:color w:val="auto"/>
              </w:rPr>
              <w:t>Restructuring expenses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and Other Benefits</w:t>
            </w:r>
          </w:p>
        </w:tc>
        <w:tc>
          <w:tcPr>
            <w:tcW w:w="0" w:type="dxa"/>
            <w:vAlign w:val="bottom"/>
          </w:tcPr>
          <w:p>
            <w:pPr>
              <w:spacing w:after="0"/>
              <w:rPr>
                <w:sz w:val="1"/>
                <w:szCs w:val="1"/>
                <w:color w:val="auto"/>
              </w:rPr>
            </w:pPr>
          </w:p>
        </w:tc>
      </w:tr>
      <w:tr>
        <w:trPr>
          <w:trHeight w:val="223"/>
        </w:trPr>
        <w:tc>
          <w:tcPr>
            <w:tcW w:w="8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Liability included in accrued expenses and other current liabilities at March 31, 2022</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2021 included in our Annual Report on Form 10-K for the year ended December 31, 2021. Some of the information contained in this discussion and analysis or set forth elsewhere in this Quarterly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2021, as supplemented by our subsequent filings with the SEC.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gene therapies employ hematopoietic stem cells that are harvested from the patient and then modified with a lentiviral vector to insert the equivalent of a functional copy of the gene that is mutated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disorders, some of which today are primarily managed with enzyme replacement therapies, or ERTs. These lysosomal disorders have well-understood biologies, identified patient populations, established standards of care yet with significant unmet needs, and represent large market opportunities with approximately $3.4 billion in worldwide net sales in 2021.</w:t>
      </w:r>
    </w:p>
    <w:p>
      <w:pPr>
        <w:spacing w:after="0" w:line="17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pipeline is currently comprised of five lentiviral-based gene therapy programs: AVR-RD-04 for the treatment of cystinosis; AVR-RD-02 for the treatment of Gaucher disease type 1; AVR-RD-05 for the treatment of Hunter syndrome; AVR-RD-06 for the treatment of Gaucher disease type 3; and AVR-RD-03 for the treatment of Pompe disease.</w:t>
      </w:r>
    </w:p>
    <w:p>
      <w:pPr>
        <w:spacing w:after="0" w:line="184"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AVR-RD-04 is currently being studied for the treatment of cystinosis by our collaborators at the University of California, San Diego, or UCSD, in a Phase 1/2 collaborator-sponsored clinical trial. Enrollment of this clinical trial is complete with a total of six patients enrolled, and five patients have been dosed. In February 2022, we reported updated interim data from the Phase 1/2 clinical trial of AVR-RD-04 at the 18th Annual WORLD</w:t>
      </w:r>
      <w:r>
        <w:rPr>
          <w:rFonts w:ascii="Arial" w:cs="Arial" w:eastAsia="Arial" w:hAnsi="Arial"/>
          <w:sz w:val="18"/>
          <w:szCs w:val="18"/>
          <w:i w:val="1"/>
          <w:iCs w:val="1"/>
          <w:color w:val="auto"/>
        </w:rPr>
        <w:t>Symposium</w:t>
      </w:r>
      <w:r>
        <w:rPr>
          <w:rFonts w:ascii="Arial" w:cs="Arial" w:eastAsia="Arial" w:hAnsi="Arial"/>
          <w:sz w:val="18"/>
          <w:szCs w:val="18"/>
          <w:color w:val="auto"/>
        </w:rPr>
        <w:t>™ in San Diego. Pending the outcome of planned FDA interactions this year, we expect to initiate a Company-sponsored trial in 2023 with initial sites in the United States, followed by sites in Europe and the United Kingdom. Our current plan involves a two-part strategy, beginning in a pre-renal transplant population followed by a post-renal transplant population.</w:t>
      </w:r>
    </w:p>
    <w:p>
      <w:pPr>
        <w:spacing w:after="0" w:line="192"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Three patients have been dosed in our Company-sponsored Phase 1/2 clinical trial of AVR-RD-02 for the treatment of Gaucher disease type 1, which we refer to as the Guard1 clinical trial, and we are actively recruiting additional potential patients for our currently active sites. We plan to provide updated interim clinical trial data in 2022.</w:t>
      </w:r>
    </w:p>
    <w:p>
      <w:pPr>
        <w:spacing w:after="0" w:line="184" w:lineRule="exact"/>
        <w:rPr>
          <w:sz w:val="20"/>
          <w:szCs w:val="20"/>
          <w:color w:val="auto"/>
        </w:rPr>
      </w:pPr>
    </w:p>
    <w:p>
      <w:pPr>
        <w:jc w:val="both"/>
        <w:ind w:right="180" w:firstLine="510"/>
        <w:spacing w:after="0" w:line="342" w:lineRule="auto"/>
        <w:rPr>
          <w:sz w:val="20"/>
          <w:szCs w:val="20"/>
          <w:color w:val="auto"/>
        </w:rPr>
      </w:pPr>
      <w:r>
        <w:rPr>
          <w:rFonts w:ascii="Arial" w:cs="Arial" w:eastAsia="Arial" w:hAnsi="Arial"/>
          <w:sz w:val="16"/>
          <w:szCs w:val="16"/>
          <w:color w:val="auto"/>
        </w:rPr>
        <w:t>AVR-RD-05 is being studied for the treatment of Hunter syndrome by our collaborators at The University of Manchester. We expect that a clinical trial application in the United Kingdom will be authorized in 2022, with a Phase 1/2 investigator-sponsored clinical trial expected to be initiated in 2023.</w:t>
      </w:r>
    </w:p>
    <w:p>
      <w:pPr>
        <w:spacing w:after="0" w:line="12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AVR-RD-06 is our preclinical program for the treatment of Gaucher disease type 3, and we expect to engage with regulatory authorities this year to discuss a path to the clinic, including a potential Phase 2/3 clinical trial to be initiated in 2023.</w:t>
      </w:r>
    </w:p>
    <w:p>
      <w:pPr>
        <w:spacing w:after="0" w:line="170"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Our AVR-RD-03 program for Pompe disease has completed planned preclinical development, and we are planning to engage with regulatory authorities this year to discuss a potential path to the clinic with the goal of initiating a clinical trial in 2023.</w:t>
      </w:r>
    </w:p>
    <w:p>
      <w:pPr>
        <w:spacing w:after="0" w:line="170"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To date, we have not generated any product revenue and have financed our operations primarily through the private placement of our securities and through public offerings of our common stock. Through March 31, 2022, we had received gross cash proceeds of $87.5 million from sales of our preferred stock; gross cash proceeds, before deducting underwriting discounts and commissions and expenses, of $428.1 million from sales of our common stock through our initial public offering and follow-on offerings; and gross cash proceeds, before deducting commissions and expenses, of $23.5 million from sales of our common stock through our “at-the-market,” or ATM, facility.</w:t>
      </w:r>
    </w:p>
    <w:p>
      <w:pPr>
        <w:spacing w:after="0" w:line="166"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Additionally, we have incurred significant operating losses. Our ability to generate product revenue sufficient to achieve profitability will depend heavily on the successful development and eventual commercialization of one or more of our current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right="20"/>
        <w:spacing w:after="0" w:line="291" w:lineRule="auto"/>
        <w:rPr>
          <w:sz w:val="20"/>
          <w:szCs w:val="20"/>
          <w:color w:val="auto"/>
        </w:rPr>
      </w:pPr>
      <w:r>
        <w:rPr>
          <w:rFonts w:ascii="Arial" w:cs="Arial" w:eastAsia="Arial" w:hAnsi="Arial"/>
          <w:sz w:val="16"/>
          <w:szCs w:val="16"/>
          <w:color w:val="auto"/>
        </w:rPr>
        <w:t>future product candidates and programs. Our net losses were $29.8 million and $26.9 million for the three months ended March 31, 2022 and 2021, respectively. As of March 31, 2022, we had an accumulated deficit of $413.4 million. We expect to continue to incur significant expenses for at least the next several years as we advance our current and future product candidates from discovery through preclinical development and clinical trials and seek regulatory approval of our product candidates. We currently have a total of five investigational gene therapies in our pipeline, two of which are currently in clinical development. Further development of these programs will require us to expend significant resources to advance these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w:t>
      </w:r>
    </w:p>
    <w:p>
      <w:pPr>
        <w:spacing w:after="0" w:line="16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follow-on offerings and sales of common stock under our ATM facility, as well as proceeds from our Loan and Security Agreement, or the Term Loan Agreement, with the lenders party thereto from time to time, or the Lenders, and Silicon Valley Bank, as administrative agent and collateral agent for the Lenders, or the Agent. We may also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5"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As of March 31, 2022, we had cash and cash equivalents of $161.7 million. We believe that our existing cash and cash equivalents as of March 31, 2022, will enable us to fund our operating expenses and capital expenditure requirements into the first quarter of 2024.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76"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44" w:lineRule="exact"/>
        <w:rPr>
          <w:rFonts w:ascii="Arial" w:cs="Arial" w:eastAsia="Arial" w:hAnsi="Arial"/>
          <w:sz w:val="18"/>
          <w:szCs w:val="18"/>
          <w:color w:val="auto"/>
        </w:rPr>
      </w:pPr>
    </w:p>
    <w:p>
      <w:pPr>
        <w:ind w:left="880" w:hanging="373"/>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38" w:lineRule="exact"/>
        <w:rPr>
          <w:rFonts w:ascii="Arial" w:cs="Arial" w:eastAsia="Arial" w:hAnsi="Arial"/>
          <w:sz w:val="17"/>
          <w:szCs w:val="17"/>
          <w:color w:val="auto"/>
        </w:rPr>
      </w:pPr>
    </w:p>
    <w:p>
      <w:pPr>
        <w:ind w:left="880" w:right="4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62" w:lineRule="exact"/>
        <w:rPr>
          <w:rFonts w:ascii="Arial" w:cs="Arial" w:eastAsia="Arial" w:hAnsi="Arial"/>
          <w:sz w:val="18"/>
          <w:szCs w:val="18"/>
          <w:color w:val="auto"/>
        </w:rPr>
      </w:pPr>
    </w:p>
    <w:p>
      <w:pPr>
        <w:ind w:left="880" w:hanging="373"/>
        <w:spacing w:after="0" w:line="207" w:lineRule="exact"/>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our preclinical activities;</w:t>
      </w:r>
    </w:p>
    <w:p>
      <w:pPr>
        <w:spacing w:after="0" w:line="144"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5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Our direct research and development expenses are tracked on a program-by-program basis for our product candidates and consist primarily of external costs, such as fees paid to outside consultants, CROs, CMOs, and central laboratories in connection with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6" w:name="page27"/>
    <w:bookmarkEnd w:id="26"/>
    <w:p>
      <w:pPr>
        <w:ind w:right="240"/>
        <w:spacing w:after="0" w:line="296" w:lineRule="auto"/>
        <w:rPr>
          <w:sz w:val="20"/>
          <w:szCs w:val="20"/>
          <w:color w:val="auto"/>
        </w:rPr>
      </w:pPr>
      <w:r>
        <w:rPr>
          <w:rFonts w:ascii="Arial" w:cs="Arial" w:eastAsia="Arial" w:hAnsi="Arial"/>
          <w:sz w:val="16"/>
          <w:szCs w:val="16"/>
          <w:color w:val="auto"/>
        </w:rPr>
        <w:t>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our research and development expenses related to our product candidates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1"/>
        </w:trPr>
        <w:tc>
          <w:tcPr>
            <w:tcW w:w="80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56"/>
        </w:trPr>
        <w:tc>
          <w:tcPr>
            <w:tcW w:w="80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15"/>
              <w:spacing w:after="0" w:line="155"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FF0FC"/>
            </w:tcBorders>
          </w:tcPr>
          <w:p>
            <w:pPr>
              <w:spacing w:after="0"/>
              <w:rPr>
                <w:sz w:val="13"/>
                <w:szCs w:val="13"/>
                <w:color w:val="auto"/>
              </w:rPr>
            </w:pPr>
          </w:p>
        </w:tc>
      </w:tr>
      <w:tr>
        <w:trPr>
          <w:trHeight w:val="223"/>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Fabry</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380" w:type="dxa"/>
            <w:vAlign w:val="bottom"/>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Gaucher</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1,766</w:t>
            </w:r>
          </w:p>
        </w:tc>
        <w:tc>
          <w:tcPr>
            <w:tcW w:w="380" w:type="dxa"/>
            <w:vAlign w:val="bottom"/>
          </w:tcPr>
          <w:p>
            <w:pPr>
              <w:spacing w:after="0"/>
              <w:rPr>
                <w:sz w:val="19"/>
                <w:szCs w:val="19"/>
                <w:color w:val="auto"/>
              </w:rPr>
            </w:pPr>
          </w:p>
        </w:tc>
      </w:tr>
      <w:tr>
        <w:trPr>
          <w:trHeight w:val="22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Pompe</w:t>
            </w:r>
          </w:p>
        </w:tc>
        <w:tc>
          <w:tcPr>
            <w:tcW w:w="3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380" w:type="dxa"/>
            <w:vAlign w:val="bottom"/>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Cystinosis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557</w:t>
            </w:r>
          </w:p>
        </w:tc>
        <w:tc>
          <w:tcPr>
            <w:tcW w:w="380" w:type="dxa"/>
            <w:vAlign w:val="bottom"/>
          </w:tcPr>
          <w:p>
            <w:pPr>
              <w:spacing w:after="0"/>
              <w:rPr>
                <w:sz w:val="19"/>
                <w:szCs w:val="19"/>
                <w:color w:val="auto"/>
              </w:rPr>
            </w:pPr>
          </w:p>
        </w:tc>
      </w:tr>
      <w:tr>
        <w:trPr>
          <w:trHeight w:val="22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Hunter</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(185)</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Other research activities</w:t>
            </w:r>
          </w:p>
        </w:tc>
        <w:tc>
          <w:tcPr>
            <w:tcW w:w="38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13,903</w:t>
            </w:r>
          </w:p>
        </w:tc>
        <w:tc>
          <w:tcPr>
            <w:tcW w:w="380" w:type="dxa"/>
            <w:vAlign w:val="bottom"/>
            <w:shd w:val="clear" w:color="auto" w:fill="CFF0FC"/>
          </w:tcPr>
          <w:p>
            <w:pPr>
              <w:spacing w:after="0"/>
              <w:rPr>
                <w:sz w:val="19"/>
                <w:szCs w:val="19"/>
                <w:color w:val="auto"/>
              </w:rPr>
            </w:pPr>
          </w:p>
        </w:tc>
      </w:tr>
      <w:tr>
        <w:trPr>
          <w:trHeight w:val="223"/>
        </w:trPr>
        <w:tc>
          <w:tcPr>
            <w:tcW w:w="800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18,527</w:t>
            </w:r>
          </w:p>
        </w:tc>
        <w:tc>
          <w:tcPr>
            <w:tcW w:w="3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9"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67" w:lineRule="exact"/>
        <w:rPr>
          <w:rFonts w:ascii="Arial" w:cs="Arial" w:eastAsia="Arial" w:hAnsi="Arial"/>
          <w:sz w:val="16"/>
          <w:szCs w:val="16"/>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risks disclosed in the section entitled “Risk Factors” of this Quarterly Report on Form 10-Q.</w:t>
      </w:r>
    </w:p>
    <w:p>
      <w:pPr>
        <w:spacing w:after="0" w:line="252"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right="180"/>
        <w:spacing w:after="0" w:line="273" w:lineRule="auto"/>
        <w:rPr>
          <w:sz w:val="20"/>
          <w:szCs w:val="20"/>
          <w:color w:val="auto"/>
        </w:rPr>
      </w:pPr>
      <w:r>
        <w:rPr>
          <w:rFonts w:ascii="Arial" w:cs="Arial" w:eastAsia="Arial" w:hAnsi="Arial"/>
          <w:sz w:val="17"/>
          <w:szCs w:val="17"/>
          <w:color w:val="auto"/>
        </w:rPr>
        <w:t>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for any reason,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Other (expense) income, net primarily consists of interest income earned on our cash and cash equivalents and changes in foreign currency, and interest expense related to our Term Loan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consolidated results of operations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19,253</w:t>
            </w:r>
          </w:p>
        </w:tc>
        <w:tc>
          <w:tcPr>
            <w:tcW w:w="16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18,527</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Other (expense) income:</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 income, net</w:t>
            </w:r>
          </w:p>
        </w:tc>
        <w:tc>
          <w:tcPr>
            <w:tcW w:w="18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auto"/>
        </w:rPr>
        <w:t>Research and development expenses increased by approximately $0.7 million to $19.3 million for the three months ended March 31, 2022, from $18.5 million for the three months ended March 31, 2021. This increase was driven by a $1.8 million increase in clinical trial consulting expenses which was partially offset by a $1.1 million decrease in personnel-related costs, including non-cash stock-based compensation.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100" w:firstLine="510"/>
        <w:spacing w:after="0" w:line="311" w:lineRule="auto"/>
        <w:rPr>
          <w:sz w:val="20"/>
          <w:szCs w:val="20"/>
          <w:color w:val="auto"/>
        </w:rPr>
      </w:pPr>
      <w:r>
        <w:rPr>
          <w:rFonts w:ascii="Arial" w:cs="Arial" w:eastAsia="Arial" w:hAnsi="Arial"/>
          <w:sz w:val="16"/>
          <w:szCs w:val="16"/>
          <w:color w:val="auto"/>
        </w:rPr>
        <w:t>General and administrative expenses were $10.2 million for the three months ended March 31, 2022, compared to $8.4 million for the three months ended March 31, 2021. This increase of $1.8 million was attributable to an increase of $0.7 million in personnel-related costs driven by severance costs related to the workforce reduction and a $1.1 million increase in other expenses, primarily related to facilities costs, professional fees and legal fees.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Other (expense), net, was $(0.4) million for the three months ended March 31, 2022, compared to less than $(0.1) million for the three months ended March 31, 2021. The change is primarily due to interest expense related to the Term Loan Agreement, which was entered into in the fourth quarter of 2021.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10"/>
        <w:spacing w:after="0" w:line="299"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and we have raised additional capital through subsequent follow-on offerings and our ATM facility. Through March 31, 2022, we had received gross cash proceeds of</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$87.5 million from sales of our preferred stock; gross cash proceeds, before deducting underwriting discounts and commissions and expenses, of $428.1 million from sales of our common stock through our initial public offering and follow-on offerings; gross cash proceeds, before deducting commissions and expenses, of $23.5 million from sales of our common stock under our ATM facility; and we had drawn $15.0 million in term loans under our Term Loan Agreement.</w:t>
      </w:r>
    </w:p>
    <w:p>
      <w:pPr>
        <w:spacing w:after="0" w:line="193"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ATM offerings under the July 2019 Shelf. The July 2019 Shelf was declared effective by the SEC on July 10, 2019.</w:t>
      </w:r>
    </w:p>
    <w:p>
      <w:pPr>
        <w:spacing w:after="0" w:line="15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July 2019, we closed an underwritten public offering, or the July 2019 Follow-On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The net proceeds to us from this offering, after deducting underwriting discounts and commissions and other offering expenses payable by us, were $129.5 million.</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February 2020, we closed an underwritten public offering, or the February 2020 Follow-On Offering, under the December 2019 Shelf of 4,350,000 shares of our common stock at a public offering price of $23.00 per share. The net proceeds to us from this offering, after deducting underwriting discounts and commissions and other offering expenses payable by us, were $93.6 million.</w:t>
      </w:r>
    </w:p>
    <w:p>
      <w:pPr>
        <w:spacing w:after="0" w:line="18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In June 2020, we sold an aggregate of 384,140 shares of common stock under the ATM facility for net proceeds, after deducting commissions and other offering expenses payable by us, of $8.1 million.</w:t>
      </w:r>
    </w:p>
    <w:p>
      <w:pPr>
        <w:spacing w:after="0" w:line="170"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In November 2020, we closed an underwritten public offering, or the November 2020 Follow-On Offering, of 5,000,000 shares of our common stock at a public offering price of $15.00 per share. The net proceeds to us from the November 2020 Follow-On Offering, after deducting underwriting discounts and commissions and other offering expenses payable by us, were $70.2 million.</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 May 2021, we sold an aggregate of 1,829,268 shares of common stock under the ATM facility for net proceeds, after deducting commissions and other offering expenses payable by us, of $14.5 million. As of March 31, 2022, approximately $26.5 million of common stock remained available for future issuance under the ATM facility.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100" w:firstLine="510"/>
        <w:spacing w:after="0" w:line="271" w:lineRule="auto"/>
        <w:rPr>
          <w:sz w:val="20"/>
          <w:szCs w:val="20"/>
          <w:color w:val="auto"/>
        </w:rPr>
      </w:pPr>
      <w:r>
        <w:rPr>
          <w:rFonts w:ascii="Arial" w:cs="Arial" w:eastAsia="Arial" w:hAnsi="Arial"/>
          <w:sz w:val="17"/>
          <w:szCs w:val="17"/>
          <w:color w:val="auto"/>
        </w:rPr>
        <w:t>On November 2, 2021, or the Closing Date, we entered into the Term Loan Agreement. The Term Loan Agreement provided for (i) on the Closing Date, $30.0 million aggregate principal amount of term loans available through October 31, 2023; (ii) an additional $20.0 million in term loan facilities available through October 31, 2023 upon the achievement of certain regulatory or clinical milestones prior to the time of draw, or the Milestone Funding; and (iii) an additional discretionary $15.0 million term loan facility available upon our request and approval by the Agent and the Lenders, or, collectively, the Term Loans. We drew $15.0 million in term loans on the Closing Date. As a result of the deprioritization of our Fabry disease program, we are no longer able to draw the $20.0 million of Milestone Funding per the terms of the Term Loan Agreement. The loan repayment schedule provides for interest only payments until November 1, 2024, followed by consecutive monthly payments of principal and interest. All unpaid principal and accrued and unpaid interest with respect to each term loan is due and payable in full on October 1, 2026.</w:t>
      </w:r>
    </w:p>
    <w:p>
      <w:pPr>
        <w:spacing w:after="0" w:line="17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March 31, 2022, we had cash and cash equivalents of $161.7 million. Cash in excess of immediate requirements is invested primarily with a view to liquidity and capital preservation. We believe that our existing cash and cash equivalents as of March 31, 2022 will enable us to fund our operating expenses and capital expenditure requirements into the first quarter of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338"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Three Months Ended</w:t>
      </w:r>
    </w:p>
    <w:p>
      <w:pPr>
        <w:jc w:val="center"/>
        <w:ind w:left="76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84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(28,014)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(27,339)</w:t>
            </w:r>
          </w:p>
        </w:tc>
        <w:tc>
          <w:tcPr>
            <w:tcW w:w="120" w:type="dxa"/>
            <w:vAlign w:val="bottom"/>
            <w:shd w:val="clear" w:color="auto" w:fill="CFF0FC"/>
          </w:tcPr>
          <w:p>
            <w:pPr>
              <w:spacing w:after="0"/>
              <w:rPr>
                <w:sz w:val="19"/>
                <w:szCs w:val="19"/>
                <w:color w:val="auto"/>
              </w:rPr>
            </w:pPr>
          </w:p>
        </w:tc>
      </w:tr>
      <w:tr>
        <w:trPr>
          <w:trHeight w:val="229"/>
        </w:trPr>
        <w:tc>
          <w:tcPr>
            <w:tcW w:w="7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30"/>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FF0FC"/>
          </w:tcPr>
          <w:p>
            <w:pPr>
              <w:spacing w:after="0"/>
              <w:rPr>
                <w:sz w:val="19"/>
                <w:szCs w:val="19"/>
                <w:color w:val="auto"/>
              </w:rPr>
            </w:pPr>
          </w:p>
        </w:tc>
      </w:tr>
      <w:tr>
        <w:trPr>
          <w:trHeight w:val="223"/>
        </w:trPr>
        <w:tc>
          <w:tcPr>
            <w:tcW w:w="7840" w:type="dxa"/>
            <w:vAlign w:val="bottom"/>
          </w:tcPr>
          <w:p>
            <w:pPr>
              <w:ind w:left="260"/>
              <w:spacing w:after="0"/>
              <w:rPr>
                <w:sz w:val="20"/>
                <w:szCs w:val="20"/>
                <w:color w:val="auto"/>
              </w:rPr>
            </w:pPr>
            <w:r>
              <w:rPr>
                <w:rFonts w:ascii="Arial" w:cs="Arial" w:eastAsia="Arial" w:hAnsi="Arial"/>
                <w:sz w:val="18"/>
                <w:szCs w:val="18"/>
                <w:color w:val="auto"/>
              </w:rPr>
              <w:t>Net (decrease) in cash and cash equivalents</w:t>
            </w: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(27,904)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(26,655)</w:t>
            </w:r>
          </w:p>
        </w:tc>
        <w:tc>
          <w:tcPr>
            <w:tcW w:w="12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During the three months ended March 31, 2022, operating activities used $28.0 million of cash, cash equivalents and restricted cash, resulting from our net loss of $29.8 million and cash used by changes in our operating assets and liabilities of $2.0 million and partially offset by non-cash charges of $3.8 million. The net changes in our operating assets and liabilities were primarily due to a decrease in accrued expenses and other liabilities of $2.9 million, offset by a $0.3 million decrease in prepaids and other current assets and by a $0.6 million increase in accounts payable. The non-cash charges primarily included $3.4 million of stock-based compensation expense and $0.4 million of depreciation and amortization expense.</w:t>
      </w:r>
    </w:p>
    <w:p>
      <w:pPr>
        <w:spacing w:after="0" w:line="53"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During the three months ended March 31, 2021, operating activities used $27.3 million of cash, cash equivalents and restricted cash, resulting from our net loss of $26.9 million and cash used by changes in our operating assets and liabilities of $5.3 million partially offset by non-cash charges of $4.9 million. The net changes in our operating assets and liabilities were primarily due to a decrease in accrued expenses and other liabilities of $3.8 million and a $1.5 million increase in prepaids and other current assets. The non-cash charges primarily included $4.6 million of stock-based compensation expense and $0.3 million of depreciation and amortization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40" w:firstLine="510"/>
        <w:spacing w:after="0" w:line="342" w:lineRule="auto"/>
        <w:rPr>
          <w:sz w:val="20"/>
          <w:szCs w:val="20"/>
          <w:color w:val="auto"/>
        </w:rPr>
      </w:pPr>
      <w:r>
        <w:rPr>
          <w:rFonts w:ascii="Arial" w:cs="Arial" w:eastAsia="Arial" w:hAnsi="Arial"/>
          <w:sz w:val="16"/>
          <w:szCs w:val="16"/>
          <w:color w:val="auto"/>
        </w:rPr>
        <w:t>Net cash used in investing activities was less than $0.1 million for the three months ended March 31, 2022 compared to $0.1 million for the three months ended March 31, 2021. The decrease in cash used in investing activities was primarily due to a decrease in purchases of property and equipment.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Net cash provided by financing activities was $0.1 million for the three months ended March 31, 2022 compared to $0.8 million for the three months ended March 31, 2021. The decrease in cash provided by financing activities was primarily due to the proceeds of $0.9 million from proceeds from the exercise of stock options during the three months ended March 31, 2021 which was partially offset by $0.1 million in proceeds from the issuance of shares under our 2018 Employee Stock Purchase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Our expenses will also increase as we:</w:t>
      </w:r>
    </w:p>
    <w:p>
      <w:pPr>
        <w:spacing w:after="0" w:line="62" w:lineRule="exact"/>
        <w:rPr>
          <w:sz w:val="20"/>
          <w:szCs w:val="20"/>
          <w:color w:val="auto"/>
        </w:rPr>
      </w:pPr>
    </w:p>
    <w:p>
      <w:pPr>
        <w:ind w:left="880" w:hanging="373"/>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continue our development of our product candidates, including continuing enrollment and dosing of patients in our ongoing clinical trials;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55" w:lineRule="exact"/>
        <w:rPr>
          <w:rFonts w:ascii="Arial" w:cs="Arial" w:eastAsia="Arial" w:hAnsi="Arial"/>
          <w:sz w:val="17"/>
          <w:szCs w:val="17"/>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44"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medical, manufacturing, quality, commercial and scientific personnel;</w:t>
      </w:r>
    </w:p>
    <w:p>
      <w:pPr>
        <w:spacing w:after="0" w:line="144" w:lineRule="exact"/>
        <w:rPr>
          <w:rFonts w:ascii="Arial" w:cs="Arial" w:eastAsia="Arial" w:hAnsi="Arial"/>
          <w:sz w:val="18"/>
          <w:szCs w:val="18"/>
          <w:color w:val="auto"/>
        </w:rPr>
      </w:pPr>
    </w:p>
    <w:p>
      <w:pPr>
        <w:ind w:left="880" w:right="940" w:hanging="373"/>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infrastructure, office space and facilities to accommodate our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52"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We believe that our $161.7 million of existing cash and cash equivalents as of March 31, 2022, will enable us to fund our operating expenses and capital expenditure requirements into the first quarter of 2024.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spacing w:after="0" w:line="188"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2021, filed with the SEC on March 17,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three months ended March 31, 2022,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2021, which was filed with the SEC on March 17, 2022, and the notes to the consolidated financial statements included in Item 1, “</w:t>
      </w:r>
      <w:r>
        <w:rPr>
          <w:rFonts w:ascii="Arial" w:cs="Arial" w:eastAsia="Arial" w:hAnsi="Arial"/>
          <w:sz w:val="17"/>
          <w:szCs w:val="17"/>
          <w:i w:val="1"/>
          <w:iCs w:val="1"/>
          <w:color w:val="auto"/>
        </w:rPr>
        <w:t>Condensed Consolidated Unaudited Financial Statements</w:t>
      </w:r>
      <w:r>
        <w:rPr>
          <w:rFonts w:ascii="Arial" w:cs="Arial" w:eastAsia="Arial" w:hAnsi="Arial"/>
          <w:sz w:val="17"/>
          <w:szCs w:val="17"/>
          <w:color w:val="auto"/>
        </w:rPr>
        <w:t>,” of this Quarterly Report on Form 10-Q.</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 xml:space="preserve">A description of recently issued accounting pronouncements that may potentially impact our financial position and results of operations is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appearing at the beginning of this Quarterly Report on Form 10-Q.</w:t>
      </w:r>
    </w:p>
    <w:p>
      <w:pPr>
        <w:spacing w:after="0" w:line="2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20" w:firstLine="510"/>
        <w:spacing w:after="0" w:line="301" w:lineRule="auto"/>
        <w:rPr>
          <w:sz w:val="20"/>
          <w:szCs w:val="20"/>
          <w:color w:val="auto"/>
        </w:rPr>
      </w:pPr>
      <w:r>
        <w:rPr>
          <w:rFonts w:ascii="Arial" w:cs="Arial" w:eastAsia="Arial" w:hAnsi="Arial"/>
          <w:sz w:val="16"/>
          <w:szCs w:val="16"/>
          <w:color w:val="auto"/>
        </w:rPr>
        <w:t>As of March 31, 2022, we had cash and cash equivalents of $161.7 million, which consisted of primarily money market funds. Our primary exposure to market risk is interest rate sensitivity, which is affected by changes in the general level of U.S. interest rates, particularly because our cash equivalents are in held in short-term money market funds. Due to short-term duration of our investment portfolio and the low risk profile of our investments, an immediate 100 basis point change in interest rates would not have a material effect on the fair market value of our portfolio.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three months ended March 31, 2022 and 2021, we recognized foreign currency transaction losses of $46 thousand and $25 thousand,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Great British Pound, and Canadian dollar would not have a material impact on our financial position or results of operations.</w:t>
      </w:r>
    </w:p>
    <w:p>
      <w:pPr>
        <w:spacing w:after="0" w:line="165"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March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March 31, 2022, our Chief Executive Officer and Chief Financial Officer concluded that our disclosure controls and procedures were effective at the reasonable assurance level as of March 31,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2022 that has materially affected, or is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March 31, 2022, we are not presently subject to any pending or threatened litigation that we believe,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uncertainties, together with all other information in this Quarterly Report on Form 10-Q,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Quarterly Report on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need for additional capital</w:t>
      </w:r>
    </w:p>
    <w:p>
      <w:pPr>
        <w:spacing w:after="0" w:line="121" w:lineRule="exact"/>
        <w:rPr>
          <w:sz w:val="20"/>
          <w:szCs w:val="20"/>
          <w:color w:val="auto"/>
        </w:rPr>
      </w:pPr>
    </w:p>
    <w:p>
      <w:pPr>
        <w:ind w:left="520" w:right="68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Since inception, we have incurred net losses. We incurred net losses of $119.1 million and $119.7 million for the years ended December 31, 2021 and 2020, respectively, and $29.8 million for the three months ended March 31, 2022. We historically financed our operations primarily through private placements of our preferred stock and, more recently, our initial public offering and follow-on public offerings of our common stock, as well as sales of our common stock under our ATM facility. In addition, in November 2021 we entered into the Term Loan Agreement.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58" w:lineRule="exact"/>
        <w:rPr>
          <w:sz w:val="20"/>
          <w:szCs w:val="20"/>
          <w:color w:val="auto"/>
        </w:rPr>
      </w:pPr>
    </w:p>
    <w:p>
      <w:pPr>
        <w:ind w:left="880" w:right="26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clinical trials, particularly if and as we commence and continue clinical-stage activities for our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experience delays or interruptions in preclinical studies, clinical trials, or our supply chain due to the ongoing COVID-19 pandemic;</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and scientific personnel;</w:t>
      </w:r>
    </w:p>
    <w:p>
      <w:pPr>
        <w:spacing w:after="0" w:line="117" w:lineRule="exact"/>
        <w:rPr>
          <w:rFonts w:ascii="Arial" w:cs="Arial" w:eastAsia="Arial" w:hAnsi="Arial"/>
          <w:sz w:val="18"/>
          <w:szCs w:val="18"/>
          <w:color w:val="auto"/>
        </w:rPr>
      </w:pPr>
    </w:p>
    <w:p>
      <w:pPr>
        <w:ind w:left="880" w:right="920" w:hanging="373"/>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office space, infrastructure and facilities to accommodate our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 w:name="page35"/>
    <w:bookmarkEnd w:id="34"/>
    <w:p>
      <w:pPr>
        <w:jc w:val="both"/>
        <w:ind w:right="60"/>
        <w:spacing w:after="0" w:line="275" w:lineRule="auto"/>
        <w:rPr>
          <w:sz w:val="20"/>
          <w:szCs w:val="20"/>
          <w:color w:val="auto"/>
        </w:rPr>
      </w:pPr>
      <w:r>
        <w:rPr>
          <w:rFonts w:ascii="Arial" w:cs="Arial" w:eastAsia="Arial" w:hAnsi="Arial"/>
          <w:sz w:val="17"/>
          <w:szCs w:val="17"/>
          <w:color w:val="auto"/>
        </w:rPr>
        <w:t>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79" w:lineRule="exact"/>
        <w:rPr>
          <w:sz w:val="20"/>
          <w:szCs w:val="20"/>
          <w:color w:val="auto"/>
        </w:rPr>
      </w:pPr>
    </w:p>
    <w:p>
      <w:pPr>
        <w:ind w:left="880" w:right="42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17"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880" w:hanging="373"/>
        <w:spacing w:after="0" w:line="342"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5"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As of March 31, 2022, we had cash and cash equivalents of $161.7 million. We believe that our existing cash and cash equivalents as of March 31, 2022, will enable us to fund our operating expenses and capital expenditure requirements into the first quarter of 2024.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88"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Furthermore, we currently have a total of five investigational gene therapies in our pipeline, two of which are in clinical development. Further development of these programs will require us to expend significant resources to advance these candidates.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 Our future capital requirements will depend on many factors, including: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ind w:left="880" w:right="80" w:hanging="373"/>
        <w:spacing w:after="0" w:line="30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laboratory testing, preclinical development and clinical trials for our current and future product candidates, including the extent of any impacts from the ongoing COVID-19 pandemic on these activities;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if any, received from commercial sale of our products, should any of our product candidates receive marketing approval;</w:t>
      </w:r>
    </w:p>
    <w:p>
      <w:pPr>
        <w:spacing w:after="0" w:line="117"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Term Loan Agreement contains restrictions that potentially limit our flexibility in operating our business, and we may be required to make a prepayment or repay our outstanding indebtedness earlier than we expect. In addition, as a result of the deprioritization of our Fabry program, we can no longer draw $20.0 million of term loans that were contingent upon the achievement of certain milestones related to our development of AVR-RD-01 for Fabry disease.</w:t>
      </w:r>
    </w:p>
    <w:p>
      <w:pPr>
        <w:spacing w:after="0" w:line="65"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On November 2, 2021, we entered into the Term Loan Agreement. The Term Loan Agreement provided for term loans of up to $65.0 million in the aggregate available in three tranches, but due to the deprioritization of our Fabry program we can no longer draw $20.0 million of term loans that were contingent upon the achievement of certain milestones related to our development of AVR-RD-01 for Fabry disease. As a result, the amount that remains available to us for future drawdown, subject to satisfaction of the conditions in the Term Loan Agreement, is $30.0 million, $15.0 million of which requires the consent of the Agent and Lenders. The Term Loan Agreement contains various covenants that limit our ability to engage in specified types of transactions. These covenants limit our ability to, among other things:</w:t>
      </w:r>
    </w:p>
    <w:p>
      <w:pPr>
        <w:spacing w:after="0" w:line="84" w:lineRule="exact"/>
        <w:rPr>
          <w:sz w:val="20"/>
          <w:szCs w:val="20"/>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or assume certain debt;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or consolidate or acquire all or substantially all of the capital stock or property of another entity;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our organizational structure or type;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license, transfer, or dispose of certain assets;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grant certain types of liens on our assets;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cash dividends;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material transactions with affiliates.</w:t>
      </w:r>
    </w:p>
    <w:p>
      <w:pPr>
        <w:spacing w:after="0" w:line="104" w:lineRule="exact"/>
        <w:rPr>
          <w:sz w:val="20"/>
          <w:szCs w:val="20"/>
          <w:color w:val="auto"/>
        </w:rPr>
      </w:pPr>
    </w:p>
    <w:p>
      <w:pPr>
        <w:ind w:firstLine="576"/>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Term Loan Agreement. In the case of a continuing event of default under the Term Loan Agreement, the lenders could elect to declare all amounts outstanding to be immediately due and payable, proceed against the collateral in which we granted the Lenders a security interest under the Term Loan Agreement, or otherwise exercise the rights of a secured creditor. Amounts outstanding under the Term Loan Agreement are secured by all of our existing and future assets, excluding intellectual property, which is subject to a negative pledge arrangement.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firstLine="576"/>
        <w:spacing w:after="0" w:line="291" w:lineRule="auto"/>
        <w:rPr>
          <w:sz w:val="20"/>
          <w:szCs w:val="20"/>
          <w:color w:val="auto"/>
        </w:rPr>
      </w:pPr>
      <w:r>
        <w:rPr>
          <w:rFonts w:ascii="Arial" w:cs="Arial" w:eastAsia="Arial" w:hAnsi="Arial"/>
          <w:sz w:val="16"/>
          <w:szCs w:val="16"/>
          <w:color w:val="auto"/>
        </w:rPr>
        <w:t>At closing, we drew $15.0 million of the $30.0 million available to us as part of the first tranche. As executed, the Term Loan Agreement also provided the ability to access up to an additional $35.0 million, of which $20.0 million could be drawn in two additional tranches subject to the achievement of certain regulatory and clinical milestones, or the Milestone Funding, and of which $15.0 million could be drawn in an additional tranche with the approval of the Agent and the Lenders. However, as a result of the deprioritization of our Fabry disease program, we are no longer able to draw the $20.0 million of Milestone Funding per the terms of the Term Loan Agreement. Moreover, if the Agent and Lenders do not consent, we would not be able to draw down the final $15.0 million tranche of financing. If we are unable to access the final $15.0 million tranche, there can be no assurance that we will be able to obtain alternative financing to replace such tranche on commercially reasonable terms or at all, which could adversely impact our business.</w:t>
      </w:r>
    </w:p>
    <w:p>
      <w:pPr>
        <w:spacing w:after="0" w:line="31" w:lineRule="exact"/>
        <w:rPr>
          <w:sz w:val="20"/>
          <w:szCs w:val="20"/>
          <w:color w:val="auto"/>
        </w:rPr>
      </w:pPr>
    </w:p>
    <w:p>
      <w:pPr>
        <w:ind w:right="40" w:firstLine="576"/>
        <w:spacing w:after="0" w:line="259" w:lineRule="auto"/>
        <w:rPr>
          <w:sz w:val="20"/>
          <w:szCs w:val="20"/>
          <w:color w:val="auto"/>
        </w:rPr>
      </w:pPr>
      <w:r>
        <w:rPr>
          <w:rFonts w:ascii="Arial" w:cs="Arial" w:eastAsia="Arial" w:hAnsi="Arial"/>
          <w:sz w:val="18"/>
          <w:szCs w:val="18"/>
          <w:color w:val="auto"/>
        </w:rPr>
        <w:t>We may not have enough available cash to repay or refinance our indebtedness at the time any such repayment is required. In such an event, we may be required to delay, limit, reduce, or terminate our preclinical and clinical product development or grant others rights to develop and market product candidates that we would otherwise prefer to develop and market ourselves. Our business, financial condition, and results of operations could be materially adversely affected as a result.</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certain of our product candidates and establishing research and development and manufacturing capabilities. We have not yet demonstrated the ability to complete clinical trials of our product candidates, obtain marketing approvals, manufacture products on a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520" w:right="500"/>
        <w:spacing w:after="0" w:line="342" w:lineRule="auto"/>
        <w:rPr>
          <w:sz w:val="20"/>
          <w:szCs w:val="20"/>
          <w:color w:val="auto"/>
        </w:rPr>
      </w:pPr>
      <w:r>
        <w:rPr>
          <w:rFonts w:ascii="Arial" w:cs="Arial" w:eastAsia="Arial" w:hAnsi="Arial"/>
          <w:sz w:val="16"/>
          <w:szCs w:val="16"/>
          <w:b w:val="1"/>
          <w:bCs w:val="1"/>
          <w:i w:val="1"/>
          <w:iCs w:val="1"/>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1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Public health crises such as pandemics or similar outbreaks could adversely impact our business. The ongoing COVID-19 pandemic has continued to disrupt normal business operations both in and outside of affected areas and has had significant negative impacts on businesses and financial markets worldwide. We continue to monitor our operations and follow applicable government recommendations and the majority of our employees, other than our laboratory staff, have adopted a “hybrid” work schedule which is intended to limit the number of people in our office at any particular time. Notwithstanding these measures, the evolving COVID-19 pandemic, including potential outbreaks of new variants,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 We may experience limitations in employee resources, including because of sickness of employees or their families or the desire of employees to avoid contact with individuals or large groups of people.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7" w:name="page38"/>
    <w:bookmarkEnd w:id="37"/>
    <w:p>
      <w:pPr>
        <w:ind w:right="20" w:firstLine="510"/>
        <w:spacing w:after="0" w:line="290" w:lineRule="auto"/>
        <w:rPr>
          <w:sz w:val="20"/>
          <w:szCs w:val="20"/>
          <w:color w:val="auto"/>
        </w:rPr>
      </w:pPr>
      <w:r>
        <w:rPr>
          <w:rFonts w:ascii="Arial" w:cs="Arial" w:eastAsia="Arial" w:hAnsi="Arial"/>
          <w:sz w:val="16"/>
          <w:szCs w:val="16"/>
          <w:color w:val="auto"/>
        </w:rPr>
        <w:t>In addition, clinical trial activities, including patient enrollment and data collection, are dependent upon global clinical trial sites which have been and continue to be adversely affected by the ongoing COVID-19 pandemic. For example, as the global healthcare community responded to the fluctuations in COVID-19 cases and hospitalizations, many hospitals, including our clinical sites, temporarily paused elective procedures, which included dosing of new patients with our investigational gene therapies. While dosing of new patients began to resume in the first half of 2021, our ability to continue clinical activities without further delay or interruption will depend on future developments that are highly uncertain and cannot be accurately predicted. Additionally, while ongoing data collection has continued for our patients that have been dosed, certain data collection was previously delayed and additional delays could result from COVID-19-related interruptions, particularly as new variants of the virus are identified and continue to spread. We are currently conducting and planning to conduct clinical trials for our product candidates in geographies that have been affected by COVID-19.</w:t>
      </w:r>
    </w:p>
    <w:p>
      <w:pPr>
        <w:spacing w:after="0" w:line="16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Additional factors from the ongoing COVID-19 pandemic that have delayed and may continue to delay or otherwise adversely affect enrollment in or the progress of the clinical trials of our product candidates, as well as our business generally, include:</w:t>
      </w:r>
    </w:p>
    <w:p>
      <w:pPr>
        <w:spacing w:after="0" w:line="62" w:lineRule="exact"/>
        <w:rPr>
          <w:sz w:val="20"/>
          <w:szCs w:val="20"/>
          <w:color w:val="auto"/>
        </w:rPr>
      </w:pPr>
    </w:p>
    <w:p>
      <w:pPr>
        <w:jc w:val="both"/>
        <w:ind w:left="880" w:right="140" w:hanging="373"/>
        <w:spacing w:after="0" w:line="263"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880" w:right="40" w:hanging="373"/>
        <w:spacing w:after="0" w:line="279"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63" w:lineRule="exact"/>
        <w:rPr>
          <w:rFonts w:ascii="Arial" w:cs="Arial" w:eastAsia="Arial" w:hAnsi="Arial"/>
          <w:sz w:val="17"/>
          <w:szCs w:val="17"/>
          <w:color w:val="auto"/>
        </w:rPr>
      </w:pPr>
    </w:p>
    <w:p>
      <w:pPr>
        <w:ind w:left="880" w:right="48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62" w:lineRule="exact"/>
        <w:rPr>
          <w:rFonts w:ascii="Arial" w:cs="Arial" w:eastAsia="Arial" w:hAnsi="Arial"/>
          <w:sz w:val="18"/>
          <w:szCs w:val="18"/>
          <w:color w:val="auto"/>
        </w:rPr>
      </w:pPr>
    </w:p>
    <w:p>
      <w:pPr>
        <w:ind w:left="880" w:right="40" w:hanging="373"/>
        <w:spacing w:after="0" w:line="255"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spacing w:after="0" w:line="84" w:lineRule="exact"/>
        <w:rPr>
          <w:rFonts w:ascii="Arial" w:cs="Arial" w:eastAsia="Arial" w:hAnsi="Arial"/>
          <w:sz w:val="18"/>
          <w:szCs w:val="18"/>
          <w:color w:val="auto"/>
        </w:rPr>
      </w:pPr>
    </w:p>
    <w:p>
      <w:pPr>
        <w:ind w:left="880" w:right="100" w:hanging="373"/>
        <w:spacing w:after="0" w:line="342"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spacing w:after="0" w:line="15" w:lineRule="exact"/>
        <w:rPr>
          <w:rFonts w:ascii="Arial" w:cs="Arial" w:eastAsia="Arial" w:hAnsi="Arial"/>
          <w:sz w:val="16"/>
          <w:szCs w:val="16"/>
          <w:color w:val="auto"/>
        </w:rPr>
      </w:pPr>
    </w:p>
    <w:p>
      <w:pPr>
        <w:ind w:left="880" w:right="2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government regulations, which could delay or adversely impact our ability to conduct our clinical trials.</w:t>
      </w:r>
    </w:p>
    <w:p>
      <w:pPr>
        <w:spacing w:after="0" w:line="170"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Since the beginning of the COVID-19 pandemic, three vaccines for COVID-19 have received Emergency Use Authorization by the FDA and two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5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These and other factors arising from the ongoing COVID-19 pandemic could worsen and further adversely impact our ability to conduct clinical trials and our business generally, and could have a material adverse impact on our operations and financial condition and results. The extent to which the ongoing COVID-19 pandemic impacts our operations or those of our third party partners will depend on future developments, which are highly uncertain and cannot be predicted with confidence, including the duration of the pandemic, the efficacy and safety of vaccines, including against emerging variants, the ability of third parties to manufacture and distribute vaccines and the public’s willingness to receive such vaccines, and new information that may emerge concerning mutations of the coronavirus that causes COVID-19, among others.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8" w:name="page39"/>
    <w:bookmarkEnd w:id="38"/>
    <w:p>
      <w:pPr>
        <w:ind w:left="520" w:right="28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have been and may continue to be adversely affected by the ongoing COVID-19 pandemic, especially if a resurgence of cases occurs. In addition, the implementation of our plato platform and upgrades, including our current conditioning regimen or any conditioning regimen we implement in the future,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as of the date of this Quarterly Report we have only dosed nine patients using our plato platform, which includes six patients in our FAB-GT clinical trial for which we have halted enrollment.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Furthermore, the FDA generally prefers that clinical trials be double-blinded and potentially include sham controls. Such a trial design could be challenging to implement due to the nature of the treatment regimen of lentiviral gene therapy.</w:t>
      </w:r>
    </w:p>
    <w:p>
      <w:pPr>
        <w:spacing w:after="0" w:line="176"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the United States, Canada, Europe, Japan or other major markets or how long it will take to commercialize our product candidates, if any are approved. Approvals by foreign regulatory authorities may not be indicative of what the FDA may require for approval, and vice versa.</w:t>
      </w:r>
    </w:p>
    <w:p>
      <w:pPr>
        <w:spacing w:after="0" w:line="16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Before a clinical trial can begin at any institution, that institution’s review board, or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7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5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potential product to market could decrease our ability to generate sufficient product revenue, and our business, financial condition, results of operations and prospects would be materially and adversely affected.</w:t>
      </w:r>
    </w:p>
    <w:p>
      <w:pPr>
        <w:spacing w:after="0" w:line="170" w:lineRule="exact"/>
        <w:rPr>
          <w:sz w:val="20"/>
          <w:szCs w:val="20"/>
          <w:color w:val="auto"/>
        </w:rPr>
      </w:pPr>
    </w:p>
    <w:p>
      <w:pPr>
        <w:ind w:right="180" w:firstLine="510"/>
        <w:spacing w:after="0" w:line="272" w:lineRule="auto"/>
        <w:rPr>
          <w:sz w:val="20"/>
          <w:szCs w:val="20"/>
          <w:color w:val="auto"/>
        </w:rPr>
      </w:pPr>
      <w:r>
        <w:rPr>
          <w:rFonts w:ascii="Arial" w:cs="Arial" w:eastAsia="Arial" w:hAnsi="Arial"/>
          <w:sz w:val="17"/>
          <w:szCs w:val="17"/>
          <w:color w:val="auto"/>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 impact on our gene therapy candidates or the duration or expense of any applicable regulatory development and review processes.</w:t>
      </w:r>
    </w:p>
    <w:p>
      <w:pPr>
        <w:spacing w:after="0" w:line="285" w:lineRule="exact"/>
        <w:rPr>
          <w:sz w:val="20"/>
          <w:szCs w:val="20"/>
          <w:color w:val="auto"/>
        </w:rPr>
      </w:pPr>
    </w:p>
    <w:p>
      <w:pPr>
        <w:jc w:val="both"/>
        <w:ind w:left="520" w:right="220"/>
        <w:spacing w:after="0" w:line="263"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During the conduct of clinical trials, patients may experience changes in their health, including illnesses, injuries, discomforts or a fatal outcome. It is possible that as we test our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Additionally, any early access to the Company’s investigational therapies, such as through expanded or Right to Try access, may lead to discovery of undesirable side effects that could have adverse effects on the development programs for current and future product candidates.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FDA guidance advises that patients treated with gene therapies undergo long-term follow-up observation for potential adverse events for as long as 15 years. If additional clinical or long-term follow-up experience indicates that any of our product candidates have side effects or cause serious or life-threatening side effects, the development of the product candidate may fail or be delayed, or, if the product candidate has received regulatory approval, such approval may be revoked or limited.</w:t>
      </w:r>
    </w:p>
    <w:p>
      <w:pPr>
        <w:spacing w:after="0" w:line="168"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 xml:space="preserve">There have been several significant adverse side effects in gene therapy treatments in the past, including multiple reported cases of leukemia, myelodysplastic syndrome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oncogenesis by the vectors, leading to malignant transformation of transduced cells. As more patients are dosed with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therapies and higher VCNs are achieved, it is expected that very rare cases of insertional oncogenesis may occur. For example, several patients with cerebral adrenoleukodystrophy treated in a third-party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clinical trial have been diagnosed with treatment-related myelodysplastic syndrome, with one case being deemed likely mediated by insertion of the lentiviral vector. In addition, persistent dominant clonal expansion due to vector integration has been observed in third-party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clinical trials. While our lentiviral gene therapy approach is designed to avoid immunogenicity against the drug product after administration, there can be no assurance that patients would not create antibodies that may impair treatment. In addition, although in the future we may potentially implement molecular cytogenetic screening, there can be no assurance that we will successfully implement such screening procedures in a timely manner or at all, or that, if implemented, they will enhance the safety profile of our gene therapy product candidates. If any of our gene therapy product candidates demonstrates adverse side effects at unacceptable rates or degrees of severity, we may decide or be required to halt or delay clinical development of such product candidates.</w:t>
      </w:r>
    </w:p>
    <w:p>
      <w:pPr>
        <w:spacing w:after="0" w:line="18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causes side effects and can transiently compromise the patient’s immune system, known as neutropenia, and reduce blood clotting, known as thrombocytopenia.</w:t>
      </w:r>
    </w:p>
    <w:p>
      <w:pPr>
        <w:spacing w:after="0" w:line="188"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a precision dosing program called Target Concentration Intervention,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spacing w:after="0" w:line="286" w:lineRule="auto"/>
        <w:rPr>
          <w:sz w:val="20"/>
          <w:szCs w:val="20"/>
          <w:color w:val="auto"/>
        </w:rPr>
      </w:pPr>
      <w:r>
        <w:rPr>
          <w:rFonts w:ascii="Arial" w:cs="Arial" w:eastAsia="Arial" w:hAnsi="Arial"/>
          <w:sz w:val="16"/>
          <w:szCs w:val="16"/>
          <w:color w:val="auto"/>
        </w:rPr>
        <w:t>or TCI, to achieve a balance between the removal of a sufficient amount of bone marrow cells from a patient against potential risks such as toxicity or graft failure. In addition, we are evaluating the potential future use of alternative conditioning agents in lieu of the current busulfan TCI conditioning regimen. For example, we have entered into collaboration agreements with Jasper Therapeutics and Magenta Therapeutics and are currently evaluating the potential use of their respective monoclonal antibody conditioning agents. We are also evaluating the potential use of additional agents to tailor the conditioning regimen for certain disease indications. However, there can be no assurances these alternative conditioning regimens will be implemented or would be successful if implemented. Our conditioning regimens may not be successful or may nevertheless result in adverse side effects. For example, in each of our ongoing clinical trials several adverse events, including suppression of neutrophils and platelet counts following the conditioning process, have been observed. While such adverse events in connection with conditioning are expected, if in the future any such adverse events caused by the conditioning process or related procedures continue at unacceptable rates or degrees of severity, the FDA or other foreign regulatory authorities could order us to cease development of, or deny approval of, our product candidates for any or all targeted indications. There have been cases of therapy-related myelodysplastic syndrome, a type of blood disorder that is a potential precursor to acute myeloid leukemia, in patients with preexisting cancer where busulfan treatment was posited to be a contributing factor to this secondary malignancy. Although in the future we may potentially implement molecular cytogenetic screening as an additional risk reduction measure, there can be no guarantees that these procedures will be implemented in a timely manner or would be successful if implemented. Even if we are able to demonstrate that adverse events are not product-related, such occurrences could adversely affect patient recruitment or the ability of enrolled patients to complete the clinical trial, and lead to a decline in our stock price.</w:t>
      </w:r>
    </w:p>
    <w:p>
      <w:pPr>
        <w:spacing w:after="0" w:line="167" w:lineRule="exact"/>
        <w:rPr>
          <w:sz w:val="20"/>
          <w:szCs w:val="20"/>
          <w:color w:val="auto"/>
        </w:rPr>
      </w:pPr>
    </w:p>
    <w:p>
      <w:pPr>
        <w:jc w:val="both"/>
        <w:ind w:right="380" w:firstLine="510"/>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our product candidates, several potentially significant negative consequences could result, including:</w:t>
      </w:r>
    </w:p>
    <w:p>
      <w:pPr>
        <w:spacing w:after="0" w:line="80"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additional or boxed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lead to a decline in our stock price, and significantly harm our business, prospects, financial condition and results of operations.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have never completed a pivotal or registrational clinical trial, and may be unable to do so for any product candidates we may develop.</w:t>
      </w:r>
    </w:p>
    <w:p>
      <w:pPr>
        <w:spacing w:after="0" w:line="140"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We are at an early stage of development for all of our product candidates. As of the date of this Quarterly Report, only 22 patients have been dosed in our clinical trials, which includes 14 patients from our Fabry program that we deprioritized in January 2022. Our ongoing clinical trials, as well as potentially additional pivotal clinical trials (also referred to as registrational trials), must be completed in order to obtain FDA or other regulatory approval to market these product candidates. We have limited experience in preparing, submitting and prosecuting regulatory filings, and have not previously submitted a biologics license application, or BLA, for any product candidate. Carrying out later-stage clinical trials is a complicated and lengthy process, and we do not expect that all data from patients participating in the clinical trials will be relevant or meaningful.</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across our Company-sponsored clinical trials we have dosed only two patients in the United States, and our interactions with the FDA have generally been limited. We cannot be certain how many additional clinical trials of AVR-RD-04, AVR-RD-02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While we have received clearance from the FDA to commence clinical testing in the United States for AVR-RD-02 and AVR-RD-04, and the sponsor of the collaborator-led clinical trial for AVR-RD-04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any of our product candidates. We may require more time and incur greater costs than our competitors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right="440"/>
        <w:spacing w:after="0" w:line="277" w:lineRule="auto"/>
        <w:rPr>
          <w:sz w:val="20"/>
          <w:szCs w:val="20"/>
          <w:color w:val="auto"/>
        </w:rPr>
      </w:pPr>
      <w:r>
        <w:rPr>
          <w:rFonts w:ascii="Arial" w:cs="Arial" w:eastAsia="Arial" w:hAnsi="Arial"/>
          <w:sz w:val="18"/>
          <w:szCs w:val="18"/>
          <w:color w:val="auto"/>
        </w:rPr>
        <w:t>may not succeed in obtaining regulatory approvals of product candidates that we develop. Failure to commence or complete, or delays in, our planned clinical trials, could prevent us from or delay us in commercializing any of our product candidates.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ongoing Phase 1/2 clinical trial of AVR-RD-04 is being conducted by our collaborators at the University of California, San Diego. In addition, the planned Phase 1/2 clinical trial of AVR-RD-05 will be an investigator-sponsored trial conducted by our collaborators at The University of Manchester.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 xml:space="preserve">Results from preclinical studies or early clinical trials are not necessarily predictive of future clinical trial results and are not necessarily indicative of final results.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For example, in January 2022 we announced the deprioritization of our Fabry program due to several factors, including new clinical data showing variable engraftment patterns from the five most recently dosed Phase 2 FAB-GT patients. Although previously reported data from 13 patients treated across our clinical-stage programs had shown durable engraftment out 9 to 54 months, the new data from the five most recently dosed Phase 2 FAB-GT patients were discordant with these other data and showed variable engraftment. Data from three of the five patients showed both a reduction to near baseline levels in alpha-galactosidase A enzyme activity in leukocytes and plasma, and a reduction in vector copy number in whole blood, potentially suggesting resistance to persistent engraftment of the genetically modified cells observed at three to nine months post infusion of AVR-RD-01. Based on our internal assessment, we believe, due to the large degree of heterogeneity in Fabry disease, that in some cases there may be intrinsic resistance to engraftment related to the unique underlying pathophysiology of untreated Fabry disease, potentially caused by the persistently stressed vascular endothelium. However, while this belief is based on a thorough review and analysis conducted by the Company, it remains a hypothesis and there can be no assurances that similar engraftment or other issues will not occur in clinical trials of our other product candidates, which are all based on our technology and the same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 approach utilized for AVR-RD-01. For example, although we believe the variable engraftment data were caused by factors intrinsic to certain Fabry disease patients and we do not anticipate readthrough to other clinical trials, if the variable engraftment data were actually caused, directly or indirectly, by any other factors, including any aspect of our plato platform or the conditioning process, we could see similar issues in other clinical trials.</w:t>
      </w:r>
    </w:p>
    <w:p>
      <w:pPr>
        <w:spacing w:after="0" w:line="284"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w:t>
      </w:r>
    </w:p>
    <w:p>
      <w:pPr>
        <w:spacing w:after="0" w:line="178"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We also may experience regulatory delays or rejections as a result of many factors, including due to changes in regulatory policy or the approval of competitive therapies during the period of our product candidate development. Any of our current or future product candidates may fail to show the desired safety and efficacy in clinical development despite positive results in preclinical studies. Any such failure would cause us to abandon the product candidate.</w:t>
      </w:r>
    </w:p>
    <w:p>
      <w:pPr>
        <w:spacing w:after="0" w:line="149"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20"/>
        <w:spacing w:after="0" w:line="273" w:lineRule="auto"/>
        <w:rPr>
          <w:sz w:val="20"/>
          <w:szCs w:val="20"/>
          <w:color w:val="auto"/>
        </w:rPr>
      </w:pPr>
      <w:r>
        <w:rPr>
          <w:rFonts w:ascii="Arial" w:cs="Arial" w:eastAsia="Arial" w:hAnsi="Arial"/>
          <w:sz w:val="17"/>
          <w:szCs w:val="17"/>
          <w:color w:val="auto"/>
        </w:rPr>
        <w:t>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 Because our clinical trials are ongoing, the data that we report are preliminary and subject to change. As is typical in open-label studies in which interim reports are provided, the safety and efficacy data are regularly reviewed and validated. As a result, certain data may change over time, including reductions or increases in the number of reported safety events, until the database is locked at the end of the study.</w:t>
      </w:r>
    </w:p>
    <w:p>
      <w:pPr>
        <w:spacing w:after="0" w:line="286" w:lineRule="exact"/>
        <w:rPr>
          <w:sz w:val="20"/>
          <w:szCs w:val="20"/>
          <w:color w:val="auto"/>
        </w:rPr>
      </w:pPr>
    </w:p>
    <w:p>
      <w:pPr>
        <w:ind w:left="520" w:right="6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 timing and success of our patient enrollment and clinical trial activities depend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ongoing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was temporarily paused in our ongoing clinical trials and certain data collection has been delayed. While patient enrollment and dosing activities have resumed, there could be additional pauses in the future as a result of the ongoing COVID-19 pandemic or other factors.</w:t>
      </w:r>
    </w:p>
    <w:p>
      <w:pPr>
        <w:spacing w:after="0" w:line="18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may not be able to identify, recruit and enroll a sufficient number of patients, or those with required or desired characteristics, to complete our clinical trials in a timely manner or at all. Although we currently expect to have enrolled by the end of 2022 up to a total of eight patients in our Company-sponsored clinical trial of AVR-RD-02 for Gaucher disease type 1, which we refer to as the Guard1 clinical trial, there can be no assurances we will achieve that goal or any of our other patient enrollment goals. For example, in 2019 we encountered delays in the enrollment of patients in the Guard1 clinical trial due to patient pre-screening failures that impacted the commencement of enrollment. Additionally, as a result of the COVID-19 pandemic, in 2020 we encountered protracted timelines with our Guard1 investigational site startup activities, which also impacted patient enrollment.</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and trial completion is affected by factors including the:</w:t>
      </w:r>
    </w:p>
    <w:p>
      <w:pPr>
        <w:spacing w:after="0" w:line="117" w:lineRule="exact"/>
        <w:rPr>
          <w:sz w:val="20"/>
          <w:szCs w:val="20"/>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enroll patients and conduct studies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880" w:right="50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have expanded our patient enrollment activities to include patients who reside in a country other than the country where the applicable clinical site is located, and who are required to travel for some or all of the clinical testing and procedures required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20"/>
        <w:spacing w:after="0" w:line="272" w:lineRule="auto"/>
        <w:rPr>
          <w:sz w:val="20"/>
          <w:szCs w:val="20"/>
          <w:color w:val="auto"/>
        </w:rPr>
      </w:pPr>
      <w:r>
        <w:rPr>
          <w:rFonts w:ascii="Arial" w:cs="Arial" w:eastAsia="Arial" w:hAnsi="Arial"/>
          <w:sz w:val="17"/>
          <w:szCs w:val="17"/>
          <w:color w:val="auto"/>
        </w:rPr>
        <w:t>patients in the applicable clinical trial. We have encountered and in the future may continue to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 In addition, once these international patients return to their home country they may need to travel back to the country where the applicable clinical site is located. If these patients are unwilling or unable to return to the clinical site for testing and procedures, progress and completion of the clinical trial could be delayed or prevented.</w:t>
      </w:r>
    </w:p>
    <w:p>
      <w:pPr>
        <w:spacing w:after="0" w:line="17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3" w:lineRule="exact"/>
        <w:rPr>
          <w:sz w:val="20"/>
          <w:szCs w:val="20"/>
          <w:color w:val="auto"/>
        </w:rPr>
      </w:pPr>
    </w:p>
    <w:p>
      <w:pPr>
        <w:ind w:left="880" w:hanging="373"/>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difficulty in establishing or managing relationships with contract research organizations, or CROs, clinical study sites and physicians;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jc w:val="both"/>
        <w:ind w:right="420" w:firstLine="510"/>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63"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CTA (including amendments) and IND for our Guard1 clinical study of AVR-RD-02 for Gaucher disease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we expect that the FDA, Health Canada or other regulatory authorities will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collaborator-sponsored clinical study of AVR-RD-04 for cystinosis in the United States, which has been cleared by the FDA, does not include our LV2 lentiviral vector or our automated manufacturing platform. Additionally, the study drug for the planned investigator-sponsored clinical study of AVR-RD-05 for Hunter syndrome will not be manufactured using our plato platform, and neither the automated, closed manufacturing system nor LV2 will be used in connection with this clinical trial. Moreover, we are currently evaluating the implementation of an additional, new conditioning regimen that utilizes conditioning agents other than busulfan. We anticipate that we will be required to submit comparability data in future regulatory filings relating to our transition to LV2, the automated manufacturing platform and any new conditioning regiment that we implement.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39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103"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ind w:left="520" w:right="92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3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Only one of our ongoing clinical trials utilizes our commercial-scale plato platform.</w:t>
      </w:r>
    </w:p>
    <w:p>
      <w:pPr>
        <w:spacing w:after="0" w:line="117"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While we have submitted and intend to continue to submit comparability studies to the FDA and other regulatory agencies, as needed, with respect to our implementation of our commercial-scale plato platform, there can be no assurance that the FDA or other regulatory agencies will not in the future require us to conduct additional preclinical studies or clinical trials that could result in delays and additional costs in our development or commercialization programs for our product candidates, which could adversely affect our business. We intend to continue implementing our commercial-scale plato platform, including heightened vector efficiency, our closed, automated manufacturing system and utilization of a customized conditioning regimen, in connection with each of our investigational product candidates. We have developed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76" w:lineRule="exact"/>
        <w:rPr>
          <w:sz w:val="20"/>
          <w:szCs w:val="20"/>
          <w:color w:val="auto"/>
        </w:rPr>
      </w:pPr>
    </w:p>
    <w:p>
      <w:pPr>
        <w:ind w:left="520" w:right="80"/>
        <w:spacing w:after="0" w:line="311" w:lineRule="auto"/>
        <w:rPr>
          <w:sz w:val="20"/>
          <w:szCs w:val="20"/>
          <w:color w:val="auto"/>
        </w:rPr>
      </w:pPr>
      <w:r>
        <w:rPr>
          <w:rFonts w:ascii="Arial" w:cs="Arial" w:eastAsia="Arial" w:hAnsi="Arial"/>
          <w:sz w:val="16"/>
          <w:szCs w:val="16"/>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4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61"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We anticipate competing with the largest pharmaceutical companies in the world. For example, for Gaucher disease, Sanofi Genzyme, Pfizer, and Shire, acquired by Takeda Pharmaceutical Company Ltd., market existing enzyme replacement therapies, or ERTs, that represent the standard of care for Gaucher patients. For Gaucher disease we also expect to compete with oral therapies marketed by Actelion and Sanofi. Sanofi also markets an enzyme replacement therapy for Pompe disease, and Shire markets an enzyme replacement therapy for Hunter syndrome. Cystinosis is currently treated by therapies marketed by Horizon Orphan, Mylan, Chiesi, Recordati, Orphan Europe and Leadiant Biosciences. In addition, we may compete with other gene therapy companies in our industry such as Freeline Therapeutics, Generation Bio, Prevail Therapeutics or Graphite Bio. In particular, a number of gene therapy companies have announced preclinical or clinical non-viral and adeno-associated viral based gene therapy programs that, if successful in obtaining regulatory approval, could compete with our gene therapies.</w:t>
      </w:r>
    </w:p>
    <w:p>
      <w:pPr>
        <w:spacing w:after="0" w:line="178" w:lineRule="exact"/>
        <w:rPr>
          <w:sz w:val="20"/>
          <w:szCs w:val="20"/>
          <w:color w:val="auto"/>
        </w:rPr>
      </w:pPr>
    </w:p>
    <w:p>
      <w:pPr>
        <w:jc w:val="both"/>
        <w:ind w:right="120" w:firstLine="510"/>
        <w:spacing w:after="0" w:line="287"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w:t>
      </w:r>
    </w:p>
    <w:p>
      <w:pPr>
        <w:spacing w:after="0" w:line="2"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Established pharmaceutical companies may also invest heavily to accelerate discovery and development of novel therapeutics or to in-license novel therapeutics that could make the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ind w:right="140"/>
        <w:spacing w:after="0" w:line="259" w:lineRule="auto"/>
        <w:rPr>
          <w:sz w:val="20"/>
          <w:szCs w:val="20"/>
          <w:color w:val="auto"/>
        </w:rPr>
      </w:pPr>
      <w:r>
        <w:rPr>
          <w:rFonts w:ascii="Arial" w:cs="Arial" w:eastAsia="Arial" w:hAnsi="Arial"/>
          <w:sz w:val="18"/>
          <w:szCs w:val="18"/>
          <w:color w:val="auto"/>
        </w:rPr>
        <w:t>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8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65"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8"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79"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In July 2021 we received Fast Track Designation from the FDA for AVR-RD-04 for the treatment of cystinosis to improve renal function. However, the FDA has broad discretion whether or not to grant this designation, so even if we believe another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spacing w:after="0" w:line="273" w:lineRule="auto"/>
        <w:rPr>
          <w:sz w:val="20"/>
          <w:szCs w:val="20"/>
          <w:color w:val="auto"/>
        </w:rPr>
      </w:pPr>
      <w:r>
        <w:rPr>
          <w:rFonts w:ascii="Arial" w:cs="Arial" w:eastAsia="Arial" w:hAnsi="Arial"/>
          <w:sz w:val="17"/>
          <w:szCs w:val="17"/>
          <w:color w:val="auto"/>
        </w:rPr>
        <w:t>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286" w:lineRule="exact"/>
        <w:rPr>
          <w:sz w:val="20"/>
          <w:szCs w:val="20"/>
          <w:color w:val="auto"/>
        </w:rPr>
      </w:pPr>
    </w:p>
    <w:p>
      <w:pPr>
        <w:ind w:left="520" w:right="12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94"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In October 2019 and March 2020, the FDA granted our requests for orphan drug designation for AVR-RD-02 for the treatment of Gaucher disease and AVR-RD-04 for the treatment of cystinosis, respectively. In September 2020 and March 2021 we announced that the European Commission granted our request for orphan drug designation for AVR-RD-02 for the treatment of Gaucher disease and AVR-RD-04 for the treatment of cystinosis, respectively. However, if we request orphan drug designation (or the foreign equivalent) for any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65"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nine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0" w:lineRule="exact"/>
        <w:rPr>
          <w:sz w:val="20"/>
          <w:szCs w:val="20"/>
          <w:color w:val="auto"/>
        </w:rPr>
      </w:pPr>
    </w:p>
    <w:p>
      <w:pPr>
        <w:ind w:left="880" w:right="62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left="52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gene therapies undergo long-term follow-up observation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17"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4"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6"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As part of our growth strategy, we intend to identify, develop and market additional product candidates beyond our existing product candidates. We may spend several years completing our development of any particular current or future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9" w:name="page50"/>
    <w:bookmarkEnd w:id="49"/>
    <w:p>
      <w:pPr>
        <w:ind w:right="20"/>
        <w:spacing w:after="0" w:line="291" w:lineRule="auto"/>
        <w:rPr>
          <w:sz w:val="20"/>
          <w:szCs w:val="20"/>
          <w:color w:val="auto"/>
        </w:rPr>
      </w:pPr>
      <w:r>
        <w:rPr>
          <w:rFonts w:ascii="Arial" w:cs="Arial" w:eastAsia="Arial" w:hAnsi="Arial"/>
          <w:sz w:val="16"/>
          <w:szCs w:val="16"/>
          <w:color w:val="auto"/>
        </w:rPr>
        <w:t>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6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7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left="520" w:right="82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4"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8"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20" w:right="64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Any of these third parties may terminate their engagements with us or renegotiate the terms of our agreements at any time. If we need to enter into alternative arrangements, it could delay our product development activities. Our reliance on these third parties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right="180"/>
        <w:spacing w:after="0" w:line="259" w:lineRule="auto"/>
        <w:rPr>
          <w:sz w:val="20"/>
          <w:szCs w:val="20"/>
          <w:color w:val="auto"/>
        </w:rPr>
      </w:pPr>
      <w:r>
        <w:rPr>
          <w:rFonts w:ascii="Arial" w:cs="Arial" w:eastAsia="Arial" w:hAnsi="Arial"/>
          <w:sz w:val="18"/>
          <w:szCs w:val="18"/>
          <w:color w:val="auto"/>
        </w:rPr>
        <w:t>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7"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2019 we encountered delays in the enrollment of patients in the Company-sponsored Guard1 clinical trial of AVR-RD-02 for Gaucher disease. While a number of interested patients had been identified for the Guard1 clinical trial, we encountered patient pre-screening failures that impacted the commencement of enrollment in these studies. Additionally, as a result of the COVID-19 pandemic, in 2020 we encountered protracted timelines with our investigational site startup activities for our Guard1 clinical trial, which also impacted patient enrollment. In 2020, a kidney biopsy was conducted on the third patient in the FAB-GT clinical trial of AVR-RD-01, but due to human error in processing the biopsy sample at the external laboratory vendor, the kidney Gb3 inclusions could not be evaluated and will not be available.</w:t>
      </w:r>
    </w:p>
    <w:p>
      <w:pPr>
        <w:spacing w:after="0" w:line="166"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62" w:lineRule="exact"/>
        <w:rPr>
          <w:sz w:val="20"/>
          <w:szCs w:val="20"/>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880" w:right="62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impact of the ongoing COVID-19 pandemic or the bankruptcy of the manufacturer or supplier.</w:t>
      </w:r>
    </w:p>
    <w:p>
      <w:pPr>
        <w:spacing w:after="0" w:line="17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92" w:lineRule="exact"/>
        <w:rPr>
          <w:sz w:val="20"/>
          <w:szCs w:val="20"/>
          <w:color w:val="auto"/>
        </w:rPr>
      </w:pPr>
    </w:p>
    <w:p>
      <w:pPr>
        <w:ind w:left="520" w:right="80"/>
        <w:spacing w:after="0" w:line="286" w:lineRule="auto"/>
        <w:rPr>
          <w:sz w:val="20"/>
          <w:szCs w:val="20"/>
          <w:color w:val="auto"/>
        </w:rPr>
      </w:pPr>
      <w:r>
        <w:rPr>
          <w:rFonts w:ascii="Arial" w:cs="Arial" w:eastAsia="Arial" w:hAnsi="Arial"/>
          <w:sz w:val="17"/>
          <w:szCs w:val="17"/>
          <w:b w:val="1"/>
          <w:bCs w:val="1"/>
          <w:i w:val="1"/>
          <w:iCs w:val="1"/>
          <w:color w:val="auto"/>
        </w:rPr>
        <w:t>We currently rely, and expect to continue to rely, on sole source suppliers for our automated, closed cell processing system; vector supply; plasmid supply; cell culture media supply; and drug product manufacturing. In addition, we are dependent on a limited number of suppliers for some of our other components and materials used in our product candidates.</w:t>
      </w:r>
    </w:p>
    <w:p>
      <w:pPr>
        <w:spacing w:after="0" w:line="5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 xml:space="preserve">We have moved our cell processing to an automated, closed system with a sole source supplier. In addition, we currently rely, and expect to continue to rely, on sole source suppliers for vector supply, plasmid supply and cell culture media, as well as drug product manufacturing for our Company-sponsored clinical trials. Our sole source suppliers may be unwilling or unable to supply product to us reliably, continuously or at the levels we anticipate or are required by our clinical trial activities. Although we have entered into written supply agreements with our sole source suppliers, such </w:t>
      </w:r>
      <w:r>
        <w:rPr>
          <w:rFonts w:ascii="Arial" w:cs="Arial" w:eastAsia="Arial" w:hAnsi="Arial"/>
          <w:sz w:val="17"/>
          <w:szCs w:val="17"/>
          <w:color w:val="333333"/>
        </w:rPr>
        <w:t>suppliers could</w:t>
      </w:r>
      <w:r>
        <w:rPr>
          <w:rFonts w:ascii="Arial" w:cs="Arial" w:eastAsia="Arial" w:hAnsi="Arial"/>
          <w:sz w:val="17"/>
          <w:szCs w:val="17"/>
          <w:color w:val="auto"/>
        </w:rPr>
        <w:t xml:space="preserve"> </w:t>
      </w:r>
      <w:r>
        <w:rPr>
          <w:rFonts w:ascii="Arial" w:cs="Arial" w:eastAsia="Arial" w:hAnsi="Arial"/>
          <w:sz w:val="17"/>
          <w:szCs w:val="17"/>
          <w:color w:val="333333"/>
        </w:rPr>
        <w:t>still delay, suspend, or terminate supply of product to us for a number of reasons, including manufacturing or quality issues, payment disputes with us, intellectual property disputes with third parties, bankruptcy or insolvency, or other occurrences.</w:t>
      </w:r>
    </w:p>
    <w:p>
      <w:pPr>
        <w:spacing w:after="0" w:line="7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addition, we currently depend on a limited number of suppliers for some of the other components necessary for our product candidates. We cannot be sure that any of our suppliers will remain in business, or that they will not be purchased by one of our competitors or another company that is not interested in continuing to produce these materials for our intended purpose. Our use of a sole source or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equipment. Any of our vendors may be unable or unwilling to meet our future demands for our clinical trials or commercial sale. Establishing additional or replacement suppliers for these components and materials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81" w:lineRule="exact"/>
        <w:rPr>
          <w:sz w:val="20"/>
          <w:szCs w:val="20"/>
          <w:color w:val="auto"/>
        </w:rPr>
      </w:pPr>
    </w:p>
    <w:p>
      <w:pPr>
        <w:jc w:val="both"/>
        <w:ind w:right="220" w:firstLine="510"/>
        <w:spacing w:after="0" w:line="259" w:lineRule="auto"/>
        <w:rPr>
          <w:sz w:val="20"/>
          <w:szCs w:val="20"/>
          <w:color w:val="auto"/>
        </w:rPr>
      </w:pPr>
      <w:r>
        <w:rPr>
          <w:rFonts w:ascii="Arial" w:cs="Arial" w:eastAsia="Arial" w:hAnsi="Arial"/>
          <w:sz w:val="18"/>
          <w:szCs w:val="18"/>
          <w:color w:val="auto"/>
        </w:rPr>
        <w:t>If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right="40"/>
        <w:spacing w:after="0" w:line="253" w:lineRule="auto"/>
        <w:rPr>
          <w:sz w:val="20"/>
          <w:szCs w:val="20"/>
          <w:color w:val="auto"/>
        </w:rPr>
      </w:pPr>
      <w:r>
        <w:rPr>
          <w:rFonts w:ascii="Arial" w:cs="Arial" w:eastAsia="Arial" w:hAnsi="Arial"/>
          <w:sz w:val="18"/>
          <w:szCs w:val="18"/>
          <w:color w:val="auto"/>
        </w:rPr>
        <w:t>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9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reliance on suppliers subjects us to a number of risks that could harm our reputation, business, and financial condition, including, among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103" w:lineRule="exact"/>
        <w:rPr>
          <w:sz w:val="20"/>
          <w:szCs w:val="20"/>
          <w:color w:val="auto"/>
        </w:rPr>
      </w:pPr>
    </w:p>
    <w:p>
      <w:pPr>
        <w:ind w:left="880" w:right="760" w:hanging="373"/>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production, supply, shipment or delivery as a result of the ongoing COVID-19 pandemic or trade sanctions, embargoes, and heightened export requirements resulting from the war in Ukraine;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8" w:lineRule="exact"/>
        <w:rPr>
          <w:sz w:val="20"/>
          <w:szCs w:val="20"/>
          <w:color w:val="auto"/>
        </w:rPr>
      </w:pPr>
    </w:p>
    <w:p>
      <w:pPr>
        <w:ind w:left="520" w:right="56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currently rely on sole source suppliers of our automated, closed cell processing system; vector supply; plasmid supply; cell culture media; as well as drug product manufacturing for our Company-sponsored clinical trials. In addition, we currently depend on a limited number of suppliers for some of the other components necessary for our product candidates. Each of our suppliers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8"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20"/>
        <w:spacing w:after="0" w:line="272" w:lineRule="auto"/>
        <w:rPr>
          <w:sz w:val="20"/>
          <w:szCs w:val="20"/>
          <w:color w:val="auto"/>
        </w:rPr>
      </w:pPr>
      <w:r>
        <w:rPr>
          <w:rFonts w:ascii="Arial" w:cs="Arial" w:eastAsia="Arial" w:hAnsi="Arial"/>
          <w:sz w:val="17"/>
          <w:szCs w:val="17"/>
          <w:color w:val="auto"/>
        </w:rPr>
        <w:t>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or if the FDA is unable to conduct such an inspection due to the ongoing COVID-19 pandemic, the FDA may issue a complete response letter or defer action on our applications, and approval of the products may be delayed or may not be granted.</w:t>
      </w:r>
    </w:p>
    <w:p>
      <w:pPr>
        <w:spacing w:after="0" w:line="17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2"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4"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92"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57" w:lineRule="exact"/>
        <w:rPr>
          <w:sz w:val="20"/>
          <w:szCs w:val="20"/>
          <w:color w:val="auto"/>
        </w:rPr>
      </w:pPr>
    </w:p>
    <w:p>
      <w:pPr>
        <w:ind w:right="180" w:firstLine="510"/>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6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To successfully commercialize any of our current or future product candidates, if approved, we will need to develop our commercial capabilities, either on our own or with others. The establishment and development of our own commercial team or the establishment of a contract sales force to market any product candidate we may develop will be expensive and time-consuming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3" w:name="page54"/>
    <w:bookmarkEnd w:id="53"/>
    <w:p>
      <w:pPr>
        <w:spacing w:after="0" w:line="271" w:lineRule="auto"/>
        <w:rPr>
          <w:sz w:val="20"/>
          <w:szCs w:val="20"/>
          <w:color w:val="auto"/>
        </w:rPr>
      </w:pPr>
      <w:r>
        <w:rPr>
          <w:rFonts w:ascii="Arial" w:cs="Arial" w:eastAsia="Arial" w:hAnsi="Arial"/>
          <w:sz w:val="17"/>
          <w:szCs w:val="17"/>
          <w:color w:val="auto"/>
        </w:rPr>
        <w:t>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86"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focus our research and product development on treatments for serious lysosomal disorders.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or may not be otherwise amenable to treatment with our products, patients may become increasingly difficult to identify and access, and any approval we receive from regulatory agencies may be for a narrower indication and smaller patient population than anticipated, all of which would adversely affect our business, financial condition, results of operations and prospects.</w:t>
      </w:r>
    </w:p>
    <w:p>
      <w:pPr>
        <w:spacing w:after="0" w:line="303"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80" w:lineRule="exact"/>
        <w:rPr>
          <w:sz w:val="20"/>
          <w:szCs w:val="20"/>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880" w:right="440" w:hanging="373"/>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ind w:right="220" w:firstLine="510"/>
        <w:spacing w:after="0" w:line="275"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4"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are currently conducting clinical trials for our product candidates in the United States, Canada and Australia, and plan to expand to other geographies.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79"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8"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7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See section entitled “</w:t>
      </w:r>
      <w:r>
        <w:rPr>
          <w:rFonts w:ascii="Arial" w:cs="Arial" w:eastAsia="Arial" w:hAnsi="Arial"/>
          <w:sz w:val="17"/>
          <w:szCs w:val="17"/>
          <w:i w:val="1"/>
          <w:iCs w:val="1"/>
          <w:color w:val="auto"/>
        </w:rPr>
        <w:t>Business –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 – Coverage and Reimbursement</w:t>
      </w:r>
      <w:r>
        <w:rPr>
          <w:rFonts w:ascii="Arial" w:cs="Arial" w:eastAsia="Arial" w:hAnsi="Arial"/>
          <w:sz w:val="17"/>
          <w:szCs w:val="17"/>
          <w:color w:val="auto"/>
        </w:rPr>
        <w:t>.”</w:t>
      </w:r>
    </w:p>
    <w:p>
      <w:pPr>
        <w:spacing w:after="0" w:line="18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firstLine="510"/>
        <w:spacing w:after="0" w:line="290"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w:t>
      </w:r>
    </w:p>
    <w:p>
      <w:pPr>
        <w:spacing w:after="0" w:line="165" w:lineRule="exact"/>
        <w:rPr>
          <w:sz w:val="20"/>
          <w:szCs w:val="20"/>
          <w:color w:val="auto"/>
        </w:rPr>
      </w:pPr>
    </w:p>
    <w:p>
      <w:pPr>
        <w:ind w:right="140" w:firstLine="510"/>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9"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6"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84"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See Section entitled </w:t>
      </w:r>
      <w:r>
        <w:rPr>
          <w:rFonts w:ascii="Arial" w:cs="Arial" w:eastAsia="Arial" w:hAnsi="Arial"/>
          <w:sz w:val="16"/>
          <w:szCs w:val="16"/>
          <w:i w:val="1"/>
          <w:iCs w:val="1"/>
          <w:color w:val="auto"/>
        </w:rPr>
        <w:t>“Business - Government Regulation – Healthcare Reform.”</w:t>
      </w:r>
      <w:r>
        <w:rPr>
          <w:rFonts w:ascii="Arial" w:cs="Arial" w:eastAsia="Arial" w:hAnsi="Arial"/>
          <w:sz w:val="16"/>
          <w:szCs w:val="16"/>
          <w:color w:val="auto"/>
        </w:rPr>
        <w:t xml:space="preserve"> We cannot predict the initiatives that may be adopted in the future.</w:t>
      </w:r>
    </w:p>
    <w:p>
      <w:pPr>
        <w:spacing w:after="0" w:line="164"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adversely affect: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left="1260" w:hanging="375"/>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demand for any of our product candidates, if approved;</w:t>
      </w:r>
    </w:p>
    <w:p>
      <w:pPr>
        <w:spacing w:after="0" w:line="238" w:lineRule="exact"/>
        <w:rPr>
          <w:rFonts w:ascii="Arial" w:cs="Arial" w:eastAsia="Arial" w:hAnsi="Arial"/>
          <w:sz w:val="18"/>
          <w:szCs w:val="18"/>
          <w:color w:val="auto"/>
        </w:rPr>
      </w:pPr>
    </w:p>
    <w:p>
      <w:pPr>
        <w:ind w:left="1260" w:hanging="375"/>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set a price that we believe is fair for any of our product candidates, if approved;</w:t>
      </w:r>
    </w:p>
    <w:p>
      <w:pPr>
        <w:spacing w:after="0" w:line="238" w:lineRule="exact"/>
        <w:rPr>
          <w:rFonts w:ascii="Arial" w:cs="Arial" w:eastAsia="Arial" w:hAnsi="Arial"/>
          <w:sz w:val="18"/>
          <w:szCs w:val="18"/>
          <w:color w:val="auto"/>
        </w:rPr>
      </w:pPr>
    </w:p>
    <w:p>
      <w:pPr>
        <w:ind w:left="1260" w:hanging="375"/>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8" w:lineRule="exact"/>
        <w:rPr>
          <w:rFonts w:ascii="Arial" w:cs="Arial" w:eastAsia="Arial" w:hAnsi="Arial"/>
          <w:sz w:val="18"/>
          <w:szCs w:val="18"/>
          <w:color w:val="auto"/>
        </w:rPr>
      </w:pPr>
    </w:p>
    <w:p>
      <w:pPr>
        <w:ind w:left="1260" w:hanging="375"/>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238" w:lineRule="exact"/>
        <w:rPr>
          <w:rFonts w:ascii="Arial" w:cs="Arial" w:eastAsia="Arial" w:hAnsi="Arial"/>
          <w:sz w:val="18"/>
          <w:szCs w:val="18"/>
          <w:color w:val="auto"/>
        </w:rPr>
      </w:pPr>
    </w:p>
    <w:p>
      <w:pPr>
        <w:ind w:left="1260" w:hanging="375"/>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39"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64" w:lineRule="exact"/>
        <w:rPr>
          <w:sz w:val="20"/>
          <w:szCs w:val="20"/>
          <w:color w:val="auto"/>
        </w:rPr>
      </w:pPr>
    </w:p>
    <w:p>
      <w:pPr>
        <w:ind w:right="420" w:firstLine="510"/>
        <w:spacing w:after="0" w:line="257" w:lineRule="auto"/>
        <w:rPr>
          <w:sz w:val="20"/>
          <w:szCs w:val="20"/>
          <w:color w:val="auto"/>
        </w:rPr>
      </w:pPr>
      <w:r>
        <w:rPr>
          <w:rFonts w:ascii="Arial" w:cs="Arial" w:eastAsia="Arial" w:hAnsi="Arial"/>
          <w:sz w:val="18"/>
          <w:szCs w:val="18"/>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296" w:lineRule="exact"/>
        <w:rPr>
          <w:sz w:val="20"/>
          <w:szCs w:val="20"/>
          <w:color w:val="auto"/>
        </w:rPr>
      </w:pPr>
    </w:p>
    <w:p>
      <w:pPr>
        <w:ind w:left="5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Since March 2020 when foreign and domestic inspections of facilities were largely placed on hold,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Additionally, during the COVID-19 public health emergency, the FDA has stated it is continuing working to ensure timely reviews of applications for medical products in line with its user fee performance goals and conducting mission critical domestic and foreign inspections to ensure compliance of manufacturing facilities with FDA quality standards. However, the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spacing w:after="0" w:line="301" w:lineRule="auto"/>
        <w:rPr>
          <w:sz w:val="20"/>
          <w:szCs w:val="20"/>
          <w:color w:val="auto"/>
        </w:rPr>
      </w:pPr>
      <w:r>
        <w:rPr>
          <w:rFonts w:ascii="Arial" w:cs="Arial" w:eastAsia="Arial" w:hAnsi="Arial"/>
          <w:sz w:val="16"/>
          <w:szCs w:val="16"/>
          <w:color w:val="auto"/>
        </w:rPr>
        <w:t>Regulatory authorities outside the U.S. may adopt similar restrictions or other policy measures in response to the COVID-19 pandemic and may experience delays in their regulatory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265" w:lineRule="exact"/>
        <w:rPr>
          <w:sz w:val="20"/>
          <w:szCs w:val="20"/>
          <w:color w:val="auto"/>
        </w:rPr>
      </w:pPr>
    </w:p>
    <w:p>
      <w:pPr>
        <w:ind w:left="520" w:right="80"/>
        <w:spacing w:after="0" w:line="375" w:lineRule="auto"/>
        <w:rPr>
          <w:sz w:val="20"/>
          <w:szCs w:val="20"/>
          <w:color w:val="auto"/>
        </w:rPr>
      </w:pPr>
      <w:r>
        <w:rPr>
          <w:rFonts w:ascii="Arial" w:cs="Arial" w:eastAsia="Arial" w:hAnsi="Arial"/>
          <w:sz w:val="15"/>
          <w:szCs w:val="15"/>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 w:lineRule="exact"/>
        <w:rPr>
          <w:sz w:val="20"/>
          <w:szCs w:val="20"/>
          <w:color w:val="auto"/>
        </w:rPr>
      </w:pPr>
    </w:p>
    <w:p>
      <w:pPr>
        <w:jc w:val="both"/>
        <w:ind w:right="120" w:firstLine="510"/>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24"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520" w:right="14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or discovered in long-term follow-up, even if not ultimately attributable to our product candidates (such as the many adverse events that typically arise from the conditioning process), or adverse events in other gene therapy trials, and the resulting publicity could result in a decline in our stock price,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8" w:name="page59"/>
    <w:bookmarkEnd w:id="58"/>
    <w:p>
      <w:pPr>
        <w:ind w:left="520" w:right="68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We implemented a reduction in force in January 2022 in connection with the deprioritization of our Fabry disease program, and personnel decisions like these may have an adverse impact on the morale of our continuing employees. While we believe that our relations with our continuing employees to be good, there can be no assurance that we can avoid hiring and retention challenges for skilled personnel in the future.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our ability to recruit and retain qualified personnel could be impacted by other factors, such as remote or hybrid working arrangements, including those resulting from the ongoing COVID-19 pandemic, which could impact employees’ productivity and morale, as well as any failure to succeed in preclinical or clinical trials. The inability to recruit or the loss of the services of any executive, key employee, consultant or advisor may impede the progress of our research, development and commercialization objectives.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need to expand our operations and we may experience difficulties in managing this growth, which could disrupt our operations.</w:t>
      </w:r>
    </w:p>
    <w:p>
      <w:pPr>
        <w:spacing w:after="0" w:line="140"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As we mature, we may need to rapidly expand our full-time employee base and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74"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ind w:right="120"/>
        <w:spacing w:after="0" w:line="257" w:lineRule="auto"/>
        <w:rPr>
          <w:sz w:val="20"/>
          <w:szCs w:val="20"/>
          <w:color w:val="auto"/>
        </w:rPr>
      </w:pPr>
      <w:r>
        <w:rPr>
          <w:rFonts w:ascii="Arial" w:cs="Arial" w:eastAsia="Arial" w:hAnsi="Arial"/>
          <w:sz w:val="18"/>
          <w:szCs w:val="18"/>
          <w:color w:val="auto"/>
        </w:rPr>
        <w:t>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6" w:lineRule="exact"/>
        <w:rPr>
          <w:sz w:val="20"/>
          <w:szCs w:val="20"/>
          <w:color w:val="auto"/>
        </w:rPr>
      </w:pPr>
    </w:p>
    <w:p>
      <w:pPr>
        <w:ind w:left="520" w:right="78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287" w:lineRule="exact"/>
        <w:rPr>
          <w:sz w:val="20"/>
          <w:szCs w:val="20"/>
          <w:color w:val="auto"/>
        </w:rPr>
      </w:pPr>
    </w:p>
    <w:p>
      <w:pPr>
        <w:jc w:val="both"/>
        <w:ind w:left="520" w:right="120"/>
        <w:spacing w:after="0" w:line="263"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6"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See section entitled “</w:t>
      </w:r>
      <w:r>
        <w:rPr>
          <w:rFonts w:ascii="Arial" w:cs="Arial" w:eastAsia="Arial" w:hAnsi="Arial"/>
          <w:sz w:val="17"/>
          <w:szCs w:val="17"/>
          <w:i w:val="1"/>
          <w:iCs w:val="1"/>
          <w:color w:val="auto"/>
        </w:rPr>
        <w:t>Business –</w:t>
      </w:r>
      <w:r>
        <w:rPr>
          <w:rFonts w:ascii="Arial" w:cs="Arial" w:eastAsia="Arial" w:hAnsi="Arial"/>
          <w:sz w:val="17"/>
          <w:szCs w:val="17"/>
          <w:color w:val="auto"/>
        </w:rPr>
        <w:t xml:space="preserve"> </w:t>
      </w:r>
      <w:r>
        <w:rPr>
          <w:rFonts w:ascii="Arial" w:cs="Arial" w:eastAsia="Arial" w:hAnsi="Arial"/>
          <w:sz w:val="17"/>
          <w:szCs w:val="17"/>
          <w:i w:val="1"/>
          <w:iCs w:val="1"/>
          <w:color w:val="auto"/>
        </w:rPr>
        <w:t>Government Regulation – Other Healthcare Laws and Compliance Requirements</w:t>
      </w:r>
      <w:r>
        <w:rPr>
          <w:rFonts w:ascii="Arial" w:cs="Arial" w:eastAsia="Arial" w:hAnsi="Arial"/>
          <w:sz w:val="17"/>
          <w:szCs w:val="17"/>
          <w:color w:val="auto"/>
        </w:rPr>
        <w:t>.”</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88"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6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right="60"/>
        <w:spacing w:after="0" w:line="259" w:lineRule="auto"/>
        <w:rPr>
          <w:sz w:val="20"/>
          <w:szCs w:val="20"/>
          <w:color w:val="auto"/>
        </w:rPr>
      </w:pPr>
      <w:r>
        <w:rPr>
          <w:rFonts w:ascii="Arial" w:cs="Arial" w:eastAsia="Arial" w:hAnsi="Arial"/>
          <w:sz w:val="18"/>
          <w:szCs w:val="18"/>
          <w:color w:val="auto"/>
        </w:rPr>
        <w:t>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295" w:lineRule="exact"/>
        <w:rPr>
          <w:sz w:val="20"/>
          <w:szCs w:val="20"/>
          <w:color w:val="auto"/>
        </w:rPr>
      </w:pPr>
    </w:p>
    <w:p>
      <w:pPr>
        <w:ind w:left="52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currently plan to conduct clinical trials in the European Union, or EU, and the United Kingdom, or UK, and as a result will be subject to additional privacy restrictions. The collection, use, disclosure, transfer or other processing of personal health data in the EU is governed by the provisions of the General Data Protection Regulation, or GDPR. The GDPR is wide-ranging in scope and imposes numerous requirements on companies that process personal data, including requirements relating to processing health and other sensitive data, providing information to individuals regarding data processing activities, obtaining consent from individuals to whom the data processing relates, responding to additional data subject requests, imposing notification of personal data breaches to the competent national data protection authorities, implementing safeguards in connection with the security and confidentiality of the personal data, accountability requirements and taking certain measures when engaging third-party processors. The GDPR informs our obligations with respect to any clinical trials conducted in the European Economic Area, or EEA, by expanding the definition of personal data to include coded data and requiring changes to informed consent practices and more detailed notices for clinical trial subjects and investigators. In addition, the GDPR imposes strict rules on the transfer of personal data out of the European Union, including to the United States, and as a result increases scrutiny that such rules may apply to transfers of personal data from any clinical trial sites located in the EU and the UK to the United States. The GDPR also permits data protection authorities to require destruction of improperly gathered or used personal data and/or impose substantial fines for violations of the GDPR, which can be up to four percent of global revenues or 20 million Euros,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70"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Given the breadth and depth of its obligations, complying with the GDPR’s requirements is rigorous and time intensive and requires significant resources and assessment of our technologies, systems and practices, as well as those of any third-party collaborators, service providers, contractors, or consultants that process or transfer personal data collected in the European Union.</w:t>
      </w:r>
    </w:p>
    <w:p>
      <w:pPr>
        <w:spacing w:after="0" w:line="76"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Further, the UK exited the EU effective January 31, 2020, subject to a transition period that ended December 31, 2020. Following the UK’s withdrawal from the EU on January 31, 2020, pursuant to the transitional arrangements agreed to between the UK and EU, the GDPR continued to have effect under law in the UK, and continued to do so until December 31, 2020 as if the UK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spacing w:after="0" w:line="271" w:lineRule="auto"/>
        <w:rPr>
          <w:sz w:val="20"/>
          <w:szCs w:val="20"/>
          <w:color w:val="auto"/>
        </w:rPr>
      </w:pPr>
      <w:r>
        <w:rPr>
          <w:rFonts w:ascii="Arial" w:cs="Arial" w:eastAsia="Arial" w:hAnsi="Arial"/>
          <w:sz w:val="17"/>
          <w:szCs w:val="17"/>
          <w:color w:val="auto"/>
        </w:rPr>
        <w:t>remained a member state of the EU for such purposes. Following December 31, 2020, and the expiry of those transitional arrangements, the data protection obligations of the GDPR continue to apply to UK-related processing of personal data in substantially unvaried form and fashion under the so-called “UK GDPR” (i.e., the GDPR as it continues to form part of UK law by virtue of section 3 of the European Union (Withdrawal) Act 2018, as amended (including by the various Data Protection, Privacy and Electronic Communications (Amendments etc.) (EU Exit) Regulations)).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UK is not subject to the EC’s new standard contractual clauses but has published a draft version of a UK-specific transfer mechanism, which, once finalized, will enable transfers from the UK. We will be required to implement these new safeguards when conducting restricted data transfers under the EU and UK GDPR and doing so will require significant effort and cost.</w:t>
      </w:r>
    </w:p>
    <w:p>
      <w:pPr>
        <w:spacing w:after="0" w:line="87"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 xml:space="preserve">Further, certain European data protection laws restrict transfers of personal data to countries outside Europe that do not ensure an adequate level of protection, like the United States (so-called “third countries”). These transfers are prohibited unless an appropriate safeguard specified by the European data protection laws is implemented, such as the Standard Contractual Clauses, or SCCs, approved by the European Commission, or a derogation applies. The Court of Justice of the European Union, or CJEU, in its decision in Case C-311/18 </w:t>
      </w:r>
      <w:r>
        <w:rPr>
          <w:rFonts w:ascii="Arial" w:cs="Arial" w:eastAsia="Arial" w:hAnsi="Arial"/>
          <w:sz w:val="16"/>
          <w:szCs w:val="16"/>
          <w:i w:val="1"/>
          <w:iCs w:val="1"/>
          <w:color w:val="auto"/>
        </w:rPr>
        <w:t>(Data Protection Commissioner v Facebook Ireland and</w:t>
      </w:r>
      <w:r>
        <w:rPr>
          <w:rFonts w:ascii="Arial" w:cs="Arial" w:eastAsia="Arial" w:hAnsi="Arial"/>
          <w:sz w:val="16"/>
          <w:szCs w:val="16"/>
          <w:color w:val="auto"/>
        </w:rPr>
        <w:t xml:space="preserve"> </w:t>
      </w:r>
      <w:r>
        <w:rPr>
          <w:rFonts w:ascii="Arial" w:cs="Arial" w:eastAsia="Arial" w:hAnsi="Arial"/>
          <w:sz w:val="16"/>
          <w:szCs w:val="16"/>
          <w:i w:val="1"/>
          <w:iCs w:val="1"/>
          <w:color w:val="auto"/>
        </w:rPr>
        <w:t>Maximillian Schrems</w:t>
      </w:r>
      <w:r>
        <w:rPr>
          <w:rFonts w:ascii="Arial" w:cs="Arial" w:eastAsia="Arial" w:hAnsi="Arial"/>
          <w:sz w:val="16"/>
          <w:szCs w:val="16"/>
          <w:color w:val="auto"/>
        </w:rPr>
        <w:t>, or Schrems II,) deemed that the SCCs are valid. However, the CJEU ruled that transfers made pursuant to the SCCs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transfer mechanisms need to be assessed on a case-by-case basis taking into account the legal regime applicable in the destination country, in particular regarding applicable surveillance laws and relevant rights of individuals with respect to the transferred personal data, to ensure an “essentially equivalent” level of protection to that guaranteed in the EEA in the jurisdiction where the data importer is based. On June 4, 2021, the European Commission published new versions of the SCCs, or New SCCs, which seek to address the issues identified by the CJEU’s Schrems II decision and provide further details regarding the transfer assessments of the importer third country’s laws that the parties are required to conduct when implementing the New SCCs. On June 18, 2021, the European Data Protection Board, or EDPB, issued its final guidance following the CJEU’s decision that imposes significant new diligence requirements on transferring data outside the EEA, including under an approved transfer mechanism. This guidance requires an “essential equivalency” assessment of the laws of the destination country transferred. If the “essentially equivalent” level of protection standard outlined by the CJEU’s decision is not satisfied in the destination country, the exporting entity must then assess if supplementary technical, organizational and/or contractual measures can be put in place that, in combination with the chosen transfer mechanism, would address the deficiency in the laws and ensure that essentially equivalent protection can be given to the data. Complying with this guidance will be expensive and time consuming and may ultimately prevent us from transferring personal data outside the EEA, which would cause significant business disruption. At present, there are few, if any, viable alternatives to the SCCs. The risks associated with such exports of personal data from locations within Europe are particularly relevant to our business as our group comprises several operating entities, many of which are located, and/or sponsor clinical trials, in Europe. We have yet to adopt and implement comprehensive processes, systems and other relevant measures within our organization, and/or with our relevant collaborators, service providers, contractors or consultants, which are appropriate to address relevant requirements relating to international transfers of personal data from Europe, and to minimize the potential impacts and risks resulting from those requirements, across our organization. Failure to implement valid mechanisms for personal data transfers from Europe may result in our facing increased exposure to regulatory actions, substantial fines and injunctions against processing personal data from Europe.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 The type of challenges we face in Europe will</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likely also arise in other jurisdictions that adopt laws similar in construction to the GDPR or regulatory frameworks of equivalent complexity.</w:t>
      </w:r>
    </w:p>
    <w:p>
      <w:pPr>
        <w:spacing w:after="0" w:line="333" w:lineRule="exact"/>
        <w:rPr>
          <w:sz w:val="20"/>
          <w:szCs w:val="20"/>
          <w:color w:val="auto"/>
        </w:rPr>
      </w:pPr>
    </w:p>
    <w:p>
      <w:pPr>
        <w:jc w:val="both"/>
        <w:ind w:left="520" w:right="40"/>
        <w:spacing w:after="0" w:line="340"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23"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We carry master product liability insurance of $5.0 million per occurrence and $5.0 million in the aggregate in the United States. For studies conducted in certain countries outside the United States, we maintain local admitted policies with varying limits.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6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9"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400"/>
        <w:spacing w:after="0" w:line="277" w:lineRule="auto"/>
        <w:rPr>
          <w:sz w:val="20"/>
          <w:szCs w:val="20"/>
          <w:color w:val="auto"/>
        </w:rPr>
      </w:pPr>
      <w:r>
        <w:rPr>
          <w:rFonts w:ascii="Arial" w:cs="Arial" w:eastAsia="Arial" w:hAnsi="Arial"/>
          <w:sz w:val="18"/>
          <w:szCs w:val="18"/>
          <w:color w:val="auto"/>
        </w:rPr>
        <w:t>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0"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0" w:lineRule="exact"/>
        <w:rPr>
          <w:sz w:val="20"/>
          <w:szCs w:val="20"/>
          <w:color w:val="auto"/>
        </w:rPr>
      </w:pPr>
    </w:p>
    <w:p>
      <w:pPr>
        <w:ind w:left="520" w:right="94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As of December 31, 2021 and 2020, we had federal and state net operating loss carryforwards of $313.0 million and $214.0 million, respectively, and federal research and development tax credit carryforwards of approximately $6.2 million and $3.7 million, respectively. If not utilized, the net operating loss carryforwards and research and development credits will generally expire at various dates through 2038 (other than federal net operating loss carryforwards generated in taxable years beginning after December 31, 2017, which are not subject to expiration and generally may not be carried back to prior taxable years except that net operating losses generated in 2018, 2019 and 2020 may be carried back five taxable years). These net operating loss and tax credit carryforwards could expire unused and be unavailable to offset future income tax liabilities. In addition, under Section 382 of the Internal Revenue Code of 1986, as amended, or the Code, and corresponding provisions of state law, if a corporation undergoes an “ownership change,” which is generally defined as a greater than 50 percentage point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For taxable years beginning after December 31, 2020, deductions for federal net operating losses arising in taxable years beginning after December 31, 2017 may only offset 80% of taxable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64"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firstLine="510"/>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85"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which we deprioritized in January 2022) and affiliates of Lund University (relevant to AVR-RD-02 and our Gaucher type 1 program). In addition, we have in-licensed patents and patent applications from BioMarin Pharmaceutical Inc., or BioMarin (relevant to AVR-RD-03 and our Pompe program), GenStem Therapeutics, Inc., which was subsequently assigned to Papillon Therapeutics, Inc., or Papillon, (relevant to AVR-RD-04 and our cystinosis program) and The University of Manchester (relevant to AVR-RD-05 and our Hunter program), directed to compositions and methods related to the manufacture and use of AVR-RD-03, AVR-RD-04 and AVR-RD-05, respectively. Any termination of these licenses could result in the loss of significant rights and could harm or prevent our ability to commercialize our product candidates.</w:t>
      </w:r>
    </w:p>
    <w:p>
      <w:pPr>
        <w:spacing w:after="0" w:line="18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cystinosis, Gaucher disease type 1, Hunter syndrome, or Pompe disease,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ind w:right="20" w:firstLine="510"/>
        <w:spacing w:after="0" w:line="293" w:lineRule="auto"/>
        <w:rPr>
          <w:sz w:val="20"/>
          <w:szCs w:val="20"/>
          <w:color w:val="auto"/>
        </w:rPr>
      </w:pPr>
      <w:r>
        <w:rPr>
          <w:rFonts w:ascii="Arial" w:cs="Arial" w:eastAsia="Arial" w:hAnsi="Arial"/>
          <w:sz w:val="16"/>
          <w:szCs w:val="16"/>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Papillon, BioMarin, the rights holders associated with Lund University, and The University of Manchester,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6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303" w:lineRule="exact"/>
        <w:rPr>
          <w:sz w:val="20"/>
          <w:szCs w:val="20"/>
          <w:color w:val="auto"/>
        </w:rPr>
      </w:pPr>
    </w:p>
    <w:p>
      <w:pPr>
        <w:ind w:left="520" w:right="42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6"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61"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AVR-RD-02 or AVR-RD-06, and the patent applications that we in-licensed related to AVR-RD-04 and AVR-RD-05 are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jc w:val="both"/>
        <w:ind w:right="260"/>
        <w:spacing w:after="0" w:line="263" w:lineRule="auto"/>
        <w:rPr>
          <w:sz w:val="20"/>
          <w:szCs w:val="20"/>
          <w:color w:val="auto"/>
        </w:rPr>
      </w:pPr>
      <w:r>
        <w:rPr>
          <w:rFonts w:ascii="Arial" w:cs="Arial" w:eastAsia="Arial" w:hAnsi="Arial"/>
          <w:sz w:val="18"/>
          <w:szCs w:val="18"/>
          <w:color w:val="auto"/>
        </w:rPr>
        <w:t>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4"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4" w:lineRule="exact"/>
        <w:rPr>
          <w:sz w:val="20"/>
          <w:szCs w:val="20"/>
          <w:color w:val="auto"/>
        </w:rPr>
      </w:pPr>
    </w:p>
    <w:p>
      <w:pPr>
        <w:ind w:left="520" w:right="30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86" w:lineRule="exact"/>
        <w:rPr>
          <w:sz w:val="20"/>
          <w:szCs w:val="20"/>
          <w:color w:val="auto"/>
        </w:rPr>
      </w:pPr>
    </w:p>
    <w:p>
      <w:pPr>
        <w:ind w:right="120" w:firstLine="510"/>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76"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right="100" w:firstLine="510"/>
        <w:spacing w:after="0" w:line="27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 that we own or license.</w:t>
      </w:r>
    </w:p>
    <w:p>
      <w:pPr>
        <w:spacing w:after="0" w:line="140"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3" w:lineRule="exact"/>
        <w:rPr>
          <w:sz w:val="20"/>
          <w:szCs w:val="20"/>
          <w:color w:val="auto"/>
        </w:rPr>
      </w:pPr>
    </w:p>
    <w:p>
      <w:pPr>
        <w:ind w:left="520" w:right="100"/>
        <w:spacing w:after="0" w:line="286"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57"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color w:val="auto"/>
        </w:rPr>
        <w:t>Some of the intellectual property rights we have licensed, including rights licensed to us by Papillon,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originally licensed from GenStem Therapeutics, Inc., who subsequently assigned the license to Papillon. As a result, the U.S. government may have certain rights to intellectual property 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left="52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were decided this year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76"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76"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ind w:left="52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76"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We have registered the marks “AVROBIO” and “plato” with the USPTO and in certain other countries, but we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80" w:right="54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62"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it is possible that our pending licensed patent applications or those that we may own or license in the future will not lead to issued patents;</w:t>
      </w:r>
    </w:p>
    <w:p>
      <w:pPr>
        <w:spacing w:after="0" w:line="128" w:lineRule="exact"/>
        <w:rPr>
          <w:rFonts w:ascii="Arial" w:cs="Arial" w:eastAsia="Arial" w:hAnsi="Arial"/>
          <w:sz w:val="17"/>
          <w:szCs w:val="17"/>
          <w:color w:val="auto"/>
        </w:rPr>
      </w:pPr>
    </w:p>
    <w:p>
      <w:pPr>
        <w:ind w:left="880" w:right="44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ind w:left="880" w:right="820" w:hanging="373"/>
        <w:spacing w:after="0" w:line="308"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880" w:right="780" w:hanging="373"/>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stock price is likely to be volatile. Since our initial public offering, or IPO, in June 2018, through May 1, 2022, the trading price of our common stock has ranged from $53.70 to $0.91.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80" w:lineRule="exact"/>
        <w:rPr>
          <w:sz w:val="20"/>
          <w:szCs w:val="20"/>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results or delays in ongoing or planned preclinical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to comply with the terms of our Term Loan Agreement;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1" w:name="page72"/>
    <w:bookmarkEnd w:id="71"/>
    <w:p>
      <w:pPr>
        <w:jc w:val="both"/>
        <w:ind w:right="200" w:firstLine="510"/>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Prior to our IPO in June 2018,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8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8"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4"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Based on shares outstanding as of April 11, 2022, our executive officers, directors, five percent stockholders and their affiliates beneficially owned approximately 38%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2" w:name="page73"/>
    <w:bookmarkEnd w:id="72"/>
    <w:p>
      <w:pPr>
        <w:ind w:left="520" w:right="4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w:t>
      </w:r>
    </w:p>
    <w:p>
      <w:pPr>
        <w:spacing w:after="0" w:line="2" w:lineRule="exact"/>
        <w:rPr>
          <w:sz w:val="20"/>
          <w:szCs w:val="20"/>
          <w:color w:val="auto"/>
        </w:rPr>
      </w:pPr>
    </w:p>
    <w:p>
      <w:pPr>
        <w:ind w:firstLine="8"/>
        <w:spacing w:after="0" w:line="253" w:lineRule="auto"/>
        <w:tabs>
          <w:tab w:leader="none" w:pos="3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84" w:lineRule="exact"/>
        <w:rPr>
          <w:rFonts w:ascii="Arial" w:cs="Arial" w:eastAsia="Arial" w:hAnsi="Arial"/>
          <w:sz w:val="18"/>
          <w:szCs w:val="18"/>
          <w:color w:val="auto"/>
        </w:rPr>
      </w:pPr>
    </w:p>
    <w:p>
      <w:pPr>
        <w:ind w:left="880" w:hanging="373"/>
        <w:spacing w:after="0"/>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17" w:lineRule="exact"/>
        <w:rPr>
          <w:rFonts w:ascii="Arial" w:cs="Arial" w:eastAsia="Arial" w:hAnsi="Arial"/>
          <w:sz w:val="18"/>
          <w:szCs w:val="18"/>
          <w:color w:val="auto"/>
        </w:rPr>
      </w:pPr>
    </w:p>
    <w:p>
      <w:pPr>
        <w:ind w:left="880" w:right="580" w:hanging="373"/>
        <w:spacing w:after="0" w:line="263" w:lineRule="auto"/>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880" w:right="240" w:hanging="373"/>
        <w:spacing w:after="0" w:line="342" w:lineRule="auto"/>
        <w:tabs>
          <w:tab w:leader="none" w:pos="8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jc w:val="both"/>
        <w:ind w:right="220" w:firstLine="510"/>
        <w:spacing w:after="0" w:line="296"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Quarterly Report on Form 10-Q. In particular, we have not included in this Quarterly Report, and do not intend to include in our Annual Report or 2022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61"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7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92" w:lineRule="exact"/>
        <w:rPr>
          <w:sz w:val="20"/>
          <w:szCs w:val="20"/>
          <w:color w:val="auto"/>
        </w:rPr>
      </w:pPr>
    </w:p>
    <w:p>
      <w:pPr>
        <w:ind w:left="520" w:right="78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ind w:right="20" w:firstLine="510"/>
        <w:spacing w:after="0" w:line="270"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9" w:lineRule="exact"/>
        <w:rPr>
          <w:sz w:val="20"/>
          <w:szCs w:val="20"/>
          <w:color w:val="auto"/>
        </w:rPr>
      </w:pPr>
    </w:p>
    <w:p>
      <w:pPr>
        <w:jc w:val="both"/>
        <w:ind w:left="520" w:right="4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may identify other areas for further attention or improvement. Inferior internal controls could also cause investors to lose confidence in our reported financial information, which could have a negative effect on the trading price of our stock.</w:t>
      </w:r>
    </w:p>
    <w:p>
      <w:pPr>
        <w:spacing w:after="0" w:line="195"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0" w:lineRule="exact"/>
        <w:rPr>
          <w:sz w:val="20"/>
          <w:szCs w:val="20"/>
          <w:color w:val="auto"/>
        </w:rPr>
      </w:pPr>
    </w:p>
    <w:p>
      <w:pPr>
        <w:ind w:left="520"/>
        <w:spacing w:after="0" w:line="286" w:lineRule="auto"/>
        <w:rPr>
          <w:sz w:val="20"/>
          <w:szCs w:val="20"/>
          <w:color w:val="auto"/>
        </w:rPr>
      </w:pPr>
      <w:r>
        <w:rPr>
          <w:rFonts w:ascii="Arial" w:cs="Arial" w:eastAsia="Arial" w:hAnsi="Arial"/>
          <w:sz w:val="17"/>
          <w:szCs w:val="17"/>
          <w:b w:val="1"/>
          <w:bCs w:val="1"/>
          <w:i w:val="1"/>
          <w:iCs w:val="1"/>
          <w:color w:val="auto"/>
        </w:rPr>
        <w:t>If we experience material weaknesses or deficiencies in the future, or otherwise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28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expect to continue our efforts to improve our control processes, though there can be no assurance that our efforts will ultimately be successful or avoid potential material weaknesses, and we expect to continue incurring additional costs as a result of these efforts. If we are unable to successfully remediate any material weaknesses in our internal control over financial reporting,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4" w:name="page75"/>
    <w:bookmarkEnd w:id="74"/>
    <w:p>
      <w:pPr>
        <w:ind w:right="60"/>
        <w:spacing w:after="0" w:line="277" w:lineRule="auto"/>
        <w:rPr>
          <w:sz w:val="20"/>
          <w:szCs w:val="20"/>
          <w:color w:val="auto"/>
        </w:rPr>
      </w:pPr>
      <w:r>
        <w:rPr>
          <w:rFonts w:ascii="Arial" w:cs="Arial" w:eastAsia="Arial" w:hAnsi="Arial"/>
          <w:sz w:val="18"/>
          <w:szCs w:val="18"/>
          <w:color w:val="auto"/>
        </w:rPr>
        <w:t>Accordingly, because of the inherent limitations in our control system, misstatements or insufficient disclosures due to error or fraud may occur and not be detected.</w:t>
      </w:r>
    </w:p>
    <w:p>
      <w:pPr>
        <w:spacing w:after="0" w:line="278"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May 1, 2022, holders of an aggregate of approximately 4.5 million shares of our common stock will have rights, subject to certain conditions, to require us to file registration statements covering their shares or to include their shares in registration statements that we may file for ourselves or other stockholders. In addition, shares reserved for issuance upon the exercise of stock options outstanding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Term Loan Agreement restricts our ability to pay certain kinds of dividends or to make certain kinds of distributions on account of our capital stock, and we may enter into agreements in the future with similar restrictions. As a result, capital appreciation, if any, of our common stock will be your sole source of gain for the foreseeable future.</w:t>
      </w:r>
    </w:p>
    <w:p>
      <w:pPr>
        <w:spacing w:after="0" w:line="284" w:lineRule="exact"/>
        <w:rPr>
          <w:sz w:val="20"/>
          <w:szCs w:val="20"/>
          <w:color w:val="auto"/>
        </w:rPr>
      </w:pPr>
    </w:p>
    <w:p>
      <w:pPr>
        <w:ind w:left="520" w:right="400"/>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88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w:t>
      </w:r>
    </w:p>
    <w:p>
      <w:pPr>
        <w:spacing w:after="0" w:line="2" w:lineRule="exact"/>
        <w:rPr>
          <w:sz w:val="20"/>
          <w:szCs w:val="20"/>
          <w:color w:val="auto"/>
        </w:rPr>
      </w:pPr>
    </w:p>
    <w:p>
      <w:pPr>
        <w:ind w:right="20" w:firstLine="8"/>
        <w:spacing w:after="0" w:line="251"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current or former directors, officers, employees or stockholders arising pursuant to any provision of the Delaware General Corporation Law,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9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may lead to a prolonged, adverse impact on global economic, social and market conditions.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For example, while we do not have any current operations in Ukraine or Russia, we do not know the extent to which Russia’s invasion of Ukraine could impact any of our current suppliers and their ability to provide us with supplies and services.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ind w:left="520" w:right="20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100"/>
          </w:cols>
          <w:pgMar w:left="320" w:top="553" w:right="479" w:bottom="1440" w:gutter="0" w:footer="0" w:header="0"/>
        </w:sect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-3175</wp:posOffset>
            </wp:positionV>
            <wp:extent cx="5740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3.3</w:t>
      </w:r>
    </w:p>
    <w:p>
      <w:pPr>
        <w:spacing w:after="0" w:line="3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300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11" w:lineRule="exact"/>
        <w:rPr>
          <w:sz w:val="20"/>
          <w:szCs w:val="20"/>
          <w:color w:val="auto"/>
        </w:rPr>
      </w:pPr>
    </w:p>
    <w:p>
      <w:pPr>
        <w:spacing w:after="0" w:line="274" w:lineRule="auto"/>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Fourth Amended and Restated Certificate of Incorporation of the Registrant (filed as Exhibit 3.1 to our Current Report on Form 8-K filed</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on J</w:t>
        </w:r>
        <w:r>
          <w:rPr>
            <w:rFonts w:ascii="Arial" w:cs="Arial" w:eastAsia="Arial" w:hAnsi="Arial"/>
            <w:sz w:val="21"/>
            <w:szCs w:val="21"/>
            <w:u w:val="single" w:color="auto"/>
            <w:color w:val="0000EE"/>
          </w:rPr>
          <w:t>une</w:t>
        </w:r>
        <w:r>
          <w:rPr>
            <w:rFonts w:ascii="Arial" w:cs="Arial" w:eastAsia="Arial" w:hAnsi="Arial"/>
            <w:sz w:val="18"/>
            <w:szCs w:val="18"/>
            <w:u w:val="single" w:color="auto"/>
            <w:color w:val="0000EE"/>
          </w:rPr>
          <w:t xml:space="preserve"> 25, 2018 and incorporated herein by reference).</w:t>
        </w:r>
      </w:hyperlink>
    </w:p>
    <w:p>
      <w:pPr>
        <w:spacing w:after="0" w:line="69" w:lineRule="exact"/>
        <w:rPr>
          <w:sz w:val="20"/>
          <w:szCs w:val="20"/>
          <w:color w:val="auto"/>
        </w:rPr>
      </w:pPr>
    </w:p>
    <w:p>
      <w:pPr>
        <w:ind w:right="360"/>
        <w:spacing w:after="0" w:line="277"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Certificate of Change of Registered Agent and/or Registered Office of the Registrant (filed as Exhibit 3.2 to our Quarterly Report on</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Form 10-Q filed on November 5, 2020 (File No. 001-38537) and incorporated herein by reference).</w:t>
        </w:r>
      </w:hyperlink>
    </w:p>
    <w:p>
      <w:pPr>
        <w:spacing w:after="0" w:line="76" w:lineRule="exact"/>
        <w:rPr>
          <w:sz w:val="20"/>
          <w:szCs w:val="20"/>
          <w:color w:val="auto"/>
        </w:rPr>
      </w:pPr>
    </w:p>
    <w:p>
      <w:pPr>
        <w:ind w:right="320"/>
        <w:spacing w:after="0" w:line="277" w:lineRule="auto"/>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Amended and Restated By-laws of the Registrant (filed as Exhibit 3.2 to our Current Report on Form 8-K filed on June 25, 2018 and</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incorporated herein by reference).</w:t>
        </w:r>
      </w:hyperlink>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Amendment No. 2 to Employment Agreement, dated April 25, 2022, by and between the Registrant and Chris Mason.</w:t>
      </w:r>
    </w:p>
    <w:p>
      <w:pPr>
        <w:spacing w:after="0" w:line="23" w:lineRule="exact"/>
        <w:rPr>
          <w:sz w:val="20"/>
          <w:szCs w:val="20"/>
          <w:color w:val="auto"/>
        </w:rPr>
      </w:pPr>
    </w:p>
    <w:p>
      <w:pPr>
        <w:ind w:right="280"/>
        <w:spacing w:after="0" w:line="260" w:lineRule="auto"/>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Certification of Principal Executive Officer Pursuant to Rules 13a-14(a) and 15d-14(a) under the Securities Exchange Act of 1934, as</w:t>
        </w:r>
      </w:hyperlink>
      <w:r>
        <w:rPr>
          <w:rFonts w:ascii="Arial" w:cs="Arial" w:eastAsia="Arial" w:hAnsi="Arial"/>
          <w:sz w:val="18"/>
          <w:szCs w:val="18"/>
          <w:u w:val="single" w:color="auto"/>
          <w:color w:val="0000EE"/>
        </w:rPr>
        <w:t xml:space="preserve"> </w:t>
      </w:r>
      <w:hyperlink w:anchor="page83">
        <w:r>
          <w:rPr>
            <w:rFonts w:ascii="Arial" w:cs="Arial" w:eastAsia="Arial" w:hAnsi="Arial"/>
            <w:sz w:val="18"/>
            <w:szCs w:val="18"/>
            <w:u w:val="single" w:color="auto"/>
            <w:color w:val="0000EE"/>
          </w:rPr>
          <w:t>Adopted Pursuant to Section 302 of the Sarbanes-Oxley Act of 2002.</w:t>
        </w:r>
      </w:hyperlink>
    </w:p>
    <w:p>
      <w:pPr>
        <w:spacing w:after="0" w:line="168" w:lineRule="exact"/>
        <w:rPr>
          <w:sz w:val="20"/>
          <w:szCs w:val="20"/>
          <w:color w:val="auto"/>
        </w:rPr>
      </w:pPr>
    </w:p>
    <w:p>
      <w:pPr>
        <w:sectPr>
          <w:pgSz w:w="11900" w:h="16838" w:orient="portrait"/>
          <w:cols w:equalWidth="0" w:num="2">
            <w:col w:w="840" w:space="360"/>
            <w:col w:w="9900"/>
          </w:cols>
          <w:pgMar w:left="320" w:top="553" w:right="47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9780" w:type="dxa"/>
            <w:vAlign w:val="bottom"/>
            <w:gridSpan w:val="4"/>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Certification of Principal Financial Officer Pursuant to Rules 13a-14(a) and 15d-14(a) under the Securities Exchange Act of 1934, as</w:t>
              </w:r>
            </w:hyperlink>
          </w:p>
        </w:tc>
      </w:tr>
      <w:tr>
        <w:trPr>
          <w:trHeight w:val="196"/>
        </w:trPr>
        <w:tc>
          <w:tcPr>
            <w:tcW w:w="1080" w:type="dxa"/>
            <w:vAlign w:val="bottom"/>
          </w:tcPr>
          <w:p>
            <w:pPr>
              <w:spacing w:after="0"/>
              <w:rPr>
                <w:sz w:val="17"/>
                <w:szCs w:val="17"/>
                <w:color w:val="auto"/>
              </w:rPr>
            </w:pPr>
          </w:p>
        </w:tc>
        <w:tc>
          <w:tcPr>
            <w:tcW w:w="95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Adopted Pursuant to Section 302 of the Sarbanes-Oxley Act of 2002.</w:t>
              </w:r>
            </w:hyperlink>
          </w:p>
        </w:tc>
        <w:tc>
          <w:tcPr>
            <w:tcW w:w="2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32.1*</w:t>
            </w:r>
          </w:p>
        </w:tc>
        <w:tc>
          <w:tcPr>
            <w:tcW w:w="97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r>
      <w:tr>
        <w:trPr>
          <w:trHeight w:val="196"/>
        </w:trPr>
        <w:tc>
          <w:tcPr>
            <w:tcW w:w="1080" w:type="dxa"/>
            <w:vAlign w:val="bottom"/>
          </w:tcPr>
          <w:p>
            <w:pPr>
              <w:spacing w:after="0"/>
              <w:rPr>
                <w:sz w:val="17"/>
                <w:szCs w:val="17"/>
                <w:color w:val="auto"/>
              </w:rPr>
            </w:pPr>
          </w:p>
        </w:tc>
        <w:tc>
          <w:tcPr>
            <w:tcW w:w="9780" w:type="dxa"/>
            <w:vAlign w:val="bottom"/>
            <w:gridSpan w:val="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Section 906 of the Sarbanes-Oxley Act of 2002.</w:t>
              </w:r>
            </w:hyperlink>
          </w:p>
        </w:tc>
      </w:tr>
      <w:tr>
        <w:trPr>
          <w:trHeight w:val="20"/>
        </w:trPr>
        <w:tc>
          <w:tcPr>
            <w:tcW w:w="10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gridSpan w:val="4"/>
          </w:tcPr>
          <w:p>
            <w:pPr>
              <w:spacing w:after="0"/>
              <w:rPr>
                <w:sz w:val="20"/>
                <w:szCs w:val="20"/>
                <w:color w:val="auto"/>
              </w:rPr>
            </w:pPr>
            <w:r>
              <w:rPr>
                <w:rFonts w:ascii="Arial" w:cs="Arial" w:eastAsia="Arial" w:hAnsi="Arial"/>
                <w:sz w:val="18"/>
                <w:szCs w:val="18"/>
                <w:color w:val="auto"/>
                <w:w w:val="94"/>
              </w:rPr>
              <w:t>Interactive Data Files pursuant to Rule 405 of Regulation S-T formatted in Inline Extensible Business Reporting Language (“Inline</w:t>
            </w:r>
          </w:p>
        </w:tc>
      </w:tr>
      <w:tr>
        <w:trPr>
          <w:trHeight w:val="230"/>
        </w:trPr>
        <w:tc>
          <w:tcPr>
            <w:tcW w:w="1080" w:type="dxa"/>
            <w:vAlign w:val="bottom"/>
          </w:tcPr>
          <w:p>
            <w:pPr>
              <w:spacing w:after="0"/>
              <w:rPr>
                <w:sz w:val="20"/>
                <w:szCs w:val="20"/>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rPr>
              <w:t>XBRL”).</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200" w:right="440" w:hanging="1077"/>
        <w:spacing w:after="0" w:line="277" w:lineRule="auto"/>
        <w:tabs>
          <w:tab w:leader="none" w:pos="12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6769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30"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the exhibit is being furnished, not filed, with this report.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3" w:right="479" w:bottom="1440" w:gutter="0" w:footer="0" w:header="0"/>
          <w:type w:val="continuous"/>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President, Chief Executive Officer, and Principal Executive Officer</w:t>
      </w:r>
    </w:p>
    <w:p>
      <w:pPr>
        <w:spacing w:after="0" w:line="222"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Chief Financial Officer and 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320" w:top="553" w:right="399"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color w:val="auto"/>
        </w:rPr>
        <w:t>Exhibit 10.1</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 TO EMPLOYMENT AGREEMENT</w:t>
      </w:r>
    </w:p>
    <w:p>
      <w:pPr>
        <w:spacing w:after="0" w:line="378" w:lineRule="exact"/>
        <w:rPr>
          <w:sz w:val="20"/>
          <w:szCs w:val="20"/>
          <w:color w:val="auto"/>
        </w:rPr>
      </w:pPr>
    </w:p>
    <w:p>
      <w:pPr>
        <w:ind w:right="240" w:firstLine="864"/>
        <w:spacing w:after="0" w:line="293"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AVROBIO, Inc. (the “Company”) and Chris Mason (the “Executive”) (collectively the “Parties”) entered into that</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Employment Agreement dated September 1, 2018, as amended on April 5, 2021 (the “Employment Agreement”);</w:t>
      </w:r>
    </w:p>
    <w:p>
      <w:pPr>
        <w:spacing w:after="0" w:line="304" w:lineRule="exact"/>
        <w:rPr>
          <w:sz w:val="20"/>
          <w:szCs w:val="20"/>
          <w:color w:val="auto"/>
        </w:rPr>
      </w:pPr>
    </w:p>
    <w:p>
      <w:pPr>
        <w:ind w:right="220" w:firstLine="864"/>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have agreed to modify the Employment Agreement pursuant to this agreement (the “Amendment,”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Employment Agreement as amended by this Amendment, the “Amended Employment Agreement”); and</w:t>
      </w:r>
    </w:p>
    <w:p>
      <w:pPr>
        <w:spacing w:after="0" w:line="290"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capitalized terms not defined herein are defined in the Employment Agreement.</w:t>
      </w:r>
    </w:p>
    <w:p>
      <w:pPr>
        <w:spacing w:after="0" w:line="378" w:lineRule="exact"/>
        <w:rPr>
          <w:sz w:val="20"/>
          <w:szCs w:val="20"/>
          <w:color w:val="auto"/>
        </w:rPr>
      </w:pPr>
    </w:p>
    <w:p>
      <w:pPr>
        <w:ind w:right="880" w:firstLine="864"/>
        <w:spacing w:after="0" w:line="267" w:lineRule="auto"/>
        <w:rPr>
          <w:sz w:val="20"/>
          <w:szCs w:val="20"/>
          <w:color w:val="auto"/>
        </w:rPr>
      </w:pPr>
      <w:r>
        <w:rPr>
          <w:rFonts w:ascii="Arial" w:cs="Arial" w:eastAsia="Arial" w:hAnsi="Arial"/>
          <w:sz w:val="20"/>
          <w:szCs w:val="20"/>
          <w:b w:val="1"/>
          <w:bCs w:val="1"/>
          <w:color w:val="auto"/>
        </w:rPr>
        <w:t xml:space="preserve">NOW, THREFORE, </w:t>
      </w:r>
      <w:r>
        <w:rPr>
          <w:rFonts w:ascii="Arial" w:cs="Arial" w:eastAsia="Arial" w:hAnsi="Arial"/>
          <w:sz w:val="20"/>
          <w:szCs w:val="20"/>
          <w:color w:val="auto"/>
        </w:rPr>
        <w:t>pursuant to Section 17 of the Employment Agreement, the Parties hereby amend the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as follows:</w:t>
      </w:r>
    </w:p>
    <w:p>
      <w:pPr>
        <w:spacing w:after="0" w:line="21" w:lineRule="exact"/>
        <w:rPr>
          <w:sz w:val="20"/>
          <w:szCs w:val="20"/>
          <w:color w:val="auto"/>
        </w:rPr>
      </w:pPr>
    </w:p>
    <w:p>
      <w:pPr>
        <w:ind w:left="880" w:right="80" w:hanging="8"/>
        <w:spacing w:after="0" w:line="260" w:lineRule="auto"/>
        <w:tabs>
          <w:tab w:leader="none" w:pos="1676" w:val="left"/>
        </w:tabs>
        <w:numPr>
          <w:ilvl w:val="0"/>
          <w:numId w:val="37"/>
        </w:numPr>
        <w:rPr>
          <w:rFonts w:ascii="Arial" w:cs="Arial" w:eastAsia="Arial" w:hAnsi="Arial"/>
          <w:sz w:val="20"/>
          <w:szCs w:val="20"/>
          <w:color w:val="auto"/>
        </w:rPr>
      </w:pPr>
      <w:r>
        <w:rPr>
          <w:rFonts w:ascii="Arial" w:cs="Arial" w:eastAsia="Arial" w:hAnsi="Arial"/>
          <w:sz w:val="20"/>
          <w:szCs w:val="20"/>
          <w:color w:val="auto"/>
        </w:rPr>
        <w:t>Section 1(a) of the Employment Agreement is amended by deleting the first sentence and replacing it with the following new sentence in lieu thereof:</w:t>
      </w:r>
    </w:p>
    <w:p>
      <w:pPr>
        <w:spacing w:after="0" w:line="42" w:lineRule="exact"/>
        <w:rPr>
          <w:sz w:val="20"/>
          <w:szCs w:val="20"/>
          <w:color w:val="auto"/>
        </w:rPr>
      </w:pPr>
    </w:p>
    <w:p>
      <w:pPr>
        <w:ind w:left="1740" w:right="80"/>
        <w:spacing w:after="0" w:line="260" w:lineRule="auto"/>
        <w:rPr>
          <w:sz w:val="20"/>
          <w:szCs w:val="20"/>
          <w:color w:val="auto"/>
        </w:rPr>
      </w:pPr>
      <w:r>
        <w:rPr>
          <w:rFonts w:ascii="Arial" w:cs="Arial" w:eastAsia="Arial" w:hAnsi="Arial"/>
          <w:sz w:val="20"/>
          <w:szCs w:val="20"/>
          <w:color w:val="auto"/>
        </w:rPr>
        <w:t>“The term of this Agreement shall commence on the Effective Date and end on June 30, 2022, unless earlier terminated in accordance with the provisions hereof (the “Term”).”</w:t>
      </w:r>
    </w:p>
    <w:p>
      <w:pPr>
        <w:spacing w:after="0" w:line="28" w:lineRule="exact"/>
        <w:rPr>
          <w:sz w:val="20"/>
          <w:szCs w:val="20"/>
          <w:color w:val="auto"/>
        </w:rPr>
      </w:pPr>
    </w:p>
    <w:p>
      <w:pPr>
        <w:ind w:left="1660" w:hanging="788"/>
        <w:spacing w:after="0"/>
        <w:tabs>
          <w:tab w:leader="none" w:pos="1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Section 1(b) of the Employment Agreement is amended and restated in its entirety as follows:</w:t>
      </w:r>
    </w:p>
    <w:p>
      <w:pPr>
        <w:spacing w:after="0" w:line="291" w:lineRule="exact"/>
        <w:rPr>
          <w:sz w:val="20"/>
          <w:szCs w:val="20"/>
          <w:color w:val="auto"/>
        </w:rPr>
      </w:pPr>
    </w:p>
    <w:p>
      <w:pPr>
        <w:ind w:left="880" w:right="440"/>
        <w:spacing w:after="0" w:line="256"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u w:val="single" w:color="auto"/>
          <w:color w:val="auto"/>
        </w:rPr>
        <w:t>Position and Duties.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the Executive shall continue to serve as the Chief Scientific Officer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have such powers and duties as may from time to time be prescribed by the Chief Executive Officer of the Company (the “CEO”). The Executive shall devote fifty percent (50%) of his full working time and efforts to the business and affairs of the Company, on a schedule to be mutually agreed upon between the Executive and the CEO, provided that if the Executive and the CEO are unable to agree on such a schedule, the CEO may establish the schedule in good faith. Notwithstanding the foregoing, the Executive may serve on other boards of directors, with the approval of the Board, or engage in religious, charitable or other community activities as long as such services and activities are disclosed to the Board and do not materially interfere with the Executive’s performance of his duties to the Company as provided in this Agreement. For the avoidance of doubt, the Executive may continue to serve in the roles set forth on Schedule 1 hereto without the necessity of further approval from the Board, provided that no conflicts result in the future from the Executive’s service in such role.”</w:t>
      </w:r>
    </w:p>
    <w:p>
      <w:pPr>
        <w:spacing w:after="0" w:line="277" w:lineRule="exact"/>
        <w:rPr>
          <w:sz w:val="20"/>
          <w:szCs w:val="20"/>
          <w:color w:val="auto"/>
        </w:rPr>
      </w:pPr>
    </w:p>
    <w:p>
      <w:pPr>
        <w:ind w:left="1660" w:hanging="788"/>
        <w:spacing w:after="0"/>
        <w:tabs>
          <w:tab w:leader="none" w:pos="1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Section 2(a) of the Employment Agreement is amended and restated in its entirety as follows:</w:t>
      </w:r>
    </w:p>
    <w:p>
      <w:pPr>
        <w:spacing w:after="0" w:line="67" w:lineRule="exact"/>
        <w:rPr>
          <w:sz w:val="20"/>
          <w:szCs w:val="20"/>
          <w:color w:val="auto"/>
        </w:rPr>
      </w:pPr>
    </w:p>
    <w:p>
      <w:pPr>
        <w:ind w:left="1740" w:right="180"/>
        <w:spacing w:after="0" w:line="250"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Base Salary</w:t>
      </w:r>
      <w:r>
        <w:rPr>
          <w:rFonts w:ascii="Arial" w:cs="Arial" w:eastAsia="Arial" w:hAnsi="Arial"/>
          <w:sz w:val="20"/>
          <w:szCs w:val="20"/>
          <w:color w:val="auto"/>
        </w:rPr>
        <w:t>. Effective as of April 1, 2022 and continuing for the remainder of the Term, the Employee’s annual base salary rate (“Base Salary”) shall be $215,000.04. The Base Salary shall be payable in a manner that is consistent with the Company’s usual payroll practices for executive officers.”</w:t>
      </w:r>
    </w:p>
    <w:p>
      <w:pPr>
        <w:spacing w:after="0" w:line="348" w:lineRule="exact"/>
        <w:rPr>
          <w:sz w:val="20"/>
          <w:szCs w:val="20"/>
          <w:color w:val="auto"/>
        </w:rPr>
      </w:pPr>
    </w:p>
    <w:p>
      <w:pPr>
        <w:ind w:left="1740" w:right="3160" w:hanging="868"/>
        <w:spacing w:after="0" w:line="394" w:lineRule="auto"/>
        <w:tabs>
          <w:tab w:leader="none" w:pos="16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Section 2(b) of the Employment Agreement is amended and restated as follows: “(b)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The Executive will not be eligible to receive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9388"/>
        <w:spacing w:after="0"/>
        <w:rPr>
          <w:sz w:val="20"/>
          <w:szCs w:val="20"/>
          <w:color w:val="auto"/>
        </w:rPr>
      </w:pPr>
      <w:r>
        <w:rPr>
          <w:rFonts w:ascii="Arial" w:cs="Arial" w:eastAsia="Arial" w:hAnsi="Arial"/>
          <w:sz w:val="18"/>
          <w:szCs w:val="18"/>
          <w:color w:val="auto"/>
        </w:rPr>
        <w:t>Exhibit 10.1</w:t>
      </w:r>
    </w:p>
    <w:p>
      <w:pPr>
        <w:spacing w:after="0" w:line="91" w:lineRule="exact"/>
        <w:rPr>
          <w:sz w:val="20"/>
          <w:szCs w:val="20"/>
          <w:color w:val="auto"/>
        </w:rPr>
      </w:pPr>
    </w:p>
    <w:p>
      <w:pPr>
        <w:ind w:left="868" w:right="180"/>
        <w:spacing w:after="0" w:line="260" w:lineRule="auto"/>
        <w:rPr>
          <w:sz w:val="20"/>
          <w:szCs w:val="20"/>
          <w:color w:val="auto"/>
        </w:rPr>
      </w:pPr>
      <w:r>
        <w:rPr>
          <w:rFonts w:ascii="Arial" w:cs="Arial" w:eastAsia="Arial" w:hAnsi="Arial"/>
          <w:sz w:val="19"/>
          <w:szCs w:val="19"/>
          <w:color w:val="auto"/>
        </w:rPr>
        <w:t>incentive compensation during the remainder of the Term (i.e., for the year 2022). During the remainder of the Term, the Executive shall not be eligible to participate in retention award programs and shall not be eligible to receive grants of new stock options, restricted stock units or other equity awards under the Company’s equity incentive plans. The Executive’s vested and unvested equity awards will remain subject in all respects to the Company’s equity incentive plans and the applicable equity award agreement(s).”</w:t>
      </w:r>
    </w:p>
    <w:p>
      <w:pPr>
        <w:spacing w:after="0" w:line="342" w:lineRule="exact"/>
        <w:rPr>
          <w:sz w:val="20"/>
          <w:szCs w:val="20"/>
          <w:color w:val="auto"/>
        </w:rPr>
      </w:pPr>
    </w:p>
    <w:p>
      <w:pPr>
        <w:ind w:left="788" w:hanging="788"/>
        <w:spacing w:after="0"/>
        <w:tabs>
          <w:tab w:leader="none" w:pos="788" w:val="left"/>
        </w:tabs>
        <w:numPr>
          <w:ilvl w:val="0"/>
          <w:numId w:val="41"/>
        </w:numPr>
        <w:rPr>
          <w:rFonts w:ascii="Arial" w:cs="Arial" w:eastAsia="Arial" w:hAnsi="Arial"/>
          <w:sz w:val="19"/>
          <w:szCs w:val="19"/>
          <w:color w:val="auto"/>
        </w:rPr>
      </w:pPr>
      <w:r>
        <w:rPr>
          <w:rFonts w:ascii="Arial" w:cs="Arial" w:eastAsia="Arial" w:hAnsi="Arial"/>
          <w:sz w:val="19"/>
          <w:szCs w:val="19"/>
          <w:color w:val="auto"/>
        </w:rPr>
        <w:t>Sections 4(b) and 5 of the Employment Agreement are hereby deleted and replaced with the text “[RESERVED].”</w:t>
      </w:r>
    </w:p>
    <w:p>
      <w:pPr>
        <w:spacing w:after="0" w:line="389" w:lineRule="exact"/>
        <w:rPr>
          <w:rFonts w:ascii="Arial" w:cs="Arial" w:eastAsia="Arial" w:hAnsi="Arial"/>
          <w:sz w:val="19"/>
          <w:szCs w:val="19"/>
          <w:color w:val="auto"/>
        </w:rPr>
      </w:pPr>
    </w:p>
    <w:p>
      <w:pPr>
        <w:ind w:left="8" w:right="300" w:hanging="8"/>
        <w:spacing w:after="0" w:line="269" w:lineRule="auto"/>
        <w:tabs>
          <w:tab w:leader="none" w:pos="805"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Executive acknowledges and agrees that, effective April 1, 2022, the Executive will no longer serve on the Company’s Executive Team or the Company’s Disclosure Committee, and the Executive hereby resigns from such committees. The Executive agrees to execute any documentation necessary to effectuate such resignations.</w:t>
      </w:r>
    </w:p>
    <w:p>
      <w:pPr>
        <w:spacing w:after="0" w:line="318" w:lineRule="exact"/>
        <w:rPr>
          <w:rFonts w:ascii="Arial" w:cs="Arial" w:eastAsia="Arial" w:hAnsi="Arial"/>
          <w:sz w:val="19"/>
          <w:szCs w:val="19"/>
          <w:color w:val="auto"/>
        </w:rPr>
      </w:pPr>
    </w:p>
    <w:p>
      <w:pPr>
        <w:ind w:left="8" w:right="100" w:hanging="8"/>
        <w:spacing w:after="0" w:line="274" w:lineRule="auto"/>
        <w:tabs>
          <w:tab w:leader="none" w:pos="8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Parties agree that neither the execution of this Amendment nor this Amendment taking effect constitutes (i) a termination by the Company under Section 3(c) of the Employment Agreement or (ii) grounds for “Good Reason” under Section 3(e) of the Employment Agreement, and the Executive hereby waives any right to claim Good Reason as a result of this Amendment. The Parties further agree neither the execution of this Amendment nor this Amendment taking effect entitles the Executive to the compensation outlined in Section 4 of the Employment Agreement. The Executive acknowledges and agrees that he has voluntarily resigned from the Company (subject to the terms of the Amended Employment Agreement) and thus is not eligible for any severance benefits of any kind from the Company, whether under the Employment Agreement or otherwise.</w:t>
      </w:r>
    </w:p>
    <w:p>
      <w:pPr>
        <w:spacing w:after="0" w:line="330" w:lineRule="exact"/>
        <w:rPr>
          <w:rFonts w:ascii="Arial" w:cs="Arial" w:eastAsia="Arial" w:hAnsi="Arial"/>
          <w:sz w:val="18"/>
          <w:szCs w:val="18"/>
          <w:color w:val="auto"/>
        </w:rPr>
      </w:pPr>
    </w:p>
    <w:p>
      <w:pPr>
        <w:ind w:left="8" w:right="60" w:hanging="8"/>
        <w:spacing w:after="0" w:line="269" w:lineRule="auto"/>
        <w:tabs>
          <w:tab w:leader="none" w:pos="8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consideration for, among other terms, the Executive’s continued employment and the payments and benefits set forth in this Amendment, to which the Executive acknowledges the Executive would otherwise not be entitled, the Executive voluntarily releases and forever discharges the Company, its affiliated and related entities, its and their respective predecessors, successors and assigns,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“Releasees”) generally from all claims, demands, debts, damages and liabilities of every name and nature, known or unknown (collectively, “Claims”) that, as of the date when the Executive signs this Amendment, the Executive has, ever had, now claims to have or ever claimed to have had against any or all of the Releasees. This release includes, without limitation, all Claims under the Age Discrimination in Employment Act, the Americans with Disabilities Act, and Title VII of the Civil Rights Act of 1964); under MGL c. 151B; and for wages, bonuses, incentive compensation, commissions, stock, stock options, vacation pay or any other compensation or benefits, either under 150C, or otherwise (collectively, the “Release”). This Release does not waive claims that cannot be released by law; claims for indemnification to the extent provided in the Company’s by-laws or the Company’s written form of indemnification agreement; and claims that arise after the date the Executive signs the Release.</w:t>
      </w:r>
    </w:p>
    <w:p>
      <w:pPr>
        <w:spacing w:after="0" w:line="343" w:lineRule="exact"/>
        <w:rPr>
          <w:rFonts w:ascii="Arial" w:cs="Arial" w:eastAsia="Arial" w:hAnsi="Arial"/>
          <w:sz w:val="18"/>
          <w:szCs w:val="18"/>
          <w:color w:val="auto"/>
        </w:rPr>
      </w:pPr>
    </w:p>
    <w:p>
      <w:pPr>
        <w:jc w:val="both"/>
        <w:ind w:left="8" w:right="20" w:hanging="8"/>
        <w:spacing w:after="0" w:line="250" w:lineRule="auto"/>
        <w:tabs>
          <w:tab w:leader="none" w:pos="805"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Executive acknowledges that the Executive has been given the opportunity to consider this Amendment for twenty-one (21) days before signing it (the “Consideration Period”) and that the Executive has knowingly and voluntarily entered into this Amendment.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330200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8"/>
          </w:cols>
          <w:pgMar w:left="1192" w:top="121" w:right="339" w:bottom="1440" w:gutter="0" w:footer="0" w:header="0"/>
        </w:sectPr>
      </w:pPr>
    </w:p>
    <w:bookmarkStart w:id="81" w:name="page82"/>
    <w:bookmarkEnd w:id="81"/>
    <w:p>
      <w:pPr>
        <w:ind w:left="10260"/>
        <w:spacing w:after="0"/>
        <w:rPr>
          <w:sz w:val="20"/>
          <w:szCs w:val="20"/>
          <w:color w:val="auto"/>
        </w:rPr>
      </w:pPr>
      <w:r>
        <w:rPr>
          <w:rFonts w:ascii="Arial" w:cs="Arial" w:eastAsia="Arial" w:hAnsi="Arial"/>
          <w:sz w:val="18"/>
          <w:szCs w:val="18"/>
          <w:color w:val="auto"/>
        </w:rPr>
        <w:t>Exhibit 10.1</w:t>
      </w:r>
    </w:p>
    <w:p>
      <w:pPr>
        <w:spacing w:after="0" w:line="91" w:lineRule="exact"/>
        <w:rPr>
          <w:sz w:val="20"/>
          <w:szCs w:val="20"/>
          <w:color w:val="auto"/>
        </w:rPr>
      </w:pPr>
    </w:p>
    <w:p>
      <w:pPr>
        <w:ind w:left="880"/>
        <w:spacing w:after="0" w:line="272" w:lineRule="auto"/>
        <w:rPr>
          <w:sz w:val="20"/>
          <w:szCs w:val="20"/>
          <w:color w:val="auto"/>
        </w:rPr>
      </w:pPr>
      <w:r>
        <w:rPr>
          <w:rFonts w:ascii="Arial" w:cs="Arial" w:eastAsia="Arial" w:hAnsi="Arial"/>
          <w:sz w:val="18"/>
          <w:szCs w:val="18"/>
          <w:color w:val="auto"/>
        </w:rPr>
        <w:t>Executive is advised to consult with an attorney before signing this Amendment. To accept this Amendment, the Executive must return a signed original or a signed PDF copy of this Amendment so that it is received by the undersigned Company representative at or before the expiration of the Consideration Period. If the Executive signs this Amendment before the end of the Consideration Period, the Executive acknowledges by signing this Amendment that such decision was entirely voluntary and that the Executive had the opportunity to consider this Amendment for the entire Consideration Period. For the period of seven (7) days from the date when the Executive signs this Amendment, the Executive has the right to revoke this Amendment by written notice to the undersigned. For such a revocation to be effective, it must be delivered so that it is received by the undersigned at or before the expiration of the seven (7) day revocation period (the “Revocation Period”). This Amendment shall not become effective or enforceable during the Revocation Period. It will become effective on the day after the Revocation Period ends.</w:t>
      </w:r>
    </w:p>
    <w:p>
      <w:pPr>
        <w:spacing w:after="0" w:line="332" w:lineRule="exact"/>
        <w:rPr>
          <w:sz w:val="20"/>
          <w:szCs w:val="20"/>
          <w:color w:val="auto"/>
        </w:rPr>
      </w:pPr>
    </w:p>
    <w:p>
      <w:pPr>
        <w:ind w:left="880" w:right="120" w:hanging="8"/>
        <w:spacing w:after="0" w:line="316" w:lineRule="auto"/>
        <w:tabs>
          <w:tab w:leader="none" w:pos="17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other provisions of the Employment Agreement and the Restricted Covenants Agreement shall remain in full force and effect in accordance with their terms. The Executive hereby reaffirms the terms of the Restricted Covenants Agreement.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hereby have executed this Amendment on April 25, 2022.</w:t>
      </w:r>
    </w:p>
    <w:p>
      <w:pPr>
        <w:spacing w:after="0" w:line="229" w:lineRule="exact"/>
        <w:rPr>
          <w:sz w:val="20"/>
          <w:szCs w:val="20"/>
          <w:color w:val="auto"/>
        </w:rPr>
      </w:pPr>
    </w:p>
    <w:p>
      <w:pPr>
        <w:ind w:left="1520"/>
        <w:spacing w:after="0"/>
        <w:rPr>
          <w:sz w:val="20"/>
          <w:szCs w:val="20"/>
          <w:color w:val="auto"/>
        </w:rPr>
      </w:pPr>
      <w:r>
        <w:rPr>
          <w:rFonts w:ascii="Arial" w:cs="Arial" w:eastAsia="Arial" w:hAnsi="Arial"/>
          <w:sz w:val="20"/>
          <w:szCs w:val="20"/>
          <w:b w:val="1"/>
          <w:bCs w:val="1"/>
          <w:color w:val="auto"/>
        </w:rPr>
        <w:t>AVROBIO, INC.</w:t>
      </w:r>
    </w:p>
    <w:p>
      <w:pPr>
        <w:spacing w:after="0" w:line="235" w:lineRule="exact"/>
        <w:rPr>
          <w:sz w:val="20"/>
          <w:szCs w:val="20"/>
          <w:color w:val="auto"/>
        </w:rPr>
      </w:pPr>
    </w:p>
    <w:p>
      <w:pPr>
        <w:ind w:left="1520"/>
        <w:spacing w:after="0"/>
        <w:rPr>
          <w:sz w:val="20"/>
          <w:szCs w:val="20"/>
          <w:color w:val="auto"/>
        </w:rPr>
      </w:pPr>
      <w:r>
        <w:rPr>
          <w:rFonts w:ascii="Arial" w:cs="Arial" w:eastAsia="Arial" w:hAnsi="Arial"/>
          <w:sz w:val="20"/>
          <w:szCs w:val="20"/>
          <w:u w:val="single" w:color="auto"/>
          <w:color w:val="auto"/>
        </w:rPr>
        <w:t>/s/ Geoff MacKay</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By: Geoff Mackay</w:t>
      </w:r>
    </w:p>
    <w:p>
      <w:pPr>
        <w:ind w:left="1520"/>
        <w:spacing w:after="0"/>
        <w:rPr>
          <w:sz w:val="20"/>
          <w:szCs w:val="20"/>
          <w:color w:val="auto"/>
        </w:rPr>
      </w:pPr>
      <w:r>
        <w:rPr>
          <w:rFonts w:ascii="Arial" w:cs="Arial" w:eastAsia="Arial" w:hAnsi="Arial"/>
          <w:sz w:val="20"/>
          <w:szCs w:val="20"/>
          <w:color w:val="auto"/>
        </w:rPr>
        <w:t>Its: Chief Executive Officer</w:t>
      </w:r>
    </w:p>
    <w:p>
      <w:pPr>
        <w:spacing w:after="0" w:line="200" w:lineRule="exact"/>
        <w:rPr>
          <w:sz w:val="20"/>
          <w:szCs w:val="20"/>
          <w:color w:val="auto"/>
        </w:rPr>
      </w:pPr>
    </w:p>
    <w:p>
      <w:pPr>
        <w:spacing w:after="0" w:line="237" w:lineRule="exact"/>
        <w:rPr>
          <w:sz w:val="20"/>
          <w:szCs w:val="20"/>
          <w:color w:val="auto"/>
        </w:rPr>
      </w:pPr>
    </w:p>
    <w:p>
      <w:pPr>
        <w:ind w:left="1520"/>
        <w:spacing w:after="0"/>
        <w:rPr>
          <w:sz w:val="20"/>
          <w:szCs w:val="20"/>
          <w:color w:val="auto"/>
        </w:rPr>
      </w:pPr>
      <w:r>
        <w:rPr>
          <w:rFonts w:ascii="Arial" w:cs="Arial" w:eastAsia="Arial" w:hAnsi="Arial"/>
          <w:sz w:val="20"/>
          <w:szCs w:val="20"/>
          <w:b w:val="1"/>
          <w:bCs w:val="1"/>
          <w:color w:val="auto"/>
        </w:rPr>
        <w:t>EXECUTIVE</w:t>
      </w:r>
    </w:p>
    <w:p>
      <w:pPr>
        <w:spacing w:after="0" w:line="235" w:lineRule="exact"/>
        <w:rPr>
          <w:sz w:val="20"/>
          <w:szCs w:val="20"/>
          <w:color w:val="auto"/>
        </w:rPr>
      </w:pPr>
    </w:p>
    <w:p>
      <w:pPr>
        <w:ind w:left="1520"/>
        <w:spacing w:after="0"/>
        <w:rPr>
          <w:sz w:val="20"/>
          <w:szCs w:val="20"/>
          <w:color w:val="auto"/>
        </w:rPr>
      </w:pPr>
      <w:r>
        <w:rPr>
          <w:rFonts w:ascii="Arial" w:cs="Arial" w:eastAsia="Arial" w:hAnsi="Arial"/>
          <w:sz w:val="20"/>
          <w:szCs w:val="20"/>
          <w:u w:val="single" w:color="auto"/>
          <w:color w:val="auto"/>
        </w:rPr>
        <w:t>/s/ Christopher Mason</w:t>
      </w:r>
    </w:p>
    <w:p>
      <w:pPr>
        <w:spacing w:after="0" w:line="16"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Chris Mason</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of AVROBIO, Inc. (the “Company”) on Form 10-Q for the period ending March 31, 2022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76" w:lineRule="exact"/>
        <w:rPr>
          <w:sz w:val="20"/>
          <w:szCs w:val="20"/>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880" w:right="76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 May 10, 2022</w:t>
            </w:r>
          </w:p>
        </w:tc>
        <w:tc>
          <w:tcPr>
            <w:tcW w:w="2280" w:type="dxa"/>
            <w:vAlign w:val="bottom"/>
          </w:tcPr>
          <w:p>
            <w:pPr>
              <w:ind w:left="1900"/>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Geoff MacKay</w:t>
            </w:r>
          </w:p>
        </w:tc>
      </w:tr>
      <w:tr>
        <w:trPr>
          <w:trHeight w:val="205"/>
        </w:trPr>
        <w:tc>
          <w:tcPr>
            <w:tcW w:w="3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6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3"/>
              </w:rPr>
              <w:t>Geoff MacKay</w:t>
            </w:r>
          </w:p>
        </w:tc>
      </w:tr>
      <w:tr>
        <w:trPr>
          <w:trHeight w:val="216"/>
        </w:trPr>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3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59"/>
        </w:trPr>
        <w:tc>
          <w:tcPr>
            <w:tcW w:w="3360" w:type="dxa"/>
            <w:vAlign w:val="bottom"/>
          </w:tcPr>
          <w:p>
            <w:pPr>
              <w:spacing w:after="0"/>
              <w:rPr>
                <w:sz w:val="20"/>
                <w:szCs w:val="20"/>
                <w:color w:val="auto"/>
              </w:rPr>
            </w:pPr>
            <w:r>
              <w:rPr>
                <w:rFonts w:ascii="Arial" w:cs="Arial" w:eastAsia="Arial" w:hAnsi="Arial"/>
                <w:sz w:val="18"/>
                <w:szCs w:val="18"/>
                <w:color w:val="auto"/>
              </w:rPr>
              <w:t>Date: May 10, 2022</w:t>
            </w:r>
          </w:p>
        </w:tc>
        <w:tc>
          <w:tcPr>
            <w:tcW w:w="2280" w:type="dxa"/>
            <w:vAlign w:val="bottom"/>
          </w:tcPr>
          <w:p>
            <w:pPr>
              <w:ind w:left="1900"/>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Erik Ostrowski</w:t>
            </w:r>
          </w:p>
        </w:tc>
      </w:tr>
      <w:tr>
        <w:trPr>
          <w:trHeight w:val="205"/>
        </w:trPr>
        <w:tc>
          <w:tcPr>
            <w:tcW w:w="3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6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3"/>
              </w:rPr>
              <w:t>Erik Ostrowski</w:t>
            </w:r>
          </w:p>
        </w:tc>
      </w:tr>
      <w:tr>
        <w:trPr>
          <w:trHeight w:val="216"/>
        </w:trPr>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lowerRoman"/>
      <w:start w:val="4"/>
    </w:lvl>
    <w:lvl w:ilvl="1">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3"/>
    </w:lvl>
  </w:abstractNum>
  <w:abstractNum w:abstractNumId="35">
    <w:nsid w:val="580BD78F"/>
    <w:multiLevelType w:val="hybridMultilevel"/>
    <w:lvl w:ilvl="0">
      <w:lvlJc w:val="left"/>
      <w:lvlText w:val="#"/>
      <w:numFmt w:val="bullet"/>
      <w:start w:val="1"/>
    </w:lvl>
    <w:lvl w:ilvl="1">
      <w:lvlJc w:val="left"/>
      <w:lvlText w:val="%2"/>
      <w:numFmt w:val="decimal"/>
      <w:start w:val="104"/>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2"/>
    </w:lvl>
  </w:abstractNum>
  <w:abstractNum w:abstractNumId="38">
    <w:nsid w:val="70A64E2A"/>
    <w:multiLevelType w:val="hybridMultilevel"/>
    <w:lvl w:ilvl="0">
      <w:lvlJc w:val="left"/>
      <w:lvlText w:val="%1."/>
      <w:numFmt w:val="decimal"/>
      <w:start w:val="3"/>
    </w:lvl>
  </w:abstractNum>
  <w:abstractNum w:abstractNumId="39">
    <w:nsid w:val="6A2342EC"/>
    <w:multiLevelType w:val="hybridMultilevel"/>
    <w:lvl w:ilvl="0">
      <w:lvlJc w:val="left"/>
      <w:lvlText w:val="%1."/>
      <w:numFmt w:val="decimal"/>
      <w:start w:val="4"/>
    </w:lvl>
  </w:abstractNum>
  <w:abstractNum w:abstractNumId="40">
    <w:nsid w:val="2A487CB0"/>
    <w:multiLevelType w:val="hybridMultilevel"/>
    <w:lvl w:ilvl="0">
      <w:lvlJc w:val="left"/>
      <w:lvlText w:val="%1."/>
      <w:numFmt w:val="decimal"/>
      <w:start w:val="5"/>
    </w:lvl>
  </w:abstractNum>
  <w:abstractNum w:abstractNumId="41">
    <w:nsid w:val="1D4ED43B"/>
    <w:multiLevelType w:val="hybridMultilevel"/>
    <w:lvl w:ilvl="0">
      <w:lvlJc w:val="left"/>
      <w:lvlText w:val="%1."/>
      <w:numFmt w:val="decimal"/>
      <w:start w:val="10"/>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02" Type="http://schemas.openxmlformats.org/officeDocument/2006/relationships/hyperlink" Target="http://www.sec.gov/Archives/edgar/data/1681087/000119312518202460/d153924dex31.htm" TargetMode="External"/><Relationship Id="rId103" Type="http://schemas.openxmlformats.org/officeDocument/2006/relationships/hyperlink" Target="http://www.sec.gov/Archives/edgar/data/1681087/000156459020051456/avro-ex32_90.htm" TargetMode="External"/><Relationship Id="rId104" Type="http://schemas.openxmlformats.org/officeDocument/2006/relationships/hyperlink" Target="http://www.sec.gov/Archives/edgar/data/1681087/000119312518202460/d1539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2022-05-10T15:51:44Z</dcterms:created>
  <dcterms:modified xsi:type="dcterms:W3CDTF">2022-05-10T15:51:44Z</dcterms:modified>
</cp:coreProperties>
</file>