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220"/>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April 6, 2018. This draft registration statement has not been publicly filed with the Securities and Exchange Commission and all information herein remains confidential.</w:t>
      </w:r>
    </w:p>
    <w:p>
      <w:pPr>
        <w:spacing w:after="0" w:line="1" w:lineRule="exact"/>
        <w:rPr>
          <w:sz w:val="24"/>
          <w:szCs w:val="24"/>
          <w:color w:val="auto"/>
        </w:rPr>
      </w:pPr>
    </w:p>
    <w:p>
      <w:pPr>
        <w:ind w:left="9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One Kendall Square</w:t>
      </w:r>
    </w:p>
    <w:p>
      <w:pPr>
        <w:jc w:val="center"/>
        <w:ind w:right="-199"/>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Geoff MacKay</w:t>
      </w:r>
    </w:p>
    <w:p>
      <w:pPr>
        <w:jc w:val="center"/>
        <w:ind w:right="-19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99"/>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199"/>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ind w:lef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880" w:space="200"/>
            <w:col w:w="160"/>
          </w:cols>
          <w:pgMar w:left="240" w:top="230" w:right="419" w:bottom="1440" w:gutter="0" w:footer="0" w:header="0"/>
          <w:type w:val="continuous"/>
        </w:sect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7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 OF</w:t>
            </w: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AGGREGATE</w:t>
            </w:r>
          </w:p>
        </w:tc>
        <w:tc>
          <w:tcPr>
            <w:tcW w:w="1660" w:type="dxa"/>
            <w:vAlign w:val="bottom"/>
          </w:tcPr>
          <w:p>
            <w:pPr>
              <w:jc w:val="center"/>
              <w:ind w:left="97"/>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66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7"/>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7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66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tabs>
          <w:tab w:leader="none" w:pos="3180" w:val="left"/>
        </w:tabs>
        <w:rPr>
          <w:sz w:val="20"/>
          <w:szCs w:val="20"/>
          <w:color w:val="auto"/>
        </w:rPr>
      </w:pPr>
      <w:r>
        <w:rPr>
          <w:rFonts w:ascii="Arial" w:cs="Arial" w:eastAsia="Arial" w:hAnsi="Arial"/>
          <w:sz w:val="22"/>
          <w:szCs w:val="22"/>
          <w:i w:val="1"/>
          <w:iCs w:val="1"/>
          <w:color w:val="DE1A1E"/>
        </w:rPr>
        <w:t>SUBJECT TO COMPLETION,</w:t>
      </w:r>
      <w:r>
        <w:rPr>
          <w:sz w:val="20"/>
          <w:szCs w:val="20"/>
          <w:color w:val="auto"/>
        </w:rPr>
        <w:tab/>
      </w:r>
      <w:r>
        <w:rPr>
          <w:rFonts w:ascii="Arial" w:cs="Arial" w:eastAsia="Arial" w:hAnsi="Arial"/>
          <w:sz w:val="19"/>
          <w:szCs w:val="19"/>
          <w:i w:val="1"/>
          <w:iCs w:val="1"/>
          <w:color w:val="DE1A1E"/>
        </w:rPr>
        <w:t>,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PRELIMINARY PROSPECTUS</w:t>
      </w:r>
    </w:p>
    <w:p>
      <w:pPr>
        <w:spacing w:after="0" w:line="258" w:lineRule="exact"/>
        <w:rPr>
          <w:sz w:val="20"/>
          <w:szCs w:val="20"/>
          <w:color w:val="auto"/>
        </w:rPr>
      </w:pPr>
    </w:p>
    <w:p>
      <w:pPr>
        <w:ind w:left="59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95885</wp:posOffset>
            </wp:positionV>
            <wp:extent cx="15519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spacing w:after="0"/>
        <w:tabs>
          <w:tab w:leader="none" w:pos="2060" w:val="left"/>
        </w:tabs>
        <w:rPr>
          <w:sz w:val="20"/>
          <w:szCs w:val="20"/>
          <w:color w:val="auto"/>
        </w:rPr>
      </w:pPr>
      <w:r>
        <w:rPr>
          <w:rFonts w:ascii="Arial" w:cs="Arial" w:eastAsia="Arial" w:hAnsi="Arial"/>
          <w:sz w:val="18"/>
          <w:szCs w:val="18"/>
          <w:b w:val="1"/>
          <w:bCs w:val="1"/>
          <w:i w:val="1"/>
          <w:iCs w:val="1"/>
          <w:color w:val="auto"/>
        </w:rPr>
        <w:t>We are offering</w:t>
      </w:r>
      <w:r>
        <w:rPr>
          <w:sz w:val="20"/>
          <w:szCs w:val="20"/>
          <w:color w:val="auto"/>
        </w:rPr>
        <w:tab/>
      </w:r>
      <w:r>
        <w:rPr>
          <w:rFonts w:ascii="Arial" w:cs="Arial" w:eastAsia="Arial" w:hAnsi="Arial"/>
          <w:sz w:val="15"/>
          <w:szCs w:val="15"/>
          <w:b w:val="1"/>
          <w:bCs w:val="1"/>
          <w:i w:val="1"/>
          <w:iCs w:val="1"/>
          <w:color w:val="auto"/>
        </w:rPr>
        <w:t>shares of our common stock. This is our initial public offering and no public market currently exists for our common</w:t>
      </w:r>
    </w:p>
    <w:p>
      <w:pPr>
        <w:spacing w:after="0" w:line="23" w:lineRule="exact"/>
        <w:rPr>
          <w:sz w:val="20"/>
          <w:szCs w:val="20"/>
          <w:color w:val="auto"/>
        </w:rPr>
      </w:pPr>
    </w:p>
    <w:p>
      <w:pPr>
        <w:ind w:left="200"/>
        <w:spacing w:after="0"/>
        <w:tabs>
          <w:tab w:leader="none" w:pos="5260" w:val="left"/>
          <w:tab w:leader="none" w:pos="6040" w:val="left"/>
        </w:tabs>
        <w:rPr>
          <w:sz w:val="20"/>
          <w:szCs w:val="20"/>
          <w:color w:val="auto"/>
        </w:rPr>
      </w:pPr>
      <w:r>
        <w:rPr>
          <w:rFonts w:ascii="Arial" w:cs="Arial" w:eastAsia="Arial" w:hAnsi="Arial"/>
          <w:sz w:val="18"/>
          <w:szCs w:val="18"/>
          <w:b w:val="1"/>
          <w:bCs w:val="1"/>
          <w:i w:val="1"/>
          <w:iCs w:val="1"/>
          <w:color w:val="auto"/>
        </w:rPr>
        <w:t>stock. We expect the initial public offering price to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 We intend to apply to list our common stock on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Global Market under the symbol “AVRO.”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6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3">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820" w:type="dxa"/>
            <w:vAlign w:val="bottom"/>
            <w:gridSpan w:val="3"/>
          </w:tcPr>
          <w:p>
            <w:pPr>
              <w:ind w:left="2500"/>
              <w:spacing w:after="0"/>
              <w:rPr>
                <w:sz w:val="20"/>
                <w:szCs w:val="20"/>
                <w:color w:val="auto"/>
              </w:rPr>
            </w:pPr>
            <w:r>
              <w:rPr>
                <w:rFonts w:ascii="Arial" w:cs="Arial" w:eastAsia="Arial" w:hAnsi="Arial"/>
                <w:sz w:val="14"/>
                <w:szCs w:val="14"/>
                <w:b w:val="1"/>
                <w:bCs w:val="1"/>
                <w:i w:val="1"/>
                <w:iCs w:val="1"/>
                <w:color w:val="auto"/>
              </w:rPr>
              <w:t>PER SHARE</w:t>
            </w: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94"/>
              </w:rPr>
              <w:t>TOTAL</w:t>
            </w:r>
          </w:p>
        </w:tc>
      </w:tr>
      <w:tr>
        <w:trPr>
          <w:trHeight w:val="182"/>
        </w:trPr>
        <w:tc>
          <w:tcPr>
            <w:tcW w:w="5820" w:type="dxa"/>
            <w:vAlign w:val="bottom"/>
          </w:tcPr>
          <w:p>
            <w:pPr>
              <w:spacing w:after="0" w:line="182" w:lineRule="exact"/>
              <w:rPr>
                <w:sz w:val="20"/>
                <w:szCs w:val="20"/>
                <w:color w:val="auto"/>
              </w:rPr>
            </w:pPr>
            <w:r>
              <w:rPr>
                <w:rFonts w:ascii="Arial" w:cs="Arial" w:eastAsia="Arial" w:hAnsi="Arial"/>
                <w:sz w:val="18"/>
                <w:szCs w:val="18"/>
                <w:i w:val="1"/>
                <w:iCs w:val="1"/>
                <w:color w:val="auto"/>
              </w:rPr>
              <w:t>Public Offering Price</w:t>
            </w:r>
          </w:p>
        </w:tc>
        <w:tc>
          <w:tcPr>
            <w:tcW w:w="2500" w:type="dxa"/>
            <w:vAlign w:val="bottom"/>
          </w:tcPr>
          <w:p>
            <w:pPr>
              <w:spacing w:after="0"/>
              <w:rPr>
                <w:sz w:val="15"/>
                <w:szCs w:val="15"/>
                <w:color w:val="auto"/>
              </w:rPr>
            </w:pPr>
          </w:p>
        </w:tc>
        <w:tc>
          <w:tcPr>
            <w:tcW w:w="8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w:t>
            </w: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in this prospectus for a description of compensation payable to the underwriters.</w:t>
      </w:r>
    </w:p>
    <w:p>
      <w:pPr>
        <w:sectPr>
          <w:pgSz w:w="11900" w:h="16838" w:orient="portrait"/>
          <w:cols w:equalWidth="0" w:num="1">
            <w:col w:w="11220"/>
          </w:cols>
          <w:pgMar w:left="240" w:top="459" w:right="439" w:bottom="1440" w:gutter="0" w:footer="0" w:header="0"/>
        </w:sectPr>
      </w:pPr>
    </w:p>
    <w:p>
      <w:pPr>
        <w:spacing w:after="0" w:line="225"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We have granted the underwriters an option for a period of 30 days to purchase an additional exercise the option in full, the total underwriting discounts and commissions payable by us will be $</w:t>
      </w:r>
    </w:p>
    <w:p>
      <w:pPr>
        <w:ind w:left="200"/>
        <w:spacing w:after="0"/>
        <w:tabs>
          <w:tab w:leader="none" w:pos="1160" w:val="left"/>
        </w:tabs>
        <w:rPr>
          <w:sz w:val="20"/>
          <w:szCs w:val="20"/>
          <w:color w:val="auto"/>
        </w:rPr>
      </w:pPr>
      <w:r>
        <w:rPr>
          <w:rFonts w:ascii="Arial" w:cs="Arial" w:eastAsia="Arial" w:hAnsi="Arial"/>
          <w:sz w:val="18"/>
          <w:szCs w:val="18"/>
          <w:i w:val="1"/>
          <w:iCs w:val="1"/>
          <w:color w:val="auto"/>
        </w:rPr>
        <w:t>will be $</w:t>
      </w:r>
      <w:r>
        <w:rPr>
          <w:sz w:val="20"/>
          <w:szCs w:val="20"/>
          <w:color w:val="auto"/>
        </w:rPr>
        <w:tab/>
      </w: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80"/>
        <w:spacing w:after="0" w:line="381" w:lineRule="auto"/>
        <w:rPr>
          <w:sz w:val="20"/>
          <w:szCs w:val="20"/>
          <w:color w:val="auto"/>
        </w:rPr>
      </w:pPr>
      <w:r>
        <w:rPr>
          <w:rFonts w:ascii="Arial" w:cs="Arial" w:eastAsia="Arial" w:hAnsi="Arial"/>
          <w:sz w:val="15"/>
          <w:szCs w:val="15"/>
          <w:i w:val="1"/>
          <w:iCs w:val="1"/>
          <w:color w:val="auto"/>
        </w:rPr>
        <w:t>shares of our common stock. If the underwriters , and the total proceeds to us, before expenses,</w:t>
      </w:r>
    </w:p>
    <w:p>
      <w:pPr>
        <w:spacing w:after="0" w:line="305" w:lineRule="exact"/>
        <w:rPr>
          <w:sz w:val="20"/>
          <w:szCs w:val="20"/>
          <w:color w:val="auto"/>
        </w:rPr>
      </w:pPr>
    </w:p>
    <w:p>
      <w:pPr>
        <w:sectPr>
          <w:pgSz w:w="11900" w:h="16838" w:orient="portrait"/>
          <w:cols w:equalWidth="0" w:num="2">
            <w:col w:w="7400" w:space="280"/>
            <w:col w:w="3540"/>
          </w:cols>
          <w:pgMar w:left="240" w:top="459" w:right="439" w:bottom="1440" w:gutter="0" w:footer="0" w:header="0"/>
          <w:type w:val="continuous"/>
        </w:sectPr>
      </w:pP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auto"/>
        </w:rPr>
        <w:t>MORGAN STANLEY</w:t>
      </w:r>
      <w:r>
        <w:rPr>
          <w:sz w:val="20"/>
          <w:szCs w:val="20"/>
          <w:color w:val="auto"/>
        </w:rPr>
        <w:tab/>
      </w:r>
      <w:r>
        <w:rPr>
          <w:rFonts w:ascii="Arial" w:cs="Arial" w:eastAsia="Arial" w:hAnsi="Arial"/>
          <w:sz w:val="20"/>
          <w:szCs w:val="20"/>
          <w:i w:val="1"/>
          <w:iCs w:val="1"/>
          <w:color w:val="auto"/>
        </w:rPr>
        <w:t>COWEN</w:t>
      </w:r>
      <w:r>
        <w:rPr>
          <w:sz w:val="20"/>
          <w:szCs w:val="20"/>
          <w:color w:val="auto"/>
        </w:rPr>
        <w:tab/>
      </w:r>
      <w:r>
        <w:rPr>
          <w:rFonts w:ascii="Arial" w:cs="Arial" w:eastAsia="Arial" w:hAnsi="Arial"/>
          <w:sz w:val="16"/>
          <w:szCs w:val="16"/>
          <w:i w:val="1"/>
          <w:iCs w:val="1"/>
          <w:color w:val="auto"/>
        </w:rPr>
        <w:t>WELLS FARGO SECURITIES</w:t>
      </w:r>
    </w:p>
    <w:p>
      <w:pPr>
        <w:spacing w:after="0" w:line="216" w:lineRule="exact"/>
        <w:rPr>
          <w:sz w:val="20"/>
          <w:szCs w:val="20"/>
          <w:color w:val="auto"/>
        </w:rPr>
      </w:pPr>
    </w:p>
    <w:p>
      <w:pPr>
        <w:ind w:left="3720"/>
        <w:spacing w:after="0"/>
        <w:rPr>
          <w:sz w:val="20"/>
          <w:szCs w:val="20"/>
          <w:color w:val="auto"/>
        </w:rPr>
      </w:pPr>
      <w:r>
        <w:rPr>
          <w:rFonts w:ascii="Arial" w:cs="Arial" w:eastAsia="Arial" w:hAnsi="Arial"/>
          <w:sz w:val="20"/>
          <w:szCs w:val="20"/>
          <w:i w:val="1"/>
          <w:iCs w:val="1"/>
          <w:color w:val="auto"/>
        </w:rPr>
        <w:t>WEDBUSH PACGROW</w:t>
      </w:r>
    </w:p>
    <w:p>
      <w:pPr>
        <w:spacing w:after="0" w:line="218" w:lineRule="exact"/>
        <w:rPr>
          <w:sz w:val="20"/>
          <w:szCs w:val="20"/>
          <w:color w:val="auto"/>
        </w:rPr>
      </w:pPr>
    </w:p>
    <w:p>
      <w:pPr>
        <w:ind w:left="200"/>
        <w:spacing w:after="0"/>
        <w:tabs>
          <w:tab w:leader="none" w:pos="218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CONDITION AND RESULTS OF</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OPERATIONS</w:t>
              </w:r>
            </w:hyperlink>
          </w:p>
        </w:tc>
        <w:tc>
          <w:tcPr>
            <w:tcW w:w="8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PARTY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45">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59">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INDEX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64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2018 (25 days after the date of this prospectus), all dealers effecting transactions in these securities,</w:t>
      </w:r>
    </w:p>
    <w:p>
      <w:pPr>
        <w:spacing w:after="0" w:line="27"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Although we believe that these sources are reliable,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40" w:firstLine="426"/>
        <w:spacing w:after="0" w:line="272"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78"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We expect to initiate our Phase 2 clinical trial of AVR-RD-01 in mid-2018. In addition, Phase 1/2 clinical trials for both AVR-RD-02 and AVR-RD-04 are being planned and we expect patients will be dosed in 2019.</w:t>
      </w:r>
    </w:p>
    <w:p>
      <w:pPr>
        <w:spacing w:after="0" w:line="171"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first two patients in the ongoing clinical trial of AVR-RD-01 have been dosed and the treatment was well tolerated. In both patients, the plasma activity level of AGA, the enzyme that is deficient in patients with Fabry disease, began to rise within days of receiving AVR-RD-01 from nearly undetectable levels before treatment. Plasma AGA enzyme activity was then sustained above the range for males with classic Fabry disease including at the latest measurement dates, the longest of which to date has been 12 months after treatment. We believe these preliminary results support the potential of AVR-RD-01 to drive active enzyme production for long durations.</w:t>
      </w:r>
    </w:p>
    <w:p>
      <w:pPr>
        <w:spacing w:after="0" w:line="173"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 xml:space="preserve">Lentiviral-based gene therapy has shown significant promise, demonstrating durable effects and safety in ongoing clinical trials for diseases such as beta thalassemia, ALD and ADA-SCID. Historically, the use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3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auto"/>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right="140" w:firstLine="426"/>
        <w:spacing w:after="0" w:line="279" w:lineRule="auto"/>
        <w:rPr>
          <w:sz w:val="20"/>
          <w:szCs w:val="20"/>
          <w:color w:val="auto"/>
        </w:rPr>
      </w:pPr>
      <w:r>
        <w:rPr>
          <w:rFonts w:ascii="Arial" w:cs="Arial" w:eastAsia="Arial" w:hAnsi="Arial"/>
          <w:sz w:val="17"/>
          <w:szCs w:val="17"/>
          <w:b w:val="1"/>
          <w:bCs w:val="1"/>
          <w:i w:val="1"/>
          <w:iCs w:val="1"/>
          <w:color w:val="auto"/>
        </w:rPr>
        <w:t xml:space="preserve">AVR-RD-01. </w:t>
      </w:r>
      <w:r>
        <w:rPr>
          <w:rFonts w:ascii="Arial" w:cs="Arial" w:eastAsia="Arial" w:hAnsi="Arial"/>
          <w:sz w:val="17"/>
          <w:szCs w:val="17"/>
          <w:color w:val="auto"/>
        </w:rPr>
        <w:t>Our lead product candidate, AVR-RD-01 for the treatment of Fabry disease, is derived from hematopoietic stem cells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gene encoding the enzyme a-galactosidase A, or AGA, is added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process using a lentiviral vector. In an ongoing Phase 1 clinical trial of patients with Fabry disease, AVR-RD-01 has been well-tolerated and has led to the production of active AGA enzyme in the two patients treated to date. In both patients, within days of receiving AVR-RD-01, the level of AGA enzyme activity began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0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50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spacing w:after="0" w:line="259" w:lineRule="auto"/>
        <w:rPr>
          <w:sz w:val="20"/>
          <w:szCs w:val="20"/>
          <w:color w:val="auto"/>
        </w:rPr>
      </w:pPr>
      <w:r>
        <w:rPr>
          <w:rFonts w:ascii="Arial" w:cs="Arial" w:eastAsia="Arial" w:hAnsi="Arial"/>
          <w:sz w:val="18"/>
          <w:szCs w:val="18"/>
          <w:color w:val="auto"/>
        </w:rPr>
        <w:t>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as of one month after treatment.</w:t>
      </w:r>
    </w:p>
    <w:p>
      <w:pPr>
        <w:spacing w:after="0" w:line="29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3360" w:type="dxa"/>
            <w:vAlign w:val="bottom"/>
            <w:tcBorders>
              <w:top w:val="single" w:sz="8" w:color="auto"/>
              <w:right w:val="single" w:sz="8" w:color="auto"/>
            </w:tcBorders>
          </w:tcPr>
          <w:p>
            <w:pPr>
              <w:jc w:val="center"/>
              <w:ind w:left="1579"/>
              <w:spacing w:after="0" w:line="139" w:lineRule="exact"/>
              <w:rPr>
                <w:sz w:val="20"/>
                <w:szCs w:val="20"/>
                <w:color w:val="auto"/>
              </w:rPr>
            </w:pPr>
            <w:r>
              <w:rPr>
                <w:rFonts w:ascii="Arial" w:cs="Arial" w:eastAsia="Arial" w:hAnsi="Arial"/>
                <w:sz w:val="14"/>
                <w:szCs w:val="14"/>
                <w:b w:val="1"/>
                <w:bCs w:val="1"/>
                <w:color w:val="auto"/>
                <w:w w:val="90"/>
              </w:rPr>
              <w:t>Day 0</w:t>
            </w:r>
          </w:p>
        </w:tc>
        <w:tc>
          <w:tcPr>
            <w:tcW w:w="2360" w:type="dxa"/>
            <w:vAlign w:val="bottom"/>
            <w:tcBorders>
              <w:top w:val="single" w:sz="8" w:color="auto"/>
              <w:right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1 Month</w:t>
            </w:r>
          </w:p>
        </w:tc>
        <w:tc>
          <w:tcPr>
            <w:tcW w:w="2500" w:type="dxa"/>
            <w:vAlign w:val="bottom"/>
            <w:tcBorders>
              <w:top w:val="single" w:sz="8" w:color="auto"/>
              <w:right w:val="single" w:sz="8" w:color="auto"/>
            </w:tcBorders>
          </w:tcPr>
          <w:p>
            <w:pPr>
              <w:ind w:left="166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ind w:left="1680"/>
              <w:spacing w:after="0"/>
              <w:rPr>
                <w:sz w:val="20"/>
                <w:szCs w:val="20"/>
                <w:color w:val="auto"/>
              </w:rPr>
            </w:pPr>
            <w:r>
              <w:rPr>
                <w:rFonts w:ascii="Arial" w:cs="Arial" w:eastAsia="Arial" w:hAnsi="Arial"/>
                <w:sz w:val="14"/>
                <w:szCs w:val="14"/>
                <w:b w:val="1"/>
                <w:bCs w:val="1"/>
                <w:color w:val="auto"/>
              </w:rPr>
              <w:t>(Infusion of AVR-RD-01)</w:t>
            </w:r>
          </w:p>
        </w:tc>
        <w:tc>
          <w:tcPr>
            <w:tcW w:w="23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Patient 1</w:t>
            </w:r>
          </w:p>
        </w:tc>
        <w:tc>
          <w:tcPr>
            <w:tcW w:w="3360" w:type="dxa"/>
            <w:vAlign w:val="bottom"/>
            <w:tcBorders>
              <w:bottom w:val="single" w:sz="8" w:color="auto"/>
              <w:right w:val="single" w:sz="8" w:color="auto"/>
            </w:tcBorders>
            <w:shd w:val="clear" w:color="auto" w:fill="CCEEFF"/>
          </w:tcPr>
          <w:p>
            <w:pPr>
              <w:jc w:val="center"/>
              <w:ind w:left="1579"/>
              <w:spacing w:after="0"/>
              <w:rPr>
                <w:sz w:val="20"/>
                <w:szCs w:val="20"/>
                <w:color w:val="auto"/>
              </w:rPr>
            </w:pPr>
            <w:r>
              <w:rPr>
                <w:rFonts w:ascii="Arial" w:cs="Arial" w:eastAsia="Arial" w:hAnsi="Arial"/>
                <w:sz w:val="18"/>
                <w:szCs w:val="18"/>
                <w:color w:val="auto"/>
                <w:w w:val="87"/>
              </w:rPr>
              <w:t>0.1</w:t>
            </w:r>
          </w:p>
        </w:tc>
        <w:tc>
          <w:tcPr>
            <w:tcW w:w="236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5.1</w:t>
            </w:r>
          </w:p>
        </w:tc>
        <w:tc>
          <w:tcPr>
            <w:tcW w:w="2500" w:type="dxa"/>
            <w:vAlign w:val="bottom"/>
            <w:tcBorders>
              <w:bottom w:val="single" w:sz="8" w:color="auto"/>
              <w:right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5.8</w:t>
            </w:r>
          </w:p>
        </w:tc>
      </w:tr>
      <w:tr>
        <w:trPr>
          <w:trHeight w:val="210"/>
        </w:trPr>
        <w:tc>
          <w:tcPr>
            <w:tcW w:w="2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Patient 2</w:t>
            </w:r>
          </w:p>
        </w:tc>
        <w:tc>
          <w:tcPr>
            <w:tcW w:w="3360" w:type="dxa"/>
            <w:vAlign w:val="bottom"/>
            <w:tcBorders>
              <w:bottom w:val="single" w:sz="8" w:color="auto"/>
              <w:right w:val="single" w:sz="8" w:color="auto"/>
            </w:tcBorders>
          </w:tcPr>
          <w:p>
            <w:pPr>
              <w:jc w:val="center"/>
              <w:ind w:left="1579"/>
              <w:spacing w:after="0"/>
              <w:rPr>
                <w:sz w:val="20"/>
                <w:szCs w:val="20"/>
                <w:color w:val="auto"/>
              </w:rPr>
            </w:pPr>
            <w:r>
              <w:rPr>
                <w:rFonts w:ascii="Arial" w:cs="Arial" w:eastAsia="Arial" w:hAnsi="Arial"/>
                <w:sz w:val="18"/>
                <w:szCs w:val="18"/>
                <w:color w:val="auto"/>
                <w:w w:val="87"/>
              </w:rPr>
              <w:t>0.2</w:t>
            </w:r>
          </w:p>
        </w:tc>
        <w:tc>
          <w:tcPr>
            <w:tcW w:w="236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rPr>
              <w:t>4.4</w:t>
            </w:r>
          </w:p>
        </w:tc>
        <w:tc>
          <w:tcPr>
            <w:tcW w:w="2500" w:type="dxa"/>
            <w:vAlign w:val="bottom"/>
            <w:tcBorders>
              <w:bottom w:val="single" w:sz="8" w:color="auto"/>
              <w:right w:val="single" w:sz="8" w:color="auto"/>
            </w:tcBorders>
          </w:tcPr>
          <w:p>
            <w:pPr>
              <w:jc w:val="center"/>
              <w:ind w:left="1496"/>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believe these preliminary results support the potential of AVR-RD-01 to drive active enzyme production for long durations. We anticipate initiating our Phase 2 clinical trial of AVR-RD-01 in mid-2018.</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AVR-RD-02. </w:t>
      </w:r>
      <w:r>
        <w:rPr>
          <w:rFonts w:ascii="Arial" w:cs="Arial" w:eastAsia="Arial" w:hAnsi="Arial"/>
          <w:sz w:val="18"/>
          <w:szCs w:val="18"/>
          <w:color w:val="auto"/>
        </w:rPr>
        <w:t>We are developing AVR-RD-02 for the treatment of Type 1 Gaucher disease. We will manufacture AVR-RD-02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AVR-RD-03. </w:t>
      </w:r>
      <w:r>
        <w:rPr>
          <w:rFonts w:ascii="Arial" w:cs="Arial" w:eastAsia="Arial" w:hAnsi="Arial"/>
          <w:sz w:val="18"/>
          <w:szCs w:val="18"/>
          <w:color w:val="auto"/>
        </w:rPr>
        <w:t>We are developing AVR-RD-03 for the treatment of Pompe disease. We will manufacture AVR-RD-03 from hematopoietic 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auto"/>
        </w:rPr>
        <w:t xml:space="preserve">AVR-RD-04. </w:t>
      </w:r>
      <w:r>
        <w:rPr>
          <w:rFonts w:ascii="Arial" w:cs="Arial" w:eastAsia="Arial" w:hAnsi="Arial"/>
          <w:sz w:val="17"/>
          <w:szCs w:val="17"/>
          <w:color w:val="auto"/>
        </w:rPr>
        <w:t>We are developing AVR-RD-04 for the treatment of patients with cystinosis. We will manufacture AVR-RD-04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380" w:right="200" w:firstLine="426"/>
        <w:spacing w:after="0" w:line="302"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initial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first-line gene therapies for lysosomal storage diseases;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Globally develop, manufacture and commercialize our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Industrialize lentiviral-based gene therapy;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1220" w:right="4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auto"/>
        </w:rPr>
      </w:pPr>
    </w:p>
    <w:p>
      <w:pPr>
        <w:ind w:left="1220" w:right="2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AVR-RD-01 is being investigated in an ongoing Phase 1 clinical trial, in which two patients have been dosed to date, and we have not commenced clinical trials for any of our other product candidates. We have never conducted pivotal clinical trials, and may be unable to do so for any product candidates we may develop, including AVR-RD-01.</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6" w:lineRule="exact"/>
        <w:rPr>
          <w:rFonts w:ascii="Arial" w:cs="Arial" w:eastAsia="Arial" w:hAnsi="Arial"/>
          <w:sz w:val="17"/>
          <w:szCs w:val="17"/>
          <w:color w:val="auto"/>
        </w:rPr>
      </w:pPr>
    </w:p>
    <w:p>
      <w:pPr>
        <w:ind w:left="1220" w:right="980" w:hanging="415"/>
        <w:spacing w:after="0" w:line="342"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auto"/>
        </w:rPr>
      </w:pPr>
    </w:p>
    <w:p>
      <w:pPr>
        <w:ind w:left="1220" w:right="20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development and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16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w:t>
      </w:r>
    </w:p>
    <w:p>
      <w:pPr>
        <w:spacing w:after="0" w:line="75"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220" w:right="24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82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THE OFFERING</w:t>
            </w: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168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1680" w:type="dxa"/>
            <w:vAlign w:val="bottom"/>
          </w:tcPr>
          <w:p>
            <w:pPr>
              <w:spacing w:after="0"/>
              <w:rPr>
                <w:sz w:val="24"/>
                <w:szCs w:val="24"/>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shares (</w:t>
            </w:r>
          </w:p>
        </w:tc>
        <w:tc>
          <w:tcPr>
            <w:tcW w:w="240" w:type="dxa"/>
            <w:vAlign w:val="bottom"/>
          </w:tcPr>
          <w:p>
            <w:pPr>
              <w:spacing w:after="0"/>
              <w:rPr>
                <w:sz w:val="24"/>
                <w:szCs w:val="24"/>
                <w:color w:val="auto"/>
              </w:rPr>
            </w:pPr>
          </w:p>
        </w:tc>
        <w:tc>
          <w:tcPr>
            <w:tcW w:w="31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0"/>
              </w:rPr>
              <w:t>shares if the underwriters exercise their</w:t>
            </w:r>
          </w:p>
        </w:tc>
        <w:tc>
          <w:tcPr>
            <w:tcW w:w="0" w:type="dxa"/>
            <w:vAlign w:val="bottom"/>
          </w:tcPr>
          <w:p>
            <w:pPr>
              <w:spacing w:after="0"/>
              <w:rPr>
                <w:sz w:val="1"/>
                <w:szCs w:val="1"/>
                <w:color w:val="auto"/>
              </w:rPr>
            </w:pPr>
          </w:p>
        </w:tc>
      </w:tr>
      <w:tr>
        <w:trPr>
          <w:trHeight w:val="202"/>
        </w:trPr>
        <w:tc>
          <w:tcPr>
            <w:tcW w:w="4820" w:type="dxa"/>
            <w:vAlign w:val="bottom"/>
            <w:tcBorders>
              <w:lef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Underwriters’ option to purchase additional shares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4"/>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to an aggregate of</w:t>
            </w:r>
          </w:p>
        </w:tc>
        <w:tc>
          <w:tcPr>
            <w:tcW w:w="240" w:type="dxa"/>
            <w:vAlign w:val="bottom"/>
          </w:tcPr>
          <w:p>
            <w:pPr>
              <w:spacing w:after="0"/>
              <w:rPr>
                <w:sz w:val="18"/>
                <w:szCs w:val="18"/>
                <w:color w:val="auto"/>
              </w:rPr>
            </w:pPr>
          </w:p>
        </w:tc>
        <w:tc>
          <w:tcPr>
            <w:tcW w:w="31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9"/>
              </w:rPr>
              <w:t>additional shares of common stock</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from us at the public offering price, less underwriting discounts</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2"/>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3"/>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common stock in this offering of approximately</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1680" w:type="dxa"/>
            <w:vAlign w:val="bottom"/>
          </w:tcPr>
          <w:p>
            <w:pPr>
              <w:ind w:left="120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342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8"/>
              </w:rPr>
              <w:t>million if the underwriters exercise their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 assuming an initial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3040" w:type="dxa"/>
            <w:vAlign w:val="bottom"/>
            <w:gridSpan w:val="3"/>
          </w:tcPr>
          <w:p>
            <w:pPr>
              <w:ind w:left="1200"/>
              <w:spacing w:after="0"/>
              <w:rPr>
                <w:sz w:val="20"/>
                <w:szCs w:val="20"/>
                <w:color w:val="auto"/>
              </w:rPr>
            </w:pPr>
            <w:r>
              <w:rPr>
                <w:rFonts w:ascii="Arial" w:cs="Arial" w:eastAsia="Arial" w:hAnsi="Arial"/>
                <w:sz w:val="18"/>
                <w:szCs w:val="18"/>
                <w:color w:val="auto"/>
                <w:w w:val="95"/>
              </w:rPr>
              <w:t>public offering price of $</w:t>
            </w:r>
          </w:p>
        </w:tc>
        <w:tc>
          <w:tcPr>
            <w:tcW w:w="31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per share, the midpoint of the price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range set forth on the cover page of this prospectus, and after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deducting estimated underwriting discounts and commissions and</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6"/>
              </w:rPr>
              <w:t>estimated offering expenses payable by us. We intend to use the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net proceeds from this offering, together with our existing cash</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and cash equivalents, to advance our lead product candidate AVR-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RD-01; to advance our other product candidates and programs;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our external and internal manufacturing and process development</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activities; for research and development activities that relate to all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clinical and preclinical activities; and the remainder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planned general and administrative expenses, the costs of</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operating as a public company, working capital and other general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corporate purposes. For a more complete description of our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intended use of the proceeds from this offering, see “Use of</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Proceeds.”</w:t>
            </w:r>
          </w:p>
        </w:tc>
        <w:tc>
          <w:tcPr>
            <w:tcW w:w="2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rPr>
              <w:t>You should carefully read the “Risk Factors” section of this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prospectus for a discussion of factors that you should consider</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before deciding to invest in our common stock.</w:t>
            </w: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Proposed Nasdaq Global Market symbol</w:t>
            </w:r>
          </w:p>
        </w:tc>
        <w:tc>
          <w:tcPr>
            <w:tcW w:w="1680" w:type="dxa"/>
            <w:vAlign w:val="bottom"/>
          </w:tcPr>
          <w:p>
            <w:pPr>
              <w:ind w:left="1020"/>
              <w:spacing w:after="0"/>
              <w:rPr>
                <w:sz w:val="20"/>
                <w:szCs w:val="20"/>
                <w:color w:val="auto"/>
              </w:rPr>
            </w:pPr>
            <w:r>
              <w:rPr>
                <w:rFonts w:ascii="Arial" w:cs="Arial" w:eastAsia="Arial" w:hAnsi="Arial"/>
                <w:sz w:val="18"/>
                <w:szCs w:val="18"/>
                <w:color w:val="auto"/>
              </w:rPr>
              <w:t>“AVRO”</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2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860" w:firstLine="42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10,666,667 shares of our common stock outstanding as of March 31, 2018, and gives effect to the conversion of all of our outstanding preferred stock into 63,303,154 shares of our common stock immediately prior to the closing of this offering, and excludes:</w:t>
      </w:r>
    </w:p>
    <w:p>
      <w:pPr>
        <w:spacing w:after="0" w:line="87" w:lineRule="exact"/>
        <w:rPr>
          <w:sz w:val="20"/>
          <w:szCs w:val="20"/>
          <w:color w:val="auto"/>
        </w:rPr>
      </w:pPr>
    </w:p>
    <w:p>
      <w:pPr>
        <w:ind w:left="1220" w:right="6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weighted-average exercise price of $0.62 per share;</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220" w:right="4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240"/>
          </w:cols>
          <w:pgMar w:left="240" w:top="459" w:right="419" w:bottom="1440" w:gutter="0" w:footer="0" w:header="0"/>
        </w:sectPr>
      </w:pPr>
    </w:p>
    <w:p>
      <w:pPr>
        <w:spacing w:after="0" w:line="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31" w:lineRule="exact"/>
        <w:rPr>
          <w:sz w:val="20"/>
          <w:szCs w:val="20"/>
          <w:color w:val="auto"/>
        </w:rPr>
      </w:pPr>
    </w:p>
    <w:p>
      <w:pPr>
        <w:ind w:left="1220" w:right="4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right="5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issuance or exercise of outstanding options or warrants after March 31, 2018;</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ind w:left="180"/>
              <w:spacing w:after="0"/>
              <w:rPr>
                <w:sz w:val="20"/>
                <w:szCs w:val="20"/>
                <w:color w:val="auto"/>
              </w:rPr>
            </w:pPr>
            <w:r>
              <w:rPr>
                <w:rFonts w:ascii="Arial" w:cs="Arial" w:eastAsia="Arial" w:hAnsi="Arial"/>
                <w:sz w:val="18"/>
                <w:szCs w:val="18"/>
                <w:color w:val="auto"/>
              </w:rPr>
              <w:t>a 1-for-</w:t>
            </w:r>
          </w:p>
        </w:tc>
        <w:tc>
          <w:tcPr>
            <w:tcW w:w="4080" w:type="dxa"/>
            <w:vAlign w:val="bottom"/>
          </w:tcPr>
          <w:p>
            <w:pPr>
              <w:jc w:val="right"/>
              <w:ind w:right="390"/>
              <w:spacing w:after="0"/>
              <w:rPr>
                <w:sz w:val="20"/>
                <w:szCs w:val="20"/>
                <w:color w:val="auto"/>
              </w:rPr>
            </w:pPr>
            <w:r>
              <w:rPr>
                <w:rFonts w:ascii="Arial" w:cs="Arial" w:eastAsia="Arial" w:hAnsi="Arial"/>
                <w:sz w:val="18"/>
                <w:szCs w:val="18"/>
                <w:color w:val="auto"/>
                <w:w w:val="98"/>
              </w:rPr>
              <w:t>reverse split of our common stock effected on</w:t>
            </w:r>
          </w:p>
        </w:tc>
        <w:tc>
          <w:tcPr>
            <w:tcW w:w="5120" w:type="dxa"/>
            <w:vAlign w:val="bottom"/>
          </w:tcPr>
          <w:p>
            <w:pPr>
              <w:ind w:left="280"/>
              <w:spacing w:after="0"/>
              <w:rPr>
                <w:sz w:val="20"/>
                <w:szCs w:val="20"/>
                <w:color w:val="auto"/>
              </w:rPr>
            </w:pPr>
            <w:r>
              <w:rPr>
                <w:rFonts w:ascii="Arial" w:cs="Arial" w:eastAsia="Arial" w:hAnsi="Arial"/>
                <w:sz w:val="18"/>
                <w:szCs w:val="18"/>
                <w:color w:val="auto"/>
              </w:rPr>
              <w:t>; and</w:t>
            </w:r>
          </w:p>
        </w:tc>
      </w:tr>
      <w:tr>
        <w:trPr>
          <w:trHeight w:val="338"/>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w w:val="96"/>
              </w:rPr>
              <w:t>no exercise by the underwriters of their option to purchase up to</w:t>
            </w:r>
          </w:p>
        </w:tc>
        <w:tc>
          <w:tcPr>
            <w:tcW w:w="5120" w:type="dxa"/>
            <w:vAlign w:val="bottom"/>
          </w:tcPr>
          <w:p>
            <w:pPr>
              <w:ind w:left="460"/>
              <w:spacing w:after="0"/>
              <w:rPr>
                <w:sz w:val="20"/>
                <w:szCs w:val="20"/>
                <w:color w:val="auto"/>
              </w:rPr>
            </w:pPr>
            <w:r>
              <w:rPr>
                <w:rFonts w:ascii="Arial" w:cs="Arial" w:eastAsia="Arial" w:hAnsi="Arial"/>
                <w:sz w:val="18"/>
                <w:szCs w:val="18"/>
                <w:color w:val="auto"/>
              </w:rPr>
              <w:t>additional shares of common stock in this offering.</w:t>
            </w:r>
          </w:p>
        </w:tc>
      </w:tr>
      <w:tr>
        <w:trPr>
          <w:trHeight w:val="240"/>
        </w:trPr>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5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72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372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The summary consolidated statements of operations data presented below for the years ended December 31, 2016 and 2017 and the summary consolidated balance sheet data as of December 31, 2017 are derived from our audited consolidated financial statements included elsewhere in this prospectus.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15,191</w:t>
            </w:r>
          </w:p>
        </w:tc>
        <w:tc>
          <w:tcPr>
            <w:tcW w:w="0" w:type="dxa"/>
            <w:vAlign w:val="bottom"/>
          </w:tcPr>
          <w:p>
            <w:pPr>
              <w:spacing w:after="0"/>
              <w:rPr>
                <w:sz w:val="1"/>
                <w:szCs w:val="1"/>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120" w:type="dxa"/>
            <w:vAlign w:val="bottom"/>
          </w:tcPr>
          <w:p>
            <w:pPr>
              <w:ind w:left="7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8,421,130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9,238,612</w:t>
            </w:r>
          </w:p>
        </w:tc>
        <w:tc>
          <w:tcPr>
            <w:tcW w:w="0" w:type="dxa"/>
            <w:vAlign w:val="bottom"/>
          </w:tcPr>
          <w:p>
            <w:pPr>
              <w:spacing w:after="0"/>
              <w:rPr>
                <w:sz w:val="1"/>
                <w:szCs w:val="1"/>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8"/>
                <w:szCs w:val="18"/>
                <w:color w:val="auto"/>
              </w:rPr>
              <w:t>Pro forma net loss per share attributable to common stockholders—basic and diluted</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weighted-average common shares outstanding—basic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28,602,468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800" w:right="280" w:hanging="414"/>
        <w:spacing w:after="0" w:line="264"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Notes 2 and 13 to our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89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789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As of December 31, 2017</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Actual</w:t>
            </w:r>
          </w:p>
        </w:tc>
        <w:tc>
          <w:tcPr>
            <w:tcW w:w="18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1000" w:type="dxa"/>
            <w:vAlign w:val="bottom"/>
          </w:tcPr>
          <w:p>
            <w:pPr>
              <w:jc w:val="center"/>
              <w:ind w:left="7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9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  5,963</w:t>
            </w:r>
          </w:p>
        </w:tc>
        <w:tc>
          <w:tcPr>
            <w:tcW w:w="1840" w:type="dxa"/>
            <w:vAlign w:val="bottom"/>
          </w:tcPr>
          <w:p>
            <w:pPr>
              <w:jc w:val="right"/>
              <w:ind w:right="475"/>
              <w:spacing w:after="0"/>
              <w:rPr>
                <w:sz w:val="20"/>
                <w:szCs w:val="20"/>
                <w:color w:val="auto"/>
              </w:rPr>
            </w:pPr>
            <w:r>
              <w:rPr>
                <w:rFonts w:ascii="Arial" w:cs="Arial" w:eastAsia="Arial" w:hAnsi="Arial"/>
                <w:sz w:val="18"/>
                <w:szCs w:val="18"/>
                <w:color w:val="auto"/>
              </w:rPr>
              <w:t>$   66,463</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3,683</w:t>
            </w:r>
          </w:p>
        </w:tc>
        <w:tc>
          <w:tcPr>
            <w:tcW w:w="18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64,183</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7,022</w:t>
            </w:r>
          </w:p>
        </w:tc>
        <w:tc>
          <w:tcPr>
            <w:tcW w:w="1840" w:type="dxa"/>
            <w:vAlign w:val="bottom"/>
          </w:tcPr>
          <w:p>
            <w:pPr>
              <w:jc w:val="right"/>
              <w:ind w:right="475"/>
              <w:spacing w:after="0"/>
              <w:rPr>
                <w:sz w:val="20"/>
                <w:szCs w:val="20"/>
                <w:color w:val="auto"/>
              </w:rPr>
            </w:pPr>
            <w:r>
              <w:rPr>
                <w:rFonts w:ascii="Arial" w:cs="Arial" w:eastAsia="Arial" w:hAnsi="Arial"/>
                <w:sz w:val="18"/>
                <w:szCs w:val="18"/>
                <w:color w:val="auto"/>
              </w:rPr>
              <w:t>67,522</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redeemable convertible preferred stock</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w:t>
            </w:r>
          </w:p>
        </w:tc>
        <w:tc>
          <w:tcPr>
            <w:tcW w:w="18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371</w:t>
            </w:r>
          </w:p>
        </w:tc>
        <w:tc>
          <w:tcPr>
            <w:tcW w:w="1840" w:type="dxa"/>
            <w:vAlign w:val="bottom"/>
          </w:tcPr>
          <w:p>
            <w:pPr>
              <w:jc w:val="right"/>
              <w:ind w:right="475"/>
              <w:spacing w:after="0"/>
              <w:rPr>
                <w:sz w:val="20"/>
                <w:szCs w:val="20"/>
                <w:color w:val="auto"/>
              </w:rPr>
            </w:pPr>
            <w:r>
              <w:rPr>
                <w:rFonts w:ascii="Arial" w:cs="Arial" w:eastAsia="Arial" w:hAnsi="Arial"/>
                <w:sz w:val="18"/>
                <w:szCs w:val="18"/>
                <w:color w:val="auto"/>
              </w:rPr>
              <w:t>371</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26,500</w:t>
            </w:r>
          </w:p>
        </w:tc>
        <w:tc>
          <w:tcPr>
            <w:tcW w:w="18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(23,135)</w:t>
            </w:r>
          </w:p>
        </w:tc>
        <w:tc>
          <w:tcPr>
            <w:tcW w:w="1840" w:type="dxa"/>
            <w:vAlign w:val="bottom"/>
          </w:tcPr>
          <w:p>
            <w:pPr>
              <w:jc w:val="right"/>
              <w:ind w:right="475"/>
              <w:spacing w:after="0"/>
              <w:rPr>
                <w:sz w:val="20"/>
                <w:szCs w:val="20"/>
                <w:color w:val="auto"/>
              </w:rPr>
            </w:pPr>
            <w:r>
              <w:rPr>
                <w:rFonts w:ascii="Arial" w:cs="Arial" w:eastAsia="Arial" w:hAnsi="Arial"/>
                <w:sz w:val="18"/>
                <w:szCs w:val="18"/>
                <w:color w:val="auto"/>
              </w:rPr>
              <w:t>64,400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ind w:left="800" w:right="20" w:hanging="414"/>
        <w:spacing w:after="0" w:line="28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our sale of 28,285,557 shares of Series B preferred stock in January 2018 for gross cash proceeds of $60.5 million; (ii) our issuance of 233,765 shares of Series B preferred stock in January 2018 to BioMarin pursuant to our license agreement with BioMarin; (iii) the conversion of all outstanding shares of redeemable convertible preferred stock into an aggregate of 63,303,154 shares of common stock upon the closing of this offering; and (iv) the outstanding warrant to purchase shares of our redeemable convertible preferred stock becoming a warrant to purchase shares of our common stock upon the closing of this offering.</w:t>
      </w:r>
    </w:p>
    <w:p>
      <w:pPr>
        <w:spacing w:after="0" w:line="3" w:lineRule="exact"/>
        <w:rPr>
          <w:rFonts w:ascii="Arial" w:cs="Arial" w:eastAsia="Arial" w:hAnsi="Arial"/>
          <w:sz w:val="16"/>
          <w:szCs w:val="16"/>
          <w:color w:val="auto"/>
        </w:rPr>
      </w:pPr>
    </w:p>
    <w:p>
      <w:pPr>
        <w:ind w:left="800" w:hanging="414"/>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(2) above, as well as (i) our</w:t>
      </w:r>
    </w:p>
    <w:p>
      <w:pPr>
        <w:spacing w:after="0" w:line="32" w:lineRule="exact"/>
        <w:rPr>
          <w:sz w:val="20"/>
          <w:szCs w:val="20"/>
          <w:color w:val="auto"/>
        </w:rPr>
      </w:pPr>
    </w:p>
    <w:p>
      <w:pPr>
        <w:ind w:left="800" w:right="60"/>
        <w:spacing w:after="0" w:line="281" w:lineRule="auto"/>
        <w:rPr>
          <w:sz w:val="20"/>
          <w:szCs w:val="20"/>
          <w:color w:val="auto"/>
        </w:rPr>
      </w:pPr>
      <w:r>
        <w:rPr>
          <w:rFonts w:ascii="Arial" w:cs="Arial" w:eastAsia="Arial" w:hAnsi="Arial"/>
          <w:sz w:val="16"/>
          <w:szCs w:val="16"/>
          <w:color w:val="auto"/>
        </w:rPr>
        <w:t>issuance and sale of 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3" w:lineRule="exact"/>
        <w:rPr>
          <w:sz w:val="20"/>
          <w:szCs w:val="20"/>
          <w:color w:val="auto"/>
        </w:rPr>
      </w:pPr>
    </w:p>
    <w:p>
      <w:pPr>
        <w:ind w:left="800" w:right="120"/>
        <w:spacing w:after="0" w:line="281" w:lineRule="auto"/>
        <w:rPr>
          <w:sz w:val="20"/>
          <w:szCs w:val="20"/>
          <w:color w:val="auto"/>
        </w:rPr>
      </w:pPr>
      <w:r>
        <w:rPr>
          <w:rFonts w:ascii="Arial" w:cs="Arial" w:eastAsia="Arial" w:hAnsi="Arial"/>
          <w:sz w:val="16"/>
          <w:szCs w:val="16"/>
          <w:color w:val="auto"/>
        </w:rPr>
        <w:t>offering. Each $1.00 increase (decrease) in the assumed initial public offering price of $ per share, the midpoint of the price range set forth on the cover page of this prospectus, would increase (decrease) the pro forma as adjusted amount of each of cash and cash equivalents,</w:t>
      </w:r>
    </w:p>
    <w:p>
      <w:pPr>
        <w:spacing w:after="0" w:line="1" w:lineRule="exact"/>
        <w:rPr>
          <w:sz w:val="20"/>
          <w:szCs w:val="20"/>
          <w:color w:val="auto"/>
        </w:rPr>
      </w:pPr>
    </w:p>
    <w:p>
      <w:pPr>
        <w:ind w:left="800" w:right="20"/>
        <w:spacing w:after="0" w:line="281" w:lineRule="auto"/>
        <w:rPr>
          <w:sz w:val="20"/>
          <w:szCs w:val="20"/>
          <w:color w:val="auto"/>
        </w:rPr>
      </w:pPr>
      <w:r>
        <w:rPr>
          <w:rFonts w:ascii="Arial" w:cs="Arial" w:eastAsia="Arial" w:hAnsi="Arial"/>
          <w:sz w:val="16"/>
          <w:szCs w:val="16"/>
          <w:color w:val="auto"/>
        </w:rPr>
        <w:t>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w:t>
      </w:r>
    </w:p>
    <w:p>
      <w:pPr>
        <w:spacing w:after="0" w:line="3"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auto"/>
        </w:rPr>
        <w:t>total assets and total stockholders’ equity by $ million, assuming no change in the assumed initial public offering price per share and after deducting estimated underwriting discounts and commissions and estimated offering expenses payable by us.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$4.7 million and $18.6 million for the years ended December 31, 2016 and 2017,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clinical trials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287"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demonstrates adverse side effects, we may decide or be required to halt or delay clinical development of such product candidates.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Phase 1 clinical trial of AVR-RD-01, several adverse events, including where white blood cell and platelet counts were suppressed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6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b w:val="1"/>
          <w:bCs w:val="1"/>
          <w:i w:val="1"/>
          <w:iCs w:val="1"/>
          <w:color w:val="auto"/>
        </w:rPr>
        <w:t>AVR-RD-01 is being investigated in an ongoing Phase 1 clinical trial and we have not commenced clinical trials for any of our other product candidates. We have never conducted pivotal clinical trials, and may be unable to do so for any product candidates we may develop, including AVR-RD-01.</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at a very early stage of development for all of our product candidates including AVR-RD-01. As of March 1, 2018, our product candidate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AVR-RD-01 has been administered to only two patients. The ongoing Phase 1 clinical trial for AVR-RD-01 must be completed and we need to initiate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complete our planned Phase 2 clinical trial of AVR-RD-01, as well as potentially additional pivotal clinical trials in order to obtain FDA approval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market AVR-RD-01. Carrying out later-stage clinical trials is a complicated process. AVR-RD-01 is being evaluated in an investigator-sponsored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Phase 1 clinical trial and, as an organization, we have not conducted any clinical trials, have limited experience in preparing, submitting and prosecuting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filings, and have not previously submitted a biologics license application, or BLA, for any product candidate.</w:t>
      </w:r>
    </w:p>
    <w:p>
      <w:pPr>
        <w:spacing w:after="0" w:line="21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our interactions with the FDA are expected to be limited for the near future, and we cannot be certain how many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additional clinical trials of AVR-RD-01 or any of our other product candidates will be required or how such trials should be designed. In order to commence a clinical trial in the United States, including our planned Phase 2 clinical trial for AVR-RD-01, we will be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clinical trial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9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FDA and comparable foreign regulatory authorities offer certain designations for product candidates that are designed to encourage the research and development of product candidates that are intended to address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planned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could impair our ability to conduct our clinical trials and, if our product candidates are approved, to meet the demand of our customers and cause them to cancel orders.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8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5620" w:right="4780" w:hanging="4984"/>
        <w:spacing w:after="0" w:line="536" w:lineRule="auto"/>
        <w:tabs>
          <w:tab w:leader="none" w:pos="10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efficacy and potential advantages over alternative treatments; 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plan to conduct clinical trials for our product candidates outside of the United States.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1"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reimbursement for such services may lead to physician resistance and adversely affect our ability to market or sell our product candidates, if approved.</w:t>
      </w:r>
    </w:p>
    <w:p>
      <w:pPr>
        <w:spacing w:after="0" w:line="356"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65"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March 31, 2018, we had 24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91"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6"/>
          <w:szCs w:val="16"/>
          <w:color w:val="auto"/>
        </w:rPr>
      </w:pPr>
    </w:p>
    <w:p>
      <w:pPr>
        <w:jc w:val="both"/>
        <w:ind w:left="1060" w:right="26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80"/>
        <w:spacing w:after="0" w:line="312" w:lineRule="auto"/>
        <w:rPr>
          <w:sz w:val="20"/>
          <w:szCs w:val="20"/>
          <w:color w:val="auto"/>
        </w:rPr>
      </w:pPr>
      <w:r>
        <w:rPr>
          <w:rFonts w:ascii="Arial" w:cs="Arial" w:eastAsia="Arial" w:hAnsi="Arial"/>
          <w:sz w:val="16"/>
          <w:szCs w:val="16"/>
          <w:color w:val="auto"/>
        </w:rPr>
        <w:t>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52" w:lineRule="exact"/>
        <w:rPr>
          <w:sz w:val="20"/>
          <w:szCs w:val="20"/>
          <w:color w:val="auto"/>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Finally, there are state and foreign laws governing the privacy and security of health information, many of which differ from each other in significant ways and often are not preempted by HIPAA, thus complicating compliance efforts.</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$119,000, respectively.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Although we intend to apply to have our common stock listed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 of our voting stock and, upon closing of this offering, that same group will beneficially own approximately % of our outstanding voting stock.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 of any merger, sale of assets, or other major corporate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96"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19"/>
        </w:trPr>
        <w:tc>
          <w:tcPr>
            <w:tcW w:w="7280" w:type="dxa"/>
            <w:vAlign w:val="bottom"/>
            <w:gridSpan w:val="4"/>
          </w:tcPr>
          <w:p>
            <w:pPr>
              <w:ind w:left="200"/>
              <w:spacing w:after="0"/>
              <w:rPr>
                <w:sz w:val="20"/>
                <w:szCs w:val="20"/>
                <w:color w:val="auto"/>
              </w:rPr>
            </w:pPr>
            <w:r>
              <w:rPr>
                <w:rFonts w:ascii="Arial" w:cs="Arial" w:eastAsia="Arial" w:hAnsi="Arial"/>
                <w:sz w:val="18"/>
                <w:szCs w:val="18"/>
                <w:color w:val="auto"/>
                <w:w w:val="95"/>
              </w:rPr>
              <w:t>investors purchasing shares of common stock in this offering will incur immediate dilution of $</w:t>
            </w:r>
          </w:p>
        </w:tc>
        <w:tc>
          <w:tcPr>
            <w:tcW w:w="3900" w:type="dxa"/>
            <w:vAlign w:val="bottom"/>
          </w:tcPr>
          <w:p>
            <w:pPr>
              <w:ind w:left="200"/>
              <w:spacing w:after="0"/>
              <w:rPr>
                <w:sz w:val="20"/>
                <w:szCs w:val="20"/>
                <w:color w:val="auto"/>
              </w:rPr>
            </w:pPr>
            <w:r>
              <w:rPr>
                <w:rFonts w:ascii="Arial" w:cs="Arial" w:eastAsia="Arial" w:hAnsi="Arial"/>
                <w:sz w:val="18"/>
                <w:szCs w:val="18"/>
                <w:color w:val="auto"/>
                <w:w w:val="92"/>
              </w:rPr>
              <w:t>per share, based on the initial public offering price</w:t>
            </w:r>
          </w:p>
        </w:tc>
      </w:tr>
      <w:tr>
        <w:trPr>
          <w:trHeight w:val="230"/>
        </w:trPr>
        <w:tc>
          <w:tcPr>
            <w:tcW w:w="700" w:type="dxa"/>
            <w:vAlign w:val="bottom"/>
          </w:tcPr>
          <w:p>
            <w:pPr>
              <w:ind w:left="200"/>
              <w:spacing w:after="0"/>
              <w:rPr>
                <w:sz w:val="20"/>
                <w:szCs w:val="20"/>
                <w:color w:val="auto"/>
              </w:rPr>
            </w:pPr>
            <w:r>
              <w:rPr>
                <w:rFonts w:ascii="Arial" w:cs="Arial" w:eastAsia="Arial" w:hAnsi="Arial"/>
                <w:sz w:val="18"/>
                <w:szCs w:val="18"/>
                <w:color w:val="auto"/>
              </w:rPr>
              <w:t>of $</w:t>
            </w:r>
          </w:p>
        </w:tc>
        <w:tc>
          <w:tcPr>
            <w:tcW w:w="4700" w:type="dxa"/>
            <w:vAlign w:val="bottom"/>
            <w:gridSpan w:val="2"/>
          </w:tcPr>
          <w:p>
            <w:pPr>
              <w:ind w:left="200"/>
              <w:spacing w:after="0"/>
              <w:rPr>
                <w:sz w:val="20"/>
                <w:szCs w:val="20"/>
                <w:color w:val="auto"/>
              </w:rPr>
            </w:pPr>
            <w:r>
              <w:rPr>
                <w:rFonts w:ascii="Arial" w:cs="Arial" w:eastAsia="Arial" w:hAnsi="Arial"/>
                <w:sz w:val="18"/>
                <w:szCs w:val="18"/>
                <w:color w:val="auto"/>
                <w:w w:val="97"/>
              </w:rPr>
              <w:t>per share and our pro forma net tangible book value as of</w:t>
            </w:r>
          </w:p>
        </w:tc>
        <w:tc>
          <w:tcPr>
            <w:tcW w:w="5780" w:type="dxa"/>
            <w:vAlign w:val="bottom"/>
            <w:gridSpan w:val="2"/>
          </w:tcPr>
          <w:p>
            <w:pPr>
              <w:ind w:left="380"/>
              <w:spacing w:after="0"/>
              <w:rPr>
                <w:sz w:val="20"/>
                <w:szCs w:val="20"/>
                <w:color w:val="auto"/>
              </w:rPr>
            </w:pPr>
            <w:r>
              <w:rPr>
                <w:rFonts w:ascii="Arial" w:cs="Arial" w:eastAsia="Arial" w:hAnsi="Arial"/>
                <w:sz w:val="18"/>
                <w:szCs w:val="18"/>
                <w:color w:val="auto"/>
                <w:w w:val="88"/>
              </w:rPr>
              <w:t>, 2018. Further, based on these assumptions, investors purchasing shares of</w:t>
            </w:r>
          </w:p>
        </w:tc>
      </w:tr>
    </w:tbl>
    <w:p>
      <w:pPr>
        <w:ind w:left="200" w:right="28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in this offering will contribute approximately % of the total amount invested by stockholders since our inception, but will own only approximately % of the shares of common stock outstanding. For information on how the foregoing amounts were calculated, see “Dilution.”</w:t>
      </w:r>
    </w:p>
    <w:p>
      <w:pPr>
        <w:spacing w:after="0" w:line="24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w:t>
      </w:r>
    </w:p>
    <w:p>
      <w:pPr>
        <w:ind w:left="200"/>
        <w:spacing w:after="0"/>
        <w:tabs>
          <w:tab w:leader="none" w:pos="5300" w:val="left"/>
        </w:tabs>
        <w:rPr>
          <w:sz w:val="20"/>
          <w:szCs w:val="20"/>
          <w:color w:val="auto"/>
        </w:rPr>
      </w:pPr>
      <w:r>
        <w:rPr>
          <w:rFonts w:ascii="Arial" w:cs="Arial" w:eastAsia="Arial" w:hAnsi="Arial"/>
          <w:sz w:val="18"/>
          <w:szCs w:val="18"/>
          <w:color w:val="auto"/>
        </w:rPr>
        <w:t>common stock. After this offering, we will have outstanding</w:t>
      </w:r>
      <w:r>
        <w:rPr>
          <w:sz w:val="20"/>
          <w:szCs w:val="20"/>
          <w:color w:val="auto"/>
        </w:rPr>
        <w:tab/>
      </w:r>
      <w:r>
        <w:rPr>
          <w:rFonts w:ascii="Arial" w:cs="Arial" w:eastAsia="Arial" w:hAnsi="Arial"/>
          <w:sz w:val="15"/>
          <w:szCs w:val="15"/>
          <w:color w:val="auto"/>
        </w:rPr>
        <w:t>shares of common stock based on the number of shares outstanding as of</w:t>
      </w:r>
    </w:p>
    <w:p>
      <w:pPr>
        <w:spacing w:after="0" w:line="9" w:lineRule="exact"/>
        <w:rPr>
          <w:sz w:val="20"/>
          <w:szCs w:val="20"/>
          <w:color w:val="auto"/>
        </w:rPr>
      </w:pPr>
    </w:p>
    <w:p>
      <w:pPr>
        <w:ind w:left="920"/>
        <w:spacing w:after="0"/>
        <w:tabs>
          <w:tab w:leader="none" w:pos="8200" w:val="left"/>
        </w:tabs>
        <w:rPr>
          <w:sz w:val="20"/>
          <w:szCs w:val="20"/>
          <w:color w:val="auto"/>
        </w:rPr>
      </w:pPr>
      <w:r>
        <w:rPr>
          <w:rFonts w:ascii="Arial" w:cs="Arial" w:eastAsia="Arial" w:hAnsi="Arial"/>
          <w:sz w:val="18"/>
          <w:szCs w:val="18"/>
          <w:color w:val="auto"/>
        </w:rPr>
        <w:t>, 2018 assuming the conversion of our preferred stock upon the closing of this offering, (or</w:t>
      </w:r>
      <w:r>
        <w:rPr>
          <w:sz w:val="20"/>
          <w:szCs w:val="20"/>
          <w:color w:val="auto"/>
        </w:rPr>
        <w:tab/>
      </w:r>
      <w:r>
        <w:rPr>
          <w:rFonts w:ascii="Arial" w:cs="Arial" w:eastAsia="Arial" w:hAnsi="Arial"/>
          <w:sz w:val="16"/>
          <w:szCs w:val="16"/>
          <w:color w:val="auto"/>
        </w:rPr>
        <w:t>shares if the underwriters exercise their</w:t>
      </w:r>
    </w:p>
    <w:p>
      <w:pPr>
        <w:spacing w:after="0" w:line="9" w:lineRule="exact"/>
        <w:rPr>
          <w:sz w:val="20"/>
          <w:szCs w:val="20"/>
          <w:color w:val="auto"/>
        </w:rPr>
      </w:pPr>
    </w:p>
    <w:p>
      <w:pPr>
        <w:ind w:left="200"/>
        <w:spacing w:after="0"/>
        <w:tabs>
          <w:tab w:leader="none" w:pos="5400" w:val="left"/>
          <w:tab w:leader="none" w:pos="9340" w:val="left"/>
        </w:tabs>
        <w:rPr>
          <w:sz w:val="20"/>
          <w:szCs w:val="20"/>
          <w:color w:val="auto"/>
        </w:rPr>
      </w:pPr>
      <w:r>
        <w:rPr>
          <w:rFonts w:ascii="Arial" w:cs="Arial" w:eastAsia="Arial" w:hAnsi="Arial"/>
          <w:sz w:val="18"/>
          <w:szCs w:val="18"/>
          <w:color w:val="auto"/>
        </w:rPr>
        <w:t>option to purchase additional shares in full). This includes the</w:t>
      </w:r>
      <w:r>
        <w:rPr>
          <w:sz w:val="20"/>
          <w:szCs w:val="20"/>
          <w:color w:val="auto"/>
        </w:rPr>
        <w:tab/>
      </w:r>
      <w:r>
        <w:rPr>
          <w:rFonts w:ascii="Arial" w:cs="Arial" w:eastAsia="Arial" w:hAnsi="Arial"/>
          <w:sz w:val="18"/>
          <w:szCs w:val="18"/>
          <w:color w:val="auto"/>
        </w:rPr>
        <w:t>shares that we are selling in this offering (or</w:t>
      </w:r>
      <w:r>
        <w:rPr>
          <w:sz w:val="20"/>
          <w:szCs w:val="20"/>
          <w:color w:val="auto"/>
        </w:rPr>
        <w:tab/>
      </w:r>
      <w:r>
        <w:rPr>
          <w:rFonts w:ascii="Arial" w:cs="Arial" w:eastAsia="Arial" w:hAnsi="Arial"/>
          <w:sz w:val="16"/>
          <w:szCs w:val="16"/>
          <w:color w:val="auto"/>
        </w:rPr>
        <w:t>shares if the underwriters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 their option to purchase additional shares in full), which may be resold in the public market immediately without restriction, unless purchased</w:t>
      </w:r>
    </w:p>
    <w:p>
      <w:pPr>
        <w:spacing w:after="0" w:line="32"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by our affiliates. The remaining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63.3 million shares of our common stock will have rights, subject to certain conditions, to require us to file registration statements covering their shares or to include their shares in registration statements that we may file for ourselves or other stockholders. In addition, 7,391,214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9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4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b w:val="1"/>
          <w:bCs w:val="1"/>
          <w:i w:val="1"/>
          <w:iCs w:val="1"/>
          <w:color w:val="auto"/>
        </w:rPr>
        <w:t>Our restated certificate of incorporation and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restated certificate of incorporation and amended and restated bylaws provide that the Court of Chancery of the State of Delaware is the exclusive forum for (i) any derivative action or proceeding brought on our behalf, (ii) any action asserting a claim for or based on a breach of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restated certificate of incorporation or our amended and restated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In addition, our amended and restated certificate of incorporation contains a provision by virtue of which unless we consent in writing to the selection of an alternative forum, the United States District Court for the District of Massachusetts will be the exclusive forum for any complaint asserting a cause of action arising under the Securities Act. See “Description of Capital Stock—Choice of Forum.”</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8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Pr>
          <w:p>
            <w:pPr>
              <w:ind w:left="3320"/>
              <w:spacing w:after="0"/>
              <w:rPr>
                <w:sz w:val="20"/>
                <w:szCs w:val="20"/>
                <w:color w:val="auto"/>
              </w:rPr>
            </w:pPr>
            <w:r>
              <w:rPr>
                <w:rFonts w:ascii="Arial" w:cs="Arial" w:eastAsia="Arial" w:hAnsi="Arial"/>
                <w:sz w:val="18"/>
                <w:szCs w:val="18"/>
                <w:b w:val="1"/>
                <w:bCs w:val="1"/>
                <w:color w:val="auto"/>
              </w:rPr>
              <w:t>USE OF PROCEEDS</w:t>
            </w:r>
          </w:p>
        </w:tc>
        <w:tc>
          <w:tcPr>
            <w:tcW w:w="1380" w:type="dxa"/>
            <w:vAlign w:val="bottom"/>
          </w:tcPr>
          <w:p>
            <w:pPr>
              <w:spacing w:after="0"/>
              <w:rPr>
                <w:sz w:val="24"/>
                <w:szCs w:val="24"/>
                <w:color w:val="auto"/>
              </w:rPr>
            </w:pPr>
          </w:p>
        </w:tc>
      </w:tr>
      <w:tr>
        <w:trPr>
          <w:trHeight w:val="418"/>
        </w:trPr>
        <w:tc>
          <w:tcPr>
            <w:tcW w:w="9360" w:type="dxa"/>
            <w:vAlign w:val="bottom"/>
            <w:gridSpan w:val="3"/>
          </w:tcPr>
          <w:p>
            <w:pPr>
              <w:ind w:left="640"/>
              <w:spacing w:after="0"/>
              <w:rPr>
                <w:sz w:val="20"/>
                <w:szCs w:val="20"/>
                <w:color w:val="auto"/>
              </w:rPr>
            </w:pPr>
            <w:r>
              <w:rPr>
                <w:rFonts w:ascii="Arial" w:cs="Arial" w:eastAsia="Arial" w:hAnsi="Arial"/>
                <w:sz w:val="18"/>
                <w:szCs w:val="18"/>
                <w:color w:val="auto"/>
                <w:w w:val="92"/>
              </w:rPr>
              <w:t>We estimate that the net proceeds from our issuance and sale of common stock in this offering will be approximately $</w:t>
            </w:r>
          </w:p>
        </w:tc>
        <w:tc>
          <w:tcPr>
            <w:tcW w:w="1380" w:type="dxa"/>
            <w:vAlign w:val="bottom"/>
          </w:tcPr>
          <w:p>
            <w:pPr>
              <w:ind w:left="180"/>
              <w:spacing w:after="0"/>
              <w:rPr>
                <w:sz w:val="20"/>
                <w:szCs w:val="20"/>
                <w:color w:val="auto"/>
              </w:rPr>
            </w:pPr>
            <w:r>
              <w:rPr>
                <w:rFonts w:ascii="Arial" w:cs="Arial" w:eastAsia="Arial" w:hAnsi="Arial"/>
                <w:sz w:val="18"/>
                <w:szCs w:val="18"/>
                <w:color w:val="auto"/>
              </w:rPr>
              <w:t>million, or</w:t>
            </w:r>
          </w:p>
        </w:tc>
      </w:tr>
      <w:tr>
        <w:trPr>
          <w:trHeight w:val="230"/>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w w:val="92"/>
              </w:rPr>
              <w:t>million if the underwriters exercise their over-allotment option in full, based upon the assumed initial public offering price of</w:t>
            </w:r>
          </w:p>
        </w:tc>
      </w:tr>
    </w:tbl>
    <w:p>
      <w:pPr>
        <w:ind w:left="200" w:right="340" w:firstLine="4"/>
        <w:spacing w:after="0" w:line="261"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the midpoint of the price range set forth on the cover page of this prospectus, after deducting estimated underwriting discounts and commissions and estimated offering expenses payable by us.</w:t>
      </w:r>
    </w:p>
    <w:p>
      <w:pPr>
        <w:spacing w:after="0" w:line="18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 from this offering by $ million, assuming the number of shares offered by</w:t>
      </w:r>
    </w:p>
    <w:p>
      <w:pPr>
        <w:ind w:left="200" w:right="100"/>
        <w:spacing w:after="0" w:line="300" w:lineRule="auto"/>
        <w:rPr>
          <w:sz w:val="20"/>
          <w:szCs w:val="20"/>
          <w:color w:val="auto"/>
        </w:rPr>
      </w:pPr>
      <w:r>
        <w:rPr>
          <w:rFonts w:ascii="Arial" w:cs="Arial" w:eastAsia="Arial" w:hAnsi="Arial"/>
          <w:sz w:val="15"/>
          <w:szCs w:val="15"/>
          <w:color w:val="auto"/>
        </w:rPr>
        <w:t>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w:t>
      </w:r>
    </w:p>
    <w:p>
      <w:pPr>
        <w:spacing w:after="0" w:line="1"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page of this prospectus, would increase (decrease) our net proceeds from this offering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142" w:lineRule="exact"/>
        <w:rPr>
          <w:sz w:val="20"/>
          <w:szCs w:val="20"/>
          <w:color w:val="auto"/>
        </w:rPr>
      </w:pPr>
    </w:p>
    <w:p>
      <w:pPr>
        <w:ind w:left="1060" w:right="1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our lead product candidate, AVR-RD-01, for the treatment of Fabry disease into Phase 2 clinical trials and to support the ongoing investigator-sponsored Phase 1 clinical trial;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AVR-RD-02 for the treatment of Gaucher disease into Phase 1/2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our current plans, we believe our existing cash and cash equivalents, together with the net proceeds from this offering, will be sufficient</w:t>
      </w:r>
    </w:p>
    <w:p>
      <w:pPr>
        <w:spacing w:after="0" w:line="46" w:lineRule="exact"/>
        <w:rPr>
          <w:sz w:val="20"/>
          <w:szCs w:val="20"/>
          <w:color w:val="auto"/>
        </w:rPr>
      </w:pPr>
    </w:p>
    <w:p>
      <w:pPr>
        <w:ind w:left="200"/>
        <w:spacing w:after="0"/>
        <w:tabs>
          <w:tab w:leader="none" w:pos="3880" w:val="left"/>
        </w:tabs>
        <w:rPr>
          <w:sz w:val="20"/>
          <w:szCs w:val="20"/>
          <w:color w:val="auto"/>
        </w:rPr>
      </w:pPr>
      <w:r>
        <w:rPr>
          <w:rFonts w:ascii="Arial" w:cs="Arial" w:eastAsia="Arial" w:hAnsi="Arial"/>
          <w:sz w:val="18"/>
          <w:szCs w:val="18"/>
          <w:color w:val="auto"/>
        </w:rPr>
        <w:t>to fund our operations through at least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4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2017:</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our sale of 28,285,557 shares of Series B preferred stock in January 2018 for gross cash proceeds of $60.5 million;</w:t>
      </w:r>
    </w:p>
    <w:p>
      <w:pPr>
        <w:spacing w:after="0" w:line="130" w:lineRule="exact"/>
        <w:rPr>
          <w:rFonts w:ascii="Arial" w:cs="Arial" w:eastAsia="Arial" w:hAnsi="Arial"/>
          <w:sz w:val="18"/>
          <w:szCs w:val="18"/>
          <w:color w:val="auto"/>
        </w:rPr>
      </w:pPr>
    </w:p>
    <w:p>
      <w:pPr>
        <w:ind w:left="1620" w:right="40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our issuance of 233,765 shares of Series B preferred stock in January 2018 to BioMarin pursuant to our license agreement with BioMarin;</w:t>
      </w:r>
    </w:p>
    <w:p>
      <w:pPr>
        <w:spacing w:after="0" w:line="75" w:lineRule="exact"/>
        <w:rPr>
          <w:rFonts w:ascii="Arial" w:cs="Arial" w:eastAsia="Arial" w:hAnsi="Arial"/>
          <w:sz w:val="18"/>
          <w:szCs w:val="18"/>
          <w:color w:val="auto"/>
        </w:rPr>
      </w:pPr>
    </w:p>
    <w:p>
      <w:pPr>
        <w:ind w:left="1620" w:right="2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adjustments set forth above and to give further effect (i) to our issuance and</w:t>
      </w:r>
    </w:p>
    <w:p>
      <w:pPr>
        <w:spacing w:after="0" w:line="46" w:lineRule="exact"/>
        <w:rPr>
          <w:sz w:val="20"/>
          <w:szCs w:val="20"/>
          <w:color w:val="auto"/>
        </w:rPr>
      </w:pPr>
    </w:p>
    <w:p>
      <w:pPr>
        <w:ind w:left="1060" w:right="80"/>
        <w:spacing w:after="0" w:line="295" w:lineRule="auto"/>
        <w:rPr>
          <w:sz w:val="20"/>
          <w:szCs w:val="20"/>
          <w:color w:val="auto"/>
        </w:rPr>
      </w:pPr>
      <w:r>
        <w:rPr>
          <w:rFonts w:ascii="Arial" w:cs="Arial" w:eastAsia="Arial" w:hAnsi="Arial"/>
          <w:sz w:val="16"/>
          <w:szCs w:val="16"/>
          <w:color w:val="auto"/>
        </w:rPr>
        <w:t>sale of shares of common stock in this offering at the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gridSpan w:val="8"/>
          </w:tcPr>
          <w:p>
            <w:pPr>
              <w:jc w:val="center"/>
              <w:ind w:right="740"/>
              <w:spacing w:after="0"/>
              <w:rPr>
                <w:sz w:val="20"/>
                <w:szCs w:val="20"/>
                <w:color w:val="auto"/>
              </w:rPr>
            </w:pPr>
            <w:r>
              <w:rPr>
                <w:rFonts w:ascii="Arial" w:cs="Arial" w:eastAsia="Arial" w:hAnsi="Arial"/>
                <w:sz w:val="14"/>
                <w:szCs w:val="14"/>
                <w:b w:val="1"/>
                <w:bCs w:val="1"/>
                <w:color w:val="auto"/>
                <w:w w:val="90"/>
              </w:rPr>
              <w:t>As of December 31,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3"/>
              </w:rPr>
              <w:t>Actual</w:t>
            </w:r>
          </w:p>
        </w:tc>
        <w:tc>
          <w:tcPr>
            <w:tcW w:w="1040" w:type="dxa"/>
            <w:vAlign w:val="bottom"/>
            <w:tcBorders>
              <w:top w:val="single" w:sz="8" w:color="auto"/>
            </w:tcBorders>
            <w:gridSpan w:val="4"/>
            <w:vMerge w:val="restart"/>
          </w:tcPr>
          <w:p>
            <w:pPr>
              <w:ind w:left="140"/>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8"/>
          </w:tcPr>
          <w:p>
            <w:pPr>
              <w:jc w:val="center"/>
              <w:ind w:right="42"/>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share data)</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5"/>
            <w:vMerge w:val="restart"/>
          </w:tcPr>
          <w:p>
            <w:pPr>
              <w:spacing w:after="0"/>
              <w:rPr>
                <w:sz w:val="20"/>
                <w:szCs w:val="20"/>
                <w:color w:val="auto"/>
              </w:rPr>
            </w:pPr>
            <w:r>
              <w:rPr>
                <w:rFonts w:ascii="Arial" w:cs="Arial" w:eastAsia="Arial" w:hAnsi="Arial"/>
                <w:sz w:val="18"/>
                <w:szCs w:val="18"/>
                <w:color w:val="auto"/>
                <w:w w:val="98"/>
              </w:rPr>
              <w:t>Warrant to purchase redeemable preferred stock</w:t>
            </w: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gridSpan w:val="5"/>
            <w:vMerge w:val="continue"/>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89"/>
              </w:rPr>
              <w:t>Redeemable convertible preferred stock (Series Seed, A and B), $0.0001 par value; 34,972,535 shares</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3"/>
              </w:rPr>
              <w:t>authorized, 34,783,832 shares issued and outstanding, actual; no shares authorized, issued or outstanding,</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 forma and pro forma as adjusted</w:t>
            </w:r>
          </w:p>
        </w:tc>
        <w:tc>
          <w:tcPr>
            <w:tcW w:w="2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6"/>
              </w:rPr>
              <w:t>Stockholders’ (deficit) equity:</w:t>
            </w:r>
          </w:p>
        </w:tc>
        <w:tc>
          <w:tcPr>
            <w:tcW w:w="1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$0.0001 par value; no shares authorized, issued or outstanding, actual;</w:t>
            </w:r>
          </w:p>
        </w:tc>
        <w:tc>
          <w:tcPr>
            <w:tcW w:w="1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shares</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0"/>
              </w:rPr>
              <w:t>authorized and no shares issued or outstanding, pro forma and pro forma as adjusted</w:t>
            </w:r>
          </w:p>
        </w:tc>
        <w:tc>
          <w:tcPr>
            <w:tcW w:w="1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9"/>
          </w:tcPr>
          <w:p>
            <w:pPr>
              <w:spacing w:after="0" w:line="201" w:lineRule="exact"/>
              <w:rPr>
                <w:sz w:val="20"/>
                <w:szCs w:val="20"/>
                <w:color w:val="auto"/>
              </w:rPr>
            </w:pPr>
            <w:r>
              <w:rPr>
                <w:rFonts w:ascii="Arial" w:cs="Arial" w:eastAsia="Arial" w:hAnsi="Arial"/>
                <w:sz w:val="18"/>
                <w:szCs w:val="18"/>
                <w:color w:val="auto"/>
                <w:w w:val="95"/>
              </w:rPr>
              <w:t>Common stock, $0.0001 par value; 51,000,000 shares authorized, 10,666,667 shares issued and 9,524,999</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w w:val="95"/>
              </w:rPr>
              <w:t>shares outstanding, actual;</w:t>
            </w:r>
          </w:p>
        </w:tc>
        <w:tc>
          <w:tcPr>
            <w:tcW w:w="5100" w:type="dxa"/>
            <w:vAlign w:val="bottom"/>
            <w:gridSpan w:val="3"/>
          </w:tcPr>
          <w:p>
            <w:pPr>
              <w:ind w:left="280"/>
              <w:spacing w:after="0"/>
              <w:rPr>
                <w:sz w:val="20"/>
                <w:szCs w:val="20"/>
                <w:color w:val="auto"/>
              </w:rPr>
            </w:pPr>
            <w:r>
              <w:rPr>
                <w:rFonts w:ascii="Arial" w:cs="Arial" w:eastAsia="Arial" w:hAnsi="Arial"/>
                <w:sz w:val="18"/>
                <w:szCs w:val="18"/>
                <w:color w:val="auto"/>
                <w:w w:val="87"/>
              </w:rPr>
              <w:t>shares authorized, 73,511,487 shares issued and 72,828,153 shares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rPr>
              <w:t>outstanding, pro forma;</w:t>
            </w:r>
          </w:p>
        </w:tc>
        <w:tc>
          <w:tcPr>
            <w:tcW w:w="160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4340" w:type="dxa"/>
            <w:vAlign w:val="bottom"/>
            <w:gridSpan w:val="5"/>
          </w:tcPr>
          <w:p>
            <w:pPr>
              <w:jc w:val="right"/>
              <w:ind w:right="290"/>
              <w:spacing w:after="0"/>
              <w:rPr>
                <w:sz w:val="20"/>
                <w:szCs w:val="20"/>
                <w:color w:val="auto"/>
              </w:rPr>
            </w:pPr>
            <w:r>
              <w:rPr>
                <w:rFonts w:ascii="Arial" w:cs="Arial" w:eastAsia="Arial" w:hAnsi="Arial"/>
                <w:sz w:val="18"/>
                <w:szCs w:val="18"/>
                <w:color w:val="auto"/>
                <w:w w:val="92"/>
              </w:rPr>
              <w:t>shares issued and outstanding, pro forma as adjusted</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6"/>
              </w:rPr>
              <w:t>Accumulated deficit</w:t>
            </w: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89"/>
              </w:rPr>
              <w:t>(23,475)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(23,475)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9"/>
              </w:rPr>
              <w:t>(23,135)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60" w:type="dxa"/>
            <w:vAlign w:val="bottom"/>
            <w:gridSpan w:val="4"/>
          </w:tcPr>
          <w:p>
            <w:pPr>
              <w:spacing w:after="0"/>
              <w:rPr>
                <w:sz w:val="11"/>
                <w:szCs w:val="11"/>
                <w:color w:val="auto"/>
              </w:rPr>
            </w:pPr>
          </w:p>
        </w:tc>
        <w:tc>
          <w:tcPr>
            <w:tcW w:w="468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360" w:type="dxa"/>
            <w:vAlign w:val="bottom"/>
            <w:gridSpan w:val="6"/>
          </w:tcPr>
          <w:p>
            <w:pPr>
              <w:spacing w:after="0"/>
              <w:rPr>
                <w:sz w:val="20"/>
                <w:szCs w:val="20"/>
                <w:color w:val="auto"/>
              </w:rPr>
            </w:pPr>
            <w:r>
              <w:rPr>
                <w:rFonts w:ascii="Arial" w:cs="Arial" w:eastAsia="Arial" w:hAnsi="Arial"/>
                <w:sz w:val="18"/>
                <w:szCs w:val="18"/>
                <w:color w:val="auto"/>
                <w:w w:val="95"/>
              </w:rPr>
              <w:t>(1)   Each $1.00 increase (decrease) in the assumed initial public offering price of $</w:t>
            </w:r>
          </w:p>
        </w:tc>
        <w:tc>
          <w:tcPr>
            <w:tcW w:w="4680" w:type="dxa"/>
            <w:vAlign w:val="bottom"/>
            <w:gridSpan w:val="13"/>
          </w:tcPr>
          <w:p>
            <w:pPr>
              <w:ind w:left="100"/>
              <w:spacing w:after="0"/>
              <w:rPr>
                <w:sz w:val="20"/>
                <w:szCs w:val="20"/>
                <w:color w:val="auto"/>
              </w:rPr>
            </w:pPr>
            <w:r>
              <w:rPr>
                <w:rFonts w:ascii="Arial" w:cs="Arial" w:eastAsia="Arial" w:hAnsi="Arial"/>
                <w:sz w:val="18"/>
                <w:szCs w:val="18"/>
                <w:color w:val="auto"/>
                <w:w w:val="90"/>
              </w:rPr>
              <w:t>per share, the midpoint of the price range set forth on the cover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20" w:type="dxa"/>
            <w:vAlign w:val="bottom"/>
            <w:gridSpan w:val="18"/>
          </w:tcPr>
          <w:p>
            <w:pPr>
              <w:ind w:left="420"/>
              <w:spacing w:after="0"/>
              <w:rPr>
                <w:sz w:val="20"/>
                <w:szCs w:val="20"/>
                <w:color w:val="auto"/>
              </w:rPr>
            </w:pPr>
            <w:r>
              <w:rPr>
                <w:rFonts w:ascii="Arial" w:cs="Arial" w:eastAsia="Arial" w:hAnsi="Arial"/>
                <w:sz w:val="18"/>
                <w:szCs w:val="18"/>
                <w:color w:val="auto"/>
                <w:w w:val="90"/>
              </w:rPr>
              <w:t>page of this prospectus, would increase (decrease) the pro forma as adjusted amount of each of cash and cash equivalents and total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equity by $</w:t>
            </w:r>
          </w:p>
        </w:tc>
        <w:tc>
          <w:tcPr>
            <w:tcW w:w="9500" w:type="dxa"/>
            <w:vAlign w:val="bottom"/>
            <w:gridSpan w:val="16"/>
          </w:tcPr>
          <w:p>
            <w:pPr>
              <w:ind w:left="60"/>
              <w:spacing w:after="0"/>
              <w:rPr>
                <w:sz w:val="20"/>
                <w:szCs w:val="20"/>
                <w:color w:val="auto"/>
              </w:rPr>
            </w:pPr>
            <w:r>
              <w:rPr>
                <w:rFonts w:ascii="Arial" w:cs="Arial" w:eastAsia="Arial" w:hAnsi="Arial"/>
                <w:sz w:val="18"/>
                <w:szCs w:val="18"/>
                <w:color w:val="auto"/>
                <w:w w:val="90"/>
              </w:rPr>
              <w:t>million, assuming that the number of shares offered by us, as set forth on the cover page of this prospectus, remains the same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20" w:type="dxa"/>
            <w:vAlign w:val="bottom"/>
            <w:gridSpan w:val="18"/>
          </w:tcPr>
          <w:p>
            <w:pPr>
              <w:ind w:left="420"/>
              <w:spacing w:after="0"/>
              <w:rPr>
                <w:sz w:val="20"/>
                <w:szCs w:val="20"/>
                <w:color w:val="auto"/>
              </w:rPr>
            </w:pPr>
            <w:r>
              <w:rPr>
                <w:rFonts w:ascii="Arial" w:cs="Arial" w:eastAsia="Arial" w:hAnsi="Arial"/>
                <w:sz w:val="18"/>
                <w:szCs w:val="18"/>
                <w:color w:val="auto"/>
                <w:w w:val="92"/>
              </w:rPr>
              <w:t>after deducting estimated underwriting discounts and commissions and estimated offering expenses payable by us. Each increase (decrease)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20" w:type="dxa"/>
            <w:vAlign w:val="bottom"/>
            <w:gridSpan w:val="18"/>
          </w:tcPr>
          <w:p>
            <w:pPr>
              <w:ind w:left="420"/>
              <w:spacing w:after="0"/>
              <w:rPr>
                <w:sz w:val="20"/>
                <w:szCs w:val="20"/>
                <w:color w:val="auto"/>
              </w:rPr>
            </w:pPr>
            <w:r>
              <w:rPr>
                <w:rFonts w:ascii="Arial" w:cs="Arial" w:eastAsia="Arial" w:hAnsi="Arial"/>
                <w:sz w:val="18"/>
                <w:szCs w:val="18"/>
                <w:color w:val="auto"/>
                <w:w w:val="90"/>
              </w:rPr>
              <w:t>1,000,000 shares in the number of shares offered by us, as set forth on the cover page of this prospectus, would increase (decrease) the pro forma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6"/>
          </w:tcPr>
          <w:p>
            <w:pPr>
              <w:ind w:left="420"/>
              <w:spacing w:after="0"/>
              <w:rPr>
                <w:sz w:val="20"/>
                <w:szCs w:val="20"/>
                <w:color w:val="auto"/>
              </w:rPr>
            </w:pPr>
            <w:r>
              <w:rPr>
                <w:rFonts w:ascii="Arial" w:cs="Arial" w:eastAsia="Arial" w:hAnsi="Arial"/>
                <w:sz w:val="18"/>
                <w:szCs w:val="18"/>
                <w:color w:val="auto"/>
                <w:w w:val="93"/>
              </w:rPr>
              <w:t>as adjusted amount of each of cash and cash equivalents and total stockholders’ equity by $</w:t>
            </w:r>
          </w:p>
        </w:tc>
        <w:tc>
          <w:tcPr>
            <w:tcW w:w="3680" w:type="dxa"/>
            <w:vAlign w:val="bottom"/>
            <w:gridSpan w:val="12"/>
          </w:tcPr>
          <w:p>
            <w:pPr>
              <w:ind w:left="20"/>
              <w:spacing w:after="0"/>
              <w:rPr>
                <w:sz w:val="20"/>
                <w:szCs w:val="20"/>
                <w:color w:val="auto"/>
              </w:rPr>
            </w:pPr>
            <w:r>
              <w:rPr>
                <w:rFonts w:ascii="Arial" w:cs="Arial" w:eastAsia="Arial" w:hAnsi="Arial"/>
                <w:sz w:val="18"/>
                <w:szCs w:val="18"/>
                <w:color w:val="auto"/>
              </w:rPr>
              <w:t>million, assuming no change in the assumed</w:t>
            </w:r>
          </w:p>
        </w:tc>
        <w:tc>
          <w:tcPr>
            <w:tcW w:w="0" w:type="dxa"/>
            <w:vAlign w:val="bottom"/>
          </w:tcPr>
          <w:p>
            <w:pPr>
              <w:spacing w:after="0"/>
              <w:rPr>
                <w:sz w:val="1"/>
                <w:szCs w:val="1"/>
                <w:color w:val="auto"/>
              </w:rPr>
            </w:pPr>
          </w:p>
        </w:tc>
      </w:tr>
    </w:tbl>
    <w:p>
      <w:pPr>
        <w:jc w:val="both"/>
        <w:ind w:left="640" w:right="440"/>
        <w:spacing w:after="0" w:line="255" w:lineRule="auto"/>
        <w:rPr>
          <w:sz w:val="20"/>
          <w:szCs w:val="20"/>
          <w:color w:val="auto"/>
        </w:rPr>
      </w:pPr>
      <w:r>
        <w:rPr>
          <w:rFonts w:ascii="Arial" w:cs="Arial" w:eastAsia="Arial" w:hAnsi="Arial"/>
          <w:sz w:val="18"/>
          <w:szCs w:val="18"/>
          <w:color w:val="auto"/>
        </w:rPr>
        <w:t>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outstanding in the table above does not include:</w:t>
      </w:r>
    </w:p>
    <w:p>
      <w:pPr>
        <w:spacing w:after="0" w:line="131" w:lineRule="exact"/>
        <w:rPr>
          <w:sz w:val="20"/>
          <w:szCs w:val="20"/>
          <w:color w:val="auto"/>
        </w:rPr>
      </w:pPr>
    </w:p>
    <w:p>
      <w:pPr>
        <w:ind w:left="1060" w:right="3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4,276,504 shares of common stock issuable upon the exercise of stock options outstanding as of December 31, 2017, with a weighted average exercise price of $0.19 per share, and 3,114,710 shares of common stock issuable upon the exercise of stock options outstanding that were issued after December 31, 2017, with an exercise price of $1.21 per share;</w:t>
      </w:r>
    </w:p>
    <w:p>
      <w:pPr>
        <w:spacing w:after="0" w:line="86"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December 31, 2017 that will automatically become a warrant to purchase common stock upon the completion of this offering, with an exercise price of $0.7949 per share;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34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additional 593,795 shares of common stock available for future issuance under our Amended and Restated 2015 Stock Option and Grant Plan as of December 31, 2017, plus an additional 2,762,421 shares of common stock reserved under such plan in January 2018;</w:t>
      </w:r>
    </w:p>
    <w:p>
      <w:pPr>
        <w:sectPr>
          <w:pgSz w:w="11900" w:h="16838" w:orient="portrait"/>
          <w:cols w:equalWidth="0" w:num="1">
            <w:col w:w="11120"/>
          </w:cols>
          <w:pgMar w:left="240" w:top="459" w:right="539" w:bottom="1440" w:gutter="0" w:footer="0" w:header="0"/>
        </w:sectPr>
      </w:pPr>
    </w:p>
    <w:p>
      <w:pPr>
        <w:spacing w:after="0" w:line="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060"/>
          </w:cols>
          <w:pgMar w:left="240" w:top="459" w:right="5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sectPr>
          <w:pgSz w:w="11900" w:h="16838" w:orient="portrait"/>
          <w:cols w:equalWidth="0" w:num="2">
            <w:col w:w="700" w:space="360"/>
            <w:col w:w="10060"/>
          </w:cols>
          <w:pgMar w:left="240" w:top="459" w:right="539" w:bottom="1440" w:gutter="0" w:footer="0" w:header="0"/>
          <w:type w:val="continuous"/>
        </w:sectPr>
      </w:pPr>
    </w:p>
    <w:p>
      <w:pPr>
        <w:jc w:val="center"/>
        <w:ind w:right="-2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240" w:top="459" w:right="5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historical net tangible book (deficit) as of December 31, 2017 was $(23.1) million, or $(2.17) per share of common stock. Our historical net tangible book (deficit) is the amount of our total tangible assets less our total liabilities and the carrying value of redeemable convertible preferred stock, which is not included within shareholders’ (deficit). Historical net tangible book (deficit) per share represents historical net tangible book (deficit) divided by the 10,666,667 shares of our common stock outstanding as of December 31, 2017.</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Our pro forma net tangible book value as of December 31, 2017 was $64.4 million, or $0.87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sale of 28,285,557 shares of Series B preferred stock in January 2018 for gross cash proceeds of $60.5 million;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issuance of 233,765 shares of Series B preferred stock in January 2018 to BioMarin pursuant to our license agreement with BioMarin;</w:t>
      </w:r>
    </w:p>
    <w:p>
      <w:pPr>
        <w:spacing w:after="0" w:line="153" w:lineRule="exact"/>
        <w:rPr>
          <w:rFonts w:ascii="Arial" w:cs="Arial" w:eastAsia="Arial" w:hAnsi="Arial"/>
          <w:sz w:val="16"/>
          <w:szCs w:val="16"/>
          <w:color w:val="auto"/>
        </w:rPr>
      </w:pPr>
    </w:p>
    <w:p>
      <w:pPr>
        <w:ind w:left="1060" w:right="1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of all outstanding shares of redeemable convertible preferred stock into an aggregate of 63,303,154 shares of common stock upon the closing of this offering;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Pro forma net tangible book value per share represents our pro forma net tangible book value divided by the total number of shares of our common stock outstanding as of December 31, 2017, after giving effect to the pro forma adjustments described above.</w:t>
      </w:r>
    </w:p>
    <w:p>
      <w:pPr>
        <w:spacing w:after="0" w:line="147"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After giving further effect to (i) our issuance and sale of shares of common stock in this offering at the assumed initial public offering price of $ per share, the midpoint of the price range set forth on the cover page of this prospectus, after deducting estimated underwriting discounts</w:t>
      </w:r>
    </w:p>
    <w:p>
      <w:pPr>
        <w:ind w:left="200" w:right="200"/>
        <w:spacing w:after="0" w:line="280" w:lineRule="auto"/>
        <w:rPr>
          <w:sz w:val="20"/>
          <w:szCs w:val="20"/>
          <w:color w:val="auto"/>
        </w:rPr>
      </w:pPr>
      <w:r>
        <w:rPr>
          <w:rFonts w:ascii="Arial" w:cs="Arial" w:eastAsia="Arial" w:hAnsi="Arial"/>
          <w:sz w:val="16"/>
          <w:szCs w:val="16"/>
          <w:color w:val="auto"/>
        </w:rPr>
        <w:t>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offering, our pro forma as adjusted net tangible book value as of December 31, 2017 would have been $ million, or $ per share. This represents an immediate increase in pro forma as adjusted net tangible book value per share of $ to existing shareholders and immediate dilution in pro forma as adjusted net tangible book value per share of $ to new investors purchasing common stock in this offering. Dilution per share to new investors is</w:t>
      </w:r>
    </w:p>
    <w:p>
      <w:pPr>
        <w:ind w:left="200" w:right="120"/>
        <w:spacing w:after="0" w:line="261" w:lineRule="auto"/>
        <w:rPr>
          <w:sz w:val="20"/>
          <w:szCs w:val="20"/>
          <w:color w:val="auto"/>
        </w:rPr>
      </w:pPr>
      <w:r>
        <w:rPr>
          <w:rFonts w:ascii="Arial" w:cs="Arial" w:eastAsia="Arial" w:hAnsi="Arial"/>
          <w:sz w:val="18"/>
          <w:szCs w:val="18"/>
          <w:color w:val="auto"/>
        </w:rPr>
        <w:t>determined by subtracting pro forma as adjusted net tangible book value per share after this offering from the initial public offering price per share paid by new investors. The following table illustrates this dilution on a per share basis: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December 31, 2017</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$(2.17)</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December 31, 2017</w:t>
            </w:r>
          </w:p>
        </w:tc>
        <w:tc>
          <w:tcPr>
            <w:tcW w:w="3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Increase in pro forma as adjusted net tangible book value per share attributable to new investors purchasing</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 in this offering</w:t>
            </w:r>
          </w:p>
        </w:tc>
        <w:tc>
          <w:tcPr>
            <w:tcW w:w="3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Dilution in pro forma as adjusted net tangible book value per share to new investors purchasing common stock in this</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21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jc w:val="right"/>
              <w:ind w:right="3150"/>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19"/>
        </w:trPr>
        <w:tc>
          <w:tcPr>
            <w:tcW w:w="6480" w:type="dxa"/>
            <w:vAlign w:val="bottom"/>
            <w:gridSpan w:val="3"/>
          </w:tcPr>
          <w:p>
            <w:pPr>
              <w:ind w:left="64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w w:val="89"/>
              </w:rPr>
              <w:t>per share, the midpoint of the price range set forth on the cover</w:t>
            </w:r>
          </w:p>
        </w:tc>
      </w:tr>
      <w:tr>
        <w:trPr>
          <w:trHeight w:val="216"/>
        </w:trPr>
        <w:tc>
          <w:tcPr>
            <w:tcW w:w="9980" w:type="dxa"/>
            <w:vAlign w:val="bottom"/>
            <w:gridSpan w:val="4"/>
          </w:tcPr>
          <w:p>
            <w:pPr>
              <w:ind w:left="200"/>
              <w:spacing w:after="0"/>
              <w:rPr>
                <w:sz w:val="20"/>
                <w:szCs w:val="20"/>
                <w:color w:val="auto"/>
              </w:rPr>
            </w:pPr>
            <w:r>
              <w:rPr>
                <w:rFonts w:ascii="Arial" w:cs="Arial" w:eastAsia="Arial" w:hAnsi="Arial"/>
                <w:sz w:val="18"/>
                <w:szCs w:val="18"/>
                <w:color w:val="auto"/>
                <w:w w:val="91"/>
              </w:rPr>
              <w:t>page of this prospectus, would increase (decrease) the pro forma as adjusted net tangible book value per share after this offering by $</w:t>
            </w:r>
          </w:p>
        </w:tc>
        <w:tc>
          <w:tcPr>
            <w:tcW w:w="1220" w:type="dxa"/>
            <w:vAlign w:val="bottom"/>
          </w:tcPr>
          <w:p>
            <w:pPr>
              <w:ind w:left="200"/>
              <w:spacing w:after="0"/>
              <w:rPr>
                <w:sz w:val="20"/>
                <w:szCs w:val="20"/>
                <w:color w:val="auto"/>
              </w:rPr>
            </w:pPr>
            <w:r>
              <w:rPr>
                <w:rFonts w:ascii="Arial" w:cs="Arial" w:eastAsia="Arial" w:hAnsi="Arial"/>
                <w:sz w:val="18"/>
                <w:szCs w:val="18"/>
                <w:color w:val="auto"/>
              </w:rPr>
              <w:t>and dilution</w:t>
            </w:r>
          </w:p>
        </w:tc>
      </w:tr>
      <w:tr>
        <w:trPr>
          <w:trHeight w:val="230"/>
        </w:trPr>
        <w:tc>
          <w:tcPr>
            <w:tcW w:w="5060" w:type="dxa"/>
            <w:vAlign w:val="bottom"/>
            <w:gridSpan w:val="2"/>
          </w:tcPr>
          <w:p>
            <w:pPr>
              <w:ind w:left="200"/>
              <w:spacing w:after="0"/>
              <w:rPr>
                <w:sz w:val="20"/>
                <w:szCs w:val="20"/>
                <w:color w:val="auto"/>
              </w:rPr>
            </w:pPr>
            <w:r>
              <w:rPr>
                <w:rFonts w:ascii="Arial" w:cs="Arial" w:eastAsia="Arial" w:hAnsi="Arial"/>
                <w:sz w:val="18"/>
                <w:szCs w:val="18"/>
                <w:color w:val="auto"/>
                <w:w w:val="93"/>
              </w:rPr>
              <w:t>per share to new investors purchasing shares in this offering by $</w:t>
            </w:r>
          </w:p>
        </w:tc>
        <w:tc>
          <w:tcPr>
            <w:tcW w:w="6140" w:type="dxa"/>
            <w:vAlign w:val="bottom"/>
            <w:gridSpan w:val="3"/>
          </w:tcPr>
          <w:p>
            <w:pPr>
              <w:ind w:left="180"/>
              <w:spacing w:after="0"/>
              <w:rPr>
                <w:sz w:val="20"/>
                <w:szCs w:val="20"/>
                <w:color w:val="auto"/>
              </w:rPr>
            </w:pPr>
            <w:r>
              <w:rPr>
                <w:rFonts w:ascii="Arial" w:cs="Arial" w:eastAsia="Arial" w:hAnsi="Arial"/>
                <w:sz w:val="18"/>
                <w:szCs w:val="18"/>
                <w:color w:val="auto"/>
                <w:w w:val="90"/>
              </w:rPr>
              <w:t>, assuming that the number of shares offered by us, as set forth on the cover page</w:t>
            </w:r>
          </w:p>
        </w:tc>
      </w:tr>
    </w:tbl>
    <w:p>
      <w:pPr>
        <w:ind w:left="200" w:right="80"/>
        <w:spacing w:after="0" w:line="421" w:lineRule="auto"/>
        <w:rPr>
          <w:sz w:val="20"/>
          <w:szCs w:val="20"/>
          <w:color w:val="auto"/>
        </w:rPr>
      </w:pPr>
      <w:r>
        <w:rPr>
          <w:rFonts w:ascii="Arial" w:cs="Arial" w:eastAsia="Arial" w:hAnsi="Arial"/>
          <w:sz w:val="16"/>
          <w:szCs w:val="16"/>
          <w:color w:val="auto"/>
        </w:rPr>
        <w:t>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right="260"/>
        <w:spacing w:after="0" w:line="291" w:lineRule="auto"/>
        <w:rPr>
          <w:sz w:val="20"/>
          <w:szCs w:val="20"/>
          <w:color w:val="auto"/>
        </w:rPr>
      </w:pPr>
      <w:r>
        <w:rPr>
          <w:rFonts w:ascii="Arial" w:cs="Arial" w:eastAsia="Arial" w:hAnsi="Arial"/>
          <w:sz w:val="16"/>
          <w:szCs w:val="16"/>
          <w:color w:val="auto"/>
        </w:rPr>
        <w:t>(decrease) the pro forma as adjusted net tangible book value per share after this offering by $ and dilution per share to new investors purchasing shares in this offering by $ , assuming no change in the assumed initial public offering price per share and after deducting estimated underwriting</w:t>
      </w:r>
    </w:p>
    <w:p>
      <w:pPr>
        <w:ind w:left="200" w:right="400"/>
        <w:spacing w:after="0" w:line="261" w:lineRule="auto"/>
        <w:rPr>
          <w:sz w:val="20"/>
          <w:szCs w:val="20"/>
          <w:color w:val="auto"/>
        </w:rPr>
      </w:pPr>
      <w:r>
        <w:rPr>
          <w:rFonts w:ascii="Arial" w:cs="Arial" w:eastAsia="Arial" w:hAnsi="Arial"/>
          <w:sz w:val="18"/>
          <w:szCs w:val="18"/>
          <w:color w:val="auto"/>
        </w:rPr>
        <w:t>discounts and commissions and estimated offering expenses payable by us. This information is illustrative only and will depend on the actual initial public offering price and other terms of this offering determined at pricing.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underwriters exercise their over-allotment option in this offering in full, the pro forma as adjusted net tangible book value per share after this</w:t>
      </w:r>
    </w:p>
    <w:p>
      <w:pPr>
        <w:spacing w:after="0" w:line="46"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6"/>
          <w:szCs w:val="16"/>
          <w:color w:val="auto"/>
        </w:rPr>
        <w:t>per share, and the dilution in pro forma as adjusted net tangible book value per share to new investors purchasing common</w:t>
      </w:r>
    </w:p>
    <w:p>
      <w:pPr>
        <w:spacing w:after="0" w:line="9"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shares in this offering would be $ per share, after deducting estimated underwriting discounts and commissions and estimated offering expenses payable by us.</w:t>
      </w:r>
    </w:p>
    <w:p>
      <w:pPr>
        <w:spacing w:after="0" w:line="184"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as of December 31, 2017, the total number of shares of common stock purchased from us, the total consideration paid or to be paid, and the average price per share paid or to be paid by existing shareholders</w:t>
      </w:r>
    </w:p>
    <w:p>
      <w:pPr>
        <w:ind w:left="200" w:right="40"/>
        <w:spacing w:after="0" w:line="290" w:lineRule="auto"/>
        <w:rPr>
          <w:sz w:val="20"/>
          <w:szCs w:val="20"/>
          <w:color w:val="auto"/>
        </w:rPr>
      </w:pPr>
      <w:r>
        <w:rPr>
          <w:rFonts w:ascii="Arial" w:cs="Arial" w:eastAsia="Arial" w:hAnsi="Arial"/>
          <w:sz w:val="17"/>
          <w:szCs w:val="17"/>
          <w:color w:val="auto"/>
        </w:rPr>
        <w:t>and by new investors in this offering at the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36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Amount</w:t>
            </w: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73,969,821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$88,183,696</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17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gridSpan w:val="4"/>
          </w:tcPr>
          <w:p>
            <w:pPr>
              <w:ind w:left="4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80" w:type="dxa"/>
            <w:vAlign w:val="bottom"/>
            <w:gridSpan w:val="13"/>
          </w:tcPr>
          <w:p>
            <w:pPr>
              <w:ind w:left="180"/>
              <w:spacing w:after="0"/>
              <w:rPr>
                <w:sz w:val="20"/>
                <w:szCs w:val="20"/>
                <w:color w:val="auto"/>
              </w:rPr>
            </w:pPr>
            <w:r>
              <w:rPr>
                <w:rFonts w:ascii="Arial" w:cs="Arial" w:eastAsia="Arial" w:hAnsi="Arial"/>
                <w:sz w:val="18"/>
                <w:szCs w:val="18"/>
                <w:color w:val="auto"/>
                <w:w w:val="94"/>
              </w:rPr>
              <w:t>per share, the midpoint of the price range set forth on the cover</w:t>
            </w:r>
          </w:p>
        </w:tc>
      </w:tr>
      <w:tr>
        <w:trPr>
          <w:trHeight w:val="230"/>
        </w:trPr>
        <w:tc>
          <w:tcPr>
            <w:tcW w:w="9120" w:type="dxa"/>
            <w:vAlign w:val="bottom"/>
            <w:gridSpan w:val="12"/>
          </w:tcPr>
          <w:p>
            <w:pPr>
              <w:spacing w:after="0"/>
              <w:rPr>
                <w:sz w:val="20"/>
                <w:szCs w:val="20"/>
                <w:color w:val="auto"/>
              </w:rPr>
            </w:pPr>
            <w:r>
              <w:rPr>
                <w:rFonts w:ascii="Arial" w:cs="Arial" w:eastAsia="Arial" w:hAnsi="Arial"/>
                <w:sz w:val="18"/>
                <w:szCs w:val="18"/>
                <w:color w:val="auto"/>
                <w:w w:val="90"/>
              </w:rPr>
              <w:t>page of this prospectus, would increase (decrease) the total consideration paid by investors in this offering by approximately $</w:t>
            </w:r>
          </w:p>
        </w:tc>
        <w:tc>
          <w:tcPr>
            <w:tcW w:w="1920" w:type="dxa"/>
            <w:vAlign w:val="bottom"/>
            <w:gridSpan w:val="6"/>
          </w:tcPr>
          <w:p>
            <w:pPr>
              <w:ind w:left="340"/>
              <w:spacing w:after="0"/>
              <w:rPr>
                <w:sz w:val="20"/>
                <w:szCs w:val="20"/>
                <w:color w:val="auto"/>
              </w:rPr>
            </w:pPr>
            <w:r>
              <w:rPr>
                <w:rFonts w:ascii="Arial" w:cs="Arial" w:eastAsia="Arial" w:hAnsi="Arial"/>
                <w:sz w:val="18"/>
                <w:szCs w:val="18"/>
                <w:color w:val="auto"/>
                <w:w w:val="92"/>
              </w:rPr>
              <w:t>million, assuming the</w:t>
            </w:r>
          </w:p>
        </w:tc>
      </w:tr>
    </w:tbl>
    <w:p>
      <w:pPr>
        <w:ind w:left="200" w:right="60"/>
        <w:spacing w:after="0" w:line="280"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estimated underwriting discounts and commissions and estimated offering expenses payable by us. Similarly, each increase (decrease) of 1,000,000 shares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by us in this offering would increase (decrease) the total consideration paid by investors in this offering by approximately $ million, assuming the assumed initial public offering price of $ per share, the midpoint of the price range set forth on the cover page of this prospectus, remains the same,</w:t>
      </w:r>
    </w:p>
    <w:p>
      <w:pPr>
        <w:ind w:left="200" w:right="240"/>
        <w:spacing w:after="0" w:line="290" w:lineRule="auto"/>
        <w:rPr>
          <w:sz w:val="20"/>
          <w:szCs w:val="20"/>
          <w:color w:val="auto"/>
        </w:rPr>
      </w:pPr>
      <w:r>
        <w:rPr>
          <w:rFonts w:ascii="Arial" w:cs="Arial" w:eastAsia="Arial" w:hAnsi="Arial"/>
          <w:sz w:val="17"/>
          <w:szCs w:val="17"/>
          <w:color w:val="auto"/>
        </w:rPr>
        <w:t>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 of the total number of shares of common stock outstanding after this offering, and the number of shares held by existing shareholders would be reduced to</w:t>
      </w:r>
    </w:p>
    <w:p>
      <w:pPr>
        <w:ind w:left="5620" w:right="5080" w:hanging="5236"/>
        <w:spacing w:after="0" w:line="517" w:lineRule="auto"/>
        <w:tabs>
          <w:tab w:leader="none" w:pos="5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 the total number of shares of common stock outstanding after this offering. 65</w:t>
      </w:r>
    </w:p>
    <w:p>
      <w:pPr>
        <w:sectPr>
          <w:pgSz w:w="11900" w:h="16838" w:orient="portrait"/>
          <w:cols w:equalWidth="0" w:num="1">
            <w:col w:w="11240"/>
          </w:cols>
          <w:pgMar w:left="240" w:top="446"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and discussion above do not include:</w:t>
      </w:r>
    </w:p>
    <w:p>
      <w:pPr>
        <w:spacing w:after="0" w:line="131" w:lineRule="exact"/>
        <w:rPr>
          <w:sz w:val="20"/>
          <w:szCs w:val="20"/>
          <w:color w:val="auto"/>
        </w:rPr>
      </w:pPr>
    </w:p>
    <w:p>
      <w:pPr>
        <w:ind w:left="1060" w:right="42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4,276,504 shares of common stock issuable upon the exercise of stock options outstanding as of December 31, 2017, with a weighted average exercise price of $0.19 per share, and 3,114,710 shares of common stock issuable upon the exercise of stock options that were issued after December 31, 2017, with an exercise price of $1.21 per share;</w:t>
      </w:r>
    </w:p>
    <w:p>
      <w:pPr>
        <w:spacing w:after="0" w:line="86"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December 31, 2017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additional 593,795 shares of common stock available for future issuance under our Amended and Restated 2015 Stock Option and Grant Plan as of December 31, 2017, plus an additional 2,762,421 shares of common stock reserved under such plan in January 2018;</w:t>
      </w:r>
    </w:p>
    <w:p>
      <w:pPr>
        <w:sectPr>
          <w:pgSz w:w="11900" w:h="16838" w:orient="portrait"/>
          <w:cols w:equalWidth="0" w:num="1">
            <w:col w:w="11160"/>
          </w:cols>
          <w:pgMar w:left="240" w:top="459" w:right="499" w:bottom="1440" w:gutter="0" w:footer="0" w:header="0"/>
        </w:sectPr>
      </w:pPr>
    </w:p>
    <w:p>
      <w:pPr>
        <w:spacing w:after="0" w:line="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200" w:right="240" w:firstLine="44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selected consolidated statements of operations data for the years ended December 31, 2016 and 2017 and the selected consolidated balance sheet data as of December 31, 2016 and 2017 are derived from our audited financial statements included elsewhere in this prospectus.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5"/>
                <w:szCs w:val="15"/>
                <w:color w:val="auto"/>
              </w:rPr>
              <w:t>(1)</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8,421,130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r>
              <w:rPr>
                <w:rFonts w:ascii="Arial" w:cs="Arial" w:eastAsia="Arial" w:hAnsi="Arial"/>
                <w:sz w:val="15"/>
                <w:szCs w:val="15"/>
                <w:color w:val="auto"/>
              </w:rPr>
              <w:t>(1)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6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Notes 2 and 13 to our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6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ind w:right="224"/>
              <w:spacing w:after="0"/>
              <w:rPr>
                <w:sz w:val="20"/>
                <w:szCs w:val="20"/>
                <w:color w:val="auto"/>
              </w:rPr>
            </w:pPr>
            <w:r>
              <w:rPr>
                <w:rFonts w:ascii="Arial" w:cs="Arial" w:eastAsia="Arial" w:hAnsi="Arial"/>
                <w:sz w:val="18"/>
                <w:szCs w:val="18"/>
                <w:color w:val="auto"/>
              </w:rPr>
              <w:t>$ 5,357</w:t>
            </w:r>
          </w:p>
        </w:tc>
        <w:tc>
          <w:tcPr>
            <w:tcW w:w="900" w:type="dxa"/>
            <w:vAlign w:val="bottom"/>
          </w:tcPr>
          <w:p>
            <w:pPr>
              <w:jc w:val="right"/>
              <w:spacing w:after="0"/>
              <w:rPr>
                <w:sz w:val="20"/>
                <w:szCs w:val="20"/>
                <w:color w:val="auto"/>
              </w:rPr>
            </w:pPr>
            <w:r>
              <w:rPr>
                <w:rFonts w:ascii="Arial" w:cs="Arial" w:eastAsia="Arial" w:hAnsi="Arial"/>
                <w:sz w:val="18"/>
                <w:szCs w:val="18"/>
                <w:color w:val="auto"/>
              </w:rPr>
              <w:t>$  5,963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4,485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ind w:right="224"/>
              <w:spacing w:after="0"/>
              <w:rPr>
                <w:sz w:val="20"/>
                <w:szCs w:val="20"/>
                <w:color w:val="auto"/>
              </w:rPr>
            </w:pPr>
            <w:r>
              <w:rPr>
                <w:rFonts w:ascii="Arial" w:cs="Arial" w:eastAsia="Arial" w:hAnsi="Arial"/>
                <w:sz w:val="18"/>
                <w:szCs w:val="18"/>
                <w:color w:val="auto"/>
              </w:rPr>
              <w:t>5,400</w:t>
            </w:r>
          </w:p>
        </w:tc>
        <w:tc>
          <w:tcPr>
            <w:tcW w:w="90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2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Derivative liability</w:t>
            </w:r>
          </w:p>
        </w:tc>
        <w:tc>
          <w:tcPr>
            <w:tcW w:w="3280" w:type="dxa"/>
            <w:vAlign w:val="bottom"/>
            <w:gridSpan w:val="2"/>
          </w:tcPr>
          <w:p>
            <w:pPr>
              <w:jc w:val="right"/>
              <w:ind w:right="224"/>
              <w:spacing w:after="0"/>
              <w:rPr>
                <w:sz w:val="20"/>
                <w:szCs w:val="20"/>
                <w:color w:val="auto"/>
              </w:rPr>
            </w:pPr>
            <w:r>
              <w:rPr>
                <w:rFonts w:ascii="Arial" w:cs="Arial" w:eastAsia="Arial" w:hAnsi="Arial"/>
                <w:sz w:val="18"/>
                <w:szCs w:val="18"/>
                <w:color w:val="auto"/>
              </w:rPr>
              <w:t>88</w:t>
            </w: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9,000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gridSpan w:val="2"/>
          </w:tcPr>
          <w:p>
            <w:pPr>
              <w:jc w:val="right"/>
              <w:ind w:right="164"/>
              <w:spacing w:after="0"/>
              <w:rPr>
                <w:sz w:val="20"/>
                <w:szCs w:val="20"/>
                <w:color w:val="auto"/>
              </w:rPr>
            </w:pPr>
            <w:r>
              <w:rPr>
                <w:rFonts w:ascii="Arial" w:cs="Arial" w:eastAsia="Arial" w:hAnsi="Arial"/>
                <w:sz w:val="18"/>
                <w:szCs w:val="18"/>
                <w:color w:val="auto"/>
              </w:rPr>
              <w:t>(4,579)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December 31, 2017, we had received gross proceeds of $26.5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As of</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December 31, 2017 we had an accumulated deficit of $23.5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of December 31, 2017, we had cash and cash equivalents of $6.0 million. In January 2018, we received gross cash proceeds of $60.5 million from the sale of our Series B preferred stock. We believe that the anticipated net proceeds from this offering, together with our existing cash and cash</w:t>
      </w:r>
    </w:p>
    <w:p>
      <w:pPr>
        <w:ind w:left="200" w:right="360"/>
        <w:spacing w:after="0" w:line="255" w:lineRule="auto"/>
        <w:rPr>
          <w:sz w:val="20"/>
          <w:szCs w:val="20"/>
          <w:color w:val="auto"/>
        </w:rPr>
      </w:pPr>
      <w:r>
        <w:rPr>
          <w:rFonts w:ascii="Arial" w:cs="Arial" w:eastAsia="Arial" w:hAnsi="Arial"/>
          <w:sz w:val="18"/>
          <w:szCs w:val="18"/>
          <w:color w:val="auto"/>
        </w:rPr>
        <w:t>equivalents, will enable us to fund our operating expenses and capital expenditure requirements into . We have based this estimate on assumptions that may prove to be wrong, and we could exhaust our available capital resources sooner than we expect. See “—Liquidity and Capital Resources.”</w:t>
      </w:r>
    </w:p>
    <w:p>
      <w:pPr>
        <w:spacing w:after="0" w:line="19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Without giving effect to the anticipated net proceeds from this offering, we expect that our existing cash and cash equivalents, including the proceeds from our series B preferred stock financing, will be sufficient to fund our operating expenses and capital expenditure requirements until at least the middle of 2019. To finance our operations beyond that point, we will need to raise additional capital, which cannot be assured.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Gaucher</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Cystinosis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1,723</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(4,625)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27"/>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(4,664</w:t>
            </w:r>
          </w:p>
        </w:tc>
        <w:tc>
          <w:tcPr>
            <w:tcW w:w="24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(13,984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105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1,298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$3.1 million for our Fabry program, as well as CMO, CRO and consulting fees of $2.5 million for the Fabry program.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$1.2 million for our Gaucher program, as well as CMO fees of $1.0 million for Gaucher program.</w:t>
      </w:r>
    </w:p>
    <w:p>
      <w:pPr>
        <w:spacing w:after="0" w:line="17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increase in direct costs for our Cystinosis program was primarily due to upfront license cost of $1.0 million paid to GenStem for our Cystinosis program.</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increase in direct costs for our Pompe program was primarily due to upfront license cost of $0.5 million paid and $0.5 million payable to BioMarin for our Pompe program.</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 ended December 31, 2016 and 2017 included stock-based compensation expense of less than $0.1 million and $0.1 million,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(expense), net was not significant during either of the years ended December 31, 2016 or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Through December 31, 2017, we had received gross cash proceeds of $26.5 million from sales of our preferred stock. In January 2018, we received gross cash proceeds of $60.5 million from the sale of our Series B preferred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68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Net increase in cash and cash equivalents</w:t>
            </w:r>
          </w:p>
        </w:tc>
        <w:tc>
          <w:tcPr>
            <w:tcW w:w="48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80" w:type="dxa"/>
            <w:vAlign w:val="bottom"/>
            <w:vMerge w:val="restart"/>
          </w:tcPr>
          <w:p>
            <w:pPr>
              <w:jc w:val="right"/>
              <w:ind w:right="3570"/>
              <w:spacing w:after="0"/>
              <w:rPr>
                <w:sz w:val="20"/>
                <w:szCs w:val="20"/>
                <w:color w:val="auto"/>
              </w:rPr>
            </w:pPr>
            <w:r>
              <w:rPr>
                <w:rFonts w:ascii="Arial" w:cs="Arial" w:eastAsia="Arial" w:hAnsi="Arial"/>
                <w:sz w:val="18"/>
                <w:szCs w:val="18"/>
                <w:color w:val="auto"/>
              </w:rPr>
              <w:t>74</w:t>
            </w: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 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$4.7 million, primarily offset by non-cash charges of $0.6 million and net cash provided by changes in our operating assets and liabilities of</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auto"/>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December 31, 2017,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met certain clinical and developmental milestones, or we have subsequently obtained at least $7.5 million in cash proceeds from the sale of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equity securities from investors reasonably acceptable to SVB. The third tranche of $3.0 million will be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5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the anticipated net proceeds from this offering, together with our existing cash and cash equivalents, will enable us to fund our</w:t>
      </w:r>
    </w:p>
    <w:p>
      <w:pPr>
        <w:spacing w:after="0" w:line="46"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operating expenses and capital expenditure requirements into .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90"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this offering, our stock was not publicly traded, and therefore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discussed in “Determination of the Fair Value of Common Stock” below.</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170"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weighted-average fair values of options granted during the years ended December 31, 2016 and 2017 were $0.12 and $0.36, respectively. The weighted-average assumptions utilized to determine the fair value of options granted are presented in the following table:</w:t>
      </w:r>
    </w:p>
    <w:p>
      <w:pPr>
        <w:spacing w:after="0" w:line="16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84.54%</w:t>
            </w: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9"/>
              </w:rPr>
              <w:t>per Common</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Options</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Price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 on</w:t>
            </w:r>
          </w:p>
        </w:tc>
        <w:tc>
          <w:tcPr>
            <w:tcW w:w="0" w:type="dxa"/>
            <w:vAlign w:val="bottom"/>
          </w:tcPr>
          <w:p>
            <w:pPr>
              <w:spacing w:after="0"/>
              <w:rPr>
                <w:sz w:val="1"/>
                <w:szCs w:val="1"/>
                <w:color w:val="auto"/>
              </w:rPr>
            </w:pPr>
          </w:p>
        </w:tc>
      </w:tr>
      <w:tr>
        <w:trPr>
          <w:trHeight w:val="191"/>
        </w:trPr>
        <w:tc>
          <w:tcPr>
            <w:tcW w:w="4380" w:type="dxa"/>
            <w:vAlign w:val="bottom"/>
            <w:gridSpan w:val="3"/>
            <w:vMerge w:val="continue"/>
          </w:tcPr>
          <w:p>
            <w:pPr>
              <w:spacing w:after="0"/>
              <w:rPr>
                <w:sz w:val="16"/>
                <w:szCs w:val="16"/>
                <w:color w:val="auto"/>
              </w:rPr>
            </w:pPr>
          </w:p>
        </w:tc>
        <w:tc>
          <w:tcPr>
            <w:tcW w:w="29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Options</w:t>
            </w:r>
          </w:p>
        </w:tc>
        <w:tc>
          <w:tcPr>
            <w:tcW w:w="64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June 13,</w:t>
            </w:r>
          </w:p>
        </w:tc>
        <w:tc>
          <w:tcPr>
            <w:tcW w:w="3680" w:type="dxa"/>
            <w:vAlign w:val="bottom"/>
            <w:tcBorders>
              <w:top w:val="single" w:sz="8" w:color="CCEEFF"/>
            </w:tcBorders>
            <w:shd w:val="clear" w:color="auto" w:fill="CCEEFF"/>
          </w:tcPr>
          <w:p>
            <w:pPr>
              <w:jc w:val="right"/>
              <w:ind w:right="3295"/>
              <w:spacing w:after="0" w:line="189" w:lineRule="exact"/>
              <w:rPr>
                <w:sz w:val="20"/>
                <w:szCs w:val="20"/>
                <w:color w:val="auto"/>
              </w:rPr>
            </w:pPr>
            <w:r>
              <w:rPr>
                <w:rFonts w:ascii="Arial" w:cs="Arial" w:eastAsia="Arial" w:hAnsi="Arial"/>
                <w:sz w:val="17"/>
                <w:szCs w:val="17"/>
                <w:color w:val="auto"/>
                <w:w w:val="73"/>
              </w:rPr>
              <w:t>2017</w:t>
            </w:r>
          </w:p>
        </w:tc>
        <w:tc>
          <w:tcPr>
            <w:tcW w:w="29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796,822</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16,666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35,224</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50,320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654,170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201,396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3,114,710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this date was adjusted to $0.53 per share in connection with a retrospective fair value assessment for financial reporting purposes.</w:t>
      </w:r>
    </w:p>
    <w:p>
      <w:pPr>
        <w:spacing w:after="0" w:line="2" w:lineRule="exact"/>
        <w:rPr>
          <w:rFonts w:ascii="Arial" w:cs="Arial" w:eastAsia="Arial" w:hAnsi="Arial"/>
          <w:sz w:val="18"/>
          <w:szCs w:val="18"/>
          <w:color w:val="auto"/>
        </w:rPr>
      </w:pPr>
    </w:p>
    <w:p>
      <w:pPr>
        <w:ind w:left="640" w:right="60" w:hanging="436"/>
        <w:spacing w:after="0" w:line="273"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 the time of the option grants in October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$0.99 per share in connection with a retrospective fair value assessment for financial reporting purposes.</w:t>
      </w:r>
    </w:p>
    <w:p>
      <w:pPr>
        <w:spacing w:after="0" w:line="28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financial reporting purposes, we performed ordinary share valuations, with the assistance of a third-party specialist, at various dates, which resulted in valuations of our common stock of $0.10 per share as of January 31, 2016, $0.29 per share as of August 31, 2016, $0.22 per share as of March 31, 2017, $0.53 per share as of August 31, 2017, and $0.99 per share as of October 31, 2017. In conducting the valuations, our board of directors, with input from management, considered various objective and subjective factors to determine the fair value of our common stock as of each grant date, including:</w:t>
      </w:r>
    </w:p>
    <w:p>
      <w:pPr>
        <w:spacing w:after="0" w:line="94" w:lineRule="exact"/>
        <w:rPr>
          <w:sz w:val="20"/>
          <w:szCs w:val="20"/>
          <w:color w:val="auto"/>
        </w:rPr>
      </w:pPr>
    </w:p>
    <w:p>
      <w:pPr>
        <w:ind w:left="1060" w:right="2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166"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As of December 31, 2017, we had cash and cash equivalents of $6.0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24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 and $19,000, respectively. These losses primarily related to unrealized and realized foreign currency gains and losses as a result of transactions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entered into by our Australian and Canadian subsidiaries in currencies other than the U.S. dollar. These foreign currency transaction gains and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were recorded in other expense, net in our consolidated statements of operations. We believe that a 10% change in the exchange rate between the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prospectus.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and has been well tolerated and demonstrated promising enzyme activity to date. We expect to initiate our Phase 2 clinical trial of AVR-RD-01 in mid-2018. In addition, Phase 1/2 clinical trials for both AVR-RD-02 and AVR-RD-04 are being planned and we expect patients will be dosed in 2019.</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Lentiviral-based gene therapy has shown significant promise, demonstrating durable effects and safety in ongoing clinical trials for diseases such as beta thalassemia, ALD and ADA-SCID. Historically, the use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93"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160020</wp:posOffset>
            </wp:positionV>
            <wp:extent cx="5205730" cy="2701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Our lead product candidate, AVR-RD-01 for the treatment of Fabry disease, is derived from hematopoietic stem cells to which the gene encoding the enzyme a-galactosidase A, or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one month after treatment. We anticipate initiating our Phase 2 clinical trial of AVR-RD-01 in mid-2018.</w:t>
      </w:r>
    </w:p>
    <w:p>
      <w:pPr>
        <w:spacing w:after="0" w:line="165"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been promising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led by biopharmaceutical experts with extensive experience in gene and cellular therapy and rare diseases. Our team has broad expertise in the clinical, regulatory and commercialization aspects of rare diseases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7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Our Initial Gene Therapies. </w:t>
      </w:r>
      <w:r>
        <w:rPr>
          <w:rFonts w:ascii="Arial" w:cs="Arial" w:eastAsia="Arial" w:hAnsi="Arial"/>
          <w:sz w:val="17"/>
          <w:szCs w:val="17"/>
          <w:color w:val="auto"/>
        </w:rPr>
        <w:t>We are developing a deep pipeline of four gene therapies to treat Fabry disease, Gaucher</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Pompe disease and cystinosis. We intend to rapidly advance these gene therapies into clinical trials and obtain initial efficacy data in patients from these development programs. AVR-RD-01 has been well tolerated and demonstrated promising enzyme activity to date in an ongoing Phase 1 clinical trial. We intend to initiate our Phase 2 clinical trial for AVR-RD-01 in mid-2018 in Australia and Canada, with enrollment in the United States and Japan beginning in 2019.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4" w:lineRule="exact"/>
        <w:rPr>
          <w:rFonts w:ascii="Arial" w:cs="Arial" w:eastAsia="Arial" w:hAnsi="Arial"/>
          <w:sz w:val="17"/>
          <w:szCs w:val="17"/>
          <w:color w:val="auto"/>
        </w:rPr>
      </w:pPr>
    </w:p>
    <w:p>
      <w:pPr>
        <w:ind w:left="1060" w:right="100" w:hanging="424"/>
        <w:spacing w:after="0" w:line="27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Develop First-Line Gene Therapies for Lysosomal Storage Diseases. </w:t>
      </w:r>
      <w:r>
        <w:rPr>
          <w:rFonts w:ascii="Arial" w:cs="Arial" w:eastAsia="Arial" w:hAnsi="Arial"/>
          <w:sz w:val="17"/>
          <w:szCs w:val="17"/>
          <w:color w:val="auto"/>
        </w:rPr>
        <w:t>We are initially targeting lysosomal storage diseases and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auto"/>
        </w:rPr>
      </w:pPr>
    </w:p>
    <w:p>
      <w:pPr>
        <w:ind w:left="1060" w:right="60" w:hanging="424"/>
        <w:spacing w:after="0" w:line="28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Globally Develop, Manufacture and Commercialize Our Gene Therapies. </w:t>
      </w:r>
      <w:r>
        <w:rPr>
          <w:rFonts w:ascii="Arial" w:cs="Arial" w:eastAsia="Arial" w:hAnsi="Arial"/>
          <w:sz w:val="17"/>
          <w:szCs w:val="17"/>
          <w:color w:val="auto"/>
        </w:rPr>
        <w:t>Lysosomal storage diseases afflict patients globally and we intend</w:t>
      </w:r>
      <w:r>
        <w:rPr>
          <w:rFonts w:ascii="Arial" w:cs="Arial" w:eastAsia="Arial" w:hAnsi="Arial"/>
          <w:sz w:val="17"/>
          <w:szCs w:val="17"/>
          <w:i w:val="1"/>
          <w:iCs w:val="1"/>
          <w:color w:val="auto"/>
        </w:rPr>
        <w:t xml:space="preserve"> </w:t>
      </w:r>
      <w:r>
        <w:rPr>
          <w:rFonts w:ascii="Arial" w:cs="Arial" w:eastAsia="Arial" w:hAnsi="Arial"/>
          <w:sz w:val="17"/>
          <w:szCs w:val="17"/>
          <w:color w:val="auto"/>
        </w:rPr>
        <w:t>to build global infrastructure in order to provide treatment to patients around the world. We intend to conduct clinical trials across multiple geographies. We have established a global network of suppliers and contract manufacturing organizations, or CMOs.</w:t>
      </w:r>
    </w:p>
    <w:p>
      <w:pPr>
        <w:spacing w:after="0" w:line="70" w:lineRule="exact"/>
        <w:rPr>
          <w:rFonts w:ascii="Arial" w:cs="Arial" w:eastAsia="Arial" w:hAnsi="Arial"/>
          <w:sz w:val="17"/>
          <w:szCs w:val="17"/>
          <w:color w:val="auto"/>
        </w:rPr>
      </w:pPr>
    </w:p>
    <w:p>
      <w:pPr>
        <w:ind w:left="1060" w:right="60" w:hanging="424"/>
        <w:spacing w:after="0" w:line="30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Industrialize Lentiviral-Based Gene Therapy. </w:t>
      </w:r>
      <w:r>
        <w:rPr>
          <w:rFonts w:ascii="Arial" w:cs="Arial" w:eastAsia="Arial" w:hAnsi="Arial"/>
          <w:sz w:val="16"/>
          <w:szCs w:val="16"/>
          <w:color w:val="auto"/>
        </w:rPr>
        <w:t>We are developing a manufacturing process that is both reproducible and scalable.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auto"/>
        </w:rPr>
      </w:pPr>
    </w:p>
    <w:p>
      <w:pPr>
        <w:ind w:left="1060" w:right="44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We develop therapies utilizing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 xml:space="preserve">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32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therefore have the ability to provide therapeutic benefit to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tissues and organs throughout the body.</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Outpatient Conditioning</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with a milder conditioning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Prior to the reintroduction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Lentiviral-based gene therapy has shown significant promise, demonstrating durable effects and safety, in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 xml:space="preserve">As one example from early, small-scale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Increased Enzyme Activity and VCN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5196840" cy="1792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We also plan to establish a CMO partner in Europe.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Advantages of Cryopreservation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auto"/>
        </w:rPr>
      </w:pPr>
    </w:p>
    <w:p>
      <w:pPr>
        <w:ind w:left="1060" w:right="20" w:hanging="424"/>
        <w:spacing w:after="0" w:line="31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Our initial gene therapies are AVR-RD-01 for the treatment of Fabry disease, AVR-RD-02 for the treatment of Gaucher disease, AVR-RD-03 for the treatment of Pompe disease and AVR-RD-04 for the treatment of cystinosis. AVR-RD-01 is currently being evaluated in a Phase 1 clinical trial and we expect to begin enrolling our Phase 2 clinical trial in mid-2018. In addition, Phase 1/2 clinical trials for both AVR-RD-02 and AVR-RD-04</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are being planned and we expect patients will be dosed in 2019.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176530</wp:posOffset>
            </wp:positionV>
            <wp:extent cx="5205730" cy="2701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extracted from the patient, modified to add the gene that encodes for AGA, and then infused into the patient. AVR-RD-01 is currently being investigated in an academic-sponsored Phase 1 clinical trial and has been well tolerated and demonstrated promising activity to-date. We anticipate beginning enrollment in our concurrent multinational Phase 2 clinical trial in mid-2018.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 associated with Fabry disease have been identified. It is estimated that Fabry disease affects approximately one in 40,000 males and one in 120,000 males and females combined in the United States, but studies have suggested that a larger number of patients may be undiagnosed.</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Fabry disease is an X-linked disorder, with the responsible gene located on the X chromosome. Because males have only one X chromosome, an abnormal copy of the gene that causes Fabry disease is sufficient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100" w:hanging="424"/>
        <w:spacing w:after="0" w:line="259"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 been demonstrated to be both safe and effective in preclinical studies, reducing the need for precise regulation of enzyme expression levels and reinforcing that overexpression of AGA is not associated with increased safety risks.</w:t>
      </w:r>
    </w:p>
    <w:p>
      <w:pPr>
        <w:spacing w:after="0" w:line="92"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primary goal for this clinical trial is to assess the safety and tolerability of AVR-RD-01. The safety of our out-patient conditioning regimen is also being assessed in this clinical trial.</w:t>
      </w:r>
    </w:p>
    <w:p>
      <w:pPr>
        <w:spacing w:after="0" w:line="17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first two patients in this clinical trial have been dosed and the treatment was well tolerated. In both patients, the level of plasma AGA enzyme activity began to rise within days of receiving AVR-RD-01, from nearly undetectable levels before treatment to levels above the range for males with classic Fabry disease.</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one month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40" w:type="dxa"/>
            <w:vAlign w:val="bottom"/>
            <w:tcBorders>
              <w:top w:val="single" w:sz="8" w:color="auto"/>
              <w:left w:val="single" w:sz="8" w:color="auto"/>
              <w:right w:val="single" w:sz="8" w:color="auto"/>
            </w:tcBorders>
          </w:tcPr>
          <w:p>
            <w:pPr>
              <w:spacing w:after="0"/>
              <w:rPr>
                <w:sz w:val="12"/>
                <w:szCs w:val="12"/>
                <w:color w:val="auto"/>
              </w:rPr>
            </w:pPr>
          </w:p>
        </w:tc>
        <w:tc>
          <w:tcPr>
            <w:tcW w:w="3440" w:type="dxa"/>
            <w:vAlign w:val="bottom"/>
            <w:tcBorders>
              <w:top w:val="single" w:sz="8" w:color="auto"/>
              <w:right w:val="single" w:sz="8" w:color="auto"/>
            </w:tcBorders>
          </w:tcPr>
          <w:p>
            <w:pPr>
              <w:jc w:val="center"/>
              <w:ind w:left="1617"/>
              <w:spacing w:after="0" w:line="139" w:lineRule="exact"/>
              <w:rPr>
                <w:sz w:val="20"/>
                <w:szCs w:val="20"/>
                <w:color w:val="auto"/>
              </w:rPr>
            </w:pPr>
            <w:r>
              <w:rPr>
                <w:rFonts w:ascii="Arial" w:cs="Arial" w:eastAsia="Arial" w:hAnsi="Arial"/>
                <w:sz w:val="14"/>
                <w:szCs w:val="14"/>
                <w:b w:val="1"/>
                <w:bCs w:val="1"/>
                <w:color w:val="auto"/>
                <w:w w:val="90"/>
              </w:rPr>
              <w:t>Day 0</w:t>
            </w:r>
          </w:p>
        </w:tc>
        <w:tc>
          <w:tcPr>
            <w:tcW w:w="2440" w:type="dxa"/>
            <w:vAlign w:val="bottom"/>
            <w:tcBorders>
              <w:top w:val="single" w:sz="8" w:color="auto"/>
              <w:right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1 Month</w:t>
            </w:r>
          </w:p>
        </w:tc>
        <w:tc>
          <w:tcPr>
            <w:tcW w:w="2620" w:type="dxa"/>
            <w:vAlign w:val="bottom"/>
            <w:tcBorders>
              <w:top w:val="single" w:sz="8" w:color="auto"/>
              <w:right w:val="single" w:sz="8" w:color="auto"/>
            </w:tcBorders>
          </w:tcPr>
          <w:p>
            <w:pPr>
              <w:ind w:left="174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(Infusion of AVR-RD-01)</w:t>
            </w:r>
          </w:p>
        </w:tc>
        <w:tc>
          <w:tcPr>
            <w:tcW w:w="244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10"/>
        </w:trPr>
        <w:tc>
          <w:tcPr>
            <w:tcW w:w="25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Patient 1</w:t>
            </w:r>
          </w:p>
        </w:tc>
        <w:tc>
          <w:tcPr>
            <w:tcW w:w="3440" w:type="dxa"/>
            <w:vAlign w:val="bottom"/>
            <w:tcBorders>
              <w:bottom w:val="single" w:sz="8" w:color="auto"/>
              <w:right w:val="single" w:sz="8" w:color="auto"/>
            </w:tcBorders>
            <w:shd w:val="clear" w:color="auto" w:fill="CCEEFF"/>
          </w:tcPr>
          <w:p>
            <w:pPr>
              <w:jc w:val="center"/>
              <w:ind w:left="1617"/>
              <w:spacing w:after="0"/>
              <w:rPr>
                <w:sz w:val="20"/>
                <w:szCs w:val="20"/>
                <w:color w:val="auto"/>
              </w:rPr>
            </w:pPr>
            <w:r>
              <w:rPr>
                <w:rFonts w:ascii="Arial" w:cs="Arial" w:eastAsia="Arial" w:hAnsi="Arial"/>
                <w:sz w:val="18"/>
                <w:szCs w:val="18"/>
                <w:color w:val="auto"/>
                <w:w w:val="87"/>
              </w:rPr>
              <w:t>0.1</w:t>
            </w:r>
          </w:p>
        </w:tc>
        <w:tc>
          <w:tcPr>
            <w:tcW w:w="24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5.1</w:t>
            </w:r>
          </w:p>
        </w:tc>
        <w:tc>
          <w:tcPr>
            <w:tcW w:w="2620" w:type="dxa"/>
            <w:vAlign w:val="bottom"/>
            <w:tcBorders>
              <w:bottom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w:t>
            </w:r>
          </w:p>
        </w:tc>
      </w:tr>
      <w:tr>
        <w:trPr>
          <w:trHeight w:val="210"/>
        </w:trPr>
        <w:tc>
          <w:tcPr>
            <w:tcW w:w="25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Patient 2</w:t>
            </w:r>
          </w:p>
        </w:tc>
        <w:tc>
          <w:tcPr>
            <w:tcW w:w="3440" w:type="dxa"/>
            <w:vAlign w:val="bottom"/>
            <w:tcBorders>
              <w:bottom w:val="single" w:sz="8" w:color="auto"/>
              <w:right w:val="single" w:sz="8" w:color="auto"/>
            </w:tcBorders>
          </w:tcPr>
          <w:p>
            <w:pPr>
              <w:jc w:val="center"/>
              <w:ind w:left="1617"/>
              <w:spacing w:after="0"/>
              <w:rPr>
                <w:sz w:val="20"/>
                <w:szCs w:val="20"/>
                <w:color w:val="auto"/>
              </w:rPr>
            </w:pPr>
            <w:r>
              <w:rPr>
                <w:rFonts w:ascii="Arial" w:cs="Arial" w:eastAsia="Arial" w:hAnsi="Arial"/>
                <w:sz w:val="18"/>
                <w:szCs w:val="18"/>
                <w:color w:val="auto"/>
                <w:w w:val="87"/>
              </w:rPr>
              <w:t>0.2</w:t>
            </w:r>
          </w:p>
        </w:tc>
        <w:tc>
          <w:tcPr>
            <w:tcW w:w="24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4.4</w:t>
            </w:r>
          </w:p>
        </w:tc>
        <w:tc>
          <w:tcPr>
            <w:tcW w:w="2620" w:type="dxa"/>
            <w:vAlign w:val="bottom"/>
            <w:tcBorders>
              <w:bottom w:val="single" w:sz="8" w:color="auto"/>
              <w:right w:val="single" w:sz="8" w:color="auto"/>
            </w:tcBorders>
          </w:tcPr>
          <w:p>
            <w:pPr>
              <w:jc w:val="center"/>
              <w:ind w:left="1556"/>
              <w:spacing w:after="0"/>
              <w:rPr>
                <w:sz w:val="20"/>
                <w:szCs w:val="20"/>
                <w:color w:val="auto"/>
              </w:rPr>
            </w:pPr>
            <w:r>
              <w:rPr>
                <w:rFonts w:ascii="Arial" w:cs="Arial" w:eastAsia="Arial" w:hAnsi="Arial"/>
                <w:sz w:val="18"/>
                <w:szCs w:val="18"/>
                <w:color w:val="auto"/>
                <w:w w:val="99"/>
              </w:rPr>
              <w:t>N/A</w:t>
            </w:r>
          </w:p>
        </w:tc>
      </w:tr>
      <w:tr>
        <w:trPr>
          <w:trHeight w:val="358"/>
        </w:trPr>
        <w:tc>
          <w:tcPr>
            <w:tcW w:w="2540" w:type="dxa"/>
            <w:vAlign w:val="bottom"/>
          </w:tcPr>
          <w:p>
            <w:pPr>
              <w:spacing w:after="0"/>
              <w:rPr>
                <w:sz w:val="24"/>
                <w:szCs w:val="24"/>
                <w:color w:val="auto"/>
              </w:rPr>
            </w:pPr>
          </w:p>
        </w:tc>
        <w:tc>
          <w:tcPr>
            <w:tcW w:w="3440" w:type="dxa"/>
            <w:vAlign w:val="bottom"/>
          </w:tcPr>
          <w:p>
            <w:pPr>
              <w:jc w:val="right"/>
              <w:ind w:right="317"/>
              <w:spacing w:after="0"/>
              <w:rPr>
                <w:sz w:val="20"/>
                <w:szCs w:val="20"/>
                <w:color w:val="auto"/>
              </w:rPr>
            </w:pPr>
            <w:r>
              <w:rPr>
                <w:rFonts w:ascii="Arial" w:cs="Arial" w:eastAsia="Arial" w:hAnsi="Arial"/>
                <w:sz w:val="18"/>
                <w:szCs w:val="18"/>
                <w:color w:val="auto"/>
              </w:rPr>
              <w:t>93</w:t>
            </w:r>
          </w:p>
        </w:tc>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171450</wp:posOffset>
            </wp:positionV>
            <wp:extent cx="5076825" cy="2058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7682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VCN refers to the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We believe the trends in average VCN observed for both AVR-RD-01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The table below reflects average VCN data observed for the first two patients in the ongoing Phase 1 clinical trial. Importantly, these VCNs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680" w:type="dxa"/>
            <w:vAlign w:val="bottom"/>
            <w:tcBorders>
              <w:top w:val="single" w:sz="8" w:color="auto"/>
              <w:bottom w:val="single" w:sz="8" w:color="auto"/>
              <w:right w:val="single" w:sz="8" w:color="auto"/>
            </w:tcBorders>
          </w:tcPr>
          <w:p>
            <w:pPr>
              <w:jc w:val="center"/>
              <w:ind w:left="3013"/>
              <w:spacing w:after="0"/>
              <w:rPr>
                <w:sz w:val="20"/>
                <w:szCs w:val="20"/>
                <w:color w:val="auto"/>
              </w:rPr>
            </w:pPr>
            <w:r>
              <w:rPr>
                <w:rFonts w:ascii="Arial" w:cs="Arial" w:eastAsia="Arial" w:hAnsi="Arial"/>
                <w:sz w:val="14"/>
                <w:szCs w:val="14"/>
                <w:b w:val="1"/>
                <w:bCs w:val="1"/>
                <w:color w:val="auto"/>
                <w:w w:val="92"/>
              </w:rPr>
              <w:t>Patient 1</w:t>
            </w:r>
          </w:p>
        </w:tc>
        <w:tc>
          <w:tcPr>
            <w:tcW w:w="3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Patient 2</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Drug Product VCN (day 2)</w:t>
            </w:r>
          </w:p>
        </w:tc>
        <w:tc>
          <w:tcPr>
            <w:tcW w:w="3680" w:type="dxa"/>
            <w:vAlign w:val="bottom"/>
            <w:tcBorders>
              <w:bottom w:val="single" w:sz="8" w:color="auto"/>
              <w:right w:val="single" w:sz="8" w:color="auto"/>
            </w:tcBorders>
            <w:shd w:val="clear" w:color="auto" w:fill="CCEEFF"/>
          </w:tcPr>
          <w:p>
            <w:pPr>
              <w:jc w:val="center"/>
              <w:ind w:left="2993"/>
              <w:spacing w:after="0"/>
              <w:rPr>
                <w:sz w:val="20"/>
                <w:szCs w:val="20"/>
                <w:color w:val="auto"/>
              </w:rPr>
            </w:pPr>
            <w:r>
              <w:rPr>
                <w:rFonts w:ascii="Arial" w:cs="Arial" w:eastAsia="Arial" w:hAnsi="Arial"/>
                <w:sz w:val="18"/>
                <w:szCs w:val="18"/>
                <w:color w:val="auto"/>
                <w:w w:val="91"/>
              </w:rPr>
              <w:t>1.13</w:t>
            </w:r>
          </w:p>
        </w:tc>
        <w:tc>
          <w:tcPr>
            <w:tcW w:w="376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1.67</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Drug Product VCN (day 4)</w:t>
            </w:r>
          </w:p>
        </w:tc>
        <w:tc>
          <w:tcPr>
            <w:tcW w:w="3680" w:type="dxa"/>
            <w:vAlign w:val="bottom"/>
            <w:tcBorders>
              <w:bottom w:val="single" w:sz="8" w:color="auto"/>
              <w:right w:val="single" w:sz="8" w:color="auto"/>
            </w:tcBorders>
          </w:tcPr>
          <w:p>
            <w:pPr>
              <w:jc w:val="center"/>
              <w:ind w:left="2993"/>
              <w:spacing w:after="0"/>
              <w:rPr>
                <w:sz w:val="20"/>
                <w:szCs w:val="20"/>
                <w:color w:val="auto"/>
              </w:rPr>
            </w:pPr>
            <w:r>
              <w:rPr>
                <w:rFonts w:ascii="Arial" w:cs="Arial" w:eastAsia="Arial" w:hAnsi="Arial"/>
                <w:sz w:val="18"/>
                <w:szCs w:val="18"/>
                <w:color w:val="auto"/>
                <w:w w:val="91"/>
              </w:rPr>
              <w:t>0.68</w:t>
            </w:r>
          </w:p>
        </w:tc>
        <w:tc>
          <w:tcPr>
            <w:tcW w:w="376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8"/>
                <w:szCs w:val="18"/>
                <w:color w:val="auto"/>
              </w:rPr>
              <w:t>1.43</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 month VCN</w:t>
            </w:r>
          </w:p>
        </w:tc>
        <w:tc>
          <w:tcPr>
            <w:tcW w:w="3680" w:type="dxa"/>
            <w:vAlign w:val="bottom"/>
            <w:tcBorders>
              <w:bottom w:val="single" w:sz="8" w:color="auto"/>
              <w:right w:val="single" w:sz="8" w:color="auto"/>
            </w:tcBorders>
            <w:shd w:val="clear" w:color="auto" w:fill="CCEEFF"/>
          </w:tcPr>
          <w:p>
            <w:pPr>
              <w:jc w:val="center"/>
              <w:ind w:left="2993"/>
              <w:spacing w:after="0"/>
              <w:rPr>
                <w:sz w:val="20"/>
                <w:szCs w:val="20"/>
                <w:color w:val="auto"/>
              </w:rPr>
            </w:pPr>
            <w:r>
              <w:rPr>
                <w:rFonts w:ascii="Arial" w:cs="Arial" w:eastAsia="Arial" w:hAnsi="Arial"/>
                <w:sz w:val="18"/>
                <w:szCs w:val="18"/>
                <w:color w:val="auto"/>
                <w:w w:val="91"/>
              </w:rPr>
              <w:t>0.42</w:t>
            </w:r>
          </w:p>
        </w:tc>
        <w:tc>
          <w:tcPr>
            <w:tcW w:w="376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0.79</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3 month VCN</w:t>
            </w:r>
          </w:p>
        </w:tc>
        <w:tc>
          <w:tcPr>
            <w:tcW w:w="3680" w:type="dxa"/>
            <w:vAlign w:val="bottom"/>
            <w:tcBorders>
              <w:bottom w:val="single" w:sz="8" w:color="auto"/>
              <w:right w:val="single" w:sz="8" w:color="auto"/>
            </w:tcBorders>
          </w:tcPr>
          <w:p>
            <w:pPr>
              <w:jc w:val="center"/>
              <w:ind w:left="2993"/>
              <w:spacing w:after="0"/>
              <w:rPr>
                <w:sz w:val="20"/>
                <w:szCs w:val="20"/>
                <w:color w:val="auto"/>
              </w:rPr>
            </w:pPr>
            <w:r>
              <w:rPr>
                <w:rFonts w:ascii="Arial" w:cs="Arial" w:eastAsia="Arial" w:hAnsi="Arial"/>
                <w:sz w:val="18"/>
                <w:szCs w:val="18"/>
                <w:color w:val="auto"/>
                <w:w w:val="91"/>
              </w:rPr>
              <w:t>0.55</w:t>
            </w:r>
          </w:p>
        </w:tc>
        <w:tc>
          <w:tcPr>
            <w:tcW w:w="376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6 month VCN</w:t>
            </w:r>
          </w:p>
        </w:tc>
        <w:tc>
          <w:tcPr>
            <w:tcW w:w="3680" w:type="dxa"/>
            <w:vAlign w:val="bottom"/>
            <w:tcBorders>
              <w:bottom w:val="single" w:sz="8" w:color="auto"/>
              <w:right w:val="single" w:sz="8" w:color="auto"/>
            </w:tcBorders>
            <w:shd w:val="clear" w:color="auto" w:fill="CCEEFF"/>
          </w:tcPr>
          <w:p>
            <w:pPr>
              <w:jc w:val="center"/>
              <w:ind w:left="2993"/>
              <w:spacing w:after="0"/>
              <w:rPr>
                <w:sz w:val="20"/>
                <w:szCs w:val="20"/>
                <w:color w:val="auto"/>
              </w:rPr>
            </w:pPr>
            <w:r>
              <w:rPr>
                <w:rFonts w:ascii="Arial" w:cs="Arial" w:eastAsia="Arial" w:hAnsi="Arial"/>
                <w:sz w:val="18"/>
                <w:szCs w:val="18"/>
                <w:color w:val="auto"/>
                <w:w w:val="91"/>
              </w:rPr>
              <w:t>0.35</w:t>
            </w:r>
          </w:p>
        </w:tc>
        <w:tc>
          <w:tcPr>
            <w:tcW w:w="376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12 month VCN</w:t>
            </w:r>
          </w:p>
        </w:tc>
        <w:tc>
          <w:tcPr>
            <w:tcW w:w="3680" w:type="dxa"/>
            <w:vAlign w:val="bottom"/>
            <w:tcBorders>
              <w:bottom w:val="single" w:sz="8" w:color="auto"/>
              <w:right w:val="single" w:sz="8" w:color="auto"/>
            </w:tcBorders>
          </w:tcPr>
          <w:p>
            <w:pPr>
              <w:jc w:val="center"/>
              <w:ind w:left="2993"/>
              <w:spacing w:after="0"/>
              <w:rPr>
                <w:sz w:val="20"/>
                <w:szCs w:val="20"/>
                <w:color w:val="auto"/>
              </w:rPr>
            </w:pPr>
            <w:r>
              <w:rPr>
                <w:rFonts w:ascii="Arial" w:cs="Arial" w:eastAsia="Arial" w:hAnsi="Arial"/>
                <w:sz w:val="18"/>
                <w:szCs w:val="18"/>
                <w:color w:val="auto"/>
                <w:w w:val="91"/>
              </w:rPr>
              <w:t>0.16</w:t>
            </w:r>
          </w:p>
        </w:tc>
        <w:tc>
          <w:tcPr>
            <w:tcW w:w="376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Preliminary results from this clinical trial also indicate the presence of lentiviral-vector inserted sequences in the blood and bone marrow of the first patient, which is a signal for successful transduction of the cells.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Preliminary safety data from the first two enrolled patients indicate AVR-RD-01 was generally well-tolerated. As of February 26, 2018, there were 51 adverse events reported, 40 of which were assessed by the investigator as being possibly, probably or definitely related to protocol treatment or procedures. Only one event, the development of a left thigh mass, was a serious adverse event and this mass was not attributed by the investigator to protocol treatment or study procedures.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February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Multinational Clinical Trial</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anticipate commencing enrollment in our open label, multinational Phase 2 clinical trial of AVR-RD-01 in 2018. We expect to enroll eight to 12 treatment-naïve males, 16 years and older, with classic Fabry disease. Our objectives for this trial are to assess safety and efficacy as measured by multiple indicators, such as Gb3 levels in various tissues, kidney and cardiac function, gastrointestinal symptoms, and pain and quality of life scores. All enrolled patients will receive a single treatment with AVR-RD-01 and will be followed for 48 weeks to measure safety and efficacy. Regulatory authorities in Australia and Canada have reviewed our trial application and have allowed the trial to proceed, and we expect to begin enrollment for this clinical trial in Australia. We plan to submit applications to allow commencement of clinical trials in the United States to the FDA and in Japan to the Pharmaceuticals and Medical Devices Agency, or PMDA, following meetings with each of these respective regulatory authorities.</w:t>
      </w:r>
    </w:p>
    <w:p>
      <w:pPr>
        <w:spacing w:after="0" w:line="16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transduction process, and not the actual AGA enzyme that is produced by the transduced cells, or drug product, we believe this transition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6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172085</wp:posOffset>
            </wp:positionV>
            <wp:extent cx="2615565" cy="1869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significantly reduced compared to mice that received unmodified cells from patients with Fabry disease. Levels in other tissues such as the heart and kidney also showed promising downward trends in Gb3. This study demonstrated that:</w:t>
      </w:r>
    </w:p>
    <w:p>
      <w:pPr>
        <w:spacing w:after="0" w:line="64"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AVR-RD-01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24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occurs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plan to initiate a Phase 1/2 clinical trial of AVR-RD-02 in patients with Type 1 Gaucher disease and to begin dosing patients in this clinical trial in 2019. Our initial clinical trial will be an adaptive trial that will include both treatment-naïve patients and patients that are currently stable on ERT. We intend to enroll 12 to 16 patients, 16 years old and above,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preclinical studies, a mouse model of Gaucher disease demonstrated increases in glucocerebroside levels in the clinically-relevant tissues, the bone marrow, spleen and liver, and mimicked many of the same symptoms seen in patients such as an enlarged spleen. These preclinical studies assessed glucocerebroside levels, Gaucher cell infiltration, and spleen volume in the mouse model over 20 weeks following treatment with AVR-RD-02. When mice with established disease were treated with AVR-RD-02, symptoms such as an enlarged spleen were reversed within 20 weeks. Similarly, the mice that were treated with AVR-RD-02 prior to manifesting symptoms did not develop symptoms of the disease. These data support the potential efficacy of AVR-RD-02 to prevent, as well as reverse, symptoms in patients with Gaucher disease.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which is a particularly important target tissue for patients with Pompe disease.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are in early preclinical development of AVR-RD-03 to potentially cure patients with late-onset Pompe disease. 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1012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5394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are developing AVR-RD-04 for the treatment of patients with cystinosis. We will manufacture AVR-RD-04 from 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8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affects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171450</wp:posOffset>
            </wp:positionV>
            <wp:extent cx="4090670" cy="1929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906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jc w:val="both"/>
        <w:ind w:left="1060" w:right="200" w:hanging="424"/>
        <w:spacing w:after="0" w:line="31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auto"/>
        </w:rPr>
      </w:pPr>
    </w:p>
    <w:p>
      <w:pPr>
        <w:ind w:left="1060" w:hanging="424"/>
        <w:spacing w:after="0" w:line="286"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424"/>
        <w:spacing w:after="0" w:line="259"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424"/>
        <w:spacing w:after="0" w:line="259"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 expressing cystinosin and methods of using the same for the treatment of cystinosis. This patent application is licensed to us by GenStem Therapeutics, and GenStem obtained its rights from the University of California, San Diego.</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9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8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 this agreement if we enter into bankruptcy or insolvency. We may terminate this agreement for any reason upon notice to UHN.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w:t>
      </w:r>
    </w:p>
    <w:p>
      <w:pPr>
        <w:spacing w:after="0" w:line="154"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7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w:t>
      </w:r>
    </w:p>
    <w:p>
      <w:pPr>
        <w:spacing w:after="0" w:line="19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the United States, biological products, including gene therapy products, are subject to regulation under the Federal Food, Drug, and Cosmetic Act, or FD&amp;C Act, and the Public Health Service Act, or PHS Act,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40"/>
        <w:spacing w:after="0" w:line="277" w:lineRule="auto"/>
        <w:rPr>
          <w:sz w:val="20"/>
          <w:szCs w:val="20"/>
          <w:color w:val="auto"/>
        </w:rPr>
      </w:pPr>
      <w:r>
        <w:rPr>
          <w:rFonts w:ascii="Arial" w:cs="Arial" w:eastAsia="Arial" w:hAnsi="Arial"/>
          <w:sz w:val="18"/>
          <w:szCs w:val="18"/>
          <w:color w:val="auto"/>
        </w:rPr>
        <w:t>product’s identity, strength, quality and purity and, if applicable, the FDA’s current good tissue practices, or GTPs, for the use of human cellular and tissue products;</w:t>
      </w:r>
    </w:p>
    <w:p>
      <w:pPr>
        <w:spacing w:after="0" w:line="76"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approval pre-approval of promotional materials, which could adversely impact the timing of the commercial launch of the product.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8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Patient Protection and Affordable Care Act, or Affordable Care Act or ACA or PPACA,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formulary, which might not include all of the FDA-approved products for a particular indication. A decision by a 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8"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right="40" w:firstLine="441"/>
        <w:spacing w:after="0" w:line="342" w:lineRule="auto"/>
        <w:rPr>
          <w:sz w:val="20"/>
          <w:szCs w:val="20"/>
          <w:color w:val="auto"/>
        </w:rPr>
      </w:pPr>
      <w:r>
        <w:rPr>
          <w:rFonts w:ascii="Arial" w:cs="Arial" w:eastAsia="Arial" w:hAnsi="Arial"/>
          <w:sz w:val="16"/>
          <w:szCs w:val="16"/>
          <w:color w:val="auto"/>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As of March 31, 2018, we had 24 full-time employees, 14 of whom have Ph.D. or M.D. degrees. Of these full-time employees, 16 employees are engaged in research and development activities and eight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24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March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Geoff MacKay</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Nerissa Kreher, M.D.</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Bruce Booth, D.Phil.</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Clark</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Annalisa Jenkins, M.B.B.S., F.R.C.P.</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52</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65</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Scott Requadt</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50</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 M.D.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42</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has been our chief financial officer since August 2017. Prior to joining our company, she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Nerissa Kreher, M.D. </w:t>
      </w:r>
      <w:r>
        <w:rPr>
          <w:rFonts w:ascii="Arial" w:cs="Arial" w:eastAsia="Arial" w:hAnsi="Arial"/>
          <w:sz w:val="16"/>
          <w:szCs w:val="16"/>
          <w:color w:val="auto"/>
        </w:rPr>
        <w:t>has been our chief medical officer since October 2016. Prior to joining our company, Dr. Kreher was the global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chairman of our board of directors since February 2016. Dr. Booth joined Atlas Venture in 2005,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Annalisa Jenkins, M.B.B.C., F.C.R.P. </w:t>
      </w:r>
      <w:r>
        <w:rPr>
          <w:rFonts w:ascii="Arial" w:cs="Arial" w:eastAsia="Arial" w:hAnsi="Arial"/>
          <w:sz w:val="16"/>
          <w:szCs w:val="16"/>
          <w:color w:val="auto"/>
        </w:rPr>
        <w:t>has served as a member of our board of directors since March 2018. Dr. Jenkins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a biopharmaceutical company, where, from July 2009 to June 2011, she was a senior vice president and head of global medical affairs.</w:t>
      </w:r>
    </w:p>
    <w:p>
      <w:pPr>
        <w:spacing w:after="0" w:line="35"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Christopher Paige, Ph.D. </w:t>
      </w:r>
      <w:r>
        <w:rPr>
          <w:rFonts w:ascii="Arial" w:cs="Arial" w:eastAsia="Arial" w:hAnsi="Arial"/>
          <w:sz w:val="16"/>
          <w:szCs w:val="16"/>
          <w:color w:val="auto"/>
        </w:rPr>
        <w:t>has served as a member of our board of directors since January 2016. Dr. Paige is a professor in the departments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Scott Requadt </w:t>
      </w:r>
      <w:r>
        <w:rPr>
          <w:rFonts w:ascii="Arial" w:cs="Arial" w:eastAsia="Arial" w:hAnsi="Arial"/>
          <w:sz w:val="16"/>
          <w:szCs w:val="16"/>
          <w:color w:val="auto"/>
        </w:rPr>
        <w:t>has served as a member of our board of directors since July 2016. Mr. Requadt is currently a managing director at Clarus,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Joshua Resnick, M.D. </w:t>
      </w:r>
      <w:r>
        <w:rPr>
          <w:rFonts w:ascii="Arial" w:cs="Arial" w:eastAsia="Arial" w:hAnsi="Arial"/>
          <w:sz w:val="17"/>
          <w:szCs w:val="17"/>
          <w:color w:val="auto"/>
        </w:rPr>
        <w:t>has served as a member of our board of directors since July 2016. Dr. Resnick has been a partner at SV Health Investors,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board of directors currently consists of seven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upon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 directors will be</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 directors will be</w:t>
            </w:r>
          </w:p>
        </w:tc>
        <w:tc>
          <w:tcPr>
            <w:tcW w:w="74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III directors will be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400"/>
        <w:spacing w:after="0"/>
        <w:tabs>
          <w:tab w:leader="none" w:pos="6420" w:val="left"/>
          <w:tab w:leader="none" w:pos="10380" w:val="left"/>
        </w:tabs>
        <w:rPr>
          <w:sz w:val="20"/>
          <w:szCs w:val="20"/>
          <w:color w:val="auto"/>
        </w:rPr>
      </w:pPr>
      <w:r>
        <w:rPr>
          <w:rFonts w:ascii="Arial" w:cs="Arial" w:eastAsia="Arial" w:hAnsi="Arial"/>
          <w:sz w:val="18"/>
          <w:szCs w:val="18"/>
          <w:color w:val="auto"/>
        </w:rPr>
        <w:t>will serve on the audit committee, which will be chaired by</w:t>
      </w:r>
      <w:r>
        <w:rPr>
          <w:sz w:val="20"/>
          <w:szCs w:val="20"/>
          <w:color w:val="auto"/>
        </w:rPr>
        <w:tab/>
      </w:r>
      <w:r>
        <w:rPr>
          <w:rFonts w:ascii="Arial" w:cs="Arial" w:eastAsia="Arial" w:hAnsi="Arial"/>
          <w:sz w:val="18"/>
          <w:szCs w:val="18"/>
          <w:color w:val="auto"/>
        </w:rPr>
        <w:t>. Our board of directors has determined that</w:t>
      </w:r>
      <w:r>
        <w:rPr>
          <w:sz w:val="20"/>
          <w:szCs w:val="20"/>
          <w:color w:val="auto"/>
        </w:rPr>
        <w:tab/>
      </w:r>
      <w:r>
        <w:rPr>
          <w:rFonts w:ascii="Arial" w:cs="Arial" w:eastAsia="Arial" w:hAnsi="Arial"/>
          <w:sz w:val="15"/>
          <w:szCs w:val="15"/>
          <w:color w:val="auto"/>
        </w:rPr>
        <w:t>are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“independent” for audit committee purposes as that term is defined in the rules of the SEC and the applicable Nasdaq rules, and each has sufficient</w:t>
      </w:r>
    </w:p>
    <w:p>
      <w:pPr>
        <w:spacing w:after="0" w:line="38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knowledge in financial and auditing matters to serve on the audit committee. Our board of directors has designated as an “audit committee financial expert,” as defined under the applicable rules of the SEC. The audit committee’s responsibilities include:</w:t>
      </w:r>
    </w:p>
    <w:p>
      <w:pPr>
        <w:spacing w:after="0" w:line="76"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800" w:hanging="424"/>
        <w:spacing w:after="0" w:line="308"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360"/>
        <w:spacing w:after="0"/>
        <w:tabs>
          <w:tab w:leader="none" w:pos="7020" w:val="left"/>
        </w:tabs>
        <w:rPr>
          <w:sz w:val="20"/>
          <w:szCs w:val="20"/>
          <w:color w:val="auto"/>
        </w:rPr>
      </w:pPr>
      <w:r>
        <w:rPr>
          <w:rFonts w:ascii="Arial" w:cs="Arial" w:eastAsia="Arial" w:hAnsi="Arial"/>
          <w:sz w:val="18"/>
          <w:szCs w:val="18"/>
          <w:color w:val="auto"/>
        </w:rPr>
        <w:t>will serve on the compensation committee, which will be chaired by</w:t>
      </w:r>
      <w:r>
        <w:rPr>
          <w:sz w:val="20"/>
          <w:szCs w:val="20"/>
          <w:color w:val="auto"/>
        </w:rPr>
        <w:tab/>
      </w:r>
      <w:r>
        <w:rPr>
          <w:rFonts w:ascii="Arial" w:cs="Arial" w:eastAsia="Arial" w:hAnsi="Arial"/>
          <w:sz w:val="16"/>
          <w:szCs w:val="16"/>
          <w:color w:val="auto"/>
        </w:rPr>
        <w:t>. Our board of directors has determined that each member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39"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annually reviewing and approving the corporate goals and objectives relevant to the compensation of our Chief Executive Officer;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34" w:lineRule="exact"/>
        <w:rPr>
          <w:rFonts w:ascii="Arial" w:cs="Arial" w:eastAsia="Arial" w:hAnsi="Arial"/>
          <w:sz w:val="17"/>
          <w:szCs w:val="17"/>
          <w:color w:val="auto"/>
        </w:rPr>
      </w:pPr>
    </w:p>
    <w:p>
      <w:pPr>
        <w:ind w:left="1060" w:right="300"/>
        <w:spacing w:after="0" w:line="261" w:lineRule="auto"/>
        <w:rPr>
          <w:rFonts w:ascii="Arial" w:cs="Arial" w:eastAsia="Arial" w:hAnsi="Arial"/>
          <w:sz w:val="17"/>
          <w:szCs w:val="17"/>
          <w:color w:val="auto"/>
        </w:rPr>
      </w:pPr>
      <w:r>
        <w:rPr>
          <w:rFonts w:ascii="Arial" w:cs="Arial" w:eastAsia="Arial" w:hAnsi="Arial"/>
          <w:sz w:val="18"/>
          <w:szCs w:val="18"/>
          <w:color w:val="auto"/>
        </w:rPr>
        <w:t>(i) determining the cash compensation of our Chief Executive Officer and (ii) determining and approving grants and awards to our Chief Executive Officer under equity-based plans;</w:t>
      </w:r>
    </w:p>
    <w:p>
      <w:pPr>
        <w:spacing w:after="0" w:line="89" w:lineRule="exact"/>
        <w:rPr>
          <w:rFonts w:ascii="Arial" w:cs="Arial" w:eastAsia="Arial" w:hAnsi="Arial"/>
          <w:sz w:val="17"/>
          <w:szCs w:val="17"/>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360"/>
        <w:spacing w:after="0"/>
        <w:tabs>
          <w:tab w:leader="none" w:pos="8740" w:val="left"/>
        </w:tabs>
        <w:rPr>
          <w:sz w:val="20"/>
          <w:szCs w:val="20"/>
          <w:color w:val="auto"/>
        </w:rPr>
      </w:pPr>
      <w:r>
        <w:rPr>
          <w:rFonts w:ascii="Arial" w:cs="Arial" w:eastAsia="Arial" w:hAnsi="Arial"/>
          <w:sz w:val="18"/>
          <w:szCs w:val="18"/>
          <w:color w:val="auto"/>
        </w:rPr>
        <w:t>will serve on the nominating and corporate governance committee, which will be chaired by</w:t>
      </w:r>
      <w:r>
        <w:rPr>
          <w:sz w:val="20"/>
          <w:szCs w:val="20"/>
          <w:color w:val="auto"/>
        </w:rPr>
        <w:tab/>
      </w:r>
      <w:r>
        <w:rPr>
          <w:rFonts w:ascii="Arial" w:cs="Arial" w:eastAsia="Arial" w:hAnsi="Arial"/>
          <w:sz w:val="16"/>
          <w:szCs w:val="16"/>
          <w:color w:val="auto"/>
        </w:rPr>
        <w:t>. Our board of directors has</w:t>
      </w:r>
    </w:p>
    <w:p>
      <w:pPr>
        <w:spacing w:after="0" w:line="23"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60" w:right="2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Katina Dorton, our Chief Financial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24,856</w:t>
            </w:r>
            <w:r>
              <w:rPr>
                <w:rFonts w:ascii="Arial" w:cs="Arial" w:eastAsia="Arial" w:hAnsi="Arial"/>
                <w:sz w:val="15"/>
                <w:szCs w:val="15"/>
                <w:color w:val="auto"/>
              </w:rPr>
              <w:t>(4)</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intend to enter into an amended and restated employment agreement with each of Mr. MacKay, Dr. Kreher and Ms. Dorton.</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These employment agreements provide for “at will” employment. The material terms of these employment agreements with our 2017 named executive officers are described below. The terms “change of control,” “cause” and “good reason” referred to below are defined in each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Geoff MacKay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entered into an employment agreement with Geoff MacKay, our President and Chief Executive Officer, on December 22, 2016. Under the terms of the employment agreement, Mr. MacKay is entitled to receive an annual base salary of $400,000 and an annual target bonus of 40% of his annual base salary based upon our board of directors’ assessment of Mr. MacKay’s performance and our attainment of targeted goals as set by the board of directors in their sole discretion. Pursuant to his employment agreement, Mr. MacKay also entered into a Confidentiality and IP Assignment Agreement with us.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Mr. MacKay’s employment agreement provides that, in the event that his employment is terminated by us without “cause” or by Mr. MacKay with “good reason”, subject to the execution and effectiveness of a separation agreement and release, he will be entitled to receive (i) an amount equal to 75% of his base salary, provided that Mr. MacKay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nine months. Additionally, all stock options and other stock based awards held by Mr. MacKay that would have vested if he had remained employed by us for an additional nine months following the date of termination will vest and become exercisable or non-forfeitable as of the date of termination.</w:t>
      </w:r>
    </w:p>
    <w:p>
      <w:pPr>
        <w:spacing w:after="0" w:line="16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Mr. MacKay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Nerissa Kreher, M.D.</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entered into an employment agreement with Dr. Nerissa Kreher, our Chief Medical Officer, on November 1, 2016. Under the terms of the employment agreement, Dr. Kreher is entitled to receive an annual base salary of $330,000 and an annual target bonus of 25% of her annual base salary based upon our board of directors’ assessment of Dr. Kreher’s performance and our attainment of targeted goals as set by the board of directors in their sole discretion. Pursuant to her employment agreement, Dr. Kreher also entered into a Confidentiality and IP Assignment Agreement with us.</w:t>
      </w:r>
    </w:p>
    <w:p>
      <w:pPr>
        <w:spacing w:after="0" w:line="154"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Dr. Kreher’s employment agreement provides that, in the event that her employment is terminated by us without “cause” or by Dr. Kreher with “good reason”, subject to the execution and effectiveness of a separation agreement and release, she will be entitled to receive (i) an amount equal to 50% of her base salary, provided that Dr. Kreher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Dr. Kreher had she remained employed with us for up to six months. Additionally, all stock options and other stock based awards held by Dr. Kreher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Dr. Kreher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Katina Dorton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entered into an employment agreement with Katina Dorton, our Chief Financial Officer, on July 20, 2017. Under the terms of the employment agreement, Ms. Dorton is entitled to receive an annual base salary of $325,000 and an annual target bonus of 35% of her annual base salary based upon our board of directors’ assessment of Ms. Dorton’s performance and our attainment of targeted goals as set by the board of directors in their sole discretion. Pursuant to her employment agreement, Ms. Dorton also entered into a Confidentiality and IP Assignment Agreement with us.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Ms. Dorton’s employment agreement,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54"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Ms. Dorton’s employment agreement provides that, in the event that her employment is terminated by us without “cause” or by Ms. Dorton with “good reason”, subject to the execution and effectiveness of a separation agreement and release, she will be entitled to receive (i) an amount equal to 50% of her base salary, provided that Ms. Dorton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six months. Additionally, all stock options and other stock based awards held by Ms. Dorton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Ms. Dorton shall accelerate and become fully exercisable or non-forfeitable immediately prior to the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160" w:type="dxa"/>
            <w:vAlign w:val="bottom"/>
            <w:gridSpan w:val="2"/>
          </w:tcPr>
          <w:p>
            <w:pPr>
              <w:jc w:val="center"/>
              <w:ind w:right="263"/>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3"/>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Shares or</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9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Units of</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40" w:type="dxa"/>
            <w:vAlign w:val="bottom"/>
            <w:gridSpan w:val="2"/>
          </w:tcPr>
          <w:p>
            <w:pPr>
              <w:jc w:val="center"/>
              <w:ind w:left="147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Stock that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6"/>
                <w:szCs w:val="16"/>
                <w:color w:val="auto"/>
              </w:rPr>
            </w:pPr>
          </w:p>
        </w:tc>
        <w:tc>
          <w:tcPr>
            <w:tcW w:w="98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9"/>
              </w:rPr>
              <w:t>Vested (#)</w:t>
            </w:r>
          </w:p>
        </w:tc>
        <w:tc>
          <w:tcPr>
            <w:tcW w:w="14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Geoff</w:t>
            </w:r>
          </w:p>
        </w:tc>
        <w:tc>
          <w:tcPr>
            <w:tcW w:w="278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MacKay</w:t>
            </w:r>
          </w:p>
        </w:tc>
        <w:tc>
          <w:tcPr>
            <w:tcW w:w="1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312,500</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687,500</w:t>
            </w:r>
          </w:p>
        </w:tc>
        <w:tc>
          <w:tcPr>
            <w:tcW w:w="300" w:type="dxa"/>
            <w:vAlign w:val="bottom"/>
            <w:tcBorders>
              <w:top w:val="single" w:sz="8" w:color="CCEEFF"/>
            </w:tcBorders>
            <w:shd w:val="clear" w:color="auto" w:fill="CCEEFF"/>
          </w:tcPr>
          <w:p>
            <w:pPr>
              <w:jc w:val="right"/>
              <w:ind w:right="63"/>
              <w:spacing w:after="0" w:line="155" w:lineRule="exact"/>
              <w:rPr>
                <w:sz w:val="20"/>
                <w:szCs w:val="20"/>
                <w:color w:val="auto"/>
              </w:rPr>
            </w:pPr>
            <w:r>
              <w:rPr>
                <w:rFonts w:ascii="Arial" w:cs="Arial" w:eastAsia="Arial" w:hAnsi="Arial"/>
                <w:sz w:val="15"/>
                <w:szCs w:val="15"/>
                <w:color w:val="auto"/>
                <w:w w:val="76"/>
              </w:rPr>
              <w:t>(1)</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9"/>
              </w:rPr>
              <w:t>300,000</w:t>
            </w:r>
          </w:p>
        </w:tc>
        <w:tc>
          <w:tcPr>
            <w:tcW w:w="300" w:type="dxa"/>
            <w:vAlign w:val="bottom"/>
            <w:tcBorders>
              <w:top w:val="single" w:sz="8" w:color="CCEEFF"/>
            </w:tcBorders>
            <w:shd w:val="clear" w:color="auto" w:fill="CCEEFF"/>
          </w:tcPr>
          <w:p>
            <w:pPr>
              <w:jc w:val="right"/>
              <w:ind w:right="43"/>
              <w:spacing w:after="0" w:line="155" w:lineRule="exact"/>
              <w:rPr>
                <w:sz w:val="20"/>
                <w:szCs w:val="20"/>
                <w:color w:val="auto"/>
              </w:rPr>
            </w:pPr>
            <w:r>
              <w:rPr>
                <w:rFonts w:ascii="Arial" w:cs="Arial" w:eastAsia="Arial" w:hAnsi="Arial"/>
                <w:sz w:val="15"/>
                <w:szCs w:val="15"/>
                <w:color w:val="auto"/>
                <w:w w:val="87"/>
              </w:rPr>
              <w:t>(4)</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297,000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190,068</w:t>
            </w:r>
            <w:r>
              <w:rPr>
                <w:rFonts w:ascii="Arial" w:cs="Arial" w:eastAsia="Arial" w:hAnsi="Arial"/>
                <w:sz w:val="15"/>
                <w:szCs w:val="15"/>
                <w:color w:val="auto"/>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654,170</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Nerissa Kreher, M.D.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103,540</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251,460</w:t>
            </w:r>
            <w:r>
              <w:rPr>
                <w:rFonts w:ascii="Arial" w:cs="Arial" w:eastAsia="Arial" w:hAnsi="Arial"/>
                <w:sz w:val="15"/>
                <w:szCs w:val="15"/>
                <w:color w:val="auto"/>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10/24/2026</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113,926</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60" w:hanging="436"/>
        <w:spacing w:after="0" w:line="281"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On November 27, 2015, Mr. MacKay transferred his ownership of 300,000 shares to each of his two children, 150,000 shares subject to each transfer remain unvested and subject to vesting as of December 31, 2017, based on Mr. MacKay’s continued service to our company.</w:t>
      </w:r>
    </w:p>
    <w:p>
      <w:pPr>
        <w:spacing w:after="0" w:line="1" w:lineRule="exact"/>
        <w:rPr>
          <w:rFonts w:ascii="Arial" w:cs="Arial" w:eastAsia="Arial" w:hAnsi="Arial"/>
          <w:sz w:val="16"/>
          <w:szCs w:val="16"/>
          <w:color w:val="auto"/>
        </w:rPr>
      </w:pPr>
    </w:p>
    <w:p>
      <w:pPr>
        <w:ind w:left="640" w:right="160" w:hanging="436"/>
        <w:spacing w:after="0" w:line="323"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There was no public market for our common stock as of December 31, 2017. This column represents the value of the shares of restricted stock as of December 31, 2017, based on the fair market value of our common stock as of December 31, 2017, which was $0.99 per share.</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2015 Plan, was approved by our board of directors and our stockholders on July 21, 2016. The 2015 Plan was most recently amended in January 2018 with the approval of both our board of directors and our stockholders. Under the 2015 Plan, we have reserved for issuance an aggregate of 8,299,387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88"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47"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2015 Plan will terminate automatically upon the earlier of 10 years from the date on which the 2015 Plan was adopted by our board of directors or 10 years from the date the 2015 Plan is approved by the Company’s stockholders. As of March 31, 2018, options to purchase 7,391,214 shares of common stock were outstanding under the 2015 Plan. Our board of directors has determined not to make any further awards under the 2015 Plan following the closing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400" w:firstLine="441"/>
        <w:spacing w:after="0" w:line="274" w:lineRule="auto"/>
        <w:rPr>
          <w:sz w:val="20"/>
          <w:szCs w:val="20"/>
          <w:color w:val="auto"/>
        </w:rPr>
      </w:pPr>
      <w:r>
        <w:rPr>
          <w:rFonts w:ascii="Arial" w:cs="Arial" w:eastAsia="Arial" w:hAnsi="Arial"/>
          <w:sz w:val="17"/>
          <w:szCs w:val="17"/>
          <w:color w:val="auto"/>
        </w:rPr>
        <w:t>Our 2018 Stock Option and Incentive Plan, or the 2018 Plan, was adopted by our board of directors on , 2018 and approved by our stockholders on , 2018 and will become effective upon the effectiveness of the registration statement of which this prospectus is part. The</w:t>
      </w:r>
    </w:p>
    <w:p>
      <w:pPr>
        <w:jc w:val="both"/>
        <w:ind w:left="200" w:right="140"/>
        <w:spacing w:after="0" w:line="255" w:lineRule="auto"/>
        <w:rPr>
          <w:sz w:val="20"/>
          <w:szCs w:val="20"/>
          <w:color w:val="auto"/>
        </w:rPr>
      </w:pPr>
      <w:r>
        <w:rPr>
          <w:rFonts w:ascii="Arial" w:cs="Arial" w:eastAsia="Arial" w:hAnsi="Arial"/>
          <w:sz w:val="18"/>
          <w:szCs w:val="18"/>
          <w:color w:val="auto"/>
        </w:rPr>
        <w:t>2018 Plan will replace the 2015 Plan as our board of directors has determined not to make additional awards under the 2015 Plan following the closing of our initial public offering. The 2018 Plan allows the compensation committee to make equity-based and cash-based incentive awards to our officers, employees, directors and other key persons (including consultants).</w:t>
      </w:r>
    </w:p>
    <w:p>
      <w:pPr>
        <w:spacing w:after="0" w:line="19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initially reserved shares of our common stock, or the Initial Limit, for the issuance of awards under the 2018 Plan, plus the shares of common stock remaining available for issuance under our 2015 Plan. The 2018 Plan provides that the number of shares reserved and available for issuance under the plan will automatically increase each January 1, beginning on January 1, 2019, by %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5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shares we issue under the 2018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Stock options and stock appreciation rights with respect to no more than shares of stock may be granted to any one individual in any one calendar year. The maximum aggregate number of shares that may be issued in the form of incentive stock options shall not exceed the Initial Limit</w:t>
      </w:r>
    </w:p>
    <w:p>
      <w:pPr>
        <w:ind w:left="200" w:right="340"/>
        <w:spacing w:after="0" w:line="261" w:lineRule="auto"/>
        <w:rPr>
          <w:sz w:val="20"/>
          <w:szCs w:val="20"/>
          <w:color w:val="auto"/>
        </w:rPr>
      </w:pPr>
      <w:r>
        <w:rPr>
          <w:rFonts w:ascii="Arial" w:cs="Arial" w:eastAsia="Arial" w:hAnsi="Arial"/>
          <w:sz w:val="18"/>
          <w:szCs w:val="18"/>
          <w:color w:val="auto"/>
        </w:rPr>
        <w:t>cumulatively increased on January 1, 2019 and on each January 1 thereafter by the lesser of the Annual Increase for such year or shares of common stock.</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2018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will be those full or part-time officers, employees, non-employee directors and other key persons (including consultants) as selected from time to time by our compensation committee in its discretion.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47"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7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holder’s consent. Certain amendments to the 2018 Plan require the approval of our stockholders. No awards may be granted under the 2018 Plan after the date that is 10 years from the date of stockholder approval. No awards under the 2018 Plan have been made prior to the date of this prospectus.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Our 2018 Employee Stock Purchase Plan, or the ESPP, was adopted by our board of directors on        , 2018 and approved by our stockholders on        , 2018 and will become effective upon the effectiveness of the registration statement of which this prospectus is part. The</w:t>
      </w:r>
    </w:p>
    <w:p>
      <w:pPr>
        <w:ind w:left="200"/>
        <w:spacing w:after="0"/>
        <w:rPr>
          <w:sz w:val="20"/>
          <w:szCs w:val="20"/>
          <w:color w:val="auto"/>
        </w:rPr>
      </w:pPr>
      <w:r>
        <w:rPr>
          <w:rFonts w:ascii="Arial" w:cs="Arial" w:eastAsia="Arial" w:hAnsi="Arial"/>
          <w:sz w:val="16"/>
          <w:szCs w:val="16"/>
          <w:color w:val="auto"/>
        </w:rPr>
        <w:t>ESPP is intended to qualify as an “employee stock purchase plan” within the meaning of Section 423(b) of the Code. The ESPP initially reserves and</w:t>
      </w:r>
    </w:p>
    <w:p>
      <w:pPr>
        <w:spacing w:after="0" w:line="32"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authorizes the issuance of up to a total of shares of common stock to participating employees. The ESPP provides that the number of shares reserved and available for issuance will automatically increase each January 1, beginning on January 1, 2019 and each January 1 thereafter through January 1, , by the least of (i) % of the outstanding number of shares of our common stock on the immediately preceding December 31;</w:t>
      </w:r>
    </w:p>
    <w:p>
      <w:pPr>
        <w:spacing w:after="0" w:line="2" w:lineRule="exact"/>
        <w:rPr>
          <w:sz w:val="20"/>
          <w:szCs w:val="20"/>
          <w:color w:val="auto"/>
        </w:rPr>
      </w:pPr>
    </w:p>
    <w:p>
      <w:pPr>
        <w:ind w:left="200" w:right="20" w:firstLine="4"/>
        <w:spacing w:after="0" w:line="261" w:lineRule="auto"/>
        <w:tabs>
          <w:tab w:leader="none" w:pos="11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or (iii) such number of shares as determined by the ESPP administrator. The number of shares reserved under the ESPP is subject to adjustment in the event of a stock split, stock dividend or other change in our capitalization.</w:t>
      </w:r>
    </w:p>
    <w:p>
      <w:pPr>
        <w:spacing w:after="0" w:line="18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All employees who have completed at least days of employment and whose customary employment is for more than hours per week are eligible to participate in the ESPP. However, any employee who owns 5% or more of the total combined voting power or value of all classes of stock is not eligible to purchase shares under the ESPP.</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w:t>
      </w:r>
    </w:p>
    <w:p>
      <w:pPr>
        <w:spacing w:after="0" w:line="2"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than $</w:t>
      </w:r>
      <w:r>
        <w:rPr>
          <w:sz w:val="20"/>
          <w:szCs w:val="20"/>
          <w:color w:val="auto"/>
        </w:rPr>
        <w:tab/>
      </w:r>
      <w:r>
        <w:rPr>
          <w:rFonts w:ascii="Arial" w:cs="Arial" w:eastAsia="Arial" w:hAnsi="Arial"/>
          <w:sz w:val="16"/>
          <w:szCs w:val="16"/>
          <w:color w:val="auto"/>
        </w:rPr>
        <w:t>worth of shares of common stock, valued at the start of the purchase period, under the ESPP in any calendar year.</w:t>
      </w:r>
    </w:p>
    <w:p>
      <w:pPr>
        <w:spacing w:after="0" w:line="21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Our compensation committee may select corporate performance goals from among the following: achievement of specified research and development, publication, clinical and/or regulatory milestones, adjusted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6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342"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Pursuant to a letter agreement with us, Mr. Clark is paid an annual cash retainer of $50,000 for his service on the board of directors. As of December 31, 2017, Mr. Clark held an option to purchase 201,396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board of directors expects to adopt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MEMBER</w:t>
            </w:r>
          </w:p>
        </w:tc>
        <w:tc>
          <w:tcPr>
            <w:tcW w:w="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rPr>
              <w:t>ANNUAL</w:t>
            </w:r>
          </w:p>
        </w:tc>
        <w:tc>
          <w:tcPr>
            <w:tcW w:w="8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rPr>
              <w:t>FEE</w:t>
            </w: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32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Board of Directors</w:t>
            </w:r>
          </w:p>
        </w:tc>
        <w:tc>
          <w:tcPr>
            <w:tcW w:w="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Audit Committee</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20" w:type="dxa"/>
            <w:vAlign w:val="bottom"/>
            <w:gridSpan w:val="7"/>
          </w:tcPr>
          <w:p>
            <w:pPr>
              <w:ind w:left="420"/>
              <w:spacing w:after="0"/>
              <w:rPr>
                <w:sz w:val="20"/>
                <w:szCs w:val="20"/>
                <w:color w:val="auto"/>
              </w:rPr>
            </w:pPr>
            <w:r>
              <w:rPr>
                <w:rFonts w:ascii="Arial" w:cs="Arial" w:eastAsia="Arial" w:hAnsi="Arial"/>
                <w:sz w:val="18"/>
                <w:szCs w:val="18"/>
                <w:color w:val="auto"/>
                <w:w w:val="96"/>
              </w:rPr>
              <w:t>In addition, each non-employee director serving on our board of directors upon completion of this offering and each non-employee director</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6"/>
              </w:rPr>
              <w:t>elected or appointed to our board of directors following the completion of this offering will be granted</w:t>
            </w:r>
          </w:p>
        </w:tc>
        <w:tc>
          <w:tcPr>
            <w:tcW w:w="3360" w:type="dxa"/>
            <w:vAlign w:val="bottom"/>
            <w:gridSpan w:val="6"/>
          </w:tcPr>
          <w:p>
            <w:pPr>
              <w:ind w:left="100"/>
              <w:spacing w:after="0"/>
              <w:rPr>
                <w:sz w:val="20"/>
                <w:szCs w:val="20"/>
                <w:color w:val="auto"/>
              </w:rPr>
            </w:pPr>
            <w:r>
              <w:rPr>
                <w:rFonts w:ascii="Arial" w:cs="Arial" w:eastAsia="Arial" w:hAnsi="Arial"/>
                <w:sz w:val="18"/>
                <w:szCs w:val="18"/>
                <w:color w:val="auto"/>
              </w:rPr>
              <w:t>on the date of such director’s election or</w:t>
            </w:r>
          </w:p>
        </w:tc>
        <w:tc>
          <w:tcPr>
            <w:tcW w:w="0" w:type="dxa"/>
            <w:vAlign w:val="bottom"/>
          </w:tcPr>
          <w:p>
            <w:pPr>
              <w:spacing w:after="0"/>
              <w:rPr>
                <w:sz w:val="1"/>
                <w:szCs w:val="1"/>
                <w:color w:val="auto"/>
              </w:rPr>
            </w:pPr>
          </w:p>
        </w:tc>
      </w:tr>
      <w:tr>
        <w:trPr>
          <w:trHeight w:val="216"/>
        </w:trPr>
        <w:tc>
          <w:tcPr>
            <w:tcW w:w="9960" w:type="dxa"/>
            <w:vAlign w:val="bottom"/>
            <w:gridSpan w:val="5"/>
          </w:tcPr>
          <w:p>
            <w:pPr>
              <w:spacing w:after="0"/>
              <w:rPr>
                <w:sz w:val="20"/>
                <w:szCs w:val="20"/>
                <w:color w:val="auto"/>
              </w:rPr>
            </w:pPr>
            <w:r>
              <w:rPr>
                <w:rFonts w:ascii="Arial" w:cs="Arial" w:eastAsia="Arial" w:hAnsi="Arial"/>
                <w:sz w:val="18"/>
                <w:szCs w:val="18"/>
                <w:color w:val="auto"/>
                <w:w w:val="92"/>
              </w:rPr>
              <w:t>appointment to the board of directors, which will vest in the following manner, subject to continued service through such vesting date(s):</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90"/>
              </w:rPr>
              <w:t>. On the</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date of each annual meeting of stockholders of our company, each non-employee director will be granted</w:t>
            </w: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w w:val="95"/>
              </w:rPr>
              <w:t>, which will vest in the following manner,</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subject to continued service as a director through such vesting date(s):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80" w:type="dxa"/>
            <w:vAlign w:val="bottom"/>
            <w:gridSpan w:val="2"/>
          </w:tcPr>
          <w:p>
            <w:pPr>
              <w:ind w:left="5380"/>
              <w:spacing w:after="0"/>
              <w:rPr>
                <w:sz w:val="20"/>
                <w:szCs w:val="20"/>
                <w:color w:val="auto"/>
              </w:rPr>
            </w:pPr>
            <w:r>
              <w:rPr>
                <w:rFonts w:ascii="Arial" w:cs="Arial" w:eastAsia="Arial" w:hAnsi="Arial"/>
                <w:sz w:val="18"/>
                <w:szCs w:val="18"/>
                <w:color w:val="auto"/>
              </w:rPr>
              <w:t>141</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$736,0000 and $151,000 to UHN under this agreement, respectively. Pursuant to this agreement, UHN also purchased 4,800,000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June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June 2017 agreements, respectively.</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UHN is currently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this offering, we expect to adopt a written related party transactions policy that such transactions must be approved by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committee. This policy will become effective on the date on which the registration statement of which this prospectus is part is declared effective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the SEC. Pursuant to this policy, the audit committee has the primary responsibility for reviewing and approving or disapproving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March 31,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March 31,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percentage of beneficial ownership prior to this offering in the table below is based on 73,969,821 shares of common stock deemed to be outstanding as of March 31, 2018, assuming the conversion of all outstanding shares of our preferred stock upon the closing of this offering into an aggregate of 63,303,154 shares of common stock upon the completion of this offering, and the percentage of beneficial ownership at this offering in the</w:t>
      </w:r>
    </w:p>
    <w:p>
      <w:pPr>
        <w:ind w:left="200" w:right="20"/>
        <w:spacing w:after="0" w:line="261" w:lineRule="auto"/>
        <w:rPr>
          <w:sz w:val="20"/>
          <w:szCs w:val="20"/>
          <w:color w:val="auto"/>
        </w:rPr>
      </w:pPr>
      <w:r>
        <w:rPr>
          <w:rFonts w:ascii="Arial" w:cs="Arial" w:eastAsia="Arial" w:hAnsi="Arial"/>
          <w:sz w:val="18"/>
          <w:szCs w:val="18"/>
          <w:color w:val="auto"/>
        </w:rPr>
        <w:t>table below is based on shares of common stock assumed to be outstanding after the closing of the offering. The information in the table below assumes no exercise of the underwriters’ option to purchase additional shares.</w:t>
      </w:r>
    </w:p>
    <w:p>
      <w:pPr>
        <w:spacing w:after="0" w:line="18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80" w:type="dxa"/>
            <w:vAlign w:val="bottom"/>
            <w:gridSpan w:val="2"/>
          </w:tcPr>
          <w:p>
            <w:pPr>
              <w:jc w:val="center"/>
              <w:ind w:left="892"/>
              <w:spacing w:after="0" w:line="119" w:lineRule="exact"/>
              <w:rPr>
                <w:sz w:val="20"/>
                <w:szCs w:val="20"/>
                <w:color w:val="auto"/>
              </w:rPr>
            </w:pPr>
            <w:r>
              <w:rPr>
                <w:rFonts w:ascii="Arial" w:cs="Arial" w:eastAsia="Arial" w:hAnsi="Arial"/>
                <w:sz w:val="13"/>
                <w:szCs w:val="13"/>
                <w:b w:val="1"/>
                <w:bCs w:val="1"/>
                <w:color w:val="auto"/>
              </w:rPr>
              <w:t>BENEFICIALLY OWNED</w:t>
            </w:r>
          </w:p>
        </w:tc>
        <w:tc>
          <w:tcPr>
            <w:tcW w:w="800" w:type="dxa"/>
            <w:vAlign w:val="bottom"/>
          </w:tcPr>
          <w:p>
            <w:pPr>
              <w:spacing w:after="0"/>
              <w:rPr>
                <w:sz w:val="10"/>
                <w:szCs w:val="10"/>
                <w:color w:val="auto"/>
              </w:rPr>
            </w:pPr>
          </w:p>
        </w:tc>
        <w:tc>
          <w:tcPr>
            <w:tcW w:w="940" w:type="dxa"/>
            <w:vAlign w:val="bottom"/>
            <w:tcBorders>
              <w:top w:val="single" w:sz="8" w:color="auto"/>
            </w:tcBorders>
          </w:tcPr>
          <w:p>
            <w:pPr>
              <w:jc w:val="right"/>
              <w:ind w:right="176"/>
              <w:spacing w:after="0" w:line="119" w:lineRule="exact"/>
              <w:rPr>
                <w:sz w:val="20"/>
                <w:szCs w:val="20"/>
                <w:color w:val="auto"/>
              </w:rPr>
            </w:pPr>
            <w:r>
              <w:rPr>
                <w:rFonts w:ascii="Arial" w:cs="Arial" w:eastAsia="Arial" w:hAnsi="Arial"/>
                <w:sz w:val="13"/>
                <w:szCs w:val="13"/>
                <w:b w:val="1"/>
                <w:bCs w:val="1"/>
                <w:color w:val="auto"/>
              </w:rPr>
              <w:t>BEFORE</w:t>
            </w:r>
          </w:p>
        </w:tc>
        <w:tc>
          <w:tcPr>
            <w:tcW w:w="1560" w:type="dxa"/>
            <w:vAlign w:val="bottom"/>
            <w:tcBorders>
              <w:top w:val="single" w:sz="8" w:color="auto"/>
            </w:tcBorders>
          </w:tcPr>
          <w:p>
            <w:pPr>
              <w:jc w:val="center"/>
              <w:ind w:left="689"/>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2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7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OFFERING</w:t>
            </w:r>
          </w:p>
        </w:tc>
        <w:tc>
          <w:tcPr>
            <w:tcW w:w="1600" w:type="dxa"/>
            <w:vAlign w:val="bottom"/>
            <w:gridSpan w:val="2"/>
          </w:tcPr>
          <w:p>
            <w:pPr>
              <w:jc w:val="center"/>
              <w:ind w:left="649"/>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7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19,653,771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12,240,329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11,305,269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University Health Network</w:t>
            </w:r>
            <w:r>
              <w:rPr>
                <w:rFonts w:ascii="Arial" w:cs="Arial" w:eastAsia="Arial" w:hAnsi="Arial"/>
                <w:sz w:val="15"/>
                <w:szCs w:val="15"/>
                <w:color w:val="auto"/>
              </w:rPr>
              <w:t>(4)</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(6)</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2,787,500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Katina Dorton</w:t>
            </w:r>
          </w:p>
        </w:tc>
        <w:tc>
          <w:tcPr>
            <w:tcW w:w="10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(8)</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140,520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Bruce Booth, D.Phil.</w:t>
            </w:r>
          </w:p>
        </w:tc>
        <w:tc>
          <w:tcPr>
            <w:tcW w:w="10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Ian T. Clark</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Annalisa Jenkins, M.B.B.S., F.C.R.P.</w:t>
            </w:r>
          </w:p>
        </w:tc>
        <w:tc>
          <w:tcPr>
            <w:tcW w:w="10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Christopher Paige, Ph.D.</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Scott G. Requadt</w:t>
            </w:r>
          </w:p>
        </w:tc>
        <w:tc>
          <w:tcPr>
            <w:tcW w:w="10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Resnick, M.D.</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w w:val="94"/>
              </w:rPr>
              <w:t>All executive officers and directors as a group (9 persons) (9)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2,928,020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146</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20" w:hanging="436"/>
        <w:spacing w:after="0" w:line="281"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3,333,333 shares of common stock issuable upon conversion of Series Seed preferred stock, (ii) 12,580,199 shares of common stock issuable upon conversion of Series A preferred stock and (iii) 3,740,239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9,435,150 shares of common stock issuable upon conversion of Series A preferred stock and (ii) 2,805,179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auto"/>
        </w:rPr>
      </w:pPr>
    </w:p>
    <w:p>
      <w:pPr>
        <w:ind w:left="640" w:right="20" w:hanging="436"/>
        <w:spacing w:after="0" w:line="265"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9,122,809 shares of common stock issuable upon conversion of shares of Series A preferred stock held of record by SV Life Sciences Fund VI, L.P., (ii) 312,341 shares of common stock issuable upon conversion of shares of Series A preferred stock held of record by SV Life Sciences Fund VI, Strategic Partners L.P., (iii) 1,808,211 shares of common stock issuable upon conversion of shares of Series B preferred stock held of record by SV Life Sciences Fund VI, L.P. and (iv) 61,908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 for each of the entities and individuals listed above is One Boston Place, Suite 3900, 201 Washington Street, Boston, Massachusetts 02108.</w:t>
      </w:r>
    </w:p>
    <w:p>
      <w:pPr>
        <w:spacing w:after="0" w:line="2" w:lineRule="exact"/>
        <w:rPr>
          <w:rFonts w:ascii="Arial" w:cs="Arial" w:eastAsia="Arial" w:hAnsi="Arial"/>
          <w:sz w:val="17"/>
          <w:szCs w:val="17"/>
          <w:color w:val="auto"/>
        </w:rPr>
      </w:pPr>
    </w:p>
    <w:p>
      <w:pPr>
        <w:ind w:left="640" w:right="10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4,800,000 shares of common stock. The address for University Health Network is 101 College Street, Toronto, Ontario, Canada M5G 1L7.</w:t>
      </w:r>
    </w:p>
    <w:p>
      <w:pPr>
        <w:ind w:left="640" w:right="50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5,610,360 shares of common stock issuable upon conversion of Series B preferred stock. The address for Citadel Multi-Strategy Equities Master Fund Ltd. is c/o Citadel Advisors LLC, 601 Lexington Avenue, New York, NY 10022.</w:t>
      </w:r>
    </w:p>
    <w:p>
      <w:pPr>
        <w:ind w:left="640" w:right="160" w:hanging="436"/>
        <w:spacing w:after="0" w:line="273"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4,366,543 shares of common stock issuable upon conversion of shares of Series B preferred stock held of record by Cormorant Private Healthcare Fund I, LP, or Cormorant Private Fund, (ii) 1,005,938 shares of common stock issuable upon conversion of shares of Series B preferred stock held of record by Cormorant Global Healthcare Master Fund, LP, or Cormorant Master Fund and (iii) 237,879 shares of common stock issuable upon conversion of shares of Series B preferred stock held of record by CRMA</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4" w:lineRule="auto"/>
        <w:rPr>
          <w:sz w:val="20"/>
          <w:szCs w:val="20"/>
          <w:color w:val="auto"/>
        </w:rPr>
      </w:pPr>
      <w:r>
        <w:rPr>
          <w:rFonts w:ascii="Arial" w:cs="Arial" w:eastAsia="Arial" w:hAnsi="Arial"/>
          <w:sz w:val="16"/>
          <w:szCs w:val="16"/>
          <w:color w:val="auto"/>
        </w:rPr>
        <w:t>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5" w:lineRule="exact"/>
        <w:rPr>
          <w:sz w:val="20"/>
          <w:szCs w:val="20"/>
          <w:color w:val="auto"/>
        </w:rPr>
      </w:pPr>
    </w:p>
    <w:p>
      <w:pPr>
        <w:ind w:left="640" w:right="160" w:hanging="43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(i) 1,750,000 shares of common stock, (ii) 300,000 shares of common stock held by Mac MacKay, (iii), 300,000 shares of common stock held by Kali MacKay and (iv) 437,500 shares of common stock issuable upon exercise of options within 60 days of March 31,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140,520 shares of common stock issuable upon exercise of options within 60 days of March 31, 2018.</w:t>
      </w:r>
    </w:p>
    <w:p>
      <w:pPr>
        <w:spacing w:after="0" w:line="9" w:lineRule="exact"/>
        <w:rPr>
          <w:rFonts w:ascii="Arial" w:cs="Arial" w:eastAsia="Arial" w:hAnsi="Arial"/>
          <w:sz w:val="18"/>
          <w:szCs w:val="18"/>
          <w:color w:val="auto"/>
        </w:rPr>
      </w:pPr>
    </w:p>
    <w:p>
      <w:pPr>
        <w:ind w:left="640" w:right="120" w:hanging="436"/>
        <w:spacing w:after="0" w:line="261"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an aggregate of 578,020 shares issuable upon exercise of stock options within 60 days of March 31, 2018 held by our executive officers and directors as a group.</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920" w:right="860" w:hanging="278"/>
        <w:spacing w:after="0" w:line="277" w:lineRule="auto"/>
        <w:rPr>
          <w:sz w:val="20"/>
          <w:szCs w:val="20"/>
          <w:color w:val="auto"/>
        </w:rPr>
      </w:pPr>
      <w:r>
        <w:rPr>
          <w:rFonts w:ascii="Arial" w:cs="Arial" w:eastAsia="Arial" w:hAnsi="Arial"/>
          <w:sz w:val="18"/>
          <w:szCs w:val="18"/>
          <w:color w:val="auto"/>
        </w:rPr>
        <w:t>Upon completion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$0.0001 per share, and shares of preferred stock, par value $0.0001 per share, all of which shares of preferred stock will be undesignated.</w:t>
      </w:r>
    </w:p>
    <w:p>
      <w:pPr>
        <w:spacing w:after="0" w:line="170"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As of March 31, 2018, 10,666,667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all outstanding shares of our preferred stock will be converted into shares of our common stock. Upon the</w:t>
      </w:r>
    </w:p>
    <w:p>
      <w:pPr>
        <w:spacing w:after="0" w:line="46"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outstanding options to purchase an aggregate of 7,391,214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640"/>
        <w:spacing w:after="0"/>
        <w:tabs>
          <w:tab w:leader="none" w:pos="512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6"/>
          <w:szCs w:val="16"/>
          <w:color w:val="auto"/>
        </w:rPr>
        <w:t>shares of our common stock, including those issuable upon the conversion of</w:t>
      </w:r>
    </w:p>
    <w:p>
      <w:pPr>
        <w:spacing w:after="0" w:line="23"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640"/>
        <w:spacing w:after="0"/>
        <w:tabs>
          <w:tab w:leader="none" w:pos="7660" w:val="left"/>
        </w:tabs>
        <w:rPr>
          <w:sz w:val="20"/>
          <w:szCs w:val="20"/>
          <w:color w:val="auto"/>
        </w:rPr>
      </w:pPr>
      <w:r>
        <w:rPr>
          <w:rFonts w:ascii="Arial" w:cs="Arial" w:eastAsia="Arial" w:hAnsi="Arial"/>
          <w:sz w:val="18"/>
          <w:szCs w:val="18"/>
          <w:color w:val="auto"/>
        </w:rPr>
        <w:t>Beginning 180 days after the effective date of this registration statement, the holders of</w:t>
      </w:r>
      <w:r>
        <w:rPr>
          <w:sz w:val="20"/>
          <w:szCs w:val="20"/>
          <w:color w:val="auto"/>
        </w:rPr>
        <w:tab/>
      </w:r>
      <w:r>
        <w:rPr>
          <w:rFonts w:ascii="Arial" w:cs="Arial" w:eastAsia="Arial" w:hAnsi="Arial"/>
          <w:sz w:val="16"/>
          <w:szCs w:val="16"/>
          <w:color w:val="auto"/>
        </w:rPr>
        <w:t>shares of our common stock, including those</w:t>
      </w:r>
    </w:p>
    <w:p>
      <w:pPr>
        <w:spacing w:after="0" w:line="23"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for</w:t>
      </w:r>
    </w:p>
    <w:p>
      <w:pPr>
        <w:spacing w:after="0" w:line="23" w:lineRule="exact"/>
        <w:rPr>
          <w:sz w:val="20"/>
          <w:szCs w:val="20"/>
          <w:color w:val="auto"/>
        </w:rPr>
      </w:pPr>
    </w:p>
    <w:p>
      <w:pPr>
        <w:ind w:left="200" w:firstLine="720"/>
        <w:spacing w:after="0" w:line="251" w:lineRule="auto"/>
        <w:rPr>
          <w:sz w:val="20"/>
          <w:szCs w:val="20"/>
          <w:color w:val="auto"/>
        </w:rPr>
      </w:pPr>
      <w:r>
        <w:rPr>
          <w:rFonts w:ascii="Arial" w:cs="Arial" w:eastAsia="Arial" w:hAnsi="Arial"/>
          <w:sz w:val="18"/>
          <w:szCs w:val="18"/>
          <w:color w:val="auto"/>
        </w:rPr>
        <w:t>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Our amended and restated certificate of incorporation that will become effective upon the closing of this offering will provide that, unless we consent in writing to the selection of an alternative form, the Court of Chancery of the State of Delaware will be the sole and exclusive forum for:</w:t>
      </w:r>
    </w:p>
    <w:p>
      <w:pPr>
        <w:ind w:left="200" w:right="100" w:firstLine="4"/>
        <w:spacing w:after="0" w:line="252" w:lineRule="auto"/>
        <w:tabs>
          <w:tab w:leader="none" w:pos="4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w:t>
      </w:r>
    </w:p>
    <w:p>
      <w:pPr>
        <w:spacing w:after="0" w:line="19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our amended and restated certificate of incorporation that will become effective upon the closing of this offering will contain a provision by virtue of which unless we consent in writing to the selection of an alternative forum, the United States District Court for the District of Massachusetts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Court for the District of Massachusetts, the plaintiff or plaintiffs shall be deemed by this provision of our certificate of incorporation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tabs>
          <w:tab w:leader="none" w:pos="564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60"/>
          </w:cols>
          <w:pgMar w:left="24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Based on the number of shares outstanding as of March 31, 2018, upon the completion of this offering,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80" w:firstLine="4"/>
        <w:spacing w:after="0" w:line="253" w:lineRule="auto"/>
        <w:tabs>
          <w:tab w:leader="none" w:pos="4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80"/>
          </w:cols>
          <w:pgMar w:left="240" w:top="459" w:right="479" w:bottom="1440" w:gutter="0" w:footer="0" w:header="0"/>
        </w:sectPr>
      </w:pPr>
    </w:p>
    <w:p>
      <w:pPr>
        <w:spacing w:after="0" w:line="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1% of the number of shares then outstanding, which will equal approximately shares immediately after this offering, assuming no exercise of the underwriters’ option to purchase additional shares, based on the number of shares outstanding as of March 31, 2018; or</w:t>
      </w:r>
    </w:p>
    <w:p>
      <w:pPr>
        <w:spacing w:after="0" w:line="29" w:lineRule="exact"/>
        <w:rPr>
          <w:sz w:val="20"/>
          <w:szCs w:val="20"/>
          <w:color w:val="auto"/>
        </w:rPr>
      </w:pPr>
    </w:p>
    <w:p>
      <w:pPr>
        <w:sectPr>
          <w:pgSz w:w="11900" w:h="16838" w:orient="portrait"/>
          <w:cols w:equalWidth="0" w:num="2">
            <w:col w:w="700" w:space="360"/>
            <w:col w:w="10120"/>
          </w:cols>
          <w:pgMar w:left="240" w:top="459" w:right="479" w:bottom="1440" w:gutter="0" w:footer="0" w:header="0"/>
          <w:type w:val="continuous"/>
        </w:sectPr>
      </w:pPr>
    </w:p>
    <w:p>
      <w:pPr>
        <w:ind w:left="1060" w:right="4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240" w:top="459" w:right="47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w:t>
      </w:r>
    </w:p>
    <w:p>
      <w:pPr>
        <w:ind w:left="200" w:right="40"/>
        <w:spacing w:after="0" w:line="261" w:lineRule="auto"/>
        <w:rPr>
          <w:sz w:val="20"/>
          <w:szCs w:val="20"/>
          <w:color w:val="auto"/>
        </w:rPr>
      </w:pPr>
      <w:r>
        <w:rPr>
          <w:rFonts w:ascii="Arial" w:cs="Arial" w:eastAsia="Arial" w:hAnsi="Arial"/>
          <w:sz w:val="18"/>
          <w:szCs w:val="18"/>
          <w:color w:val="auto"/>
        </w:rPr>
        <w:t>market, unless such shares are subject to vesting restrictions with us or the lock-up restrictions described above. As of , 2018, we estimate that such registration statement on Form S-8 will cover approximately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right="40" w:hanging="424"/>
        <w:spacing w:after="0" w:line="270"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60"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0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right"/>
              <w:ind w:right="609"/>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9"/>
              <w:spacing w:after="0" w:line="119" w:lineRule="exact"/>
              <w:rPr>
                <w:sz w:val="20"/>
                <w:szCs w:val="20"/>
                <w:color w:val="auto"/>
              </w:rPr>
            </w:pPr>
            <w:r>
              <w:rPr>
                <w:rFonts w:ascii="Arial" w:cs="Arial" w:eastAsia="Arial" w:hAnsi="Arial"/>
                <w:sz w:val="13"/>
                <w:szCs w:val="13"/>
                <w:b w:val="1"/>
                <w:bCs w:val="1"/>
                <w:color w:val="auto"/>
              </w:rPr>
              <w:t>Full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660" w:type="dxa"/>
            <w:vAlign w:val="bottom"/>
            <w:gridSpan w:val="8"/>
          </w:tcPr>
          <w:p>
            <w:pPr>
              <w:jc w:val="right"/>
              <w:ind w:right="29"/>
              <w:spacing w:after="0"/>
              <w:rPr>
                <w:sz w:val="20"/>
                <w:szCs w:val="20"/>
                <w:color w:val="auto"/>
              </w:rPr>
            </w:pPr>
            <w:r>
              <w:rPr>
                <w:rFonts w:ascii="Arial" w:cs="Arial" w:eastAsia="Arial" w:hAnsi="Arial"/>
                <w:sz w:val="18"/>
                <w:szCs w:val="18"/>
                <w:color w:val="auto"/>
                <w:w w:val="94"/>
              </w:rPr>
              <w:t>The estimated offering expenses payable by us, exclusive of the underwriting discounts and commissions, are approximately $</w:t>
            </w:r>
          </w:p>
        </w:tc>
        <w:tc>
          <w:tcPr>
            <w:tcW w:w="1060" w:type="dxa"/>
            <w:vAlign w:val="bottom"/>
          </w:tcPr>
          <w:p>
            <w:pPr>
              <w:ind w:left="300"/>
              <w:spacing w:after="0"/>
              <w:rPr>
                <w:sz w:val="20"/>
                <w:szCs w:val="20"/>
                <w:color w:val="auto"/>
              </w:rPr>
            </w:pPr>
            <w:r>
              <w:rPr>
                <w:rFonts w:ascii="Arial" w:cs="Arial" w:eastAsia="Arial" w:hAnsi="Arial"/>
                <w:sz w:val="18"/>
                <w:szCs w:val="18"/>
                <w:color w:val="auto"/>
                <w:w w:val="91"/>
              </w:rPr>
              <w:t>. We have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20" w:type="dxa"/>
            <w:vAlign w:val="bottom"/>
            <w:gridSpan w:val="9"/>
          </w:tcPr>
          <w:p>
            <w:pPr>
              <w:spacing w:after="0"/>
              <w:rPr>
                <w:sz w:val="20"/>
                <w:szCs w:val="20"/>
                <w:color w:val="auto"/>
              </w:rPr>
            </w:pPr>
            <w:r>
              <w:rPr>
                <w:rFonts w:ascii="Arial" w:cs="Arial" w:eastAsia="Arial" w:hAnsi="Arial"/>
                <w:sz w:val="18"/>
                <w:szCs w:val="18"/>
                <w:color w:val="auto"/>
                <w:w w:val="94"/>
              </w:rPr>
              <w:t>agreed to reimburse the underwriters for expenses relating to clearance of this offering with the Financial Industry Regulatory Authority up to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360" w:type="dxa"/>
            <w:vAlign w:val="bottom"/>
            <w:gridSpan w:val="2"/>
          </w:tcPr>
          <w:p>
            <w:pPr>
              <w:jc w:val="right"/>
              <w:ind w:right="630"/>
              <w:spacing w:after="0"/>
              <w:rPr>
                <w:sz w:val="20"/>
                <w:szCs w:val="20"/>
                <w:color w:val="auto"/>
              </w:rPr>
            </w:pPr>
            <w:r>
              <w:rPr>
                <w:rFonts w:ascii="Arial" w:cs="Arial" w:eastAsia="Arial" w:hAnsi="Arial"/>
                <w:sz w:val="18"/>
                <w:szCs w:val="18"/>
                <w:color w:val="auto"/>
              </w:rPr>
              <w:t>160</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as a bona fide gift;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auto"/>
        </w:rPr>
      </w:pPr>
    </w:p>
    <w:p>
      <w:pPr>
        <w:jc w:val="both"/>
        <w:ind w:left="1060" w:right="80" w:hanging="424"/>
        <w:spacing w:after="0" w:line="286"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ratios, price-sales ratios, market prices of securities, and certain financial and operating information of companies engaged in activities similar to ours.</w:t>
      </w:r>
    </w:p>
    <w:p>
      <w:pPr>
        <w:spacing w:after="0" w:line="352"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80" w:hanging="310"/>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240" w:top="460" w:right="5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filed with the SEC a registration statement on Form S-1 (File Number 333- )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auto"/>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Redeemable Convertible Preferred Stock and Stockholders’ (Deficit) Equity</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Consolidated Statements of Cash Flows</w:t>
              </w:r>
            </w:hyperlink>
          </w:p>
        </w:tc>
        <w:tc>
          <w:tcPr>
            <w:tcW w:w="4620" w:type="dxa"/>
            <w:vAlign w:val="bottom"/>
            <w:tcBorders>
              <w:top w:val="single" w:sz="8" w:color="0000EE"/>
            </w:tcBorders>
            <w:gridSpan w:val="4"/>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gridSpan w:val="6"/>
            <w:vMerge w:val="continue"/>
          </w:tcPr>
          <w:p>
            <w:pPr>
              <w:spacing w:after="0"/>
              <w:rPr>
                <w:sz w:val="6"/>
                <w:szCs w:val="6"/>
                <w:color w:val="auto"/>
              </w:rPr>
            </w:pPr>
          </w:p>
        </w:tc>
        <w:tc>
          <w:tcPr>
            <w:tcW w:w="1180" w:type="dxa"/>
            <w:vAlign w:val="bottom"/>
            <w:gridSpan w:val="4"/>
            <w:vMerge w:val="restart"/>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40,000,000 and 51,000,000 shares authorized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w w:val="94"/>
              </w:rPr>
              <w:t>December 31, 2016 and 2017, respectively; 10,666,667 shares issued as of December 31, 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w w:val="98"/>
              </w:rPr>
              <w:t>and 2017; 8,975,000 and 9,524,999 shares outstanding as of December 31, 2016 and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w w:val="94"/>
              </w:rPr>
              <w:t>respectively; 44,992,165 shares issued and 44,308,831 shares outstanding, 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2017 (pro forma)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(4,827)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(23,475)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(4,579)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(23,135)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in computing net loss per share attributable to common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8,421,130</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 diluted (unaudited) (Note 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weighted-average number of common shares used in computing pro forma net loss per share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 (unaudited)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20" w:type="dxa"/>
            <w:vAlign w:val="bottom"/>
            <w:gridSpan w:val="4"/>
          </w:tcPr>
          <w:p>
            <w:pPr>
              <w:jc w:val="center"/>
              <w:ind w:left="310"/>
              <w:spacing w:after="0"/>
              <w:rPr>
                <w:sz w:val="20"/>
                <w:szCs w:val="20"/>
                <w:color w:val="auto"/>
              </w:rPr>
            </w:pPr>
            <w:r>
              <w:rPr>
                <w:rFonts w:ascii="Arial" w:cs="Arial" w:eastAsia="Arial" w:hAnsi="Arial"/>
                <w:sz w:val="13"/>
                <w:szCs w:val="13"/>
                <w:b w:val="1"/>
                <w:bCs w:val="1"/>
                <w:color w:val="auto"/>
                <w:w w:val="81"/>
              </w:rPr>
              <w:t>Series Seed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4"/>
          </w:tcPr>
          <w:p>
            <w:pPr>
              <w:jc w:val="center"/>
              <w:ind w:left="370"/>
              <w:spacing w:after="0"/>
              <w:rPr>
                <w:sz w:val="20"/>
                <w:szCs w:val="20"/>
                <w:color w:val="auto"/>
              </w:rPr>
            </w:pPr>
            <w:r>
              <w:rPr>
                <w:rFonts w:ascii="Arial" w:cs="Arial" w:eastAsia="Arial" w:hAnsi="Arial"/>
                <w:sz w:val="13"/>
                <w:szCs w:val="13"/>
                <w:b w:val="1"/>
                <w:bCs w:val="1"/>
                <w:color w:val="auto"/>
                <w:w w:val="80"/>
              </w:rPr>
              <w:t>Series A</w:t>
            </w:r>
          </w:p>
        </w:tc>
        <w:tc>
          <w:tcPr>
            <w:tcW w:w="4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6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600" w:type="dxa"/>
            <w:vAlign w:val="bottom"/>
            <w:tcBorders>
              <w:right w:val="single" w:sz="8" w:color="auto"/>
            </w:tcBorders>
            <w:gridSpan w:val="6"/>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20" w:type="dxa"/>
            <w:vAlign w:val="bottom"/>
            <w:gridSpan w:val="4"/>
          </w:tcPr>
          <w:p>
            <w:pPr>
              <w:jc w:val="center"/>
              <w:ind w:left="31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Borders>
              <w:right w:val="single" w:sz="8" w:color="auto"/>
            </w:tcBorders>
            <w:gridSpan w:val="6"/>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Convertible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4"/>
          </w:tcPr>
          <w:p>
            <w:pPr>
              <w:ind w:left="200"/>
              <w:spacing w:after="0" w:line="140"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8"/>
              </w:rPr>
              <w:t>Preferred Stock</w:t>
            </w:r>
          </w:p>
        </w:tc>
        <w:tc>
          <w:tcPr>
            <w:tcW w:w="16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3"/>
                <w:szCs w:val="13"/>
                <w:b w:val="1"/>
                <w:bCs w:val="1"/>
                <w:color w:val="auto"/>
                <w:w w:val="88"/>
              </w:rPr>
              <w:t>Preferred Stock</w:t>
            </w:r>
          </w:p>
        </w:tc>
        <w:tc>
          <w:tcPr>
            <w:tcW w:w="140" w:type="dxa"/>
            <w:vAlign w:val="bottom"/>
          </w:tcPr>
          <w:p>
            <w:pPr>
              <w:spacing w:after="0"/>
              <w:rPr>
                <w:sz w:val="12"/>
                <w:szCs w:val="12"/>
                <w:color w:val="auto"/>
              </w:rPr>
            </w:pPr>
          </w:p>
        </w:tc>
        <w:tc>
          <w:tcPr>
            <w:tcW w:w="1160" w:type="dxa"/>
            <w:vAlign w:val="bottom"/>
            <w:gridSpan w:val="4"/>
          </w:tcPr>
          <w:p>
            <w:pPr>
              <w:ind w:left="26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Paid-in</w:t>
            </w:r>
          </w:p>
        </w:tc>
        <w:tc>
          <w:tcPr>
            <w:tcW w:w="96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1060" w:type="dxa"/>
            <w:vAlign w:val="bottom"/>
            <w:gridSpan w:val="4"/>
          </w:tcPr>
          <w:p>
            <w:pPr>
              <w:jc w:val="center"/>
              <w:spacing w:after="0" w:line="129" w:lineRule="exact"/>
              <w:rPr>
                <w:sz w:val="20"/>
                <w:szCs w:val="20"/>
                <w:color w:val="auto"/>
              </w:rPr>
            </w:pPr>
            <w:r>
              <w:rPr>
                <w:rFonts w:ascii="Arial" w:cs="Arial" w:eastAsia="Arial" w:hAnsi="Arial"/>
                <w:sz w:val="13"/>
                <w:szCs w:val="13"/>
                <w:b w:val="1"/>
                <w:bCs w:val="1"/>
                <w:color w:val="auto"/>
                <w:w w:val="89"/>
              </w:rPr>
              <w:t>(Deficit)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2015</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5,200,000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Seed redeemable convertible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rPr>
              <w:t>preferred stock, net of issuance costs of $102</w:t>
            </w:r>
          </w:p>
        </w:tc>
        <w:tc>
          <w:tcPr>
            <w:tcW w:w="680" w:type="dxa"/>
            <w:vAlign w:val="bottom"/>
          </w:tcPr>
          <w:p>
            <w:pPr>
              <w:jc w:val="right"/>
              <w:spacing w:after="0"/>
              <w:rPr>
                <w:sz w:val="20"/>
                <w:szCs w:val="20"/>
                <w:color w:val="auto"/>
              </w:rPr>
            </w:pPr>
            <w:r>
              <w:rPr>
                <w:rFonts w:ascii="Arial" w:cs="Arial" w:eastAsia="Arial" w:hAnsi="Arial"/>
                <w:sz w:val="14"/>
                <w:szCs w:val="14"/>
                <w:color w:val="auto"/>
              </w:rPr>
              <w:t>3,333,333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1,398</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Modification of founders common stock to include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rPr>
              <w:t>certain time-based vesting restricitions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(1,366,666)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341,666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rPr>
              <w:t>preferred stock, net of issuance costs of $203</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7,297</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December 31, 2016</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26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8,975,000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A redeemable convertible</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dividend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3,720,864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rPr>
              <w:t>preferred stock, net of issuance costs of $85</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22,015,349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17,415</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549,999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3,333,333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31,450,499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9,524,999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(23,475)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20"/>
              <w:spacing w:after="0" w:line="130" w:lineRule="exact"/>
              <w:rPr>
                <w:sz w:val="20"/>
                <w:szCs w:val="20"/>
                <w:color w:val="auto"/>
              </w:rPr>
            </w:pPr>
            <w:r>
              <w:rPr>
                <w:rFonts w:ascii="Arial" w:cs="Arial" w:eastAsia="Arial" w:hAnsi="Arial"/>
                <w:sz w:val="14"/>
                <w:szCs w:val="14"/>
                <w:color w:val="auto"/>
              </w:rPr>
              <w:t>Reclassification of warrants to purchase shares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280"/>
              <w:spacing w:after="0" w:line="149" w:lineRule="exact"/>
              <w:rPr>
                <w:sz w:val="20"/>
                <w:szCs w:val="20"/>
                <w:color w:val="auto"/>
              </w:rPr>
            </w:pPr>
            <w:r>
              <w:rPr>
                <w:rFonts w:ascii="Arial" w:cs="Arial" w:eastAsia="Arial" w:hAnsi="Arial"/>
                <w:sz w:val="14"/>
                <w:szCs w:val="14"/>
                <w:color w:val="auto"/>
              </w:rPr>
              <w:t>redeemable convertible preferred stock into</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280"/>
              <w:spacing w:after="0"/>
              <w:rPr>
                <w:sz w:val="20"/>
                <w:szCs w:val="20"/>
                <w:color w:val="auto"/>
              </w:rPr>
            </w:pPr>
            <w:r>
              <w:rPr>
                <w:rFonts w:ascii="Arial" w:cs="Arial" w:eastAsia="Arial" w:hAnsi="Arial"/>
                <w:sz w:val="14"/>
                <w:szCs w:val="14"/>
                <w:color w:val="auto"/>
                <w:w w:val="99"/>
              </w:rPr>
              <w:t>warrants to purchase common stock (unaudited)</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Conversion of redeemable convertible preferred</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into common stock (unaudited)</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(3,333,333)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0"/>
              </w:rPr>
              <w:t>(1,500)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(31,450,499)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(25,000)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34,783,832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00" w:type="dxa"/>
            <w:vAlign w:val="bottom"/>
            <w:gridSpan w:val="2"/>
          </w:tcPr>
          <w:p>
            <w:pPr>
              <w:spacing w:after="0" w:line="137" w:lineRule="exact"/>
              <w:rPr>
                <w:sz w:val="20"/>
                <w:szCs w:val="20"/>
                <w:color w:val="auto"/>
              </w:rPr>
            </w:pPr>
            <w:r>
              <w:rPr>
                <w:rFonts w:ascii="Arial" w:cs="Arial" w:eastAsia="Arial" w:hAnsi="Arial"/>
                <w:sz w:val="14"/>
                <w:szCs w:val="14"/>
                <w:color w:val="auto"/>
              </w:rPr>
              <w:t>Pro forma balance as of December 31, 2017</w:t>
            </w: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120"/>
              <w:spacing w:after="0"/>
              <w:rPr>
                <w:sz w:val="20"/>
                <w:szCs w:val="20"/>
                <w:color w:val="auto"/>
              </w:rPr>
            </w:pPr>
            <w:r>
              <w:rPr>
                <w:rFonts w:ascii="Arial" w:cs="Arial" w:eastAsia="Arial" w:hAnsi="Arial"/>
                <w:sz w:val="14"/>
                <w:szCs w:val="14"/>
                <w:color w:val="auto"/>
              </w:rPr>
              <w:t>(unaudited)</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44,308,831</w:t>
            </w:r>
          </w:p>
        </w:tc>
        <w:tc>
          <w:tcPr>
            <w:tcW w:w="16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26,871</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(23,475)</w:t>
            </w:r>
          </w:p>
        </w:tc>
        <w:tc>
          <w:tcPr>
            <w:tcW w:w="280" w:type="dxa"/>
            <w:vAlign w:val="bottom"/>
            <w:gridSpan w:val="2"/>
          </w:tcPr>
          <w:p>
            <w:pPr>
              <w:jc w:val="right"/>
              <w:ind w:right="4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640" w:right="7440" w:hanging="436"/>
        <w:spacing w:after="0" w:line="378" w:lineRule="auto"/>
        <w:tabs>
          <w:tab w:leader="none" w:pos="379"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accompanying unaudited pro forma consolidated balance sheet and statement of redeemable convertible preferred stock and stockholders’ (deficit) equity as of December 31, 2017 has been prepared to give effect, upon the closing of a qualified initial public offering (“IPO”), to the conversion of all outstanding shares of redeemable convertible preferred stock into 34,783,832 shares of common stock and the conversion of the outstanding warrant to purchase shares of redeemable convertible preferred stock as of December 31, 2017 into a warrant to purchase shares of common stock as if the Company’s proposed IPO had occurred on December 31, 2017.</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loss would be based on the excess of the carrying value of the impaired asset group over its fair value, determined based on discounted cash flows. To date, the Company has not recorded any impairment losses on long-lived assets.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240" w:top="460"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7"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70"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6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Fair Value Measurements as of</w:t>
      </w:r>
    </w:p>
    <w:p>
      <w:pPr>
        <w:jc w:val="center"/>
        <w:ind w:left="7880"/>
        <w:spacing w:after="0" w:line="236" w:lineRule="auto"/>
        <w:rPr>
          <w:sz w:val="20"/>
          <w:szCs w:val="20"/>
          <w:color w:val="auto"/>
        </w:rPr>
      </w:pPr>
      <w:r>
        <w:rPr>
          <w:rFonts w:ascii="Arial" w:cs="Arial" w:eastAsia="Arial" w:hAnsi="Arial"/>
          <w:sz w:val="14"/>
          <w:szCs w:val="14"/>
          <w:b w:val="1"/>
          <w:bCs w:val="1"/>
          <w:color w:val="auto"/>
        </w:rPr>
        <w:t>December 31, 2016 Using:</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90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88"/>
              </w:rPr>
              <w:t>Level 2</w:t>
            </w:r>
          </w:p>
        </w:tc>
        <w:tc>
          <w:tcPr>
            <w:tcW w:w="92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Level 3</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5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45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9"/>
              </w:rPr>
              <w:t>88</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60" w:type="dxa"/>
            <w:vAlign w:val="bottom"/>
            <w:gridSpan w:val="3"/>
          </w:tcPr>
          <w:p>
            <w:pPr>
              <w:jc w:val="right"/>
              <w:ind w:right="2370"/>
              <w:spacing w:after="0"/>
              <w:rPr>
                <w:sz w:val="20"/>
                <w:szCs w:val="20"/>
                <w:color w:val="auto"/>
              </w:rPr>
            </w:pPr>
            <w:r>
              <w:rPr>
                <w:rFonts w:ascii="Arial" w:cs="Arial" w:eastAsia="Arial" w:hAnsi="Arial"/>
                <w:sz w:val="18"/>
                <w:szCs w:val="18"/>
                <w:color w:val="auto"/>
              </w:rPr>
              <w:t>F-15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580" w:type="dxa"/>
            <w:vAlign w:val="bottom"/>
            <w:gridSpan w:val="2"/>
          </w:tcPr>
          <w:p>
            <w:pPr>
              <w:jc w:val="center"/>
              <w:ind w:left="3374"/>
              <w:spacing w:after="0"/>
              <w:rPr>
                <w:sz w:val="20"/>
                <w:szCs w:val="20"/>
                <w:color w:val="auto"/>
              </w:rPr>
            </w:pPr>
            <w:r>
              <w:rPr>
                <w:rFonts w:ascii="Arial" w:cs="Arial" w:eastAsia="Arial" w:hAnsi="Arial"/>
                <w:sz w:val="14"/>
                <w:szCs w:val="14"/>
                <w:b w:val="1"/>
                <w:bCs w:val="1"/>
                <w:color w:val="auto"/>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 (years)</w:t>
            </w:r>
          </w:p>
        </w:tc>
        <w:tc>
          <w:tcPr>
            <w:tcW w:w="3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80" w:type="dxa"/>
            <w:vAlign w:val="bottom"/>
            <w:gridSpan w:val="2"/>
          </w:tcPr>
          <w:p>
            <w:pPr>
              <w:jc w:val="center"/>
              <w:ind w:left="3394"/>
              <w:spacing w:after="0"/>
              <w:rPr>
                <w:sz w:val="20"/>
                <w:szCs w:val="20"/>
                <w:color w:val="auto"/>
              </w:rPr>
            </w:pPr>
            <w:r>
              <w:rPr>
                <w:rFonts w:ascii="Arial" w:cs="Arial" w:eastAsia="Arial" w:hAnsi="Arial"/>
                <w:sz w:val="18"/>
                <w:szCs w:val="18"/>
                <w:color w:val="auto"/>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580" w:type="dxa"/>
            <w:vAlign w:val="bottom"/>
            <w:gridSpan w:val="2"/>
            <w:shd w:val="clear" w:color="auto" w:fill="CCEEFF"/>
          </w:tcPr>
          <w:p>
            <w:pPr>
              <w:jc w:val="center"/>
              <w:ind w:left="3374"/>
              <w:spacing w:after="0"/>
              <w:rPr>
                <w:sz w:val="20"/>
                <w:szCs w:val="20"/>
                <w:color w:val="auto"/>
              </w:rPr>
            </w:pPr>
            <w:r>
              <w:rPr>
                <w:rFonts w:ascii="Arial" w:cs="Arial" w:eastAsia="Arial" w:hAnsi="Arial"/>
                <w:sz w:val="18"/>
                <w:szCs w:val="18"/>
                <w:color w:val="auto"/>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8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4580" w:type="dxa"/>
            <w:vAlign w:val="bottom"/>
            <w:gridSpan w:val="2"/>
            <w:shd w:val="clear" w:color="auto" w:fill="CCEEFF"/>
          </w:tcPr>
          <w:p>
            <w:pPr>
              <w:jc w:val="center"/>
              <w:ind w:left="3374"/>
              <w:spacing w:after="0"/>
              <w:rPr>
                <w:sz w:val="20"/>
                <w:szCs w:val="20"/>
                <w:color w:val="auto"/>
              </w:rPr>
            </w:pPr>
            <w:r>
              <w:rPr>
                <w:rFonts w:ascii="Arial" w:cs="Arial" w:eastAsia="Arial" w:hAnsi="Arial"/>
                <w:sz w:val="18"/>
                <w:szCs w:val="18"/>
                <w:color w:val="auto"/>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8"/>
              </w:rPr>
              <w:t>$1.42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580" w:type="dxa"/>
            <w:vAlign w:val="bottom"/>
            <w:gridSpan w:val="2"/>
          </w:tcPr>
          <w:p>
            <w:pPr>
              <w:ind w:left="940"/>
              <w:spacing w:after="0"/>
              <w:rPr>
                <w:sz w:val="20"/>
                <w:szCs w:val="20"/>
                <w:color w:val="auto"/>
              </w:rPr>
            </w:pPr>
            <w:r>
              <w:rPr>
                <w:rFonts w:ascii="Arial" w:cs="Arial" w:eastAsia="Arial" w:hAnsi="Arial"/>
                <w:sz w:val="18"/>
                <w:szCs w:val="18"/>
                <w:color w:val="auto"/>
              </w:rPr>
              <w:t>F-16</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auto"/>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4,800,000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820" w:type="dxa"/>
            <w:vAlign w:val="bottom"/>
            <w:gridSpan w:val="4"/>
          </w:tcPr>
          <w:p>
            <w:pPr>
              <w:ind w:left="6100"/>
              <w:spacing w:after="0"/>
              <w:rPr>
                <w:sz w:val="20"/>
                <w:szCs w:val="20"/>
                <w:color w:val="auto"/>
              </w:rPr>
            </w:pPr>
            <w:r>
              <w:rPr>
                <w:rFonts w:ascii="Arial" w:cs="Arial" w:eastAsia="Arial" w:hAnsi="Arial"/>
                <w:sz w:val="14"/>
                <w:szCs w:val="14"/>
                <w:b w:val="1"/>
                <w:bCs w:val="1"/>
                <w:color w:val="auto"/>
              </w:rPr>
              <w:t>Derivative</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88"/>
              </w:rPr>
              <w:t>Balance as of December 31, 2015</w:t>
            </w:r>
          </w:p>
        </w:tc>
        <w:tc>
          <w:tcPr>
            <w:tcW w:w="6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Initial fair value of derivative liability</w:t>
            </w:r>
          </w:p>
        </w:tc>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6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r>
      <w:tr>
        <w:trPr>
          <w:trHeight w:val="223"/>
        </w:trPr>
        <w:tc>
          <w:tcPr>
            <w:tcW w:w="4220" w:type="dxa"/>
            <w:vAlign w:val="bottom"/>
            <w:gridSpan w:val="2"/>
          </w:tcPr>
          <w:p>
            <w:pPr>
              <w:jc w:val="right"/>
              <w:ind w:right="1690"/>
              <w:spacing w:after="0"/>
              <w:rPr>
                <w:sz w:val="20"/>
                <w:szCs w:val="20"/>
                <w:color w:val="auto"/>
              </w:rPr>
            </w:pPr>
            <w:r>
              <w:rPr>
                <w:rFonts w:ascii="Arial" w:cs="Arial" w:eastAsia="Arial" w:hAnsi="Arial"/>
                <w:sz w:val="18"/>
                <w:szCs w:val="18"/>
                <w:color w:val="auto"/>
                <w:w w:val="88"/>
              </w:rPr>
              <w:t>Balance as of December 31, 2016</w:t>
            </w:r>
          </w:p>
        </w:tc>
        <w:tc>
          <w:tcPr>
            <w:tcW w:w="6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6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r>
      <w:tr>
        <w:trPr>
          <w:trHeight w:val="223"/>
        </w:trPr>
        <w:tc>
          <w:tcPr>
            <w:tcW w:w="4220" w:type="dxa"/>
            <w:vAlign w:val="bottom"/>
            <w:gridSpan w:val="2"/>
          </w:tcPr>
          <w:p>
            <w:pPr>
              <w:jc w:val="right"/>
              <w:ind w:right="1690"/>
              <w:spacing w:after="0"/>
              <w:rPr>
                <w:sz w:val="20"/>
                <w:szCs w:val="20"/>
                <w:color w:val="auto"/>
              </w:rPr>
            </w:pPr>
            <w:r>
              <w:rPr>
                <w:rFonts w:ascii="Arial" w:cs="Arial" w:eastAsia="Arial" w:hAnsi="Arial"/>
                <w:sz w:val="18"/>
                <w:szCs w:val="18"/>
                <w:color w:val="auto"/>
                <w:w w:val="88"/>
              </w:rPr>
              <w:t>Balance as of December 31, 2017</w:t>
            </w:r>
          </w:p>
        </w:tc>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40" w:type="dxa"/>
            <w:vAlign w:val="bottom"/>
            <w:gridSpan w:val="2"/>
          </w:tcPr>
          <w:p>
            <w:pPr>
              <w:ind w:left="1120"/>
              <w:spacing w:after="0"/>
              <w:rPr>
                <w:sz w:val="20"/>
                <w:szCs w:val="20"/>
                <w:color w:val="auto"/>
              </w:rPr>
            </w:pPr>
            <w:r>
              <w:rPr>
                <w:rFonts w:ascii="Arial" w:cs="Arial" w:eastAsia="Arial" w:hAnsi="Arial"/>
                <w:sz w:val="18"/>
                <w:szCs w:val="18"/>
                <w:color w:val="auto"/>
              </w:rPr>
              <w:t>F-17</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$ 19</w:t>
            </w: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561" w:hanging="561"/>
        <w:spacing w:after="0"/>
        <w:tabs>
          <w:tab w:leader="none" w:pos="5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126</w:t>
      </w:r>
    </w:p>
    <w:p>
      <w:pPr>
        <w:spacing w:after="0" w:line="7"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1"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394</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59"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2016, the Company did not hold any property and equipment. Depreciation and amortization expense for the year ended December 31, 2017 was $45.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auto"/>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60"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1,500,000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19,047,619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5,714,286</w:t>
            </w:r>
          </w:p>
        </w:tc>
        <w:tc>
          <w:tcPr>
            <w:tcW w:w="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7,500,000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5,714,286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22,380,952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9,047,619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9,000,000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Preference</w:t>
            </w:r>
          </w:p>
        </w:tc>
        <w:tc>
          <w:tcPr>
            <w:tcW w:w="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1,500,000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31,639,202</w:t>
            </w: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31,450,499</w:t>
            </w:r>
          </w:p>
        </w:tc>
        <w:tc>
          <w:tcPr>
            <w:tcW w:w="28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25,000,000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34,972,535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34,783,832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$ 26,500,000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26,500,000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rPr>
              <w:t>F-20</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which results in net proceeds of at least $50,000 and the listing of the Company’s common stock on the New York Stock Exchange or the Nasdaq Stock Market, or upon a vote of the holders of a majority of the outstanding Preferred Stock. As of December 31, 2017, each share of Preferred Stock was convertible into one share of common stock and can be adjusted in the event of any stock dividend, stock split, combination or other similar recapitalization with respect to the Preferred Stock.</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color w:val="auto"/>
        </w:rPr>
        <w:t>On January 27, 2016, the Company modified the terms of 1,366,666 shares of common stock which were issued to four employees in November 17, 2015 to add a vesting condition. The restrictions lapse according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the time-based vesting conditions of each award. During each of the years ended December 31, 2016 and 2017, 341,666 shares of these restricted common stock awards vested.</w:t>
      </w:r>
    </w:p>
    <w:p>
      <w:pPr>
        <w:spacing w:after="0" w:line="17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9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920" w:type="dxa"/>
            <w:vAlign w:val="bottom"/>
          </w:tcPr>
          <w:p>
            <w:pPr>
              <w:jc w:val="right"/>
              <w:spacing w:after="0"/>
              <w:rPr>
                <w:sz w:val="20"/>
                <w:szCs w:val="20"/>
                <w:color w:val="auto"/>
              </w:rPr>
            </w:pPr>
            <w:r>
              <w:rPr>
                <w:rFonts w:ascii="Arial" w:cs="Arial" w:eastAsia="Arial" w:hAnsi="Arial"/>
                <w:sz w:val="18"/>
                <w:szCs w:val="18"/>
                <w:color w:val="auto"/>
              </w:rPr>
              <w:t>5,714,286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2,476,906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issuance under the 2015 Stock Option and Grant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593,795</w:t>
            </w:r>
          </w:p>
        </w:tc>
        <w:tc>
          <w:tcPr>
            <w:tcW w:w="8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13,433,964</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40,795,799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5,536,966 shares as of December 31, 2017, of which 593,795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During the years ended December 31, 2016 and 2017, the Company granted options to purchase 2,476,906 shares and 1,789,598 shares, respectively, of common stock to employees and members of the Board.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During the year ended December 31, 2017, the Company granted options to purchase 10,000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gridSpan w:val="5"/>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86.00%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gridSpan w:val="5"/>
          </w:tcPr>
          <w:p>
            <w:pPr>
              <w:ind w:left="420"/>
              <w:spacing w:after="0"/>
              <w:rPr>
                <w:sz w:val="20"/>
                <w:szCs w:val="20"/>
                <w:color w:val="auto"/>
              </w:rPr>
            </w:pPr>
            <w:r>
              <w:rPr>
                <w:rFonts w:ascii="Arial" w:cs="Arial" w:eastAsia="Arial" w:hAnsi="Arial"/>
                <w:sz w:val="18"/>
                <w:szCs w:val="18"/>
                <w:color w:val="auto"/>
                <w:w w:val="93"/>
              </w:rPr>
              <w:t>The following table summarizes the Company’s stock option activity for the year ended December 31, 2017:</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11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Remaining</w:t>
            </w:r>
          </w:p>
        </w:tc>
        <w:tc>
          <w:tcPr>
            <w:tcW w:w="8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gridSpan w:val="5"/>
          </w:tcPr>
          <w:p>
            <w:pPr>
              <w:jc w:val="center"/>
              <w:ind w:left="1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1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11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2,476,906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1,799,598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4,276,504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vMerge w:val="restart"/>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766,284</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3,510,220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2016 and 2017 was $0.12 and $0.36,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has granted restricted common stock with time-based vesting conditions to certain employees of the Company. The purchase price of the restricted stock awards are determined by the Board. The Company also, in January 2016, modified 1,366,666 shares of common stock which were issued to four employees in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Number of</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1,691,667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(549,999)</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1,141,668</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weighted-average grant date fair value of restricted common stock awards granted during the year ended December 31, 2016 was $0.10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640" w:right="8580" w:hanging="436"/>
        <w:spacing w:after="0" w:line="424" w:lineRule="auto"/>
        <w:tabs>
          <w:tab w:leader="none" w:pos="4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 xml:space="preserve">Agreements with UHN </w:t>
      </w:r>
      <w:r>
        <w:rPr>
          <w:rFonts w:ascii="Arial" w:cs="Arial" w:eastAsia="Arial" w:hAnsi="Arial"/>
          <w:sz w:val="16"/>
          <w:szCs w:val="16"/>
          <w:i w:val="1"/>
          <w:iCs w:val="1"/>
          <w:color w:val="auto"/>
        </w:rPr>
        <w:t>Fabry License Agreement—</w:t>
      </w:r>
    </w:p>
    <w:p>
      <w:pPr>
        <w:spacing w:after="0" w:line="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4,800,000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agreement requires the Company to meet certain due diligence requirements based upon specified milestones. The agreement expires on the later of the date the last patent rights expire in the last country or ten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40" w:firstLine="441"/>
        <w:spacing w:after="0" w:line="284"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200" w:right="120" w:firstLine="4"/>
        <w:spacing w:after="0" w:line="254" w:lineRule="auto"/>
        <w:tabs>
          <w:tab w:leader="none" w:pos="5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auto"/>
              </w:rPr>
              <w:t>F-28</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has early adopted the provisions of ASU 2016-09</w:t>
      </w:r>
      <w:r>
        <w:rPr>
          <w:rFonts w:ascii="Arial" w:cs="Arial" w:eastAsia="Arial" w:hAnsi="Arial"/>
          <w:sz w:val="18"/>
          <w:szCs w:val="18"/>
          <w:i w:val="1"/>
          <w:iCs w:val="1"/>
          <w:color w:val="auto"/>
        </w:rPr>
        <w:t>, 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for its year ended December 31, 2016. ASU 2016-09 requires companies to include the benefit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2,476,906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1,691,667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28,305</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unaudited pro forma basic and diluted net loss per share attributable to common stockholders for the year ended December 31, 2017 has been prepared to give effect to adjustments arising upon the closing of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 (continued)</w:t>
      </w:r>
    </w:p>
    <w:p>
      <w:pPr>
        <w:spacing w:after="0" w:line="135"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Change in the fair value of preferred stock warrant liability</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number of common shares used in computing net loss per share attributable to common stockholders—basic</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redeemable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convertible preferred stock into common stock</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19,363,856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number of common shares used in computing pro forma net loss per share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2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Company has completed an evaluation of all subsequent events after the audited balance sheet date of December 31, 2017 through April 6, 2018, the date these consolidated financial statements were submitted to the SEC, to ensure that these consolidated financial statements include appropriate disclosure of events both recognized in the 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5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United States, which expires in January 2023, with a landlord who is an affiliate of the landlord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of the Company’s current lease facility. In accordance with the lease agreement, the Company is required to maintain a security deposit of $209. In contemplation of this agreement, the Company terminated its existing lease agreement.</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and conversion price of the Series B Preferred Stock is $2.1389 per share, and each share of Series B Preferred Stock is convertible into common stock on a one-for-one basis.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2018, the Company granted 3,114,710 stock options with an exercise price of $1.21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240" w:top="460"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760"/>
        <w:spacing w:after="0"/>
        <w:rPr>
          <w:sz w:val="20"/>
          <w:szCs w:val="20"/>
          <w:color w:val="auto"/>
        </w:rPr>
      </w:pPr>
      <w:r>
        <w:rPr>
          <w:rFonts w:ascii="Arial" w:cs="Arial" w:eastAsia="Arial" w:hAnsi="Arial"/>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2673985</wp:posOffset>
            </wp:positionV>
            <wp:extent cx="1551940" cy="394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519"/>
        <w:spacing w:after="0"/>
        <w:rPr>
          <w:sz w:val="20"/>
          <w:szCs w:val="20"/>
          <w:color w:val="auto"/>
        </w:rPr>
      </w:pPr>
      <w:r>
        <w:rPr>
          <w:rFonts w:ascii="Arial" w:cs="Arial" w:eastAsia="Arial" w:hAnsi="Arial"/>
          <w:sz w:val="32"/>
          <w:szCs w:val="32"/>
          <w:i w:val="1"/>
          <w:iCs w:val="1"/>
          <w:color w:val="auto"/>
        </w:rPr>
        <w:t>Common Stock</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9"/>
          <w:szCs w:val="19"/>
          <w:i w:val="1"/>
          <w:iCs w:val="1"/>
          <w:color w:val="auto"/>
        </w:rPr>
        <w:t>PRELIMINARY PROSPECTUS</w:t>
      </w:r>
    </w:p>
    <w:p>
      <w:pPr>
        <w:sectPr>
          <w:pgSz w:w="11900" w:h="16838" w:orient="portrait"/>
          <w:cols w:equalWidth="0" w:num="1">
            <w:col w:w="10219"/>
          </w:cols>
          <w:pgMar w:left="240" w:top="459" w:right="1440"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36"/>
          <w:szCs w:val="36"/>
          <w:i w:val="1"/>
          <w:iCs w:val="1"/>
          <w:color w:val="auto"/>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2018</w:t>
      </w:r>
    </w:p>
    <w:p>
      <w:pPr>
        <w:sectPr>
          <w:pgSz w:w="11900" w:h="16838" w:orient="portrait"/>
          <w:cols w:equalWidth="0" w:num="1">
            <w:col w:w="9019"/>
          </w:cols>
          <w:pgMar w:left="1440" w:top="111" w:right="1440"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BE PAID</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Printing and mailing</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tcBorders>
              <w:right w:val="single" w:sz="8" w:color="CCEEFF"/>
            </w:tcBorders>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66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3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424"/>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2015, we sold an aggregate of 5,200,000 shares of common stock to our three founders and a consultant for nominal value.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2016, we sold an aggregate of 4,800,000 shares of common stock to one stockholder for nominal value.</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60"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granted stock options to purchase an aggregate of 7,391,214 shares of our common stock, with exercise prices ranging from $0.01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$1.21 per share, to employees, directors and consultants pursuant to the Amended and Restated 2015 Stock Option and Grant Plan, or the 2015 Plan. 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April 2016, we issued an aggregate of 666,667 shares of restricted stock to one employee under the 2015 Plan.</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9560" w:type="dxa"/>
            <w:vAlign w:val="bottom"/>
            <w:vMerge w:val="restart"/>
          </w:tcPr>
          <w:p>
            <w:pPr>
              <w:ind w:left="42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9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1.1*</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Third Amended and Restated Certificate of Incorporation of the Registrant, as currently in effect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3.2*</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w w:val="92"/>
              </w:rPr>
              <w:t>Amendment to Third Amended and Restated Certificate of Incorporation of the Registrant (to be adopted prior to the effectiveness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of this registration statement)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3.3*</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w w:val="97"/>
              </w:rPr>
              <w:t>Form of Fourth Amended and Restated Certificate of Incorporation of the Registrant (to be effective upon the closing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3.5*</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4.1*</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Form of Specimen Common Stock Certificate</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w w:val="90"/>
              </w:rPr>
              <w:t>Second Amended and Restated Investors’ Rights Agreement among the Registrant and certain of its stockholders, dated January 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rPr>
              <w:t>Warrant to Purchase Stock issued to Silicon Valley Bank, dated June 23, 2017</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60" w:type="dxa"/>
            <w:vAlign w:val="bottom"/>
          </w:tcPr>
          <w:p>
            <w:pPr>
              <w:ind w:left="39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982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NO.</w:t>
            </w:r>
          </w:p>
        </w:tc>
        <w:tc>
          <w:tcPr>
            <w:tcW w:w="280" w:type="dxa"/>
            <w:vAlign w:val="bottom"/>
          </w:tcPr>
          <w:p>
            <w:pPr>
              <w:spacing w:after="0"/>
              <w:rPr>
                <w:sz w:val="14"/>
                <w:szCs w:val="14"/>
                <w:color w:val="auto"/>
              </w:rPr>
            </w:pPr>
          </w:p>
        </w:tc>
        <w:tc>
          <w:tcPr>
            <w:tcW w:w="9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2015 Amended and Restated Stock Option and Grant Plan, as amended, and forms of award agreements thereunder</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10.2#*</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w w:val="96"/>
              </w:rPr>
              <w:t>2018 Stock Option and Incentive Plan and forms of award agreements thereunder (to be effective upon the effectiveness of this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10.3#*</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10.5†</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w w:val="92"/>
              </w:rPr>
              <w:t>Exclusive License Agreement, by and between the Registrant and University Health Network, dated November 4, 2016, as amended</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10.6†</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License Agreement, by and between the Registrant and BioMarin Pharmaceutical Inc., dated August 31,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10.7†</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Exclusive License Agreement, by and among the Registrant, Stefan Karlsson and Maria Dahl, dated January 30,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10.8†</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License Agreement, by and between the Registrant and GenStem Therapeutics, Inc., dated October 2, 2017</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10.9#*</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w w:val="92"/>
              </w:rPr>
              <w:t>Amended and Restated Employment Agreement, by and between the Registrant and Geoff MacKay (to be entered into in connection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10.10#*</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w w:val="96"/>
              </w:rPr>
              <w:t>Amended and Restated Employment Agreement, by and between the Registrant and Nerissa Kreher, M.D. (to be entered into in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connection with this offering)</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w w:val="93"/>
              </w:rPr>
              <w:t>Amended and Restated Employment Agreement, by and between the Registrant and Katina Dorton (to be entered into in connection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Lease Agreement, dated as of January 12, 2018, by and between the Registrant and ARE-MA Region No. 59, LLC</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Loan and Security Agreement, by and among the Registrant and Silicon Valley Bank, dated June 23,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2018 Employee Stock Purchase Plan (to be effective upon the effectiveness of this registration statement)</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10100" w:type="dxa"/>
            <w:vAlign w:val="bottom"/>
            <w:gridSpan w:val="2"/>
          </w:tcPr>
          <w:p>
            <w:pPr>
              <w:ind w:left="280"/>
              <w:spacing w:after="0"/>
              <w:rPr>
                <w:sz w:val="20"/>
                <w:szCs w:val="20"/>
                <w:color w:val="auto"/>
              </w:rPr>
            </w:pPr>
            <w:r>
              <w:rPr>
                <w:rFonts w:ascii="Arial" w:cs="Arial" w:eastAsia="Arial" w:hAnsi="Arial"/>
                <w:sz w:val="18"/>
                <w:szCs w:val="18"/>
                <w:color w:val="auto"/>
              </w:rPr>
              <w:t>Power of Attorney (included in page II-6)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be included by amendment</w:t>
      </w:r>
    </w:p>
    <w:p>
      <w:pPr>
        <w:spacing w:after="0" w:line="23"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which confidential treatment has been requested has been filed separately with the Securities and Exchange Commission.</w:t>
      </w:r>
    </w:p>
    <w:p>
      <w:pPr>
        <w:spacing w:after="0" w:line="9" w:lineRule="exact"/>
        <w:rPr>
          <w:sz w:val="20"/>
          <w:szCs w:val="20"/>
          <w:color w:val="auto"/>
        </w:rPr>
      </w:pPr>
    </w:p>
    <w:p>
      <w:pPr>
        <w:ind w:left="5580" w:right="4520" w:hanging="5376"/>
        <w:spacing w:after="0" w:line="517" w:lineRule="auto"/>
        <w:tabs>
          <w:tab w:leader="none" w:pos="63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II-4</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1060" w:right="140" w:hanging="299"/>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060" w:right="120" w:hanging="310"/>
        <w:spacing w:after="0" w:line="259"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60" w:right="220" w:hanging="299"/>
        <w:spacing w:after="0" w:line="264"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w:t>
      </w:r>
    </w:p>
    <w:p>
      <w:pPr>
        <w:spacing w:after="0" w:line="46" w:lineRule="exact"/>
        <w:rPr>
          <w:sz w:val="20"/>
          <w:szCs w:val="20"/>
          <w:color w:val="auto"/>
        </w:rPr>
      </w:pPr>
    </w:p>
    <w:p>
      <w:pPr>
        <w:ind w:left="920" w:right="780" w:hanging="719"/>
        <w:spacing w:after="0" w:line="250" w:lineRule="auto"/>
        <w:rPr>
          <w:sz w:val="20"/>
          <w:szCs w:val="20"/>
          <w:color w:val="auto"/>
        </w:rPr>
      </w:pPr>
      <w:r>
        <w:rPr>
          <w:rFonts w:ascii="Arial" w:cs="Arial" w:eastAsia="Arial" w:hAnsi="Arial"/>
          <w:sz w:val="18"/>
          <w:szCs w:val="18"/>
          <w:color w:val="auto"/>
        </w:rPr>
        <w:t>its behalf by the undersigned, thereunto duly authorized, in the City of Cambridge, Commonwealth of Massachusetts, on the</w:t>
      </w:r>
      <w:r>
        <w:rPr>
          <w:sz w:val="20"/>
          <w:szCs w:val="20"/>
          <w:color w:val="auto"/>
        </w:rPr>
        <w:t xml:space="preserve"> </w:t>
      </w:r>
      <w:r>
        <w:rPr>
          <w:rFonts w:ascii="Arial" w:cs="Arial" w:eastAsia="Arial" w:hAnsi="Arial"/>
          <w:sz w:val="18"/>
          <w:szCs w:val="18"/>
          <w:color w:val="auto"/>
        </w:rPr>
        <w:t>day of , 2018.</w:t>
      </w:r>
    </w:p>
    <w:p>
      <w:pPr>
        <w:spacing w:after="0" w:line="200" w:lineRule="exact"/>
        <w:rPr>
          <w:sz w:val="20"/>
          <w:szCs w:val="20"/>
          <w:color w:val="auto"/>
        </w:rPr>
      </w:pPr>
    </w:p>
    <w:p>
      <w:pPr>
        <w:spacing w:after="0" w:line="241"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Each individual whose signature appears below hereby constitutes and appoints each of Geoff MacKay and Katina Dorton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60" w:type="dxa"/>
            <w:vAlign w:val="bottom"/>
            <w:gridSpan w:val="3"/>
          </w:tcPr>
          <w:p>
            <w:pPr>
              <w:ind w:left="6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Geoff MacKay</w:t>
            </w: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Katina Dorton</w:t>
            </w: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Annalisa Jenkins, M.B.B.S., F.C.R.P.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40" w:type="dxa"/>
            <w:vAlign w:val="bottom"/>
            <w:gridSpan w:val="3"/>
          </w:tcPr>
          <w:p>
            <w:pPr>
              <w:ind w:left="460"/>
              <w:spacing w:after="0"/>
              <w:rPr>
                <w:sz w:val="20"/>
                <w:szCs w:val="20"/>
                <w:color w:val="auto"/>
              </w:rPr>
            </w:pPr>
            <w:r>
              <w:rPr>
                <w:rFonts w:ascii="Arial" w:cs="Arial" w:eastAsia="Arial" w:hAnsi="Arial"/>
                <w:sz w:val="18"/>
                <w:szCs w:val="18"/>
                <w:color w:val="auto"/>
              </w:rPr>
              <w:t>II-6</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440"/>
        <w:spacing w:after="0"/>
        <w:tabs>
          <w:tab w:leader="none" w:pos="6860" w:val="left"/>
          <w:tab w:leader="none" w:pos="1000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Christopher Paige,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Scott G.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Joshua Resnick,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420"/>
          </w:cols>
          <w:pgMar w:left="240" w:top="460" w:right="1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AvroBio,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921"/>
        <w:spacing w:after="0" w:line="277" w:lineRule="auto"/>
        <w:tabs>
          <w:tab w:leader="none" w:pos="1093"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AVROBIO, Inc., and that this corporation was originally incorporated pursuant to the General Corporation Law on November 17, 2015 under the name AvroBio, Inc.</w:t>
      </w:r>
    </w:p>
    <w:p>
      <w:pPr>
        <w:spacing w:after="0" w:line="62" w:lineRule="exact"/>
        <w:rPr>
          <w:rFonts w:ascii="Arial" w:cs="Arial" w:eastAsia="Arial" w:hAnsi="Arial"/>
          <w:sz w:val="18"/>
          <w:szCs w:val="18"/>
          <w:b w:val="1"/>
          <w:bCs w:val="1"/>
          <w:color w:val="auto"/>
        </w:rPr>
      </w:pPr>
    </w:p>
    <w:p>
      <w:pPr>
        <w:ind w:right="60" w:firstLine="921"/>
        <w:spacing w:after="0" w:line="259" w:lineRule="auto"/>
        <w:tabs>
          <w:tab w:leader="none" w:pos="1093"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That the Board of Directors of the Corporation (the “Board of Directors”) duly adopted resolutions proposing to amend and restate the Second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Second Amended and Restated Certificate of Incorporation of this corporation be amended and restated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AVROBIO,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251 Little Falls Drive, in the City of Wilmington,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County of New Castle, 19808, and its registered agent at such address is: Corporation Service Company.</w:t>
      </w:r>
    </w:p>
    <w:p>
      <w:pPr>
        <w:spacing w:after="0" w:line="207"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organized under the General Corporation Law.</w:t>
      </w:r>
    </w:p>
    <w:p>
      <w:pPr>
        <w:spacing w:after="0" w:line="162" w:lineRule="exact"/>
        <w:rPr>
          <w:sz w:val="20"/>
          <w:szCs w:val="20"/>
          <w:color w:val="auto"/>
        </w:rPr>
      </w:pPr>
    </w:p>
    <w:p>
      <w:pPr>
        <w:ind w:right="180" w:firstLine="913"/>
        <w:spacing w:after="0" w:line="347"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The total number of shares of all classes of stock which the Corporation shall have authority to issue is (i) 82,000,000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 63,491,857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2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420"/>
          </w:cols>
          <w:pgMar w:left="240" w:top="121" w:right="239" w:bottom="1440" w:gutter="0" w:footer="0" w:header="0"/>
        </w:sectPr>
      </w:pPr>
    </w:p>
    <w:bookmarkStart w:id="214" w:name="page215"/>
    <w:bookmarkEnd w:id="2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COMMON STOCK</w:t>
      </w:r>
    </w:p>
    <w:p>
      <w:pPr>
        <w:spacing w:after="0" w:line="117" w:lineRule="exact"/>
        <w:rPr>
          <w:sz w:val="20"/>
          <w:szCs w:val="20"/>
          <w:color w:val="auto"/>
        </w:rPr>
      </w:pPr>
    </w:p>
    <w:p>
      <w:pPr>
        <w:ind w:firstLine="921"/>
        <w:spacing w:after="0" w:line="277" w:lineRule="auto"/>
        <w:tabs>
          <w:tab w:leader="none" w:pos="1093"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62" w:lineRule="exact"/>
        <w:rPr>
          <w:rFonts w:ascii="Arial" w:cs="Arial" w:eastAsia="Arial" w:hAnsi="Arial"/>
          <w:sz w:val="18"/>
          <w:szCs w:val="18"/>
          <w:color w:val="auto"/>
        </w:rPr>
      </w:pPr>
    </w:p>
    <w:p>
      <w:pPr>
        <w:ind w:right="20" w:firstLine="921"/>
        <w:spacing w:after="0" w:line="289" w:lineRule="auto"/>
        <w:tabs>
          <w:tab w:leader="none" w:pos="1093"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Third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66" w:lineRule="exact"/>
        <w:rPr>
          <w:rFonts w:ascii="Arial" w:cs="Arial" w:eastAsia="Arial" w:hAnsi="Arial"/>
          <w:sz w:val="16"/>
          <w:szCs w:val="16"/>
          <w:color w:val="auto"/>
        </w:rPr>
      </w:pPr>
    </w:p>
    <w:p>
      <w:pPr>
        <w:ind w:left="680" w:hanging="216"/>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7"/>
          <w:szCs w:val="17"/>
          <w:color w:val="auto"/>
        </w:rPr>
        <w:t>3,333,333 shares of the authorized Preferred Stock of the Corporation are hereby designated “</w:t>
      </w:r>
      <w:r>
        <w:rPr>
          <w:rFonts w:ascii="Arial" w:cs="Arial" w:eastAsia="Arial" w:hAnsi="Arial"/>
          <w:sz w:val="17"/>
          <w:szCs w:val="17"/>
          <w:b w:val="1"/>
          <w:bCs w:val="1"/>
          <w:color w:val="auto"/>
        </w:rPr>
        <w:t>Series Seed Preferred Stock</w:t>
      </w:r>
      <w:r>
        <w:rPr>
          <w:rFonts w:ascii="Arial" w:cs="Arial" w:eastAsia="Arial" w:hAnsi="Arial"/>
          <w:sz w:val="17"/>
          <w:szCs w:val="17"/>
          <w:color w:val="auto"/>
        </w:rPr>
        <w:t>”, 31,639,202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and 28,519,322 shares of the authorized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The rights, preferences, powers, privileges and restrictions, qualifications and limitations of each series of Preferred Stock are set forth below. Unless otherwise indicated, references to “sections” or “subsections” in this Part B of this Article Fourth refer to sections and subsections of Part B of this Article Fourth.</w:t>
      </w:r>
    </w:p>
    <w:p>
      <w:pPr>
        <w:spacing w:after="0" w:line="64" w:lineRule="exact"/>
        <w:rPr>
          <w:sz w:val="20"/>
          <w:szCs w:val="20"/>
          <w:color w:val="auto"/>
        </w:rPr>
      </w:pPr>
    </w:p>
    <w:p>
      <w:pPr>
        <w:ind w:left="1100" w:hanging="179"/>
        <w:spacing w:after="0"/>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(i) the holders of the Series B Preferred Stock then outstanding shall first receive, or simultaneously receive, a dividend on each outstanding share of Series B Preferred Stock in an amount at least equal to $0.171112, (ii) the holders of the Series A Preferred Stock then outstanding shall first receive, or simultaneously receive, a dividend on each outstanding share of Series A Preferred Stock in an amount at least equal to $0.0636 and (iii) the holders of the Series Seed Preferred Stock then outstanding shall first receive, or simultaneously receive, a dividend on each outstanding share of Series Seed Preferred Stock in an amount at least equal to $0.0225, in each case subject to appropriate adjustment in the event of any stock dividend, stock split, combination or other similar recapitalization with respect to the Series A Preferred Stock, the Series B Preferred Stock or the Series Seed Preferred Stock, as applicable. The “</w:t>
      </w:r>
      <w:r>
        <w:rPr>
          <w:rFonts w:ascii="Arial" w:cs="Arial" w:eastAsia="Arial" w:hAnsi="Arial"/>
          <w:sz w:val="17"/>
          <w:szCs w:val="17"/>
          <w:b w:val="1"/>
          <w:bCs w:val="1"/>
          <w:color w:val="auto"/>
        </w:rPr>
        <w:t>Series B Original Issue Price</w:t>
      </w:r>
      <w:r>
        <w:rPr>
          <w:rFonts w:ascii="Arial" w:cs="Arial" w:eastAsia="Arial" w:hAnsi="Arial"/>
          <w:sz w:val="17"/>
          <w:szCs w:val="17"/>
          <w:color w:val="auto"/>
        </w:rPr>
        <w:t>” shall mean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15" w:name="page216"/>
    <w:bookmarkEnd w:id="2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$2.1389 per share, subject to appropriate adjustment in the event of any stock dividend, stock split, combination or other similar recapitalization with respect to the Series B Preferred Stock. The “</w:t>
      </w:r>
      <w:r>
        <w:rPr>
          <w:rFonts w:ascii="Arial" w:cs="Arial" w:eastAsia="Arial" w:hAnsi="Arial"/>
          <w:sz w:val="18"/>
          <w:szCs w:val="18"/>
          <w:b w:val="1"/>
          <w:bCs w:val="1"/>
          <w:color w:val="auto"/>
        </w:rPr>
        <w:t>Series A Original Issue Price</w:t>
      </w:r>
      <w:r>
        <w:rPr>
          <w:rFonts w:ascii="Arial" w:cs="Arial" w:eastAsia="Arial" w:hAnsi="Arial"/>
          <w:sz w:val="18"/>
          <w:szCs w:val="18"/>
          <w:color w:val="auto"/>
        </w:rPr>
        <w:t>” shall mean $0.7949 per share, subject to appropriate adjustment in the event of any stock dividend, stock split, combination or other similar recapitalization with respect to the Series A Preferred Stock. The “</w:t>
      </w:r>
      <w:r>
        <w:rPr>
          <w:rFonts w:ascii="Arial" w:cs="Arial" w:eastAsia="Arial" w:hAnsi="Arial"/>
          <w:sz w:val="18"/>
          <w:szCs w:val="18"/>
          <w:b w:val="1"/>
          <w:bCs w:val="1"/>
          <w:color w:val="auto"/>
        </w:rPr>
        <w:t>Series Seed Original Issue Price</w:t>
      </w:r>
      <w:r>
        <w:rPr>
          <w:rFonts w:ascii="Arial" w:cs="Arial" w:eastAsia="Arial" w:hAnsi="Arial"/>
          <w:sz w:val="18"/>
          <w:szCs w:val="18"/>
          <w:color w:val="auto"/>
        </w:rPr>
        <w:t>” (and collectively with the Series A Original Issue Price and the Series B Original Issue Price, the “</w:t>
      </w:r>
      <w:r>
        <w:rPr>
          <w:rFonts w:ascii="Arial" w:cs="Arial" w:eastAsia="Arial" w:hAnsi="Arial"/>
          <w:sz w:val="18"/>
          <w:szCs w:val="18"/>
          <w:b w:val="1"/>
          <w:bCs w:val="1"/>
          <w:color w:val="auto"/>
        </w:rPr>
        <w:t>Original Issue Price</w:t>
      </w:r>
      <w:r>
        <w:rPr>
          <w:rFonts w:ascii="Arial" w:cs="Arial" w:eastAsia="Arial" w:hAnsi="Arial"/>
          <w:sz w:val="18"/>
          <w:szCs w:val="18"/>
          <w:color w:val="auto"/>
        </w:rPr>
        <w:t>”) shall mean $0.45 per share, subject to appropriate adjustment in the event of any stock dividend, stock split, combination or other similar recapitalization with respect to the Series Seed Preferred Stock.</w:t>
      </w:r>
    </w:p>
    <w:p>
      <w:pPr>
        <w:spacing w:after="0" w:line="85" w:lineRule="exact"/>
        <w:rPr>
          <w:sz w:val="20"/>
          <w:szCs w:val="20"/>
          <w:color w:val="auto"/>
        </w:rPr>
      </w:pPr>
    </w:p>
    <w:p>
      <w:pPr>
        <w:ind w:left="1100" w:hanging="17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A and Series B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(as defined below), the holders of shares of Series A Preferred Stock and Series B Preferred Stock then outstanding shall be entitled to be paid out of the assets of the Corporation available for distribution to its stockholders,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before any payment shall be made to the holders of Series Seed Preferred Stock or Common Stock by reason of their ownership thereof, an amount per share equal to (a) in the case of the holders of shares of Series A Preferred Stock, the greater of (i) one (1) times the Series A Original Issue Price, plus any dividends declared but unpaid thereon, or (ii) such amount per share as would have been payable had all shares of Series A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A Liquidation Amoun</w:t>
      </w:r>
      <w:r>
        <w:rPr>
          <w:rFonts w:ascii="Arial" w:cs="Arial" w:eastAsia="Arial" w:hAnsi="Arial"/>
          <w:sz w:val="16"/>
          <w:szCs w:val="16"/>
          <w:color w:val="auto"/>
        </w:rPr>
        <w:t xml:space="preserve">t”), and (b) in the case of the holders of shares of Series B Preferred Stock, the greater of (i) one (1) times the Series B Original Issue Price, plus any dividends declared but unpaid thereon, or (ii) such amount per share as would have been payable had all shares of Series B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B 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If upon any such liquidation, dissolution or winding up of the Corporation or Deemed Liquidation Event, the assets of the Corporation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distribution to its stockholders shall be insufficient to pay the holders of shares of Series A Preferred Stock and Series B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A Preferred Stock and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70" w:lineRule="exact"/>
        <w:rPr>
          <w:sz w:val="20"/>
          <w:szCs w:val="20"/>
          <w:color w:val="auto"/>
        </w:rPr>
      </w:pPr>
    </w:p>
    <w:p>
      <w:pPr>
        <w:ind w:right="80" w:firstLine="1484"/>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Preferential Payments to Holders of Series Seed Preferred Stock</w:t>
      </w:r>
      <w:r>
        <w:rPr>
          <w:rFonts w:ascii="Arial" w:cs="Arial" w:eastAsia="Arial" w:hAnsi="Arial"/>
          <w:sz w:val="18"/>
          <w:szCs w:val="18"/>
          <w:color w:val="auto"/>
        </w:rPr>
        <w:t>. In the event of any voluntary or involuntary liquidation, dissolution or winding up of the Corporation or Deemed Liquidation Event, the holders of shares of Series Seed Preferred Stock then outstanding shall be entitled to be paid out of the assets of the Corporation available for distribution to its stockholders after payment of the Series A Liquidation Amount and the Series B Liquidation Amount and before any payment shall be made to the holders of Common Stock by reason of their ownership thereof, an amount per share equal to the greater of (i) one (1) times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16" w:name="page217"/>
    <w:bookmarkEnd w:id="216"/>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Series Seed Original Issue Price, plus any dividends declared but unpaid thereon, or (ii) such amount per share as would have been payable had all shares of Series Seed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Seed Liquidation Amoun</w:t>
      </w:r>
      <w:r>
        <w:rPr>
          <w:rFonts w:ascii="Arial" w:cs="Arial" w:eastAsia="Arial" w:hAnsi="Arial"/>
          <w:sz w:val="17"/>
          <w:szCs w:val="17"/>
          <w:color w:val="auto"/>
        </w:rPr>
        <w:t xml:space="preserve">t”). If upon any such liquidation, dissolution or winding up of the Corporation or Deemed Liquidation Event, the assets of the Corporation available for distribution to its stockholders shall be insufficient to pay the holders of shares of Series Seed Preferred Stock the full amount to which they shall be entitled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the holders of shares of Series Seed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71"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as set forth in </w:t>
      </w:r>
      <w:r>
        <w:rPr>
          <w:rFonts w:ascii="Arial" w:cs="Arial" w:eastAsia="Arial" w:hAnsi="Arial"/>
          <w:sz w:val="17"/>
          <w:szCs w:val="17"/>
          <w:u w:val="single" w:color="auto"/>
          <w:color w:val="auto"/>
        </w:rPr>
        <w:t>Subsections 2.1 and 2.2</w:t>
      </w:r>
      <w:r>
        <w:rPr>
          <w:rFonts w:ascii="Arial" w:cs="Arial" w:eastAsia="Arial" w:hAnsi="Arial"/>
          <w:sz w:val="17"/>
          <w:szCs w:val="17"/>
          <w:color w:val="auto"/>
        </w:rPr>
        <w:t xml:space="preserve"> above, the remaining assets of the Corporation available for distribution to its stockholders shall be distributed among the holders of shares of Common Stock, pro rata based on the number of shares held by each such holder.</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3" w:lineRule="exact"/>
        <w:rPr>
          <w:sz w:val="20"/>
          <w:szCs w:val="20"/>
          <w:color w:val="auto"/>
        </w:rPr>
      </w:pPr>
    </w:p>
    <w:p>
      <w:pPr>
        <w:ind w:firstLine="1940"/>
        <w:spacing w:after="0" w:line="258"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Requisite Preferred Holders (as defined below) (and, in the case of any of the following events do not result in the holders of the Series B Preferred Stock receiving, in connection with such event, an amount equal to or greater than the Series B Original Issue Price for each outstanding share of their Series B Preferred Stock, then also the Requisite Series B Preferred (as defined below)) elect otherwise by written notice sent to the Corporation at least 15 days prior to the effective date of any such event:</w:t>
      </w:r>
    </w:p>
    <w:p>
      <w:pPr>
        <w:spacing w:after="0" w:line="93" w:lineRule="exact"/>
        <w:rPr>
          <w:sz w:val="20"/>
          <w:szCs w:val="20"/>
          <w:color w:val="auto"/>
        </w:rPr>
      </w:pPr>
    </w:p>
    <w:p>
      <w:pPr>
        <w:ind w:left="2960" w:hanging="562"/>
        <w:spacing w:after="0"/>
        <w:tabs>
          <w:tab w:leader="none" w:pos="2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20" w:hanging="454"/>
        <w:spacing w:after="0"/>
        <w:tabs>
          <w:tab w:leader="none" w:pos="34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20" w:right="420" w:hanging="454"/>
        <w:spacing w:after="0" w:line="277" w:lineRule="auto"/>
        <w:tabs>
          <w:tab w:leader="none" w:pos="34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w:t>
      </w:r>
    </w:p>
    <w:p>
      <w:pPr>
        <w:ind w:right="380" w:firstLine="8"/>
        <w:spacing w:after="0" w:line="261"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7" w:name="page218"/>
    <w:bookmarkEnd w:id="217"/>
    <w:p>
      <w:pPr>
        <w:ind w:right="20" w:firstLine="2404"/>
        <w:spacing w:after="0" w:line="257" w:lineRule="auto"/>
        <w:tabs>
          <w:tab w:leader="none" w:pos="2651"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4"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For purposes of this Certificate of Incorporation, any actions requiring the approval or consent of the “</w:t>
      </w:r>
      <w:r>
        <w:rPr>
          <w:rFonts w:ascii="Arial" w:cs="Arial" w:eastAsia="Arial" w:hAnsi="Arial"/>
          <w:sz w:val="18"/>
          <w:szCs w:val="18"/>
          <w:b w:val="1"/>
          <w:bCs w:val="1"/>
          <w:color w:val="auto"/>
        </w:rPr>
        <w:t>Requisite Preferred Holders</w:t>
      </w:r>
      <w:r>
        <w:rPr>
          <w:rFonts w:ascii="Arial" w:cs="Arial" w:eastAsia="Arial" w:hAnsi="Arial"/>
          <w:sz w:val="18"/>
          <w:szCs w:val="18"/>
          <w:color w:val="auto"/>
        </w:rPr>
        <w:t>” shall require the affirmative written consent or vote of the holders of at least 66.67% of the then outstanding shares of Preferred Stock, voting as a single class on an as-converted basis.</w:t>
      </w:r>
    </w:p>
    <w:p>
      <w:pPr>
        <w:spacing w:after="0" w:line="7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7" w:lineRule="exact"/>
        <w:rPr>
          <w:sz w:val="20"/>
          <w:szCs w:val="20"/>
          <w:color w:val="auto"/>
        </w:rPr>
      </w:pPr>
    </w:p>
    <w:p>
      <w:pPr>
        <w:ind w:right="400" w:firstLine="2404"/>
        <w:spacing w:after="0" w:line="312" w:lineRule="auto"/>
        <w:tabs>
          <w:tab w:leader="none" w:pos="264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2.4.1(a)(i)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 2.2 and 2.3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firstLine="2404"/>
        <w:spacing w:after="0" w:line="283" w:lineRule="auto"/>
        <w:tabs>
          <w:tab w:leader="none" w:pos="265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2.4.1(a)(ii)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(a “</w:t>
      </w:r>
      <w:r>
        <w:rPr>
          <w:rFonts w:ascii="Arial" w:cs="Arial" w:eastAsia="Arial" w:hAnsi="Arial"/>
          <w:sz w:val="16"/>
          <w:szCs w:val="16"/>
          <w:b w:val="1"/>
          <w:bCs w:val="1"/>
          <w:color w:val="auto"/>
        </w:rPr>
        <w:t>Liquidation Redemption Notice</w:t>
      </w:r>
      <w:r>
        <w:rPr>
          <w:rFonts w:ascii="Arial" w:cs="Arial" w:eastAsia="Arial" w:hAnsi="Arial"/>
          <w:sz w:val="16"/>
          <w:szCs w:val="16"/>
          <w:color w:val="auto"/>
        </w:rPr>
        <w:t>”)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(the “</w:t>
      </w:r>
      <w:r>
        <w:rPr>
          <w:rFonts w:ascii="Arial" w:cs="Arial" w:eastAsia="Arial" w:hAnsi="Arial"/>
          <w:sz w:val="16"/>
          <w:szCs w:val="16"/>
          <w:b w:val="1"/>
          <w:bCs w:val="1"/>
          <w:color w:val="auto"/>
        </w:rPr>
        <w:t>Redemption Deadline</w:t>
      </w:r>
      <w:r>
        <w:rPr>
          <w:rFonts w:ascii="Arial" w:cs="Arial" w:eastAsia="Arial" w:hAnsi="Arial"/>
          <w:sz w:val="16"/>
          <w:szCs w:val="16"/>
          <w:color w:val="auto"/>
        </w:rPr>
        <w:t>”) advising such holders of their right (and the requirements to be met to secure such right) pursuant to the terms of the following clause; (ii) to require the redemption of such shares of Preferred Stock, and (iii) if the Requisite Preferred Holders so request in a written instrument delivered to the Corporation not later than one hundred twenty (120) days after such Deemed Liquidation Event (the “</w:t>
      </w:r>
      <w:r>
        <w:rPr>
          <w:rFonts w:ascii="Arial" w:cs="Arial" w:eastAsia="Arial" w:hAnsi="Arial"/>
          <w:sz w:val="16"/>
          <w:szCs w:val="16"/>
          <w:b w:val="1"/>
          <w:bCs w:val="1"/>
          <w:color w:val="auto"/>
        </w:rPr>
        <w:t>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Date</w:t>
      </w:r>
      <w:r>
        <w:rPr>
          <w:rFonts w:ascii="Arial" w:cs="Arial" w:eastAsia="Arial" w:hAnsi="Arial"/>
          <w:sz w:val="16"/>
          <w:szCs w:val="16"/>
          <w:color w:val="auto"/>
        </w:rPr>
        <w:t>”), the Corporation shall use the consideration received by the Corporation for such Deemed Liquidation Event (net of any retained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associated with the assets sold or technology licensed, as determined in good faith by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to redeem all outstanding shares of (i) Series B Preferred Stock at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per share equal to the Series B Liquidation Amount, (ii) Series A Preferred Stock at a price per share equal to the Series A Liquidation Amount and</w:t>
      </w:r>
    </w:p>
    <w:p>
      <w:pPr>
        <w:spacing w:after="0" w:line="4" w:lineRule="exact"/>
        <w:rPr>
          <w:rFonts w:ascii="Arial" w:cs="Arial" w:eastAsia="Arial" w:hAnsi="Arial"/>
          <w:sz w:val="16"/>
          <w:szCs w:val="16"/>
          <w:color w:val="auto"/>
        </w:rPr>
      </w:pPr>
    </w:p>
    <w:p>
      <w:pPr>
        <w:ind w:right="360" w:firstLine="8"/>
        <w:spacing w:after="0" w:line="292" w:lineRule="auto"/>
        <w:tabs>
          <w:tab w:leader="none" w:pos="31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Series Seed Preferred Stock at a price per share equal to the Series Seed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in accordance with the priorities set forth in Sections 2.1 and 2.2, to the fullest extent of such Available Proceeds, and shall redeem the remaining shares as soon as it may lawfully do so under Delaware law governing distributions to stockholders. The provisions of Section 6 shall apply, with such necessary changes in the details thereof as are necessitated by the context, to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18" w:name="page219"/>
    <w:bookmarkEnd w:id="21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redemption of the Preferred Stock pursuant to this Subsection 2.4.2. Prior to the distribution or redemption provided for in this </w:t>
      </w:r>
      <w:r>
        <w:rPr>
          <w:rFonts w:ascii="Arial" w:cs="Arial" w:eastAsia="Arial" w:hAnsi="Arial"/>
          <w:sz w:val="18"/>
          <w:szCs w:val="18"/>
          <w:u w:val="single" w:color="auto"/>
          <w:color w:val="auto"/>
        </w:rPr>
        <w:t>Subsection 2.4.2(b)</w:t>
      </w:r>
      <w:r>
        <w:rPr>
          <w:rFonts w:ascii="Arial" w:cs="Arial" w:eastAsia="Arial" w:hAnsi="Arial"/>
          <w:sz w:val="18"/>
          <w:szCs w:val="18"/>
          <w:color w:val="auto"/>
        </w:rPr>
        <w:t>, the Corporation shall not expend or dissipate the consideration received for such Deemed Liquidation Event, except to discharge expenses incurred in connection with such Deemed Liquidation Event.</w:t>
      </w:r>
    </w:p>
    <w:p>
      <w:pPr>
        <w:spacing w:after="0" w:line="73" w:lineRule="exact"/>
        <w:rPr>
          <w:sz w:val="20"/>
          <w:szCs w:val="20"/>
          <w:color w:val="auto"/>
        </w:rPr>
      </w:pPr>
    </w:p>
    <w:p>
      <w:pPr>
        <w:ind w:left="2640" w:hanging="236"/>
        <w:spacing w:after="0"/>
        <w:tabs>
          <w:tab w:leader="none" w:pos="2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Liquidation Redemption Notice shall state:</w:t>
      </w:r>
    </w:p>
    <w:p>
      <w:pPr>
        <w:spacing w:after="0" w:line="130" w:lineRule="exact"/>
        <w:rPr>
          <w:rFonts w:ascii="Arial" w:cs="Arial" w:eastAsia="Arial" w:hAnsi="Arial"/>
          <w:sz w:val="18"/>
          <w:szCs w:val="18"/>
          <w:color w:val="auto"/>
        </w:rPr>
      </w:pPr>
    </w:p>
    <w:p>
      <w:pPr>
        <w:ind w:left="3420" w:right="660" w:hanging="454"/>
        <w:spacing w:after="0" w:line="277" w:lineRule="auto"/>
        <w:tabs>
          <w:tab w:leader="none" w:pos="34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number of shares of Preferred Stock that the Corporation may be obligated to redeem pursuant to Subsection 2.4.2(b);</w:t>
      </w:r>
    </w:p>
    <w:p>
      <w:pPr>
        <w:spacing w:after="0" w:line="75" w:lineRule="exact"/>
        <w:rPr>
          <w:rFonts w:ascii="Arial" w:cs="Arial" w:eastAsia="Arial" w:hAnsi="Arial"/>
          <w:sz w:val="18"/>
          <w:szCs w:val="18"/>
          <w:color w:val="auto"/>
        </w:rPr>
      </w:pPr>
    </w:p>
    <w:p>
      <w:pPr>
        <w:ind w:left="3420" w:hanging="562"/>
        <w:spacing w:after="0"/>
        <w:tabs>
          <w:tab w:leader="none" w:pos="3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Redemption Deadline and the Liquidation Redemption Date;</w:t>
      </w:r>
    </w:p>
    <w:p>
      <w:pPr>
        <w:spacing w:after="0" w:line="130" w:lineRule="exact"/>
        <w:rPr>
          <w:rFonts w:ascii="Arial" w:cs="Arial" w:eastAsia="Arial" w:hAnsi="Arial"/>
          <w:sz w:val="18"/>
          <w:szCs w:val="18"/>
          <w:color w:val="auto"/>
        </w:rPr>
      </w:pPr>
    </w:p>
    <w:p>
      <w:pPr>
        <w:ind w:left="3420" w:hanging="562"/>
        <w:spacing w:after="0" w:line="277" w:lineRule="auto"/>
        <w:tabs>
          <w:tab w:leader="none" w:pos="3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Series B Liquidation Amount, the Series A Liquidation Amount and the Series Seed Liquidation Amount; and</w:t>
      </w:r>
    </w:p>
    <w:p>
      <w:pPr>
        <w:spacing w:after="0" w:line="75" w:lineRule="exact"/>
        <w:rPr>
          <w:rFonts w:ascii="Arial" w:cs="Arial" w:eastAsia="Arial" w:hAnsi="Arial"/>
          <w:sz w:val="18"/>
          <w:szCs w:val="18"/>
          <w:color w:val="auto"/>
        </w:rPr>
      </w:pPr>
    </w:p>
    <w:p>
      <w:pPr>
        <w:ind w:left="3420" w:right="840" w:hanging="562"/>
        <w:spacing w:after="0" w:line="277" w:lineRule="auto"/>
        <w:tabs>
          <w:tab w:leader="none" w:pos="3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manner and place designated for the holder to surrender his, her or its certificate or certificates representing the shares of Preferred Stock.</w:t>
      </w:r>
    </w:p>
    <w:p>
      <w:pPr>
        <w:spacing w:after="0" w:line="62" w:lineRule="exact"/>
        <w:rPr>
          <w:sz w:val="20"/>
          <w:szCs w:val="20"/>
          <w:color w:val="auto"/>
        </w:rPr>
      </w:pPr>
    </w:p>
    <w:p>
      <w:pPr>
        <w:ind w:right="220" w:firstLine="1940"/>
        <w:spacing w:after="0" w:line="302"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(including a majority of the Preferred Directors (as defined below)).</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 xml:space="preserve">2.4.4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2.4.1(a)(i)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(a) the portion of such consideration that is not Additional Consideration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 2.2 and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if the Initial Consideration were the only consideration payable in connection with such Deemed Liquidation Event; and (b) any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becomes payable to the stockholders of the Corporation upon satisfaction of such contingencies shall be allocated among the holders of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Corporation in accordance with </w:t>
      </w:r>
      <w:r>
        <w:rPr>
          <w:rFonts w:ascii="Arial" w:cs="Arial" w:eastAsia="Arial" w:hAnsi="Arial"/>
          <w:sz w:val="16"/>
          <w:szCs w:val="16"/>
          <w:u w:val="single" w:color="auto"/>
          <w:color w:val="auto"/>
        </w:rPr>
        <w:t>Subsections 2.1, 2.2 and 2.3</w:t>
      </w:r>
      <w:r>
        <w:rPr>
          <w:rFonts w:ascii="Arial" w:cs="Arial" w:eastAsia="Arial" w:hAnsi="Arial"/>
          <w:sz w:val="16"/>
          <w:szCs w:val="16"/>
          <w:color w:val="auto"/>
        </w:rPr>
        <w:t xml:space="preserve"> after taking into account the previous payment of the Initial Consideration as part of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transaction. For the purposes of this </w:t>
      </w:r>
      <w:r>
        <w:rPr>
          <w:rFonts w:ascii="Arial" w:cs="Arial" w:eastAsia="Arial" w:hAnsi="Arial"/>
          <w:sz w:val="17"/>
          <w:szCs w:val="17"/>
          <w:u w:val="single" w:color="auto"/>
          <w:color w:val="auto"/>
        </w:rPr>
        <w:t>Subsection 2.4.4</w:t>
      </w:r>
      <w:r>
        <w:rPr>
          <w:rFonts w:ascii="Arial" w:cs="Arial" w:eastAsia="Arial" w:hAnsi="Arial"/>
          <w:sz w:val="17"/>
          <w:szCs w:val="17"/>
          <w:color w:val="auto"/>
        </w:rPr>
        <w:t>, consideration placed into escrow or retained as holdback to be available for satisfaction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or similar obligations in connection with such Deemed Liquidation Event shall be deemed to be Additional Consideration.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19" w:name="page220"/>
    <w:bookmarkEnd w:id="219"/>
    <w:p>
      <w:pPr>
        <w:ind w:left="1100" w:hanging="179"/>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w:t>
      </w:r>
      <w:r>
        <w:rPr>
          <w:rFonts w:ascii="Arial" w:cs="Arial" w:eastAsia="Arial" w:hAnsi="Arial"/>
          <w:sz w:val="18"/>
          <w:szCs w:val="18"/>
          <w:color w:val="auto"/>
        </w:rPr>
        <w:t>.</w:t>
      </w:r>
    </w:p>
    <w:p>
      <w:pPr>
        <w:spacing w:after="0" w:line="117" w:lineRule="exact"/>
        <w:rPr>
          <w:sz w:val="20"/>
          <w:szCs w:val="20"/>
          <w:color w:val="auto"/>
        </w:rPr>
      </w:pPr>
    </w:p>
    <w:p>
      <w:pPr>
        <w:ind w:right="180" w:firstLine="148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explicitly provided by the other provisions of the Certificate of Incorporation, holders of Preferred Stock, to the maximum extent permitted by the General Corporation Law, shall vote together with the holders of Common Stock as a single class.</w:t>
      </w:r>
    </w:p>
    <w:p>
      <w:pPr>
        <w:spacing w:after="0" w:line="85" w:lineRule="exact"/>
        <w:rPr>
          <w:sz w:val="20"/>
          <w:szCs w:val="20"/>
          <w:color w:val="auto"/>
        </w:rPr>
      </w:pPr>
    </w:p>
    <w:p>
      <w:pPr>
        <w:ind w:right="60" w:firstLine="1484"/>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Preferred Stock exclusively and as a separate class, shall be entitled to elect three (3) directors of the Corporation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and the holders of record of the shares of Common Stock, exclusively and as a separate class, shall be entitled to elect two (2)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B Preferred Stock, Series A Preferred Stock and Series Seed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w:t>
      </w:r>
    </w:p>
    <w:p>
      <w:pPr>
        <w:spacing w:after="0" w:line="70"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Requisite Preferred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20" w:name="page221"/>
    <w:bookmarkEnd w:id="220"/>
    <w:p>
      <w:pPr>
        <w:ind w:left="1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3.3.1 liquidate, dissolve or wind-up the affairs of the Corporation, or effect any merger or consolidation or any other Deemed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Liquidation Event;</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3.3.2 amend, alter, or repeal any provision of the Certificate of Incorporation or the Corporation’s Bylaws;</w:t>
      </w:r>
    </w:p>
    <w:p>
      <w:pPr>
        <w:spacing w:after="0" w:line="117" w:lineRule="exact"/>
        <w:rPr>
          <w:sz w:val="20"/>
          <w:szCs w:val="20"/>
          <w:color w:val="auto"/>
        </w:rPr>
      </w:pPr>
    </w:p>
    <w:p>
      <w:pPr>
        <w:ind w:right="100" w:firstLine="1940"/>
        <w:spacing w:after="0" w:line="286" w:lineRule="auto"/>
        <w:rPr>
          <w:sz w:val="20"/>
          <w:szCs w:val="20"/>
          <w:color w:val="auto"/>
        </w:rPr>
      </w:pPr>
      <w:r>
        <w:rPr>
          <w:rFonts w:ascii="Arial" w:cs="Arial" w:eastAsia="Arial" w:hAnsi="Arial"/>
          <w:sz w:val="17"/>
          <w:szCs w:val="17"/>
          <w:color w:val="auto"/>
        </w:rPr>
        <w:t>3.3.3 create or authorize the creation of or issue any other security convertible into or exercisable for any equity security, having rights, preferences or privileges senior to or on parity with the Series B Preferred Stock or the Series A Preferred Stock, or increase the authorized number of shares of Preferred Stock, Series B Preferred Stock, Series A Preferred Stock or Series Seed Preferred Stock;</w:t>
      </w:r>
    </w:p>
    <w:p>
      <w:pPr>
        <w:spacing w:after="0" w:line="57"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3.3.4 reclassify, alter or amend any existing security of the Corporation that is junior to the Series B Preferred Stock or the Series A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either the Series B Preferred Stock or the Series A Preferred Stock in respect of any such right, preference or privilege;</w:t>
      </w:r>
    </w:p>
    <w:p>
      <w:pPr>
        <w:spacing w:after="0" w:line="79" w:lineRule="exact"/>
        <w:rPr>
          <w:sz w:val="20"/>
          <w:szCs w:val="20"/>
          <w:color w:val="auto"/>
        </w:rPr>
      </w:pPr>
    </w:p>
    <w:p>
      <w:pPr>
        <w:ind w:right="300" w:firstLine="1940"/>
        <w:spacing w:after="0" w:line="302" w:lineRule="auto"/>
        <w:rPr>
          <w:sz w:val="20"/>
          <w:szCs w:val="20"/>
          <w:color w:val="auto"/>
        </w:rPr>
      </w:pPr>
      <w:r>
        <w:rPr>
          <w:rFonts w:ascii="Arial" w:cs="Arial" w:eastAsia="Arial" w:hAnsi="Arial"/>
          <w:sz w:val="16"/>
          <w:szCs w:val="16"/>
          <w:color w:val="auto"/>
        </w:rPr>
        <w:t>3.3.5 purchase or redeem (or permit any subsidiary to purchase or redeem) or pay any dividend on any capital stock prior to the Series B Preferred Stock or the Series A Preferred Stock, other than (i) redemptions of or dividends or distributions on Preferred Stock as expressly authorized herein, and (ii) stock repurchased from former employees or consultants in connection with the cessation of their employment/services, at the lower of fair market value or cost, as approved by the Board of Directors (including a majority of the Preferred Directors);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3.3.6 create or authorize the creation of any debt security (x) other than equipment leases in the ordinary course of business or</w:t>
      </w:r>
    </w:p>
    <w:p>
      <w:pPr>
        <w:spacing w:after="0" w:line="46" w:lineRule="exact"/>
        <w:rPr>
          <w:sz w:val="20"/>
          <w:szCs w:val="20"/>
          <w:color w:val="auto"/>
        </w:rPr>
      </w:pPr>
    </w:p>
    <w:p>
      <w:pPr>
        <w:ind w:right="260" w:firstLine="8"/>
        <w:spacing w:after="0" w:line="261"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for borrowed money not to exceed $200,000 in original principal amount, in each case as approved by the Board of Directors (including a majority of the Preferred Directors);</w:t>
      </w:r>
    </w:p>
    <w:p>
      <w:pPr>
        <w:spacing w:after="0" w:line="76" w:lineRule="exact"/>
        <w:rPr>
          <w:sz w:val="20"/>
          <w:szCs w:val="20"/>
          <w:color w:val="auto"/>
        </w:rPr>
      </w:pPr>
    </w:p>
    <w:p>
      <w:pPr>
        <w:jc w:val="both"/>
        <w:ind w:right="500" w:firstLine="1940"/>
        <w:spacing w:after="0" w:line="259" w:lineRule="auto"/>
        <w:rPr>
          <w:sz w:val="20"/>
          <w:szCs w:val="20"/>
          <w:color w:val="auto"/>
        </w:rPr>
      </w:pPr>
      <w:r>
        <w:rPr>
          <w:rFonts w:ascii="Arial" w:cs="Arial" w:eastAsia="Arial" w:hAnsi="Arial"/>
          <w:sz w:val="18"/>
          <w:szCs w:val="18"/>
          <w:color w:val="auto"/>
        </w:rPr>
        <w:t>3.3.7 create or hold capital stock in any subsidiary (other than a wholly-owned subsidiary; provided that such wholly-owned subsidiary (including any in existence on the Series B Original Issue Date (as defined below) has the same board of directors as the Corporation, unless approved by the Board of Directors (including a majority of the Preferred Directors)) or dispose of any subsidiary stock or all or substantially all of any subsidiary assets;</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3.3.8 increase or decrease the size of the Board of Directors; or</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3.3.9 grant or create any lien on or security interests in any of the assets of the Corporation or any subsidiary.</w:t>
      </w:r>
    </w:p>
    <w:p>
      <w:pPr>
        <w:spacing w:after="0" w:line="117"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any shares of Series B Preferred Stock are outstanding, the Corporation shall not, either directly or indirectly by amendment, merger, consolidation or otherwise, without (in addition to any other vote required by law or the Certificate of Incorporation) the written consent or affirmative vote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1" w:name="page222"/>
    <w:bookmarkEnd w:id="221"/>
    <w:p>
      <w:pPr>
        <w:ind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holders of a majority of the then outstanding shares of Series B Preferred Stock (the “</w:t>
      </w:r>
      <w:r>
        <w:rPr>
          <w:rFonts w:ascii="Arial" w:cs="Arial" w:eastAsia="Arial" w:hAnsi="Arial"/>
          <w:sz w:val="18"/>
          <w:szCs w:val="18"/>
          <w:b w:val="1"/>
          <w:bCs w:val="1"/>
          <w:color w:val="auto"/>
        </w:rPr>
        <w:t>Requisite Series B Preferred</w:t>
      </w:r>
      <w:r>
        <w:rPr>
          <w:rFonts w:ascii="Arial" w:cs="Arial" w:eastAsia="Arial" w:hAnsi="Arial"/>
          <w:sz w:val="18"/>
          <w:szCs w:val="18"/>
          <w:color w:val="auto"/>
        </w:rPr>
        <w:t xml:space="preserve">”),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72" w:lineRule="exact"/>
        <w:rPr>
          <w:sz w:val="20"/>
          <w:szCs w:val="20"/>
          <w:color w:val="auto"/>
        </w:rPr>
      </w:pPr>
    </w:p>
    <w:p>
      <w:pPr>
        <w:ind w:right="620" w:firstLine="1940"/>
        <w:spacing w:after="0" w:line="277" w:lineRule="auto"/>
        <w:rPr>
          <w:sz w:val="20"/>
          <w:szCs w:val="20"/>
          <w:color w:val="auto"/>
        </w:rPr>
      </w:pPr>
      <w:r>
        <w:rPr>
          <w:rFonts w:ascii="Arial" w:cs="Arial" w:eastAsia="Arial" w:hAnsi="Arial"/>
          <w:sz w:val="18"/>
          <w:szCs w:val="18"/>
          <w:color w:val="auto"/>
        </w:rPr>
        <w:t>3.4.1 waive, amend or alter the rights, preferences or privileges of the Series B Preferred Stock adversely in a different and disproportionate manner than any other series of the Preferred Stock;</w:t>
      </w:r>
    </w:p>
    <w:p>
      <w:pPr>
        <w:spacing w:after="0" w:line="62" w:lineRule="exact"/>
        <w:rPr>
          <w:sz w:val="20"/>
          <w:szCs w:val="20"/>
          <w:color w:val="auto"/>
        </w:rPr>
      </w:pPr>
    </w:p>
    <w:p>
      <w:pPr>
        <w:ind w:right="100" w:firstLine="1940"/>
        <w:spacing w:after="0" w:line="264" w:lineRule="auto"/>
        <w:rPr>
          <w:sz w:val="20"/>
          <w:szCs w:val="20"/>
          <w:color w:val="auto"/>
        </w:rPr>
      </w:pPr>
      <w:r>
        <w:rPr>
          <w:rFonts w:ascii="Arial" w:cs="Arial" w:eastAsia="Arial" w:hAnsi="Arial"/>
          <w:sz w:val="18"/>
          <w:szCs w:val="18"/>
          <w:color w:val="auto"/>
        </w:rPr>
        <w:t>3.4.2 waive, amend, alter or repeal any provision of the Certificate of Incorporation or Bylaws of the Corporation in a manner that adversely affects the powers, preferences or rights of the Series B Preferred Stock in a different and disproportionate manner than any other series of Preferred Stock;</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3.4.3 amend, waive, alter or repeal the definition of Requisite Series B Preferred or the use thereof in Section 2.4.1, Section 4.4.2,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5.1.1 or Section 8;</w:t>
      </w:r>
    </w:p>
    <w:p>
      <w:pPr>
        <w:spacing w:after="0" w:line="103" w:lineRule="exact"/>
        <w:rPr>
          <w:sz w:val="20"/>
          <w:szCs w:val="20"/>
          <w:color w:val="auto"/>
        </w:rPr>
      </w:pPr>
    </w:p>
    <w:p>
      <w:pPr>
        <w:ind w:right="60" w:firstLine="1940"/>
        <w:spacing w:after="0" w:line="297" w:lineRule="auto"/>
        <w:rPr>
          <w:sz w:val="20"/>
          <w:szCs w:val="20"/>
          <w:color w:val="auto"/>
        </w:rPr>
      </w:pPr>
      <w:r>
        <w:rPr>
          <w:rFonts w:ascii="Arial" w:cs="Arial" w:eastAsia="Arial" w:hAnsi="Arial"/>
          <w:sz w:val="16"/>
          <w:szCs w:val="16"/>
          <w:color w:val="auto"/>
        </w:rPr>
        <w:t>3.4.4 waive, amend, alter or repeal (a) the Series B Original Issue Price, the Conversion Price (to the extent such action would reduce the rights, privileges and protections applicable to the Series B Preferred Stock) or the Series B Liquidation Amount, provided that no consent shall be required for (x) any alteration of the Conversion Price that results from the automatic operation of the provisions of Section 4 hereof and (y) any alteration of the Series B Original Issue Price that results from the automatic operation of the provisions of Section 1 hereof; or (b) Section 5.1 to the extent such action would reduce the rights, privileges and protections applicable to the Series B Preferred Stock as in effect on the date hereof; or</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increase the authorized number of shares of Series B Preferred Stock.</w:t>
      </w:r>
    </w:p>
    <w:p>
      <w:pPr>
        <w:spacing w:after="0" w:line="117" w:lineRule="exact"/>
        <w:rPr>
          <w:sz w:val="20"/>
          <w:szCs w:val="20"/>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9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for such series of Preferred Stock by the Conversion Price (as defined below) for such series of Preferred Stock in effect at the time of conversion. The “</w:t>
      </w:r>
      <w:r>
        <w:rPr>
          <w:rFonts w:ascii="Arial" w:cs="Arial" w:eastAsia="Arial" w:hAnsi="Arial"/>
          <w:sz w:val="16"/>
          <w:szCs w:val="16"/>
          <w:b w:val="1"/>
          <w:bCs w:val="1"/>
          <w:color w:val="auto"/>
        </w:rPr>
        <w:t>Conversion Price</w:t>
      </w:r>
      <w:r>
        <w:rPr>
          <w:rFonts w:ascii="Arial" w:cs="Arial" w:eastAsia="Arial" w:hAnsi="Arial"/>
          <w:sz w:val="16"/>
          <w:szCs w:val="16"/>
          <w:color w:val="auto"/>
        </w:rPr>
        <w:t>” per share for the Series B Preferred Stock, Series A Preferred Stock and Series Seed Preferred Stock shall initially be equal to Original Issue Price of such series of Preferred Stock. Such initial Conversion Price, and the rate at which shares of Preferred Stock may be converted into shares of Common Stock, shall be subject to adjustment as provided below.</w:t>
      </w:r>
    </w:p>
    <w:p>
      <w:pPr>
        <w:spacing w:after="0" w:line="57" w:lineRule="exact"/>
        <w:rPr>
          <w:sz w:val="20"/>
          <w:szCs w:val="20"/>
          <w:color w:val="auto"/>
        </w:rPr>
      </w:pPr>
    </w:p>
    <w:p>
      <w:pPr>
        <w:ind w:right="240" w:firstLine="1940"/>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222" w:name="page223"/>
    <w:bookmarkEnd w:id="222"/>
    <w:p>
      <w:pPr>
        <w:ind w:firstLine="148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holding at the time converting into Common Stock and the aggregate number of shares of Common Stock issuable upon such conversion.</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67" w:lineRule="exact"/>
        <w:rPr>
          <w:sz w:val="20"/>
          <w:szCs w:val="20"/>
          <w:color w:val="auto"/>
        </w:rPr>
      </w:pPr>
    </w:p>
    <w:p>
      <w:pPr>
        <w:ind w:right="140" w:firstLine="1940"/>
        <w:spacing w:after="0" w:line="312"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3" w:name="page224"/>
    <w:bookmarkEnd w:id="223"/>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of any series of Preferred Stock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0" w:lineRule="exact"/>
        <w:rPr>
          <w:sz w:val="20"/>
          <w:szCs w:val="20"/>
          <w:color w:val="auto"/>
        </w:rPr>
      </w:pPr>
    </w:p>
    <w:p>
      <w:pPr>
        <w:ind w:right="120" w:firstLine="1940"/>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57" w:lineRule="exact"/>
        <w:rPr>
          <w:sz w:val="20"/>
          <w:szCs w:val="20"/>
          <w:color w:val="auto"/>
        </w:rPr>
      </w:pPr>
    </w:p>
    <w:p>
      <w:pPr>
        <w:ind w:right="220" w:firstLine="1940"/>
        <w:spacing w:after="0" w:line="27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Conversion Price shall be made for any declared but unpaid dividends on the Preferred Stock surrendered for conversion or on the Common Stock delivered upon conversion.</w:t>
      </w:r>
    </w:p>
    <w:p>
      <w:pPr>
        <w:spacing w:after="0" w:line="62"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Conversion Price for Diluting Issues</w:t>
      </w:r>
      <w:r>
        <w:rPr>
          <w:rFonts w:ascii="Arial" w:cs="Arial" w:eastAsia="Arial" w:hAnsi="Arial"/>
          <w:sz w:val="18"/>
          <w:szCs w:val="18"/>
          <w:color w:val="auto"/>
        </w:rPr>
        <w: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99" w:lineRule="exact"/>
        <w:rPr>
          <w:sz w:val="20"/>
          <w:szCs w:val="20"/>
          <w:color w:val="auto"/>
        </w:rPr>
      </w:pPr>
    </w:p>
    <w:p>
      <w:pPr>
        <w:ind w:left="5620" w:right="340" w:hanging="3216"/>
        <w:spacing w:after="0" w:line="454" w:lineRule="auto"/>
        <w:tabs>
          <w:tab w:leader="none" w:pos="26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Original Issue Date</w:t>
      </w:r>
      <w:r>
        <w:rPr>
          <w:rFonts w:ascii="Arial" w:cs="Arial" w:eastAsia="Arial" w:hAnsi="Arial"/>
          <w:sz w:val="18"/>
          <w:szCs w:val="18"/>
          <w:color w:val="auto"/>
        </w:rPr>
        <w:t>” shall mean the date on which the first share of Series B Preferred Stock was issued. 11</w:t>
      </w:r>
    </w:p>
    <w:p>
      <w:pPr>
        <w:sectPr>
          <w:pgSz w:w="11900" w:h="16838" w:orient="portrait"/>
          <w:cols w:equalWidth="0" w:num="1">
            <w:col w:w="11360"/>
          </w:cols>
          <w:pgMar w:left="240" w:top="274" w:right="299" w:bottom="1440" w:gutter="0" w:footer="0" w:header="0"/>
        </w:sectPr>
      </w:pPr>
    </w:p>
    <w:bookmarkStart w:id="224" w:name="page225"/>
    <w:bookmarkEnd w:id="224"/>
    <w:p>
      <w:pPr>
        <w:ind w:right="460" w:firstLine="2404"/>
        <w:spacing w:after="0" w:line="282" w:lineRule="auto"/>
        <w:tabs>
          <w:tab w:leader="none" w:pos="2641"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8"/>
          <w:szCs w:val="18"/>
          <w:color w:val="auto"/>
        </w:rPr>
      </w:pPr>
    </w:p>
    <w:p>
      <w:pPr>
        <w:jc w:val="both"/>
        <w:ind w:right="20" w:firstLine="2404"/>
        <w:spacing w:after="0" w:line="314" w:lineRule="auto"/>
        <w:tabs>
          <w:tab w:leader="none" w:pos="265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3420" w:right="180" w:hanging="454"/>
        <w:spacing w:after="0" w:line="277" w:lineRule="auto"/>
        <w:tabs>
          <w:tab w:leader="none" w:pos="34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75" w:lineRule="exact"/>
        <w:rPr>
          <w:rFonts w:ascii="Arial" w:cs="Arial" w:eastAsia="Arial" w:hAnsi="Arial"/>
          <w:sz w:val="18"/>
          <w:szCs w:val="18"/>
          <w:color w:val="auto"/>
        </w:rPr>
      </w:pPr>
    </w:p>
    <w:p>
      <w:pPr>
        <w:ind w:left="3420" w:right="320" w:hanging="454"/>
        <w:spacing w:after="0" w:line="342" w:lineRule="auto"/>
        <w:tabs>
          <w:tab w:leader="none" w:pos="34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b w:val="1"/>
          <w:bCs w:val="1"/>
          <w:color w:val="auto"/>
        </w:rPr>
        <w:t>;</w:t>
      </w:r>
    </w:p>
    <w:p>
      <w:pPr>
        <w:spacing w:after="0" w:line="29" w:lineRule="exact"/>
        <w:rPr>
          <w:rFonts w:ascii="Arial" w:cs="Arial" w:eastAsia="Arial" w:hAnsi="Arial"/>
          <w:sz w:val="16"/>
          <w:szCs w:val="16"/>
          <w:color w:val="auto"/>
        </w:rPr>
      </w:pPr>
    </w:p>
    <w:p>
      <w:pPr>
        <w:ind w:left="3420" w:hanging="454"/>
        <w:spacing w:after="0" w:line="259" w:lineRule="auto"/>
        <w:tabs>
          <w:tab w:leader="none" w:pos="34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and the Requisite Preferred Holders (including, in each case, the number of shares of Common Stock issuable thereunder);</w:t>
      </w:r>
    </w:p>
    <w:p>
      <w:pPr>
        <w:spacing w:after="0" w:line="92" w:lineRule="exact"/>
        <w:rPr>
          <w:rFonts w:ascii="Arial" w:cs="Arial" w:eastAsia="Arial" w:hAnsi="Arial"/>
          <w:sz w:val="18"/>
          <w:szCs w:val="18"/>
          <w:color w:val="auto"/>
        </w:rPr>
      </w:pPr>
    </w:p>
    <w:p>
      <w:pPr>
        <w:ind w:left="3420" w:right="240" w:hanging="454"/>
        <w:spacing w:after="0" w:line="286" w:lineRule="auto"/>
        <w:tabs>
          <w:tab w:leader="none" w:pos="34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0" w:lineRule="exact"/>
        <w:rPr>
          <w:rFonts w:ascii="Arial" w:cs="Arial" w:eastAsia="Arial" w:hAnsi="Arial"/>
          <w:sz w:val="17"/>
          <w:szCs w:val="17"/>
          <w:color w:val="auto"/>
        </w:rPr>
      </w:pPr>
    </w:p>
    <w:p>
      <w:pPr>
        <w:ind w:left="3420" w:right="20" w:hanging="454"/>
        <w:spacing w:after="0" w:line="259" w:lineRule="auto"/>
        <w:tabs>
          <w:tab w:leader="none" w:pos="34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25" w:name="page226"/>
    <w:bookmarkEnd w:id="225"/>
    <w:p>
      <w:pPr>
        <w:ind w:left="3420" w:hanging="562"/>
        <w:spacing w:after="0" w:line="264" w:lineRule="auto"/>
        <w:tabs>
          <w:tab w:leader="none" w:pos="3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Options or Convertible Securities issued to suppliers or third party service providers in connection with the provision of goods or services pursuant to transactions approved by the Board of Directors of the Corporation, including a majority of the Preferred Directors; or</w:t>
      </w:r>
    </w:p>
    <w:p>
      <w:pPr>
        <w:spacing w:after="0" w:line="86" w:lineRule="exact"/>
        <w:rPr>
          <w:rFonts w:ascii="Arial" w:cs="Arial" w:eastAsia="Arial" w:hAnsi="Arial"/>
          <w:sz w:val="18"/>
          <w:szCs w:val="18"/>
          <w:color w:val="auto"/>
        </w:rPr>
      </w:pPr>
    </w:p>
    <w:p>
      <w:pPr>
        <w:ind w:left="3420" w:right="320" w:hanging="562"/>
        <w:spacing w:after="0" w:line="259" w:lineRule="auto"/>
        <w:tabs>
          <w:tab w:leader="none" w:pos="3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w:t>
      </w:r>
    </w:p>
    <w:p>
      <w:pPr>
        <w:spacing w:after="0" w:line="79" w:lineRule="exact"/>
        <w:rPr>
          <w:sz w:val="20"/>
          <w:szCs w:val="20"/>
          <w:color w:val="auto"/>
        </w:rPr>
      </w:pPr>
    </w:p>
    <w:p>
      <w:pPr>
        <w:ind w:right="80" w:firstLine="1940"/>
        <w:spacing w:after="0" w:line="254"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in the Conversion Price for a series of Preferred Stock shall be made as the result of the issuance or deemed issuance of Additional Shares of Common Stock if the Corporation receives (i) in the case of the Series Seed Preferred Stock, written notice from the holders of at least 50% of the then outstanding shares of Series Seed Preferred Stock agreeing that no such adjustment shall be made as the result of the issuance or deemed issuance of such Additional Shares of Common Stock, (ii) in the case of the Series A Preferred Stock, written notice from the holders of a majority of the then outstanding shares of Series A Preferred Stock agreeing that no such adjustment shall be made as the result of the issuance or deemed issuance of such Additional Shares of Common Stock, and (iii) in the case of the Series B Preferred Stock, written notice from the Requisite Series B Preferred agreeing that no such adjustment shall be made as the result of the issuance or deemed issuance of such Additional Shares of Common Stock.</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7" w:lineRule="exact"/>
        <w:rPr>
          <w:sz w:val="20"/>
          <w:szCs w:val="20"/>
          <w:color w:val="auto"/>
        </w:rPr>
      </w:pPr>
    </w:p>
    <w:p>
      <w:pPr>
        <w:ind w:right="120" w:firstLine="2404"/>
        <w:spacing w:after="0" w:line="291" w:lineRule="auto"/>
        <w:tabs>
          <w:tab w:leader="none" w:pos="264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26" w:name="page227"/>
    <w:bookmarkEnd w:id="226"/>
    <w:p>
      <w:pPr>
        <w:ind w:left="-20" w:right="20" w:firstLine="2404"/>
        <w:spacing w:after="0" w:line="286" w:lineRule="auto"/>
        <w:tabs>
          <w:tab w:leader="none" w:pos="2631"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terms of any Option or Convertible Security, the issuance of which resulted in an adjustment to the Conversion Price for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for a series of Preferred Stock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for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6" w:lineRule="exact"/>
        <w:rPr>
          <w:rFonts w:ascii="Arial" w:cs="Arial" w:eastAsia="Arial" w:hAnsi="Arial"/>
          <w:sz w:val="16"/>
          <w:szCs w:val="16"/>
          <w:color w:val="auto"/>
        </w:rPr>
      </w:pPr>
    </w:p>
    <w:p>
      <w:pPr>
        <w:ind w:left="-20" w:right="20" w:firstLine="2404"/>
        <w:spacing w:after="0" w:line="288" w:lineRule="auto"/>
        <w:tabs>
          <w:tab w:leader="none" w:pos="262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xml:space="preserve"> shall be deemed to have been issued effective upon such increase or decrease becoming effective.</w:t>
      </w:r>
    </w:p>
    <w:p>
      <w:pPr>
        <w:spacing w:after="0" w:line="61" w:lineRule="exact"/>
        <w:rPr>
          <w:rFonts w:ascii="Arial" w:cs="Arial" w:eastAsia="Arial" w:hAnsi="Arial"/>
          <w:sz w:val="16"/>
          <w:szCs w:val="16"/>
          <w:color w:val="auto"/>
        </w:rPr>
      </w:pPr>
    </w:p>
    <w:p>
      <w:pPr>
        <w:ind w:left="-20" w:right="160" w:firstLine="2404"/>
        <w:spacing w:after="0" w:line="259" w:lineRule="auto"/>
        <w:tabs>
          <w:tab w:leader="none" w:pos="26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applicable Conversion Price shall be readjusted to such Conversion Price as would have obtained had such Option or Convertible Security (or portion thereof) never been issued.</w:t>
      </w:r>
    </w:p>
    <w:p>
      <w:pPr>
        <w:spacing w:after="0" w:line="78" w:lineRule="exact"/>
        <w:rPr>
          <w:rFonts w:ascii="Arial" w:cs="Arial" w:eastAsia="Arial" w:hAnsi="Arial"/>
          <w:sz w:val="18"/>
          <w:szCs w:val="18"/>
          <w:color w:val="auto"/>
        </w:rPr>
      </w:pPr>
    </w:p>
    <w:p>
      <w:pPr>
        <w:ind w:left="-20" w:firstLine="2404"/>
        <w:spacing w:after="0" w:line="264" w:lineRule="auto"/>
        <w:tabs>
          <w:tab w:leader="none" w:pos="26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27" w:name="page228"/>
    <w:bookmarkEnd w:id="227"/>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adjustment based upon subsequent events, any adjustment to the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58" w:lineRule="exact"/>
        <w:rPr>
          <w:sz w:val="20"/>
          <w:szCs w:val="20"/>
          <w:color w:val="auto"/>
        </w:rPr>
      </w:pPr>
    </w:p>
    <w:p>
      <w:pPr>
        <w:ind w:right="40" w:firstLine="1940"/>
        <w:spacing w:after="0" w:line="276"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Conversion Price for a series of Preferred Stock in effect immediately prior to such issue, then the Conversion Price for such series shall be reduced, concurrently with such issue, to a price (calculated to the nearest one-hundredth of a cent) determined in accordance with the following formula:</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780" w:firstLine="2404"/>
        <w:spacing w:after="0" w:line="258" w:lineRule="auto"/>
        <w:tabs>
          <w:tab w:leader="none" w:pos="26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“CP2” shall mean the Conversion Price for a series of Preferred Stock in effect immediately after such issue of Additional Shares of Common Stock;</w:t>
      </w:r>
    </w:p>
    <w:p>
      <w:pPr>
        <w:spacing w:after="0" w:line="1" w:lineRule="exact"/>
        <w:rPr>
          <w:rFonts w:ascii="Arial" w:cs="Arial" w:eastAsia="Arial" w:hAnsi="Arial"/>
          <w:sz w:val="18"/>
          <w:szCs w:val="18"/>
          <w:color w:val="auto"/>
        </w:rPr>
      </w:pPr>
    </w:p>
    <w:p>
      <w:pPr>
        <w:ind w:right="580" w:firstLine="2404"/>
        <w:spacing w:after="0" w:line="261" w:lineRule="auto"/>
        <w:tabs>
          <w:tab w:leader="none" w:pos="26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Conversion Price for a series of Preferred Stock in effect immediately prior to such issue of Additional Shares of Common Stock;</w:t>
      </w:r>
    </w:p>
    <w:p>
      <w:pPr>
        <w:spacing w:after="0" w:line="75" w:lineRule="exact"/>
        <w:rPr>
          <w:rFonts w:ascii="Arial" w:cs="Arial" w:eastAsia="Arial" w:hAnsi="Arial"/>
          <w:sz w:val="18"/>
          <w:szCs w:val="18"/>
          <w:color w:val="auto"/>
        </w:rPr>
      </w:pPr>
    </w:p>
    <w:p>
      <w:pPr>
        <w:ind w:firstLine="2404"/>
        <w:spacing w:after="0" w:line="259" w:lineRule="auto"/>
        <w:tabs>
          <w:tab w:leader="none" w:pos="26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8" w:lineRule="exact"/>
        <w:rPr>
          <w:rFonts w:ascii="Arial" w:cs="Arial" w:eastAsia="Arial" w:hAnsi="Arial"/>
          <w:sz w:val="18"/>
          <w:szCs w:val="18"/>
          <w:color w:val="auto"/>
        </w:rPr>
      </w:pPr>
    </w:p>
    <w:p>
      <w:pPr>
        <w:ind w:right="100" w:firstLine="2404"/>
        <w:spacing w:after="0" w:line="275" w:lineRule="auto"/>
        <w:tabs>
          <w:tab w:leader="none" w:pos="26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2640" w:hanging="236"/>
        <w:spacing w:after="0"/>
        <w:tabs>
          <w:tab w:leader="none" w:pos="2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8" w:name="page229"/>
    <w:bookmarkEnd w:id="228"/>
    <w:p>
      <w:pPr>
        <w:ind w:right="22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sz w:val="20"/>
          <w:szCs w:val="20"/>
          <w:color w:val="auto"/>
        </w:rPr>
      </w:pPr>
    </w:p>
    <w:p>
      <w:pPr>
        <w:ind w:left="2640" w:hanging="236"/>
        <w:spacing w:after="0"/>
        <w:tabs>
          <w:tab w:leader="none" w:pos="2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20" w:right="520" w:hanging="454"/>
        <w:spacing w:after="0" w:line="277" w:lineRule="auto"/>
        <w:tabs>
          <w:tab w:leader="none" w:pos="3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20" w:right="260" w:hanging="454"/>
        <w:spacing w:after="0" w:line="277" w:lineRule="auto"/>
        <w:tabs>
          <w:tab w:leader="none" w:pos="3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and</w:t>
      </w:r>
    </w:p>
    <w:p>
      <w:pPr>
        <w:spacing w:after="0" w:line="75" w:lineRule="exact"/>
        <w:rPr>
          <w:rFonts w:ascii="Arial" w:cs="Arial" w:eastAsia="Arial" w:hAnsi="Arial"/>
          <w:sz w:val="18"/>
          <w:szCs w:val="18"/>
          <w:color w:val="auto"/>
        </w:rPr>
      </w:pPr>
    </w:p>
    <w:p>
      <w:pPr>
        <w:ind w:left="3420" w:right="240" w:hanging="454"/>
        <w:spacing w:after="0" w:line="259" w:lineRule="auto"/>
        <w:tabs>
          <w:tab w:leader="none" w:pos="3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78" w:lineRule="exact"/>
        <w:rPr>
          <w:rFonts w:ascii="Arial" w:cs="Arial" w:eastAsia="Arial" w:hAnsi="Arial"/>
          <w:sz w:val="18"/>
          <w:szCs w:val="18"/>
          <w:color w:val="auto"/>
        </w:rPr>
      </w:pPr>
    </w:p>
    <w:p>
      <w:pPr>
        <w:jc w:val="both"/>
        <w:ind w:right="280" w:firstLine="2404"/>
        <w:spacing w:after="0" w:line="342" w:lineRule="auto"/>
        <w:tabs>
          <w:tab w:leader="none" w:pos="265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relating to Options and Convertible Securities, shall be determined by dividing:</w:t>
      </w:r>
    </w:p>
    <w:p>
      <w:pPr>
        <w:spacing w:after="0" w:line="29" w:lineRule="exact"/>
        <w:rPr>
          <w:rFonts w:ascii="Arial" w:cs="Arial" w:eastAsia="Arial" w:hAnsi="Arial"/>
          <w:sz w:val="16"/>
          <w:szCs w:val="16"/>
          <w:color w:val="auto"/>
        </w:rPr>
      </w:pPr>
    </w:p>
    <w:p>
      <w:pPr>
        <w:ind w:left="3420" w:hanging="454"/>
        <w:spacing w:after="0" w:line="255" w:lineRule="auto"/>
        <w:tabs>
          <w:tab w:leader="none" w:pos="3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9" w:name="page230"/>
    <w:bookmarkEnd w:id="229"/>
    <w:p>
      <w:pPr>
        <w:ind w:left="3420" w:right="80" w:hanging="454"/>
        <w:spacing w:after="0" w:line="257" w:lineRule="auto"/>
        <w:tabs>
          <w:tab w:leader="none" w:pos="3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80" w:lineRule="exact"/>
        <w:rPr>
          <w:sz w:val="20"/>
          <w:szCs w:val="20"/>
          <w:color w:val="auto"/>
        </w:rPr>
      </w:pPr>
    </w:p>
    <w:p>
      <w:pPr>
        <w:ind w:right="80" w:firstLine="1940"/>
        <w:spacing w:after="0" w:line="297"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and such issuance dates occur within a period of no more than ninety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50"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B Original Issue Date effect a subdivision of the outstanding Common Stock, the Conversion Price of a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Conversion Price of a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58" w:lineRule="exact"/>
        <w:rPr>
          <w:sz w:val="20"/>
          <w:szCs w:val="20"/>
          <w:color w:val="auto"/>
        </w:rPr>
      </w:pPr>
    </w:p>
    <w:p>
      <w:pPr>
        <w:ind w:right="20" w:firstLine="1484"/>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a series of Preferred Stock in effect immediately before such event shall be decreased as of the time of such issuance or, in the event such a record date shall have been fixed, as of the close of business on such record date, by multiplying the Conversion Price of a series of Preferred Stock then in effect by a fraction:</w:t>
      </w:r>
    </w:p>
    <w:p>
      <w:pPr>
        <w:spacing w:after="0" w:line="50" w:lineRule="exact"/>
        <w:rPr>
          <w:sz w:val="20"/>
          <w:szCs w:val="20"/>
          <w:color w:val="auto"/>
        </w:rPr>
      </w:pPr>
    </w:p>
    <w:p>
      <w:pPr>
        <w:ind w:right="160" w:firstLine="1948"/>
        <w:spacing w:after="0" w:line="277" w:lineRule="auto"/>
        <w:tabs>
          <w:tab w:leader="none" w:pos="21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0" w:name="page231"/>
    <w:bookmarkEnd w:id="230"/>
    <w:p>
      <w:pPr>
        <w:ind w:firstLine="1948"/>
        <w:spacing w:after="0" w:line="264" w:lineRule="auto"/>
        <w:tabs>
          <w:tab w:leader="none" w:pos="21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85"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81" w:lineRule="exact"/>
        <w:rPr>
          <w:sz w:val="20"/>
          <w:szCs w:val="20"/>
          <w:color w:val="auto"/>
        </w:rPr>
      </w:pPr>
    </w:p>
    <w:p>
      <w:pPr>
        <w:ind w:right="60" w:firstLine="1484"/>
        <w:spacing w:after="0" w:line="26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1" w:name="page232"/>
    <w:bookmarkEnd w:id="231"/>
    <w:p>
      <w:pPr>
        <w:ind w:right="520" w:firstLine="148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Price of a series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w:t>
      </w:r>
    </w:p>
    <w:p>
      <w:pPr>
        <w:ind w:right="100" w:firstLine="8"/>
        <w:spacing w:after="0" w:line="290" w:lineRule="auto"/>
        <w:tabs>
          <w:tab w:leader="none" w:pos="34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of each series of Preferred Stock then in effect, and (ii) the number of shares of Common Stock and the amount, if any, of other securities, cash or property which then would be received upon the conversion of Preferred Stock.</w:t>
      </w:r>
    </w:p>
    <w:p>
      <w:pPr>
        <w:spacing w:after="0" w:line="5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140" w:firstLine="2404"/>
        <w:spacing w:after="0" w:line="286" w:lineRule="auto"/>
        <w:tabs>
          <w:tab w:leader="none" w:pos="264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57" w:lineRule="exact"/>
        <w:rPr>
          <w:rFonts w:ascii="Arial" w:cs="Arial" w:eastAsia="Arial" w:hAnsi="Arial"/>
          <w:sz w:val="17"/>
          <w:szCs w:val="17"/>
          <w:color w:val="auto"/>
        </w:rPr>
      </w:pPr>
    </w:p>
    <w:p>
      <w:pPr>
        <w:ind w:left="2660" w:hanging="256"/>
        <w:spacing w:after="0"/>
        <w:tabs>
          <w:tab w:leader="none" w:pos="2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Deemed Liquidation Event; or</w:t>
      </w:r>
    </w:p>
    <w:p>
      <w:pPr>
        <w:spacing w:after="0" w:line="102" w:lineRule="exact"/>
        <w:rPr>
          <w:rFonts w:ascii="Arial" w:cs="Arial" w:eastAsia="Arial" w:hAnsi="Arial"/>
          <w:sz w:val="17"/>
          <w:szCs w:val="17"/>
          <w:color w:val="auto"/>
        </w:rPr>
      </w:pPr>
    </w:p>
    <w:p>
      <w:pPr>
        <w:ind w:left="2640" w:hanging="236"/>
        <w:spacing w:after="0"/>
        <w:tabs>
          <w:tab w:leader="none" w:pos="2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32" w:name="page233"/>
    <w:bookmarkEnd w:id="232"/>
    <w:p>
      <w:pPr>
        <w:ind w:left="1100" w:hanging="179"/>
        <w:spacing w:after="0"/>
        <w:tabs>
          <w:tab w:leader="none" w:pos="11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Conversion</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Trigger Events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Preferred Stock Mandatory Conversion Time</w:t>
      </w:r>
      <w:r>
        <w:rPr>
          <w:rFonts w:ascii="Arial" w:cs="Arial" w:eastAsia="Arial" w:hAnsi="Arial"/>
          <w:sz w:val="16"/>
          <w:szCs w:val="16"/>
          <w:color w:val="auto"/>
        </w:rPr>
        <w:t>. Upon either (a) the closing of the sale of shares of Common Stock to the public at a price of at least 1.5 times the Series B Original Issue Price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 million of gross proceeds to the Corporation and following which shares of the Corporation’s Common Stock are listed on the New York Stock Exchange or the Nasdaq Stock Market’s National Market (a “</w:t>
      </w:r>
      <w:r>
        <w:rPr>
          <w:rFonts w:ascii="Arial" w:cs="Arial" w:eastAsia="Arial" w:hAnsi="Arial"/>
          <w:sz w:val="16"/>
          <w:szCs w:val="16"/>
          <w:b w:val="1"/>
          <w:bCs w:val="1"/>
          <w:color w:val="auto"/>
        </w:rPr>
        <w:t>Qualified IPO</w:t>
      </w:r>
      <w:r>
        <w:rPr>
          <w:rFonts w:ascii="Arial" w:cs="Arial" w:eastAsia="Arial" w:hAnsi="Arial"/>
          <w:sz w:val="16"/>
          <w:szCs w:val="16"/>
          <w:color w:val="auto"/>
        </w:rPr>
        <w:t>”) or (b) the date and time, or the occurrence of an event, specified by vote or written consent of the Requisite Preferred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then</w:t>
      </w:r>
    </w:p>
    <w:p>
      <w:pPr>
        <w:spacing w:after="0" w:line="3" w:lineRule="exact"/>
        <w:rPr>
          <w:sz w:val="20"/>
          <w:szCs w:val="20"/>
          <w:color w:val="auto"/>
        </w:rPr>
      </w:pPr>
    </w:p>
    <w:p>
      <w:pPr>
        <w:jc w:val="both"/>
        <w:ind w:right="60" w:firstLine="8"/>
        <w:spacing w:after="0" w:line="255" w:lineRule="auto"/>
        <w:tabs>
          <w:tab w:leader="none" w:pos="2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all outstanding shares of Preferred Stock shall automatically be converted into shares of Common Stock, at the then effective conversion rate as calculated pursuant to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and (ii) such shares may not be reissued by the Corporation. All declared but unpaid dividends, if any, shall be paid in cash upon automatic conversion in connection with a Qualified IPO or initial public offering.</w:t>
      </w:r>
    </w:p>
    <w:p>
      <w:pPr>
        <w:spacing w:after="0" w:line="82" w:lineRule="exact"/>
        <w:rPr>
          <w:sz w:val="20"/>
          <w:szCs w:val="20"/>
          <w:color w:val="auto"/>
        </w:rPr>
      </w:pPr>
    </w:p>
    <w:p>
      <w:pPr>
        <w:ind w:right="40" w:firstLine="1484"/>
        <w:spacing w:after="0" w:line="26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a certificate or certificates for the number of full shares of Common Stock issuable on such conversion in accordance with the provisions hereof and (b) pay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Series B Preferred Stock, Series A Preferred Stock and Series Seed Preferred Stock accordingly.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3" w:name="page234"/>
    <w:bookmarkEnd w:id="233"/>
    <w:p>
      <w:pPr>
        <w:ind w:left="1100" w:hanging="179"/>
        <w:spacing w:after="0"/>
        <w:tabs>
          <w:tab w:leader="none" w:pos="11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Unless prohibited by Delaware law governing distributions to stockholders, shares of Preferred Stock shall be redeemed by the Corporation at (i) with respect to the Series B Preferred Stock, a price equal to the Series B Original Issue Price per share, plus all declared but unpaid dividends thereon, (ii) with respect to the Series A Preferred Stock, a price equal to the Series A Original Issue Price per share, plus all declared but unpaid dividends thereon and (iii) with respect to the Series Seed Preferred Stock, a price equal to the Series Seed Original Issue Price per share, plus all declared but unpaid dividends thereon (the “</w:t>
      </w:r>
      <w:r>
        <w:rPr>
          <w:rFonts w:ascii="Arial" w:cs="Arial" w:eastAsia="Arial" w:hAnsi="Arial"/>
          <w:sz w:val="17"/>
          <w:szCs w:val="17"/>
          <w:b w:val="1"/>
          <w:bCs w:val="1"/>
          <w:color w:val="auto"/>
        </w:rPr>
        <w:t>Redemption Price</w:t>
      </w:r>
      <w:r>
        <w:rPr>
          <w:rFonts w:ascii="Arial" w:cs="Arial" w:eastAsia="Arial" w:hAnsi="Arial"/>
          <w:sz w:val="17"/>
          <w:szCs w:val="17"/>
          <w:color w:val="auto"/>
        </w:rPr>
        <w:t>”), in three (3) annual installments commencing not more than sixty (60) days after receipt by the Corporation at any time on or after the fifth year anniversary of the Series B Original Issue Date, from the Requisite Preferred Holders, of written notice requesting redemption of all shares of Preferred Stock (the “</w:t>
      </w:r>
      <w:r>
        <w:rPr>
          <w:rFonts w:ascii="Arial" w:cs="Arial" w:eastAsia="Arial" w:hAnsi="Arial"/>
          <w:sz w:val="17"/>
          <w:szCs w:val="17"/>
          <w:b w:val="1"/>
          <w:bCs w:val="1"/>
          <w:color w:val="auto"/>
        </w:rPr>
        <w:t>Redemption Request</w:t>
      </w:r>
      <w:r>
        <w:rPr>
          <w:rFonts w:ascii="Arial" w:cs="Arial" w:eastAsia="Arial" w:hAnsi="Arial"/>
          <w:sz w:val="17"/>
          <w:szCs w:val="17"/>
          <w:color w:val="auto"/>
        </w:rPr>
        <w:t>”). Upon receipt of a Redemption Request, the Corporation shall apply all of its assets to any such redemption, and to no other corporate purpose, except to the extent prohibited by Delaware law governing distributions to stockholders. The date of each such installment shall be referred to as a “</w:t>
      </w:r>
      <w:r>
        <w:rPr>
          <w:rFonts w:ascii="Arial" w:cs="Arial" w:eastAsia="Arial" w:hAnsi="Arial"/>
          <w:sz w:val="17"/>
          <w:szCs w:val="17"/>
          <w:b w:val="1"/>
          <w:bCs w:val="1"/>
          <w:color w:val="auto"/>
        </w:rPr>
        <w:t>Redemption Date.</w:t>
      </w:r>
      <w:r>
        <w:rPr>
          <w:rFonts w:ascii="Arial" w:cs="Arial" w:eastAsia="Arial" w:hAnsi="Arial"/>
          <w:sz w:val="17"/>
          <w:szCs w:val="17"/>
          <w:color w:val="auto"/>
        </w:rPr>
        <w:t>” On each Redemption Date, the Corporation shall redeem, on a pro rata basis in accordance with the number of shares of Preferred Stock owned by each holder, that number of outstanding shares of Preferred Stock determined by dividing (i) the total number of shares of Preferred Stock outstanding immediately prior to such Redemption Date by (ii) the number of remaining Redemption Dates (including the Redemption Date to which such calculation applies). Notwithstanding the foregoing, if on any Redemption Date, Delaware law governing distributions to stockholders prevents the Corporation from redeeming all shares of Preferred Stock to be redeemed, the Corporation shall ratably redeem each holder’s shares of Preferred Stock, in accordance with the priorities set forth in Sections 2.1 and 2.2, to the fullest extent permitted by such law, and shall redeem the remaining shares of Preferred Stock as soon as it may lawfully do so under Delaware law governing distributions to stockholders.</w:t>
      </w:r>
    </w:p>
    <w:p>
      <w:pPr>
        <w:spacing w:after="0" w:line="69" w:lineRule="exact"/>
        <w:rPr>
          <w:sz w:val="20"/>
          <w:szCs w:val="20"/>
          <w:color w:val="auto"/>
        </w:rPr>
      </w:pPr>
    </w:p>
    <w:p>
      <w:pPr>
        <w:ind w:right="360" w:firstLine="1484"/>
        <w:spacing w:after="0" w:line="31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Redemption Notice</w:t>
      </w:r>
      <w:r>
        <w:rPr>
          <w:rFonts w:ascii="Arial" w:cs="Arial" w:eastAsia="Arial" w:hAnsi="Arial"/>
          <w:sz w:val="17"/>
          <w:szCs w:val="17"/>
          <w:color w:val="auto"/>
        </w:rPr>
        <w:t>. The Corporation shall send written notice of the mandatory redemption (the “</w:t>
      </w:r>
      <w:r>
        <w:rPr>
          <w:rFonts w:ascii="Arial" w:cs="Arial" w:eastAsia="Arial" w:hAnsi="Arial"/>
          <w:sz w:val="17"/>
          <w:szCs w:val="17"/>
          <w:b w:val="1"/>
          <w:bCs w:val="1"/>
          <w:color w:val="auto"/>
        </w:rPr>
        <w:t>Redemption Notice</w:t>
      </w:r>
      <w:r>
        <w:rPr>
          <w:rFonts w:ascii="Arial" w:cs="Arial" w:eastAsia="Arial" w:hAnsi="Arial"/>
          <w:sz w:val="17"/>
          <w:szCs w:val="17"/>
          <w:color w:val="auto"/>
        </w:rPr>
        <w:t>”) to each holder of record of Preferred Stock not less than forty (40) days prior to each Redemption Date. Each Redemption Notice shall state:</w:t>
      </w:r>
    </w:p>
    <w:p>
      <w:pPr>
        <w:spacing w:after="0" w:line="34" w:lineRule="exact"/>
        <w:rPr>
          <w:sz w:val="20"/>
          <w:szCs w:val="20"/>
          <w:color w:val="auto"/>
        </w:rPr>
      </w:pPr>
    </w:p>
    <w:p>
      <w:pPr>
        <w:ind w:left="460" w:right="80" w:firstLine="1429"/>
        <w:spacing w:after="0" w:line="277" w:lineRule="auto"/>
        <w:tabs>
          <w:tab w:leader="none" w:pos="212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number of shares of Preferred Stock held by the holder that the Corporation shall redeem on the Redemption Date specified in the Redemption Notice;</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Redemption Date and the Redemption Price;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460" w:right="500" w:firstLine="1429"/>
        <w:spacing w:after="0" w:line="277" w:lineRule="auto"/>
        <w:tabs>
          <w:tab w:leader="none" w:pos="213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34" w:name="page235"/>
    <w:bookmarkEnd w:id="234"/>
    <w:p>
      <w:pPr>
        <w:ind w:right="80" w:firstLine="148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 Preferred Stock shall promptly be issued to such holder.</w:t>
      </w:r>
    </w:p>
    <w:p>
      <w:pPr>
        <w:spacing w:after="0" w:line="58" w:lineRule="exact"/>
        <w:rPr>
          <w:sz w:val="20"/>
          <w:szCs w:val="20"/>
          <w:color w:val="auto"/>
        </w:rPr>
      </w:pPr>
    </w:p>
    <w:p>
      <w:pPr>
        <w:ind w:right="40" w:firstLine="1484"/>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Rights Subsequent to Redemption</w:t>
      </w:r>
      <w:r>
        <w:rPr>
          <w:rFonts w:ascii="Arial" w:cs="Arial" w:eastAsia="Arial" w:hAnsi="Arial"/>
          <w:sz w:val="16"/>
          <w:szCs w:val="16"/>
          <w:color w:val="auto"/>
        </w:rPr>
        <w:t>.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57" w:lineRule="exact"/>
        <w:rPr>
          <w:sz w:val="20"/>
          <w:szCs w:val="20"/>
          <w:color w:val="auto"/>
        </w:rPr>
      </w:pPr>
    </w:p>
    <w:p>
      <w:pPr>
        <w:jc w:val="both"/>
        <w:ind w:right="20" w:firstLine="921"/>
        <w:spacing w:after="0" w:line="286" w:lineRule="auto"/>
        <w:tabs>
          <w:tab w:leader="none" w:pos="1093"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57" w:lineRule="exact"/>
        <w:rPr>
          <w:rFonts w:ascii="Arial" w:cs="Arial" w:eastAsia="Arial" w:hAnsi="Arial"/>
          <w:sz w:val="17"/>
          <w:szCs w:val="17"/>
          <w:color w:val="auto"/>
        </w:rPr>
      </w:pPr>
    </w:p>
    <w:p>
      <w:pPr>
        <w:ind w:right="40" w:firstLine="921"/>
        <w:spacing w:after="0" w:line="272" w:lineRule="auto"/>
        <w:tabs>
          <w:tab w:leader="none" w:pos="1093"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specifically set forth herein or as required under General Corporation Law, any of the rights, powers, preferences and other terms of the Preferred Stock set forth herein may be waived on behalf of all holders of Preferred Stock by the affirmative written consent or vote of the Requisite Preferred Holders. Any rights exercisable hereunder explicitly or required under General Corporation Law by (i) the holders of Series Seed Preferred Stock exclusively as separate class shall require the affirmative written consent or vote of the holders of a majority of the outstanding shares of Series Seed Preferred Stock, (ii) the holders of Series A Preferred Stock exclusively as separate class shall require the affirmative written consent or vote of the holders of a majority of the outstanding shares of Series A Preferred Stock and (iii) the holders of Series B Preferred Stock exclusively as separate class shall require the affirmative written consent or vote of the Requisite Series B Preferred.</w:t>
      </w:r>
    </w:p>
    <w:p>
      <w:pPr>
        <w:spacing w:after="0" w:line="69" w:lineRule="exact"/>
        <w:rPr>
          <w:rFonts w:ascii="Arial" w:cs="Arial" w:eastAsia="Arial" w:hAnsi="Arial"/>
          <w:sz w:val="17"/>
          <w:szCs w:val="17"/>
          <w:color w:val="auto"/>
        </w:rPr>
      </w:pPr>
    </w:p>
    <w:p>
      <w:pPr>
        <w:ind w:firstLine="921"/>
        <w:spacing w:after="0" w:line="286" w:lineRule="auto"/>
        <w:tabs>
          <w:tab w:leader="none" w:pos="1093"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35" w:name="page236"/>
    <w:bookmarkEnd w:id="235"/>
    <w:p>
      <w:pPr>
        <w:ind w:right="4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FIFTH: </w:t>
      </w:r>
      <w:r>
        <w:rPr>
          <w:rFonts w:ascii="Arial" w:cs="Arial" w:eastAsia="Arial" w:hAnsi="Arial"/>
          <w:sz w:val="16"/>
          <w:szCs w:val="16"/>
          <w:color w:val="auto"/>
        </w:rPr>
        <w:t>Subject to any additional vote required by the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700" w:firstLine="913"/>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b w:val="1"/>
          <w:bCs w:val="1"/>
          <w:color w:val="auto"/>
        </w:rPr>
        <w:t xml:space="preserve">NINTH: </w:t>
      </w:r>
      <w:r>
        <w:rPr>
          <w:rFonts w:ascii="Arial" w:cs="Arial" w:eastAsia="Arial" w:hAnsi="Arial"/>
          <w:sz w:val="16"/>
          <w:szCs w:val="16"/>
          <w:color w:val="auto"/>
        </w:rPr>
        <w:t>To the fullest extent permitted by law, a director of the Corporation shall not be personally liable to the Corporation or its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160" w:firstLine="913"/>
        <w:spacing w:after="0" w:line="281" w:lineRule="auto"/>
        <w:rPr>
          <w:sz w:val="20"/>
          <w:szCs w:val="20"/>
          <w:color w:val="auto"/>
        </w:rPr>
      </w:pPr>
      <w:r>
        <w:rPr>
          <w:rFonts w:ascii="Arial" w:cs="Arial" w:eastAsia="Arial" w:hAnsi="Arial"/>
          <w:sz w:val="17"/>
          <w:szCs w:val="17"/>
          <w:b w:val="1"/>
          <w:bCs w:val="1"/>
          <w:color w:val="auto"/>
        </w:rPr>
        <w:t xml:space="preserve">TENTH: </w:t>
      </w:r>
      <w:r>
        <w:rPr>
          <w:rFonts w:ascii="Arial" w:cs="Arial" w:eastAsia="Arial" w:hAnsi="Arial"/>
          <w:sz w:val="17"/>
          <w:szCs w:val="17"/>
          <w:color w:val="auto"/>
        </w:rPr>
        <w:t>To the fullest extent permitted by applicable law, the Corporation is authorized to provide indemnification of (and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17"/>
          <w:szCs w:val="17"/>
          <w:u w:val="single" w:color="auto"/>
          <w:color w:val="auto"/>
        </w:rPr>
        <w:t>Section 145</w:t>
      </w:r>
      <w:r>
        <w:rPr>
          <w:rFonts w:ascii="Arial" w:cs="Arial" w:eastAsia="Arial" w:hAnsi="Arial"/>
          <w:sz w:val="17"/>
          <w:szCs w:val="17"/>
          <w:color w:val="auto"/>
        </w:rPr>
        <w:t xml:space="preserve"> of the General Corporation Law.</w:t>
      </w:r>
    </w:p>
    <w:p>
      <w:pPr>
        <w:spacing w:after="0" w:line="16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ELEVENTH: </w:t>
      </w:r>
      <w:r>
        <w:rPr>
          <w:rFonts w:ascii="Arial" w:cs="Arial" w:eastAsia="Arial" w:hAnsi="Arial"/>
          <w:sz w:val="18"/>
          <w:szCs w:val="18"/>
          <w:color w:val="auto"/>
        </w:rPr>
        <w:t>The Corporation renounces, to the fullest extent permitted by law, any interest or expectancy of the Corporation in, or in being</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0" w:right="31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employee or agent of any such holder, other than someone who is an employee of the Corporation or any of its subsidiaries (collectively,</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6"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840" w:firstLine="921"/>
        <w:spacing w:after="0" w:line="277" w:lineRule="auto"/>
        <w:tabs>
          <w:tab w:leader="none" w:pos="1093"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62" w:lineRule="exact"/>
        <w:rPr>
          <w:rFonts w:ascii="Arial" w:cs="Arial" w:eastAsia="Arial" w:hAnsi="Arial"/>
          <w:sz w:val="18"/>
          <w:szCs w:val="18"/>
          <w:b w:val="1"/>
          <w:bCs w:val="1"/>
          <w:color w:val="auto"/>
        </w:rPr>
      </w:pPr>
    </w:p>
    <w:p>
      <w:pPr>
        <w:ind w:right="340" w:firstLine="921"/>
        <w:spacing w:after="0" w:line="308" w:lineRule="auto"/>
        <w:tabs>
          <w:tab w:leader="none" w:pos="1093"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That this Third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37" w:name="page238"/>
    <w:bookmarkEnd w:id="237"/>
    <w:p>
      <w:pPr>
        <w:ind w:right="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Third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January 19,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Geoffrey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Geoffrey MacKay, President and Chief Executive Officer</w:t>
      </w: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NCORPORATION OF</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VRO</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ectPr>
          <w:pgSz w:w="11900" w:h="16838" w:orient="portrait"/>
          <w:cols w:equalWidth="0" w:num="1">
            <w:col w:w="11000"/>
          </w:cols>
          <w:pgMar w:left="240" w:top="270" w:right="65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9" w:lineRule="exact"/>
        <w:rPr>
          <w:sz w:val="20"/>
          <w:szCs w:val="20"/>
          <w:color w:val="auto"/>
        </w:rPr>
      </w:pPr>
    </w:p>
    <w:p>
      <w:pPr>
        <w:ind w:left="640" w:hanging="17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Stockholders</w:t>
      </w:r>
    </w:p>
    <w:p>
      <w:pPr>
        <w:spacing w:after="0" w:line="117" w:lineRule="exact"/>
        <w:rPr>
          <w:rFonts w:ascii="Arial" w:cs="Arial" w:eastAsia="Arial" w:hAnsi="Arial"/>
          <w:sz w:val="18"/>
          <w:szCs w:val="18"/>
          <w:color w:val="auto"/>
        </w:rPr>
      </w:pPr>
    </w:p>
    <w:p>
      <w:pPr>
        <w:ind w:right="100" w:firstLine="921"/>
        <w:spacing w:after="0" w:line="297" w:lineRule="auto"/>
        <w:tabs>
          <w:tab w:leader="none" w:pos="1157"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shall be held for the election of directors each year at such place, date and time as shall be designated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or otherwise all the force and effect of an annual meeting.</w:t>
      </w:r>
    </w:p>
    <w:p>
      <w:pPr>
        <w:spacing w:after="0" w:line="50" w:lineRule="exact"/>
        <w:rPr>
          <w:rFonts w:ascii="Arial" w:cs="Arial" w:eastAsia="Arial" w:hAnsi="Arial"/>
          <w:sz w:val="16"/>
          <w:szCs w:val="16"/>
          <w:color w:val="auto"/>
        </w:rPr>
      </w:pPr>
    </w:p>
    <w:p>
      <w:pPr>
        <w:ind w:right="100" w:firstLine="921"/>
        <w:spacing w:after="0" w:line="259" w:lineRule="auto"/>
        <w:tabs>
          <w:tab w:leader="none" w:pos="1168"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78" w:lineRule="exact"/>
        <w:rPr>
          <w:rFonts w:ascii="Arial" w:cs="Arial" w:eastAsia="Arial" w:hAnsi="Arial"/>
          <w:sz w:val="18"/>
          <w:szCs w:val="18"/>
          <w:color w:val="auto"/>
        </w:rPr>
      </w:pPr>
    </w:p>
    <w:p>
      <w:pPr>
        <w:ind w:right="60" w:firstLine="921"/>
        <w:spacing w:after="0" w:line="290" w:lineRule="auto"/>
        <w:tabs>
          <w:tab w:leader="none" w:pos="1157"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of the Corporation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6"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420"/>
          </w:cols>
          <w:pgMar w:left="240" w:top="121" w:right="239" w:bottom="1440" w:gutter="0" w:footer="0" w:header="0"/>
        </w:sectPr>
      </w:pPr>
    </w:p>
    <w:bookmarkStart w:id="239" w:name="page240"/>
    <w:bookmarkEnd w:id="239"/>
    <w:p>
      <w:pPr>
        <w:ind w:left="-60" w:right="60" w:firstLine="921"/>
        <w:spacing w:after="0" w:line="259" w:lineRule="auto"/>
        <w:tabs>
          <w:tab w:leader="none" w:pos="110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Quorum</w:t>
      </w:r>
      <w:r>
        <w:rPr>
          <w:rFonts w:ascii="Arial" w:cs="Arial" w:eastAsia="Arial" w:hAnsi="Arial"/>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78" w:lineRule="exact"/>
        <w:rPr>
          <w:rFonts w:ascii="Arial" w:cs="Arial" w:eastAsia="Arial" w:hAnsi="Arial"/>
          <w:sz w:val="18"/>
          <w:szCs w:val="18"/>
          <w:color w:val="auto"/>
        </w:rPr>
      </w:pPr>
    </w:p>
    <w:p>
      <w:pPr>
        <w:ind w:left="-60" w:right="60" w:firstLine="921"/>
        <w:spacing w:after="0" w:line="272" w:lineRule="auto"/>
        <w:tabs>
          <w:tab w:leader="none" w:pos="109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Voting and Proxies</w:t>
      </w:r>
      <w:r>
        <w:rPr>
          <w:rFonts w:ascii="Arial" w:cs="Arial" w:eastAsia="Arial" w:hAnsi="Arial"/>
          <w:sz w:val="17"/>
          <w:szCs w:val="17"/>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69" w:lineRule="exact"/>
        <w:rPr>
          <w:rFonts w:ascii="Arial" w:cs="Arial" w:eastAsia="Arial" w:hAnsi="Arial"/>
          <w:sz w:val="17"/>
          <w:szCs w:val="17"/>
          <w:color w:val="auto"/>
        </w:rPr>
      </w:pPr>
    </w:p>
    <w:p>
      <w:pPr>
        <w:ind w:left="-60" w:right="20" w:firstLine="921"/>
        <w:spacing w:after="0" w:line="257" w:lineRule="auto"/>
        <w:tabs>
          <w:tab w:leader="none" w:pos="107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80" w:lineRule="exact"/>
        <w:rPr>
          <w:rFonts w:ascii="Arial" w:cs="Arial" w:eastAsia="Arial" w:hAnsi="Arial"/>
          <w:sz w:val="18"/>
          <w:szCs w:val="18"/>
          <w:color w:val="auto"/>
        </w:rPr>
      </w:pPr>
    </w:p>
    <w:p>
      <w:pPr>
        <w:jc w:val="both"/>
        <w:ind w:left="-60" w:right="20" w:firstLine="921"/>
        <w:spacing w:after="0" w:line="259" w:lineRule="auto"/>
        <w:tabs>
          <w:tab w:leader="none" w:pos="110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Presiding Officer</w:t>
      </w:r>
      <w:r>
        <w:rPr>
          <w:rFonts w:ascii="Arial" w:cs="Arial" w:eastAsia="Arial" w:hAnsi="Arial"/>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78" w:lineRule="exact"/>
        <w:rPr>
          <w:rFonts w:ascii="Arial" w:cs="Arial" w:eastAsia="Arial" w:hAnsi="Arial"/>
          <w:sz w:val="18"/>
          <w:szCs w:val="18"/>
          <w:color w:val="auto"/>
        </w:rPr>
      </w:pPr>
    </w:p>
    <w:p>
      <w:pPr>
        <w:ind w:left="-60" w:firstLine="921"/>
        <w:spacing w:after="0" w:line="255" w:lineRule="auto"/>
        <w:tabs>
          <w:tab w:leader="none" w:pos="110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Conduct of Meetings</w:t>
      </w:r>
      <w:r>
        <w:rPr>
          <w:rFonts w:ascii="Arial" w:cs="Arial" w:eastAsia="Arial" w:hAnsi="Arial"/>
          <w:sz w:val="18"/>
          <w:szCs w:val="18"/>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74" w:right="279" w:bottom="1440" w:gutter="0" w:footer="0" w:header="0"/>
        </w:sectPr>
      </w:pPr>
    </w:p>
    <w:bookmarkStart w:id="240" w:name="page241"/>
    <w:bookmarkEnd w:id="24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80" w:lineRule="exact"/>
        <w:rPr>
          <w:sz w:val="20"/>
          <w:szCs w:val="20"/>
          <w:color w:val="auto"/>
        </w:rPr>
      </w:pPr>
    </w:p>
    <w:p>
      <w:pPr>
        <w:ind w:firstLine="921"/>
        <w:spacing w:after="0" w:line="253" w:lineRule="auto"/>
        <w:tabs>
          <w:tab w:leader="none" w:pos="1128"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or be approved via electronic transmission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86" w:lineRule="exact"/>
        <w:rPr>
          <w:rFonts w:ascii="Arial" w:cs="Arial" w:eastAsia="Arial" w:hAnsi="Arial"/>
          <w:sz w:val="18"/>
          <w:szCs w:val="18"/>
          <w:color w:val="auto"/>
        </w:rPr>
      </w:pPr>
    </w:p>
    <w:p>
      <w:pPr>
        <w:ind w:right="100" w:firstLine="921"/>
        <w:spacing w:after="0" w:line="273" w:lineRule="auto"/>
        <w:tabs>
          <w:tab w:leader="none" w:pos="1128"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Stockholder Lists</w:t>
      </w:r>
      <w:r>
        <w:rPr>
          <w:rFonts w:ascii="Arial" w:cs="Arial" w:eastAsia="Arial" w:hAnsi="Arial"/>
          <w:sz w:val="17"/>
          <w:szCs w:val="17"/>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w:t>
      </w:r>
      <w:r>
        <w:rPr>
          <w:rFonts w:ascii="Arial" w:cs="Arial" w:eastAsia="Arial" w:hAnsi="Arial"/>
          <w:sz w:val="17"/>
          <w:szCs w:val="17"/>
          <w:u w:val="single" w:color="auto"/>
          <w:color w:val="auto"/>
        </w:rPr>
        <w:t>Section 1(j)</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70" w:lineRule="exact"/>
        <w:rPr>
          <w:rFonts w:ascii="Arial" w:cs="Arial" w:eastAsia="Arial" w:hAnsi="Arial"/>
          <w:sz w:val="17"/>
          <w:szCs w:val="17"/>
          <w:color w:val="auto"/>
        </w:rPr>
      </w:pPr>
    </w:p>
    <w:p>
      <w:pPr>
        <w:ind w:left="640" w:hanging="176"/>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Directors</w:t>
      </w:r>
    </w:p>
    <w:p>
      <w:pPr>
        <w:spacing w:after="0" w:line="117" w:lineRule="exact"/>
        <w:rPr>
          <w:rFonts w:ascii="Arial" w:cs="Arial" w:eastAsia="Arial" w:hAnsi="Arial"/>
          <w:sz w:val="18"/>
          <w:szCs w:val="18"/>
          <w:color w:val="auto"/>
        </w:rPr>
      </w:pPr>
    </w:p>
    <w:p>
      <w:pPr>
        <w:ind w:right="40" w:firstLine="921"/>
        <w:spacing w:after="0" w:line="286" w:lineRule="auto"/>
        <w:tabs>
          <w:tab w:leader="none" w:pos="1157"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Powers</w:t>
      </w:r>
      <w:r>
        <w:rPr>
          <w:rFonts w:ascii="Arial" w:cs="Arial" w:eastAsia="Arial" w:hAnsi="Arial"/>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57" w:lineRule="exact"/>
        <w:rPr>
          <w:rFonts w:ascii="Arial" w:cs="Arial" w:eastAsia="Arial" w:hAnsi="Arial"/>
          <w:sz w:val="17"/>
          <w:szCs w:val="17"/>
          <w:color w:val="auto"/>
        </w:rPr>
      </w:pPr>
    </w:p>
    <w:p>
      <w:pPr>
        <w:ind w:right="120" w:firstLine="921"/>
        <w:spacing w:after="0" w:line="342" w:lineRule="auto"/>
        <w:tabs>
          <w:tab w:leader="none" w:pos="1168"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Number and Qualification</w:t>
      </w:r>
      <w:r>
        <w:rPr>
          <w:rFonts w:ascii="Arial" w:cs="Arial" w:eastAsia="Arial" w:hAnsi="Arial"/>
          <w:sz w:val="16"/>
          <w:szCs w:val="16"/>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41" w:name="page242"/>
    <w:bookmarkEnd w:id="241"/>
    <w:p>
      <w:pPr>
        <w:ind w:left="-20" w:right="100" w:firstLine="921"/>
        <w:spacing w:after="0" w:line="264" w:lineRule="auto"/>
        <w:tabs>
          <w:tab w:leader="none" w:pos="113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Vacancies; Reduction of Board</w:t>
      </w:r>
      <w:r>
        <w:rPr>
          <w:rFonts w:ascii="Arial" w:cs="Arial" w:eastAsia="Arial" w:hAnsi="Arial"/>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73" w:lineRule="exact"/>
        <w:rPr>
          <w:rFonts w:ascii="Arial" w:cs="Arial" w:eastAsia="Arial" w:hAnsi="Arial"/>
          <w:sz w:val="18"/>
          <w:szCs w:val="18"/>
          <w:color w:val="auto"/>
        </w:rPr>
      </w:pPr>
    </w:p>
    <w:p>
      <w:pPr>
        <w:ind w:left="-20" w:right="40" w:firstLine="921"/>
        <w:spacing w:after="0" w:line="259" w:lineRule="auto"/>
        <w:tabs>
          <w:tab w:leader="none" w:pos="114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78" w:lineRule="exact"/>
        <w:rPr>
          <w:rFonts w:ascii="Arial" w:cs="Arial" w:eastAsia="Arial" w:hAnsi="Arial"/>
          <w:sz w:val="18"/>
          <w:szCs w:val="18"/>
          <w:color w:val="auto"/>
        </w:rPr>
      </w:pPr>
    </w:p>
    <w:p>
      <w:pPr>
        <w:ind w:left="-20" w:right="40" w:firstLine="921"/>
        <w:spacing w:after="0" w:line="277" w:lineRule="auto"/>
        <w:tabs>
          <w:tab w:leader="none" w:pos="113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62" w:lineRule="exact"/>
        <w:rPr>
          <w:rFonts w:ascii="Arial" w:cs="Arial" w:eastAsia="Arial" w:hAnsi="Arial"/>
          <w:sz w:val="18"/>
          <w:szCs w:val="18"/>
          <w:color w:val="auto"/>
        </w:rPr>
      </w:pPr>
    </w:p>
    <w:p>
      <w:pPr>
        <w:jc w:val="both"/>
        <w:ind w:left="-20" w:right="20" w:firstLine="921"/>
        <w:spacing w:after="0" w:line="297" w:lineRule="auto"/>
        <w:tabs>
          <w:tab w:leader="none" w:pos="111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50" w:lineRule="exact"/>
        <w:rPr>
          <w:rFonts w:ascii="Arial" w:cs="Arial" w:eastAsia="Arial" w:hAnsi="Arial"/>
          <w:sz w:val="16"/>
          <w:szCs w:val="16"/>
          <w:color w:val="auto"/>
        </w:rPr>
      </w:pPr>
    </w:p>
    <w:p>
      <w:pPr>
        <w:ind w:left="-20" w:right="100" w:firstLine="921"/>
        <w:spacing w:after="0" w:line="257" w:lineRule="auto"/>
        <w:tabs>
          <w:tab w:leader="none" w:pos="114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80" w:lineRule="exact"/>
        <w:rPr>
          <w:rFonts w:ascii="Arial" w:cs="Arial" w:eastAsia="Arial" w:hAnsi="Arial"/>
          <w:sz w:val="18"/>
          <w:szCs w:val="18"/>
          <w:color w:val="auto"/>
        </w:rPr>
      </w:pPr>
    </w:p>
    <w:p>
      <w:pPr>
        <w:ind w:left="-20" w:right="40" w:firstLine="921"/>
        <w:spacing w:after="0" w:line="342" w:lineRule="auto"/>
        <w:tabs>
          <w:tab w:leader="none" w:pos="114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5" w:lineRule="exact"/>
        <w:rPr>
          <w:rFonts w:ascii="Arial" w:cs="Arial" w:eastAsia="Arial" w:hAnsi="Arial"/>
          <w:sz w:val="16"/>
          <w:szCs w:val="16"/>
          <w:color w:val="auto"/>
        </w:rPr>
      </w:pPr>
    </w:p>
    <w:p>
      <w:pPr>
        <w:jc w:val="both"/>
        <w:ind w:left="-20" w:firstLine="921"/>
        <w:spacing w:after="0" w:line="259" w:lineRule="auto"/>
        <w:tabs>
          <w:tab w:leader="none" w:pos="110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242" w:name="page243"/>
    <w:bookmarkEnd w:id="242"/>
    <w:p>
      <w:pPr>
        <w:ind w:right="60" w:firstLine="921"/>
        <w:spacing w:after="0" w:line="259" w:lineRule="auto"/>
        <w:tabs>
          <w:tab w:leader="none" w:pos="112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78" w:lineRule="exact"/>
        <w:rPr>
          <w:rFonts w:ascii="Arial" w:cs="Arial" w:eastAsia="Arial" w:hAnsi="Arial"/>
          <w:sz w:val="18"/>
          <w:szCs w:val="18"/>
          <w:color w:val="auto"/>
        </w:rPr>
      </w:pPr>
    </w:p>
    <w:p>
      <w:pPr>
        <w:ind w:right="180" w:firstLine="921"/>
        <w:spacing w:after="0" w:line="297" w:lineRule="auto"/>
        <w:tabs>
          <w:tab w:leader="none" w:pos="116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w:t>
      </w:r>
    </w:p>
    <w:p>
      <w:pPr>
        <w:ind w:right="220" w:firstLine="8"/>
        <w:spacing w:after="0" w:line="261" w:lineRule="auto"/>
        <w:tabs>
          <w:tab w:leader="none" w:pos="21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provision of these By-laws.</w:t>
      </w:r>
    </w:p>
    <w:p>
      <w:pPr>
        <w:spacing w:after="0" w:line="18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39" w:lineRule="exact"/>
        <w:rPr>
          <w:sz w:val="20"/>
          <w:szCs w:val="20"/>
          <w:color w:val="auto"/>
        </w:rPr>
      </w:pPr>
    </w:p>
    <w:p>
      <w:pPr>
        <w:ind w:left="640" w:hanging="176"/>
        <w:spacing w:after="0"/>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Officers</w:t>
      </w:r>
    </w:p>
    <w:p>
      <w:pPr>
        <w:spacing w:after="0" w:line="117" w:lineRule="exact"/>
        <w:rPr>
          <w:rFonts w:ascii="Arial" w:cs="Arial" w:eastAsia="Arial" w:hAnsi="Arial"/>
          <w:sz w:val="18"/>
          <w:szCs w:val="18"/>
          <w:color w:val="auto"/>
        </w:rPr>
      </w:pPr>
    </w:p>
    <w:p>
      <w:pPr>
        <w:ind w:right="140" w:firstLine="921"/>
        <w:spacing w:after="0" w:line="302" w:lineRule="auto"/>
        <w:tabs>
          <w:tab w:leader="none" w:pos="1157"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243" w:name="page244"/>
    <w:bookmarkEnd w:id="243"/>
    <w:p>
      <w:pPr>
        <w:ind w:right="440" w:firstLine="921"/>
        <w:spacing w:after="0" w:line="308" w:lineRule="auto"/>
        <w:tabs>
          <w:tab w:leader="none" w:pos="116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w:t>
      </w:r>
      <w:r>
        <w:rPr>
          <w:rFonts w:ascii="Arial" w:cs="Arial" w:eastAsia="Arial" w:hAnsi="Arial"/>
          <w:sz w:val="17"/>
          <w:szCs w:val="17"/>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38" w:lineRule="exact"/>
        <w:rPr>
          <w:rFonts w:ascii="Arial" w:cs="Arial" w:eastAsia="Arial" w:hAnsi="Arial"/>
          <w:sz w:val="17"/>
          <w:szCs w:val="17"/>
          <w:color w:val="auto"/>
        </w:rPr>
      </w:pPr>
    </w:p>
    <w:p>
      <w:pPr>
        <w:jc w:val="both"/>
        <w:ind w:right="300" w:firstLine="921"/>
        <w:spacing w:after="0" w:line="264" w:lineRule="auto"/>
        <w:tabs>
          <w:tab w:leader="none" w:pos="115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73" w:lineRule="exact"/>
        <w:rPr>
          <w:rFonts w:ascii="Arial" w:cs="Arial" w:eastAsia="Arial" w:hAnsi="Arial"/>
          <w:sz w:val="18"/>
          <w:szCs w:val="18"/>
          <w:color w:val="auto"/>
        </w:rPr>
      </w:pPr>
    </w:p>
    <w:p>
      <w:pPr>
        <w:ind w:firstLine="921"/>
        <w:spacing w:after="0" w:line="302" w:lineRule="auto"/>
        <w:tabs>
          <w:tab w:leader="none" w:pos="1168"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46" w:lineRule="exact"/>
        <w:rPr>
          <w:rFonts w:ascii="Arial" w:cs="Arial" w:eastAsia="Arial" w:hAnsi="Arial"/>
          <w:sz w:val="16"/>
          <w:szCs w:val="16"/>
          <w:color w:val="auto"/>
        </w:rPr>
      </w:pPr>
    </w:p>
    <w:p>
      <w:pPr>
        <w:ind w:left="1160" w:hanging="239"/>
        <w:spacing w:after="0"/>
        <w:tabs>
          <w:tab w:leader="none" w:pos="116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The Board of Directors may remove any officer with or without cause by a vote of a majority of the directors then in office.</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17"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Chairman of the Board and Vice Chairman</w:t>
      </w:r>
      <w:r>
        <w:rPr>
          <w:rFonts w:ascii="Arial" w:cs="Arial" w:eastAsia="Arial" w:hAnsi="Arial"/>
          <w:sz w:val="18"/>
          <w:szCs w:val="18"/>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73" w:lineRule="exact"/>
        <w:rPr>
          <w:sz w:val="20"/>
          <w:szCs w:val="20"/>
          <w:color w:val="auto"/>
        </w:rPr>
      </w:pPr>
    </w:p>
    <w:p>
      <w:pPr>
        <w:ind w:right="80" w:firstLine="921"/>
        <w:spacing w:after="0" w:line="277" w:lineRule="auto"/>
        <w:tabs>
          <w:tab w:leader="none" w:pos="116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62" w:lineRule="exact"/>
        <w:rPr>
          <w:rFonts w:ascii="Arial" w:cs="Arial" w:eastAsia="Arial" w:hAnsi="Arial"/>
          <w:sz w:val="18"/>
          <w:szCs w:val="18"/>
          <w:color w:val="auto"/>
        </w:rPr>
      </w:pPr>
    </w:p>
    <w:p>
      <w:pPr>
        <w:ind w:right="40" w:firstLine="921"/>
        <w:spacing w:after="0" w:line="279" w:lineRule="auto"/>
        <w:tabs>
          <w:tab w:leader="none" w:pos="112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Presidents</w:t>
      </w:r>
      <w:r>
        <w:rPr>
          <w:rFonts w:ascii="Arial" w:cs="Arial" w:eastAsia="Arial" w:hAnsi="Arial"/>
          <w:sz w:val="17"/>
          <w:szCs w:val="17"/>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44" w:name="page245"/>
    <w:bookmarkEnd w:id="244"/>
    <w:p>
      <w:pPr>
        <w:ind w:left="-20" w:right="100" w:firstLine="921"/>
        <w:spacing w:after="0" w:line="308" w:lineRule="auto"/>
        <w:tabs>
          <w:tab w:leader="none" w:pos="110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Vice Presidents and Assistant Vice Presidents</w:t>
      </w:r>
      <w:r>
        <w:rPr>
          <w:rFonts w:ascii="Arial" w:cs="Arial" w:eastAsia="Arial" w:hAnsi="Arial"/>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38" w:lineRule="exact"/>
        <w:rPr>
          <w:rFonts w:ascii="Arial" w:cs="Arial" w:eastAsia="Arial" w:hAnsi="Arial"/>
          <w:sz w:val="17"/>
          <w:szCs w:val="17"/>
          <w:color w:val="auto"/>
        </w:rPr>
      </w:pPr>
    </w:p>
    <w:p>
      <w:pPr>
        <w:ind w:left="-20" w:right="20" w:firstLine="921"/>
        <w:spacing w:after="0" w:line="259" w:lineRule="auto"/>
        <w:tabs>
          <w:tab w:leader="none" w:pos="114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Assistant Treasurer shall have such powers and perform such duties as the Board of Directors may from time to time designate.</w:t>
      </w:r>
    </w:p>
    <w:p>
      <w:pPr>
        <w:spacing w:after="0" w:line="117" w:lineRule="exact"/>
        <w:rPr>
          <w:sz w:val="20"/>
          <w:szCs w:val="20"/>
          <w:color w:val="auto"/>
        </w:rPr>
      </w:pPr>
    </w:p>
    <w:p>
      <w:pPr>
        <w:ind w:left="-20" w:right="20" w:firstLine="921"/>
        <w:spacing w:after="0" w:line="257" w:lineRule="auto"/>
        <w:tabs>
          <w:tab w:leader="none" w:pos="110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Assistant Secretary shall have such powers and perform such duties as the Board of Directors may from time to time designate.</w:t>
      </w:r>
    </w:p>
    <w:p>
      <w:pPr>
        <w:spacing w:after="0" w:line="117" w:lineRule="exact"/>
        <w:rPr>
          <w:sz w:val="20"/>
          <w:szCs w:val="20"/>
          <w:color w:val="auto"/>
        </w:rPr>
      </w:pPr>
    </w:p>
    <w:p>
      <w:pPr>
        <w:ind w:left="-20" w:right="460" w:firstLine="921"/>
        <w:spacing w:after="0" w:line="264" w:lineRule="auto"/>
        <w:tabs>
          <w:tab w:leader="none" w:pos="1198"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17" w:lineRule="exact"/>
        <w:rPr>
          <w:rFonts w:ascii="Arial" w:cs="Arial" w:eastAsia="Arial" w:hAnsi="Arial"/>
          <w:sz w:val="18"/>
          <w:szCs w:val="18"/>
          <w:color w:val="auto"/>
        </w:rPr>
      </w:pPr>
    </w:p>
    <w:p>
      <w:pPr>
        <w:ind w:left="-20" w:firstLine="921"/>
        <w:spacing w:after="0" w:line="291" w:lineRule="auto"/>
        <w:tabs>
          <w:tab w:leader="none" w:pos="113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45" w:name="page246"/>
    <w:bookmarkEnd w:id="245"/>
    <w:p>
      <w:pPr>
        <w:ind w:firstLine="921"/>
        <w:spacing w:after="0" w:line="312" w:lineRule="auto"/>
        <w:tabs>
          <w:tab w:leader="none" w:pos="116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w:t>
      </w:r>
      <w:r>
        <w:rPr>
          <w:rFonts w:ascii="Arial" w:cs="Arial" w:eastAsia="Arial" w:hAnsi="Arial"/>
          <w:sz w:val="16"/>
          <w:szCs w:val="16"/>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38" w:lineRule="exact"/>
        <w:rPr>
          <w:rFonts w:ascii="Arial" w:cs="Arial" w:eastAsia="Arial" w:hAnsi="Arial"/>
          <w:sz w:val="16"/>
          <w:szCs w:val="16"/>
          <w:color w:val="auto"/>
        </w:rPr>
      </w:pPr>
    </w:p>
    <w:p>
      <w:pPr>
        <w:jc w:val="both"/>
        <w:ind w:right="200" w:firstLine="921"/>
        <w:spacing w:after="0" w:line="259" w:lineRule="auto"/>
        <w:tabs>
          <w:tab w:leader="none" w:pos="115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shall be the duty of each stockholder to notify the Corporation of such stockholder’s post office address.</w:t>
      </w:r>
    </w:p>
    <w:p>
      <w:pPr>
        <w:spacing w:after="0" w:line="117" w:lineRule="exact"/>
        <w:rPr>
          <w:sz w:val="20"/>
          <w:szCs w:val="20"/>
          <w:color w:val="auto"/>
        </w:rPr>
      </w:pPr>
    </w:p>
    <w:p>
      <w:pPr>
        <w:ind w:right="40" w:firstLine="921"/>
        <w:spacing w:after="0" w:line="291" w:lineRule="auto"/>
        <w:tabs>
          <w:tab w:leader="none" w:pos="116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59" w:lineRule="exact"/>
        <w:rPr>
          <w:sz w:val="20"/>
          <w:szCs w:val="20"/>
          <w:color w:val="auto"/>
        </w:rPr>
      </w:pPr>
    </w:p>
    <w:p>
      <w:pPr>
        <w:ind w:right="140" w:firstLine="921"/>
        <w:spacing w:after="0" w:line="259" w:lineRule="auto"/>
        <w:tabs>
          <w:tab w:leader="none" w:pos="1157"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46" w:name="page247"/>
    <w:bookmarkEnd w:id="246"/>
    <w:p>
      <w:pPr>
        <w:ind w:left="180" w:hanging="176"/>
        <w:spacing w:after="0"/>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53" w:lineRule="auto"/>
        <w:tabs>
          <w:tab w:leader="none" w:pos="109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 xml:space="preserve">“Corporate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w:t>
      </w:r>
      <w:r>
        <w:rPr>
          <w:rFonts w:ascii="Arial" w:cs="Arial" w:eastAsia="Arial" w:hAnsi="Arial"/>
          <w:sz w:val="18"/>
          <w:szCs w:val="18"/>
          <w:u w:val="single" w:color="auto"/>
          <w:color w:val="auto"/>
        </w:rPr>
        <w:t>Section 5(a)(i)</w:t>
      </w:r>
      <w:r>
        <w:rPr>
          <w:rFonts w:ascii="Arial" w:cs="Arial" w:eastAsia="Arial" w:hAnsi="Arial"/>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9" w:lineRule="exact"/>
        <w:rPr>
          <w:rFonts w:ascii="Arial" w:cs="Arial" w:eastAsia="Arial" w:hAnsi="Arial"/>
          <w:sz w:val="18"/>
          <w:szCs w:val="18"/>
          <w:color w:val="auto"/>
        </w:rPr>
      </w:pPr>
    </w:p>
    <w:p>
      <w:pPr>
        <w:ind w:left="1140" w:hanging="259"/>
        <w:spacing w:after="0"/>
        <w:tabs>
          <w:tab w:leader="none" w:pos="114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 Directors of the Corporation;</w:t>
      </w:r>
    </w:p>
    <w:p>
      <w:pPr>
        <w:spacing w:after="0" w:line="128" w:lineRule="exact"/>
        <w:rPr>
          <w:rFonts w:ascii="Arial" w:cs="Arial" w:eastAsia="Arial" w:hAnsi="Arial"/>
          <w:sz w:val="17"/>
          <w:szCs w:val="17"/>
          <w:color w:val="auto"/>
        </w:rPr>
      </w:pPr>
    </w:p>
    <w:p>
      <w:pPr>
        <w:ind w:right="60" w:firstLine="881"/>
        <w:spacing w:after="0" w:line="277" w:lineRule="auto"/>
        <w:tabs>
          <w:tab w:leader="none" w:pos="119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2" w:lineRule="exact"/>
        <w:rPr>
          <w:rFonts w:ascii="Arial" w:cs="Arial" w:eastAsia="Arial" w:hAnsi="Arial"/>
          <w:sz w:val="18"/>
          <w:szCs w:val="18"/>
          <w:color w:val="auto"/>
        </w:rPr>
      </w:pPr>
    </w:p>
    <w:p>
      <w:pPr>
        <w:ind w:right="100" w:firstLine="881"/>
        <w:spacing w:after="0" w:line="255" w:lineRule="auto"/>
        <w:tabs>
          <w:tab w:leader="none" w:pos="118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85" w:lineRule="exact"/>
        <w:rPr>
          <w:rFonts w:ascii="Arial" w:cs="Arial" w:eastAsia="Arial" w:hAnsi="Arial"/>
          <w:sz w:val="18"/>
          <w:szCs w:val="18"/>
          <w:color w:val="auto"/>
        </w:rPr>
      </w:pPr>
    </w:p>
    <w:p>
      <w:pPr>
        <w:ind w:left="1140" w:hanging="259"/>
        <w:spacing w:after="0"/>
        <w:tabs>
          <w:tab w:leader="none" w:pos="114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7" w:lineRule="exact"/>
        <w:rPr>
          <w:rFonts w:ascii="Arial" w:cs="Arial" w:eastAsia="Arial" w:hAnsi="Arial"/>
          <w:sz w:val="18"/>
          <w:szCs w:val="18"/>
          <w:color w:val="auto"/>
        </w:rPr>
      </w:pPr>
    </w:p>
    <w:p>
      <w:pPr>
        <w:ind w:right="300" w:firstLine="881"/>
        <w:spacing w:after="0" w:line="277" w:lineRule="auto"/>
        <w:tabs>
          <w:tab w:leader="none" w:pos="118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47" w:name="page248"/>
    <w:bookmarkEnd w:id="247"/>
    <w:p>
      <w:pPr>
        <w:ind w:left="440" w:right="440" w:firstLine="881"/>
        <w:spacing w:after="0" w:line="277" w:lineRule="auto"/>
        <w:tabs>
          <w:tab w:leader="none" w:pos="1671"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means any person who serves or has served the Corporation as an officer of the Corporation appointed by the Board of Directors of the Corporation;</w:t>
      </w:r>
    </w:p>
    <w:p>
      <w:pPr>
        <w:spacing w:after="0" w:line="62" w:lineRule="exact"/>
        <w:rPr>
          <w:rFonts w:ascii="Arial" w:cs="Arial" w:eastAsia="Arial" w:hAnsi="Arial"/>
          <w:sz w:val="18"/>
          <w:szCs w:val="18"/>
          <w:color w:val="auto"/>
        </w:rPr>
      </w:pPr>
    </w:p>
    <w:p>
      <w:pPr>
        <w:ind w:left="440" w:right="200" w:firstLine="881"/>
        <w:spacing w:after="0" w:line="308" w:lineRule="auto"/>
        <w:tabs>
          <w:tab w:leader="none" w:pos="172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38" w:lineRule="exact"/>
        <w:rPr>
          <w:rFonts w:ascii="Arial" w:cs="Arial" w:eastAsia="Arial" w:hAnsi="Arial"/>
          <w:sz w:val="17"/>
          <w:szCs w:val="17"/>
          <w:color w:val="auto"/>
        </w:rPr>
      </w:pPr>
    </w:p>
    <w:p>
      <w:pPr>
        <w:ind w:left="440" w:right="60" w:firstLine="881"/>
        <w:spacing w:after="0" w:line="257" w:lineRule="auto"/>
        <w:tabs>
          <w:tab w:leader="none" w:pos="162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80" w:lineRule="exact"/>
        <w:rPr>
          <w:rFonts w:ascii="Arial" w:cs="Arial" w:eastAsia="Arial" w:hAnsi="Arial"/>
          <w:sz w:val="18"/>
          <w:szCs w:val="18"/>
          <w:color w:val="auto"/>
        </w:rPr>
      </w:pPr>
    </w:p>
    <w:p>
      <w:pPr>
        <w:ind w:left="-20" w:right="160" w:firstLine="921"/>
        <w:spacing w:after="0" w:line="302" w:lineRule="auto"/>
        <w:tabs>
          <w:tab w:leader="none" w:pos="1148"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 xml:space="preserve">. Subject to the operation of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40" w:firstLine="881"/>
        <w:spacing w:after="0" w:line="293" w:lineRule="auto"/>
        <w:tabs>
          <w:tab w:leader="none" w:pos="1531"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56" w:lineRule="exact"/>
        <w:rPr>
          <w:rFonts w:ascii="Arial" w:cs="Arial" w:eastAsia="Arial" w:hAnsi="Arial"/>
          <w:sz w:val="16"/>
          <w:szCs w:val="16"/>
          <w:color w:val="auto"/>
        </w:rPr>
      </w:pPr>
    </w:p>
    <w:p>
      <w:pPr>
        <w:ind w:left="440" w:firstLine="881"/>
        <w:spacing w:after="0" w:line="255" w:lineRule="auto"/>
        <w:tabs>
          <w:tab w:leader="none" w:pos="1581"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By or In the Right of the Corporation</w:t>
      </w:r>
      <w:r>
        <w:rPr>
          <w:rFonts w:ascii="Arial" w:cs="Arial" w:eastAsia="Arial" w:hAnsi="Arial"/>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248" w:name="page249"/>
    <w:bookmarkEnd w:id="248"/>
    <w:p>
      <w:pPr>
        <w:ind w:left="42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made under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63" w:lineRule="exact"/>
        <w:rPr>
          <w:sz w:val="20"/>
          <w:szCs w:val="20"/>
          <w:color w:val="auto"/>
        </w:rPr>
      </w:pPr>
    </w:p>
    <w:p>
      <w:pPr>
        <w:ind w:left="420" w:right="60" w:firstLine="881"/>
        <w:spacing w:after="0" w:line="342" w:lineRule="auto"/>
        <w:tabs>
          <w:tab w:leader="none" w:pos="1611"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xml:space="preserve">. The rights of indemnification provided by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20" w:right="100" w:firstLine="881"/>
        <w:spacing w:after="0" w:line="257" w:lineRule="auto"/>
        <w:tabs>
          <w:tab w:leader="none" w:pos="1601"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80" w:lineRule="exact"/>
        <w:rPr>
          <w:rFonts w:ascii="Arial" w:cs="Arial" w:eastAsia="Arial" w:hAnsi="Arial"/>
          <w:sz w:val="18"/>
          <w:szCs w:val="18"/>
          <w:color w:val="auto"/>
        </w:rPr>
      </w:pPr>
    </w:p>
    <w:p>
      <w:pPr>
        <w:ind w:left="-40" w:firstLine="921"/>
        <w:spacing w:after="0" w:line="269" w:lineRule="auto"/>
        <w:tabs>
          <w:tab w:leader="none" w:pos="111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xml:space="preserve">. Subject to the operation of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74" w:lineRule="exact"/>
        <w:rPr>
          <w:rFonts w:ascii="Arial" w:cs="Arial" w:eastAsia="Arial" w:hAnsi="Arial"/>
          <w:sz w:val="17"/>
          <w:szCs w:val="17"/>
          <w:color w:val="auto"/>
        </w:rPr>
      </w:pPr>
    </w:p>
    <w:p>
      <w:pPr>
        <w:ind w:left="-40" w:right="100" w:firstLine="921"/>
        <w:spacing w:after="0" w:line="257" w:lineRule="auto"/>
        <w:tabs>
          <w:tab w:leader="none" w:pos="112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xml:space="preserve">. Unless ordered by a court, no indemnification shall be provided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249" w:name="page250"/>
    <w:bookmarkEnd w:id="249"/>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73" w:lineRule="exact"/>
        <w:rPr>
          <w:sz w:val="20"/>
          <w:szCs w:val="20"/>
          <w:color w:val="auto"/>
        </w:rPr>
      </w:pPr>
    </w:p>
    <w:p>
      <w:pPr>
        <w:ind w:left="1160" w:hanging="239"/>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881"/>
        <w:spacing w:after="0" w:line="289" w:lineRule="auto"/>
        <w:tabs>
          <w:tab w:leader="none" w:pos="155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58" w:lineRule="exact"/>
        <w:rPr>
          <w:rFonts w:ascii="Arial" w:cs="Arial" w:eastAsia="Arial" w:hAnsi="Arial"/>
          <w:sz w:val="16"/>
          <w:szCs w:val="16"/>
          <w:color w:val="auto"/>
        </w:rPr>
      </w:pPr>
    </w:p>
    <w:p>
      <w:pPr>
        <w:ind w:left="460" w:right="80" w:firstLine="881"/>
        <w:spacing w:after="0" w:line="291" w:lineRule="auto"/>
        <w:tabs>
          <w:tab w:leader="none" w:pos="160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59" w:lineRule="exact"/>
        <w:rPr>
          <w:rFonts w:ascii="Arial" w:cs="Arial" w:eastAsia="Arial" w:hAnsi="Arial"/>
          <w:sz w:val="16"/>
          <w:szCs w:val="16"/>
          <w:color w:val="auto"/>
        </w:rPr>
      </w:pPr>
    </w:p>
    <w:p>
      <w:pPr>
        <w:jc w:val="both"/>
        <w:ind w:left="460" w:firstLine="881"/>
        <w:spacing w:after="0" w:line="264" w:lineRule="auto"/>
        <w:tabs>
          <w:tab w:leader="none" w:pos="16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0" w:name="page251"/>
    <w:bookmarkEnd w:id="250"/>
    <w:p>
      <w:pPr>
        <w:ind w:left="680" w:hanging="219"/>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Advancement of Expenses to Officers and Non-Officer Employees Prior to Final Disposition.</w:t>
      </w:r>
    </w:p>
    <w:p>
      <w:pPr>
        <w:spacing w:after="0" w:line="117" w:lineRule="exact"/>
        <w:rPr>
          <w:rFonts w:ascii="Arial" w:cs="Arial" w:eastAsia="Arial" w:hAnsi="Arial"/>
          <w:sz w:val="18"/>
          <w:szCs w:val="18"/>
          <w:color w:val="auto"/>
        </w:rPr>
      </w:pPr>
    </w:p>
    <w:p>
      <w:pPr>
        <w:ind w:right="40" w:firstLine="881"/>
        <w:spacing w:after="0" w:line="272" w:lineRule="auto"/>
        <w:tabs>
          <w:tab w:leader="none" w:pos="109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69" w:lineRule="exact"/>
        <w:rPr>
          <w:rFonts w:ascii="Arial" w:cs="Arial" w:eastAsia="Arial" w:hAnsi="Arial"/>
          <w:sz w:val="17"/>
          <w:szCs w:val="17"/>
          <w:color w:val="auto"/>
        </w:rPr>
      </w:pPr>
    </w:p>
    <w:p>
      <w:pPr>
        <w:ind w:right="60" w:firstLine="881"/>
        <w:spacing w:after="0" w:line="264" w:lineRule="auto"/>
        <w:tabs>
          <w:tab w:leader="none" w:pos="114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88" w:lineRule="auto"/>
        <w:tabs>
          <w:tab w:leader="none" w:pos="109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61" w:lineRule="exact"/>
        <w:rPr>
          <w:rFonts w:ascii="Arial" w:cs="Arial" w:eastAsia="Arial" w:hAnsi="Arial"/>
          <w:sz w:val="16"/>
          <w:szCs w:val="16"/>
          <w:color w:val="auto"/>
        </w:rPr>
      </w:pPr>
    </w:p>
    <w:p>
      <w:pPr>
        <w:ind w:firstLine="881"/>
        <w:spacing w:after="0" w:line="291" w:lineRule="auto"/>
        <w:tabs>
          <w:tab w:leader="none" w:pos="114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51" w:name="page252"/>
    <w:bookmarkEnd w:id="251"/>
    <w:p>
      <w:pPr>
        <w:ind w:left="460" w:right="140" w:firstLine="881"/>
        <w:spacing w:after="0" w:line="277" w:lineRule="auto"/>
        <w:tabs>
          <w:tab w:leader="none" w:pos="1651" w:val="left"/>
        </w:tabs>
        <w:numPr>
          <w:ilvl w:val="2"/>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62" w:lineRule="exact"/>
        <w:rPr>
          <w:rFonts w:ascii="Arial" w:cs="Arial" w:eastAsia="Arial" w:hAnsi="Arial"/>
          <w:sz w:val="18"/>
          <w:szCs w:val="18"/>
          <w:color w:val="auto"/>
        </w:rPr>
      </w:pPr>
    </w:p>
    <w:p>
      <w:pPr>
        <w:jc w:val="both"/>
        <w:ind w:right="200" w:firstLine="921"/>
        <w:spacing w:after="0" w:line="264" w:lineRule="auto"/>
        <w:tabs>
          <w:tab w:leader="none" w:pos="1168"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to indemnification and advancement of Expenses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73" w:lineRule="exact"/>
        <w:rPr>
          <w:rFonts w:ascii="Arial" w:cs="Arial" w:eastAsia="Arial" w:hAnsi="Arial"/>
          <w:sz w:val="18"/>
          <w:szCs w:val="18"/>
          <w:color w:val="auto"/>
        </w:rPr>
      </w:pPr>
    </w:p>
    <w:p>
      <w:pPr>
        <w:ind w:firstLine="921"/>
        <w:spacing w:after="0" w:line="259" w:lineRule="auto"/>
        <w:tabs>
          <w:tab w:leader="none" w:pos="1128"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921"/>
        <w:spacing w:after="0" w:line="271" w:lineRule="auto"/>
        <w:tabs>
          <w:tab w:leader="none" w:pos="1128"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Other Indemnification</w:t>
      </w:r>
      <w:r>
        <w:rPr>
          <w:rFonts w:ascii="Arial" w:cs="Arial" w:eastAsia="Arial" w:hAnsi="Arial"/>
          <w:sz w:val="17"/>
          <w:szCs w:val="17"/>
          <w:color w:val="auto"/>
        </w:rPr>
        <w:t xml:space="preserve">. The Corporation’s obligation, if any, to indemnify or provide advancement of Expenses to any person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u w:val="single" w:color="auto"/>
          <w:color w:val="auto"/>
        </w:rPr>
        <w:t>Primary Indemnitor</w:t>
      </w:r>
      <w:r>
        <w:rPr>
          <w:rFonts w:ascii="Arial" w:cs="Arial" w:eastAsia="Arial" w:hAnsi="Arial"/>
          <w:sz w:val="17"/>
          <w:szCs w:val="17"/>
          <w:color w:val="auto"/>
        </w:rPr>
        <w:t xml:space="preserve">”). Any indemnification or advancement of Expenses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70" w:lineRule="exact"/>
        <w:rPr>
          <w:rFonts w:ascii="Arial" w:cs="Arial" w:eastAsia="Arial" w:hAnsi="Arial"/>
          <w:sz w:val="17"/>
          <w:szCs w:val="17"/>
          <w:color w:val="auto"/>
        </w:rPr>
      </w:pPr>
    </w:p>
    <w:p>
      <w:pPr>
        <w:ind w:left="640" w:hanging="176"/>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Fiscal Year</w:t>
      </w:r>
      <w:r>
        <w:rPr>
          <w:rFonts w:ascii="Arial" w:cs="Arial" w:eastAsia="Arial" w:hAnsi="Arial"/>
          <w:sz w:val="16"/>
          <w:szCs w:val="16"/>
          <w:color w:val="auto"/>
        </w:rPr>
        <w:t>. Except as otherwise determined by the Board of Directors, the fiscal year of the Corporation shall end on December 31 of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117" w:lineRule="exact"/>
        <w:rPr>
          <w:rFonts w:ascii="Arial" w:cs="Arial" w:eastAsia="Arial" w:hAnsi="Arial"/>
          <w:sz w:val="18"/>
          <w:szCs w:val="18"/>
          <w:color w:val="auto"/>
        </w:rPr>
      </w:pPr>
    </w:p>
    <w:p>
      <w:pPr>
        <w:ind w:firstLine="921"/>
        <w:spacing w:after="0" w:line="259" w:lineRule="auto"/>
        <w:tabs>
          <w:tab w:leader="none" w:pos="1157"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78"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52" w:name="page253"/>
    <w:bookmarkEnd w:id="252"/>
    <w:p>
      <w:pPr>
        <w:ind w:right="240" w:firstLine="921"/>
        <w:spacing w:after="0" w:line="277" w:lineRule="auto"/>
        <w:tabs>
          <w:tab w:leader="none" w:pos="1157"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62" w:lineRule="exact"/>
        <w:rPr>
          <w:rFonts w:ascii="Arial" w:cs="Arial" w:eastAsia="Arial" w:hAnsi="Arial"/>
          <w:sz w:val="18"/>
          <w:szCs w:val="18"/>
          <w:color w:val="auto"/>
        </w:rPr>
      </w:pPr>
    </w:p>
    <w:p>
      <w:pPr>
        <w:ind w:right="420" w:firstLine="921"/>
        <w:spacing w:after="0" w:line="259" w:lineRule="auto"/>
        <w:tabs>
          <w:tab w:leader="none" w:pos="113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78"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62" w:lineRule="exact"/>
        <w:rPr>
          <w:rFonts w:ascii="Arial" w:cs="Arial" w:eastAsia="Arial" w:hAnsi="Arial"/>
          <w:sz w:val="18"/>
          <w:szCs w:val="18"/>
          <w:color w:val="auto"/>
        </w:rPr>
      </w:pPr>
    </w:p>
    <w:p>
      <w:pPr>
        <w:ind w:firstLine="921"/>
        <w:spacing w:after="0" w:line="279" w:lineRule="auto"/>
        <w:tabs>
          <w:tab w:leader="none" w:pos="1168"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63" w:lineRule="exact"/>
        <w:rPr>
          <w:rFonts w:ascii="Arial" w:cs="Arial" w:eastAsia="Arial" w:hAnsi="Arial"/>
          <w:sz w:val="17"/>
          <w:szCs w:val="17"/>
          <w:color w:val="auto"/>
        </w:rPr>
      </w:pPr>
    </w:p>
    <w:p>
      <w:pPr>
        <w:ind w:firstLine="921"/>
        <w:spacing w:after="0" w:line="255" w:lineRule="auto"/>
        <w:tabs>
          <w:tab w:leader="none" w:pos="112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Adopted November 17,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6620" w:type="dxa"/>
            <w:vAlign w:val="bottom"/>
            <w:gridSpan w:val="3"/>
          </w:tcPr>
          <w:p>
            <w:pPr>
              <w:jc w:val="right"/>
              <w:ind w:right="4728"/>
              <w:spacing w:after="0"/>
              <w:rPr>
                <w:sz w:val="20"/>
                <w:szCs w:val="20"/>
                <w:color w:val="auto"/>
              </w:rPr>
            </w:pPr>
            <w:r>
              <w:rPr>
                <w:rFonts w:ascii="Arial" w:cs="Arial" w:eastAsia="Arial" w:hAnsi="Arial"/>
                <w:sz w:val="18"/>
                <w:szCs w:val="18"/>
                <w:color w:val="auto"/>
                <w:w w:val="94"/>
              </w:rPr>
              <w:t>TABLE OF CONTENTS</w:t>
            </w:r>
          </w:p>
        </w:tc>
      </w:tr>
      <w:tr>
        <w:trPr>
          <w:trHeight w:val="372"/>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53"/>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w:t>
            </w:r>
          </w:p>
        </w:tc>
        <w:tc>
          <w:tcPr>
            <w:tcW w:w="412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2.2</w:t>
            </w:r>
          </w:p>
        </w:tc>
        <w:tc>
          <w:tcPr>
            <w:tcW w:w="412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2.3</w:t>
            </w:r>
          </w:p>
        </w:tc>
        <w:tc>
          <w:tcPr>
            <w:tcW w:w="412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w:t>
            </w:r>
          </w:p>
        </w:tc>
        <w:tc>
          <w:tcPr>
            <w:tcW w:w="412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2.5</w:t>
            </w:r>
          </w:p>
        </w:tc>
        <w:tc>
          <w:tcPr>
            <w:tcW w:w="412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2.6</w:t>
            </w:r>
          </w:p>
        </w:tc>
        <w:tc>
          <w:tcPr>
            <w:tcW w:w="412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2.7</w:t>
            </w:r>
          </w:p>
        </w:tc>
        <w:tc>
          <w:tcPr>
            <w:tcW w:w="412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412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w:t>
            </w:r>
          </w:p>
        </w:tc>
        <w:tc>
          <w:tcPr>
            <w:tcW w:w="412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2.10</w:t>
            </w:r>
          </w:p>
        </w:tc>
        <w:tc>
          <w:tcPr>
            <w:tcW w:w="412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412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2.12</w:t>
            </w:r>
          </w:p>
        </w:tc>
        <w:tc>
          <w:tcPr>
            <w:tcW w:w="412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2.13</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4800" w:type="dxa"/>
            <w:vAlign w:val="bottom"/>
            <w:gridSpan w:val="3"/>
          </w:tcPr>
          <w:p>
            <w:pPr>
              <w:spacing w:after="0"/>
              <w:rPr>
                <w:sz w:val="20"/>
                <w:szCs w:val="20"/>
                <w:color w:val="auto"/>
              </w:rPr>
            </w:pPr>
            <w:r>
              <w:rPr>
                <w:rFonts w:ascii="Arial" w:cs="Arial" w:eastAsia="Arial" w:hAnsi="Arial"/>
                <w:sz w:val="18"/>
                <w:szCs w:val="18"/>
                <w:color w:val="auto"/>
              </w:rPr>
              <w:t>3.  Information and Inspection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3.2</w:t>
            </w:r>
          </w:p>
        </w:tc>
        <w:tc>
          <w:tcPr>
            <w:tcW w:w="412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3.3</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3.4</w:t>
            </w:r>
          </w:p>
        </w:tc>
        <w:tc>
          <w:tcPr>
            <w:tcW w:w="41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4800" w:type="dxa"/>
            <w:vAlign w:val="bottom"/>
            <w:gridSpan w:val="3"/>
          </w:tcPr>
          <w:p>
            <w:pPr>
              <w:spacing w:after="0"/>
              <w:rPr>
                <w:sz w:val="20"/>
                <w:szCs w:val="20"/>
                <w:color w:val="auto"/>
              </w:rPr>
            </w:pPr>
            <w:r>
              <w:rPr>
                <w:rFonts w:ascii="Arial" w:cs="Arial" w:eastAsia="Arial" w:hAnsi="Arial"/>
                <w:sz w:val="18"/>
                <w:szCs w:val="18"/>
                <w:color w:val="auto"/>
              </w:rPr>
              <w:t>4.  Rights to Future Stock Issuances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w:t>
            </w:r>
          </w:p>
        </w:tc>
        <w:tc>
          <w:tcPr>
            <w:tcW w:w="4120" w:type="dxa"/>
            <w:vAlign w:val="bottom"/>
          </w:tcPr>
          <w:p>
            <w:pPr>
              <w:ind w:left="60"/>
              <w:spacing w:after="0"/>
              <w:rPr>
                <w:sz w:val="20"/>
                <w:szCs w:val="20"/>
                <w:color w:val="auto"/>
              </w:rPr>
            </w:pPr>
            <w:r>
              <w:rPr>
                <w:rFonts w:ascii="Arial" w:cs="Arial" w:eastAsia="Arial" w:hAnsi="Arial"/>
                <w:sz w:val="18"/>
                <w:szCs w:val="18"/>
                <w:color w:val="auto"/>
              </w:rPr>
              <w:t>Right of First Offer</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4.2</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Additional Covenants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w:t>
            </w:r>
          </w:p>
        </w:tc>
        <w:tc>
          <w:tcPr>
            <w:tcW w:w="41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5.2</w:t>
            </w:r>
          </w:p>
        </w:tc>
        <w:tc>
          <w:tcPr>
            <w:tcW w:w="412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5.3</w:t>
            </w:r>
          </w:p>
        </w:tc>
        <w:tc>
          <w:tcPr>
            <w:tcW w:w="4120" w:type="dxa"/>
            <w:vAlign w:val="bottom"/>
          </w:tcPr>
          <w:p>
            <w:pPr>
              <w:ind w:left="60"/>
              <w:spacing w:after="0"/>
              <w:rPr>
                <w:sz w:val="20"/>
                <w:szCs w:val="20"/>
                <w:color w:val="auto"/>
              </w:rPr>
            </w:pPr>
            <w:r>
              <w:rPr>
                <w:rFonts w:ascii="Arial" w:cs="Arial" w:eastAsia="Arial" w:hAnsi="Arial"/>
                <w:sz w:val="18"/>
                <w:szCs w:val="18"/>
                <w:color w:val="auto"/>
              </w:rPr>
              <w:t>Employee Stock</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5.4</w:t>
            </w:r>
          </w:p>
        </w:tc>
        <w:tc>
          <w:tcPr>
            <w:tcW w:w="4120" w:type="dxa"/>
            <w:vAlign w:val="bottom"/>
          </w:tcPr>
          <w:p>
            <w:pPr>
              <w:ind w:left="60"/>
              <w:spacing w:after="0"/>
              <w:rPr>
                <w:sz w:val="20"/>
                <w:szCs w:val="20"/>
                <w:color w:val="auto"/>
              </w:rPr>
            </w:pPr>
            <w:r>
              <w:rPr>
                <w:rFonts w:ascii="Arial" w:cs="Arial" w:eastAsia="Arial" w:hAnsi="Arial"/>
                <w:sz w:val="18"/>
                <w:szCs w:val="18"/>
                <w:color w:val="auto"/>
              </w:rPr>
              <w:t>Board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5.5</w:t>
            </w:r>
          </w:p>
        </w:tc>
        <w:tc>
          <w:tcPr>
            <w:tcW w:w="4120" w:type="dxa"/>
            <w:vAlign w:val="bottom"/>
          </w:tcPr>
          <w:p>
            <w:pPr>
              <w:ind w:left="60"/>
              <w:spacing w:after="0"/>
              <w:rPr>
                <w:sz w:val="20"/>
                <w:szCs w:val="20"/>
                <w:color w:val="auto"/>
              </w:rPr>
            </w:pPr>
            <w:r>
              <w:rPr>
                <w:rFonts w:ascii="Arial" w:cs="Arial" w:eastAsia="Arial" w:hAnsi="Arial"/>
                <w:sz w:val="18"/>
                <w:szCs w:val="18"/>
                <w:color w:val="auto"/>
              </w:rPr>
              <w:t>Successor Indemnification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5.6</w:t>
            </w:r>
          </w:p>
        </w:tc>
        <w:tc>
          <w:tcPr>
            <w:tcW w:w="4120" w:type="dxa"/>
            <w:vAlign w:val="bottom"/>
          </w:tcPr>
          <w:p>
            <w:pPr>
              <w:ind w:left="60"/>
              <w:spacing w:after="0"/>
              <w:rPr>
                <w:sz w:val="20"/>
                <w:szCs w:val="20"/>
                <w:color w:val="auto"/>
              </w:rPr>
            </w:pPr>
            <w:r>
              <w:rPr>
                <w:rFonts w:ascii="Arial" w:cs="Arial" w:eastAsia="Arial" w:hAnsi="Arial"/>
                <w:sz w:val="18"/>
                <w:szCs w:val="18"/>
                <w:color w:val="auto"/>
              </w:rPr>
              <w:t>Expenses of Counsel</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5.7</w:t>
            </w:r>
          </w:p>
        </w:tc>
        <w:tc>
          <w:tcPr>
            <w:tcW w:w="4120" w:type="dxa"/>
            <w:vAlign w:val="bottom"/>
          </w:tcPr>
          <w:p>
            <w:pPr>
              <w:ind w:left="60"/>
              <w:spacing w:after="0"/>
              <w:rPr>
                <w:sz w:val="20"/>
                <w:szCs w:val="20"/>
                <w:color w:val="auto"/>
              </w:rPr>
            </w:pPr>
            <w:r>
              <w:rPr>
                <w:rFonts w:ascii="Arial" w:cs="Arial" w:eastAsia="Arial" w:hAnsi="Arial"/>
                <w:sz w:val="18"/>
                <w:szCs w:val="18"/>
                <w:color w:val="auto"/>
              </w:rPr>
              <w:t>Indemnification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5.8</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Covenants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5.9</w:t>
            </w:r>
          </w:p>
        </w:tc>
        <w:tc>
          <w:tcPr>
            <w:tcW w:w="4120" w:type="dxa"/>
            <w:vAlign w:val="bottom"/>
          </w:tcPr>
          <w:p>
            <w:pPr>
              <w:ind w:left="60"/>
              <w:spacing w:after="0"/>
              <w:rPr>
                <w:sz w:val="20"/>
                <w:szCs w:val="20"/>
                <w:color w:val="auto"/>
              </w:rPr>
            </w:pPr>
            <w:r>
              <w:rPr>
                <w:rFonts w:ascii="Arial" w:cs="Arial" w:eastAsia="Arial" w:hAnsi="Arial"/>
                <w:sz w:val="18"/>
                <w:szCs w:val="18"/>
                <w:color w:val="auto"/>
              </w:rPr>
              <w:t>Right to Conduct Activities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5.10</w:t>
            </w:r>
          </w:p>
        </w:tc>
        <w:tc>
          <w:tcPr>
            <w:tcW w:w="4120" w:type="dxa"/>
            <w:vAlign w:val="bottom"/>
          </w:tcPr>
          <w:p>
            <w:pPr>
              <w:ind w:left="60"/>
              <w:spacing w:after="0"/>
              <w:rPr>
                <w:sz w:val="20"/>
                <w:szCs w:val="20"/>
                <w:color w:val="auto"/>
              </w:rPr>
            </w:pPr>
            <w:r>
              <w:rPr>
                <w:rFonts w:ascii="Arial" w:cs="Arial" w:eastAsia="Arial" w:hAnsi="Arial"/>
                <w:sz w:val="18"/>
                <w:szCs w:val="18"/>
                <w:color w:val="auto"/>
              </w:rPr>
              <w:t>Matters Requiring Preferred Director Approval</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6.1</w:t>
            </w:r>
          </w:p>
        </w:tc>
        <w:tc>
          <w:tcPr>
            <w:tcW w:w="41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6.2</w:t>
            </w:r>
          </w:p>
        </w:tc>
        <w:tc>
          <w:tcPr>
            <w:tcW w:w="41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6.3</w:t>
            </w:r>
          </w:p>
        </w:tc>
        <w:tc>
          <w:tcPr>
            <w:tcW w:w="41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6.4</w:t>
            </w:r>
          </w:p>
        </w:tc>
        <w:tc>
          <w:tcPr>
            <w:tcW w:w="412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5" w:name="page256"/>
    <w:bookmarkEnd w:id="255"/>
    <w:tbl>
      <w:tblPr>
        <w:tblLayout w:type="fixed"/>
        <w:tblInd w:w="22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6300" w:type="dxa"/>
            <w:vAlign w:val="bottom"/>
          </w:tcPr>
          <w:p>
            <w:pPr>
              <w:ind w:left="60"/>
              <w:spacing w:after="0"/>
              <w:rPr>
                <w:sz w:val="20"/>
                <w:szCs w:val="20"/>
                <w:color w:val="auto"/>
              </w:rPr>
            </w:pPr>
            <w:r>
              <w:rPr>
                <w:rFonts w:ascii="Arial" w:cs="Arial" w:eastAsia="Arial" w:hAnsi="Arial"/>
                <w:sz w:val="18"/>
                <w:szCs w:val="18"/>
                <w:color w:val="auto"/>
              </w:rPr>
              <w:t>Notices</w:t>
            </w:r>
          </w:p>
        </w:tc>
        <w:tc>
          <w:tcPr>
            <w:tcW w:w="4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63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4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6.7</w:t>
            </w:r>
          </w:p>
        </w:tc>
        <w:tc>
          <w:tcPr>
            <w:tcW w:w="63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6.8</w:t>
            </w:r>
          </w:p>
        </w:tc>
        <w:tc>
          <w:tcPr>
            <w:tcW w:w="6300" w:type="dxa"/>
            <w:vAlign w:val="bottom"/>
          </w:tcPr>
          <w:p>
            <w:pPr>
              <w:ind w:left="60"/>
              <w:spacing w:after="0"/>
              <w:rPr>
                <w:sz w:val="20"/>
                <w:szCs w:val="20"/>
                <w:color w:val="auto"/>
              </w:rPr>
            </w:pPr>
            <w:r>
              <w:rPr>
                <w:rFonts w:ascii="Arial" w:cs="Arial" w:eastAsia="Arial" w:hAnsi="Arial"/>
                <w:sz w:val="18"/>
                <w:szCs w:val="18"/>
                <w:color w:val="auto"/>
              </w:rPr>
              <w:t>Aggregation of Stock</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6.9</w:t>
            </w:r>
          </w:p>
        </w:tc>
        <w:tc>
          <w:tcPr>
            <w:tcW w:w="6300" w:type="dxa"/>
            <w:vAlign w:val="bottom"/>
          </w:tcPr>
          <w:p>
            <w:pPr>
              <w:ind w:left="60"/>
              <w:spacing w:after="0"/>
              <w:rPr>
                <w:sz w:val="20"/>
                <w:szCs w:val="20"/>
                <w:color w:val="auto"/>
              </w:rPr>
            </w:pPr>
            <w:r>
              <w:rPr>
                <w:rFonts w:ascii="Arial" w:cs="Arial" w:eastAsia="Arial" w:hAnsi="Arial"/>
                <w:sz w:val="18"/>
                <w:szCs w:val="18"/>
                <w:color w:val="auto"/>
              </w:rPr>
              <w:t>Additional Investors</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6.10</w:t>
            </w:r>
          </w:p>
        </w:tc>
        <w:tc>
          <w:tcPr>
            <w:tcW w:w="63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6.11</w:t>
            </w:r>
          </w:p>
        </w:tc>
        <w:tc>
          <w:tcPr>
            <w:tcW w:w="63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6.12</w:t>
            </w:r>
          </w:p>
        </w:tc>
        <w:tc>
          <w:tcPr>
            <w:tcW w:w="630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45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 Schedule of Investors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56" w:name="page257"/>
    <w:bookmarkEnd w:id="256"/>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color w:val="auto"/>
        </w:rPr>
        <w:t>THIS SECOND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19th day of January, 2018, by and among AVROBIO,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(together with any subsequent investors, or transferees, who become parties hereto as “Investors” in accordance with Subsection 6.1 or Subsection 6.9 below, the “</w:t>
      </w:r>
      <w:r>
        <w:rPr>
          <w:rFonts w:ascii="Arial" w:cs="Arial" w:eastAsia="Arial" w:hAnsi="Arial"/>
          <w:sz w:val="16"/>
          <w:szCs w:val="16"/>
          <w:b w:val="1"/>
          <w:bCs w:val="1"/>
          <w:color w:val="auto"/>
        </w:rPr>
        <w:t>Investors</w:t>
      </w:r>
      <w:r>
        <w:rPr>
          <w:rFonts w:ascii="Arial" w:cs="Arial" w:eastAsia="Arial" w:hAnsi="Arial"/>
          <w:sz w:val="16"/>
          <w:szCs w:val="16"/>
          <w:color w:val="auto"/>
        </w:rPr>
        <w: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b w:val="1"/>
          <w:bCs w:val="1"/>
          <w:color w:val="auto"/>
        </w:rPr>
        <w:t>Prior Investors</w:t>
      </w:r>
      <w:r>
        <w:rPr>
          <w:rFonts w:ascii="Arial" w:cs="Arial" w:eastAsia="Arial" w:hAnsi="Arial"/>
          <w:sz w:val="18"/>
          <w:szCs w:val="18"/>
          <w:color w:val="auto"/>
        </w:rPr>
        <w:t>”) have previously entered into that certain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Rights Agreement dated as of July 21, 2016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are parties to the Series B Preferred Stock Purchase Agreement of even date 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Prior Agreement desire to amend and restate the Prior Agreement and to accept the rights and covenants hereof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rights and covenants under the Prior Agreement;</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Prior Investors who have signed this Agreement constitute the requisite parties to amend and restate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62"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induce the Company to enter into the Purchase Agreement and to induce the Investors to invest funds in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Purchase Agreement, the Investors and the Company hereby agree that this Agreement shall amend and restate the Prior Agreement and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left="460" w:right="20" w:firstLine="876"/>
        <w:spacing w:after="0" w:line="29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limited partner, member, employee, officer or director of such Person or any venture capital fund now or hereafter existing that is controlled by one or more general partners or managing members of, or shares the same management company with, such Person. For purposes of this definition, the term “control” when used with respect to any Person means the power to direct the management or policies of such Person, directly or indirectly, whether through ownership of voting securities, by contract or otherwise, and the terms “controlling” and “controlled” shall have meanings correlative to the foregoing.</w:t>
      </w:r>
    </w:p>
    <w:p>
      <w:pPr>
        <w:sectPr>
          <w:pgSz w:w="11900" w:h="16838" w:orient="portrait"/>
          <w:cols w:equalWidth="0" w:num="1">
            <w:col w:w="11420"/>
          </w:cols>
          <w:pgMar w:left="240" w:top="270" w:right="239" w:bottom="1440" w:gutter="0" w:footer="0" w:header="0"/>
        </w:sectPr>
      </w:pPr>
    </w:p>
    <w:bookmarkStart w:id="257" w:name="page258"/>
    <w:bookmarkEnd w:id="257"/>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w:t>
      </w:r>
      <w:r>
        <w:rPr>
          <w:rFonts w:ascii="Arial" w:cs="Arial" w:eastAsia="Arial" w:hAnsi="Arial"/>
          <w:sz w:val="18"/>
          <w:szCs w:val="18"/>
          <w:b w:val="1"/>
          <w:bCs w:val="1"/>
          <w:color w:val="auto"/>
        </w:rPr>
        <w:t>Aisling</w:t>
      </w:r>
      <w:r>
        <w:rPr>
          <w:rFonts w:ascii="Arial" w:cs="Arial" w:eastAsia="Arial" w:hAnsi="Arial"/>
          <w:sz w:val="18"/>
          <w:szCs w:val="18"/>
          <w:color w:val="auto"/>
        </w:rPr>
        <w:t>” means Aisling Capital IV, 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Atlas</w:t>
      </w:r>
      <w:r>
        <w:rPr>
          <w:rFonts w:ascii="Arial" w:cs="Arial" w:eastAsia="Arial" w:hAnsi="Arial"/>
          <w:sz w:val="18"/>
          <w:szCs w:val="18"/>
          <w:color w:val="auto"/>
        </w:rPr>
        <w:t>” means Atlas Venture Fund X, 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Brace</w:t>
      </w:r>
      <w:r>
        <w:rPr>
          <w:rFonts w:ascii="Arial" w:cs="Arial" w:eastAsia="Arial" w:hAnsi="Arial"/>
          <w:sz w:val="18"/>
          <w:szCs w:val="18"/>
          <w:color w:val="auto"/>
        </w:rPr>
        <w:t>” means Brace Pharmaceuticals LLC.</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Clarus</w:t>
      </w:r>
      <w:r>
        <w:rPr>
          <w:rFonts w:ascii="Arial" w:cs="Arial" w:eastAsia="Arial" w:hAnsi="Arial"/>
          <w:sz w:val="18"/>
          <w:szCs w:val="18"/>
          <w:color w:val="auto"/>
        </w:rPr>
        <w:t>” means Clarus Lifesciences III, LLP.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117" w:lineRule="exact"/>
        <w:rPr>
          <w:sz w:val="20"/>
          <w:szCs w:val="20"/>
          <w:color w:val="auto"/>
        </w:rPr>
      </w:pPr>
    </w:p>
    <w:p>
      <w:pPr>
        <w:ind w:right="140" w:firstLine="876"/>
        <w:spacing w:after="0" w:line="29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Competitor</w:t>
      </w:r>
      <w:r>
        <w:rPr>
          <w:rFonts w:ascii="Arial" w:cs="Arial" w:eastAsia="Arial" w:hAnsi="Arial"/>
          <w:sz w:val="16"/>
          <w:szCs w:val="16"/>
          <w:color w:val="auto"/>
        </w:rPr>
        <w:t>” means a Person engaged, directly or indirectly (including through any partnership, limited liability company, corporation, joint venture or similar arrangement (whether now existing or formed hereafter)), in the research, development or commercialization of human biopharmaceutical products involving lentiviral-based gene therapy for rare disease or neoplastic cells transduced to express molecules to treat cancer,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Notwithstanding anything herein, the Company acknowledges that none of Surveyor, Atlas, SV or Clarus shall be deemed to be a Competitor solely by virtue of its (or any of its Affiliates’) status as a venture capital investor or equity holdings in a Competitor.</w:t>
      </w:r>
    </w:p>
    <w:p>
      <w:pPr>
        <w:spacing w:after="0" w:line="54" w:lineRule="exact"/>
        <w:rPr>
          <w:sz w:val="20"/>
          <w:szCs w:val="20"/>
          <w:color w:val="auto"/>
        </w:rPr>
      </w:pPr>
    </w:p>
    <w:p>
      <w:pPr>
        <w:ind w:right="360" w:firstLine="438"/>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Cormorant</w:t>
      </w:r>
      <w:r>
        <w:rPr>
          <w:rFonts w:ascii="Arial" w:cs="Arial" w:eastAsia="Arial" w:hAnsi="Arial"/>
          <w:sz w:val="18"/>
          <w:szCs w:val="18"/>
          <w:color w:val="auto"/>
        </w:rPr>
        <w:t>” means, collectively, Cormorant Private Healthcare Fund I, LP, Cormorant Global Healthcare Master Fund, LP, and CRMA SPV, L.P.</w:t>
      </w:r>
    </w:p>
    <w:p>
      <w:pPr>
        <w:spacing w:after="0" w:line="54" w:lineRule="exact"/>
        <w:rPr>
          <w:sz w:val="20"/>
          <w:szCs w:val="20"/>
          <w:color w:val="auto"/>
        </w:rPr>
      </w:pPr>
    </w:p>
    <w:p>
      <w:pPr>
        <w:ind w:firstLine="876"/>
        <w:spacing w:after="0" w:line="273"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64" w:lineRule="exact"/>
        <w:rPr>
          <w:sz w:val="20"/>
          <w:szCs w:val="20"/>
          <w:color w:val="auto"/>
        </w:rPr>
      </w:pPr>
    </w:p>
    <w:p>
      <w:pPr>
        <w:ind w:right="220" w:firstLine="876"/>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0" w:right="239" w:bottom="1440" w:gutter="0" w:footer="0" w:header="0"/>
        </w:sectPr>
      </w:pPr>
    </w:p>
    <w:bookmarkStart w:id="258" w:name="page259"/>
    <w:bookmarkEnd w:id="258"/>
    <w:p>
      <w:pPr>
        <w:ind w:right="300" w:firstLine="87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Eventide</w:t>
      </w:r>
      <w:r>
        <w:rPr>
          <w:rFonts w:ascii="Arial" w:cs="Arial" w:eastAsia="Arial" w:hAnsi="Arial"/>
          <w:sz w:val="18"/>
          <w:szCs w:val="18"/>
          <w:color w:val="auto"/>
        </w:rPr>
        <w:t>” means Eventide Healthcare &amp; Life Sciences Fund.</w:t>
      </w:r>
    </w:p>
    <w:p>
      <w:pPr>
        <w:spacing w:after="0" w:line="117" w:lineRule="exact"/>
        <w:rPr>
          <w:sz w:val="20"/>
          <w:szCs w:val="20"/>
          <w:color w:val="auto"/>
        </w:rPr>
      </w:pPr>
    </w:p>
    <w:p>
      <w:pPr>
        <w:ind w:firstLine="876"/>
        <w:spacing w:after="0" w:line="261"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FOIA Party</w:t>
      </w:r>
      <w:r>
        <w:rPr>
          <w:rFonts w:ascii="Arial" w:cs="Arial" w:eastAsia="Arial" w:hAnsi="Arial"/>
          <w:sz w:val="18"/>
          <w:szCs w:val="18"/>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8"/>
          <w:szCs w:val="18"/>
          <w:b w:val="1"/>
          <w:bCs w:val="1"/>
          <w:color w:val="auto"/>
        </w:rPr>
        <w:t>FOIA</w:t>
      </w:r>
      <w:r>
        <w:rPr>
          <w:rFonts w:ascii="Arial" w:cs="Arial" w:eastAsia="Arial" w:hAnsi="Arial"/>
          <w:sz w:val="18"/>
          <w:szCs w:val="18"/>
          <w:color w:val="auto"/>
        </w:rPr>
        <w:t>”), any state public records access law, any state or other jurisdiction’s laws similar in intent or effect to FOIA, or any other similar statutory or regulatory requirement.</w:t>
      </w:r>
    </w:p>
    <w:p>
      <w:pPr>
        <w:spacing w:after="0" w:line="72" w:lineRule="exact"/>
        <w:rPr>
          <w:sz w:val="20"/>
          <w:szCs w:val="20"/>
          <w:color w:val="auto"/>
        </w:rPr>
      </w:pPr>
    </w:p>
    <w:p>
      <w:pPr>
        <w:ind w:right="380" w:firstLine="876"/>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54" w:lineRule="exact"/>
        <w:rPr>
          <w:sz w:val="20"/>
          <w:szCs w:val="20"/>
          <w:color w:val="auto"/>
        </w:rPr>
      </w:pPr>
    </w:p>
    <w:p>
      <w:pPr>
        <w:jc w:val="both"/>
        <w:ind w:right="60" w:firstLine="876"/>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117" w:lineRule="exact"/>
        <w:rPr>
          <w:sz w:val="20"/>
          <w:szCs w:val="20"/>
          <w:color w:val="auto"/>
        </w:rPr>
      </w:pPr>
    </w:p>
    <w:p>
      <w:pPr>
        <w:ind w:right="160" w:firstLine="876"/>
        <w:spacing w:after="0" w:line="347"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17" w:lineRule="exact"/>
        <w:rPr>
          <w:sz w:val="20"/>
          <w:szCs w:val="20"/>
          <w:color w:val="auto"/>
        </w:rPr>
      </w:pPr>
    </w:p>
    <w:p>
      <w:pPr>
        <w:ind w:right="100" w:firstLine="876"/>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0" w:right="259" w:bottom="1440" w:gutter="0" w:footer="0" w:header="0"/>
        </w:sectPr>
      </w:pPr>
    </w:p>
    <w:bookmarkStart w:id="259" w:name="page260"/>
    <w:bookmarkEnd w:id="25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 “</w:t>
      </w:r>
      <w:r>
        <w:rPr>
          <w:rFonts w:ascii="Arial" w:cs="Arial" w:eastAsia="Arial" w:hAnsi="Arial"/>
          <w:sz w:val="18"/>
          <w:szCs w:val="18"/>
          <w:b w:val="1"/>
          <w:bCs w:val="1"/>
          <w:color w:val="auto"/>
        </w:rPr>
        <w:t>Leerink</w:t>
      </w:r>
      <w:r>
        <w:rPr>
          <w:rFonts w:ascii="Arial" w:cs="Arial" w:eastAsia="Arial" w:hAnsi="Arial"/>
          <w:sz w:val="18"/>
          <w:szCs w:val="18"/>
          <w:color w:val="auto"/>
        </w:rPr>
        <w:t>” means, collectively, Leerink Holdings LLC, and Leerink Swann Co-Investment Fund, LLC.</w:t>
      </w:r>
    </w:p>
    <w:p>
      <w:pPr>
        <w:spacing w:after="0" w:line="117" w:lineRule="exact"/>
        <w:rPr>
          <w:sz w:val="20"/>
          <w:szCs w:val="20"/>
          <w:color w:val="auto"/>
        </w:rPr>
      </w:pPr>
    </w:p>
    <w:p>
      <w:pPr>
        <w:jc w:val="both"/>
        <w:ind w:right="240" w:firstLine="876"/>
        <w:spacing w:after="0" w:line="266"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750,000 shares of Registrable Securities (as adjusted for any stock split, stock dividend, combination, or other recapitalization or reclassification effected after the date hereof).</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Morningsid</w:t>
      </w:r>
      <w:r>
        <w:rPr>
          <w:rFonts w:ascii="Arial" w:cs="Arial" w:eastAsia="Arial" w:hAnsi="Arial"/>
          <w:sz w:val="18"/>
          <w:szCs w:val="18"/>
          <w:color w:val="auto"/>
        </w:rPr>
        <w:t>e” means Morningside Venture Investments Limited.</w:t>
      </w:r>
    </w:p>
    <w:p>
      <w:pPr>
        <w:spacing w:after="0" w:line="117" w:lineRule="exact"/>
        <w:rPr>
          <w:sz w:val="20"/>
          <w:szCs w:val="20"/>
          <w:color w:val="auto"/>
        </w:rPr>
      </w:pPr>
    </w:p>
    <w:p>
      <w:pPr>
        <w:ind w:right="120" w:firstLine="876"/>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17" w:lineRule="exact"/>
        <w:rPr>
          <w:sz w:val="20"/>
          <w:szCs w:val="20"/>
          <w:color w:val="auto"/>
        </w:rPr>
      </w:pPr>
    </w:p>
    <w:p>
      <w:pPr>
        <w:ind w:right="80" w:firstLine="876"/>
        <w:spacing w:after="0" w:line="282"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directors of the Company that the holders of record of the Preferred Stock are entitled to elect pursuant to the Company’s Certificate of Incorporation.</w:t>
      </w:r>
    </w:p>
    <w:p>
      <w:pPr>
        <w:spacing w:after="0" w:line="54" w:lineRule="exact"/>
        <w:rPr>
          <w:sz w:val="20"/>
          <w:szCs w:val="20"/>
          <w:color w:val="auto"/>
        </w:rPr>
      </w:pPr>
    </w:p>
    <w:p>
      <w:pPr>
        <w:ind w:firstLine="876"/>
        <w:spacing w:after="0" w:line="289"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Preferred Majority</w:t>
      </w:r>
      <w:r>
        <w:rPr>
          <w:rFonts w:ascii="Arial" w:cs="Arial" w:eastAsia="Arial" w:hAnsi="Arial"/>
          <w:sz w:val="17"/>
          <w:szCs w:val="17"/>
          <w:color w:val="auto"/>
        </w:rPr>
        <w:t>” shall mean the Requisite Preferred Holders (as defined in the Company’s Certificate of Incorporation); provided, however that subsequent to the consummation of the IPO, Preferred Majority shall mean the holders of a majority of the shares of Registrable Shares issued upon conversion of the Series Seed Preferred Stock, Series A Preferred Stock and the Series B Preferred Stock.</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Series B Preferred Stock, Series A Preferred Stock and the Series Seed Preferred Stock.</w:t>
      </w:r>
    </w:p>
    <w:p>
      <w:pPr>
        <w:spacing w:after="0" w:line="140" w:lineRule="exact"/>
        <w:rPr>
          <w:sz w:val="20"/>
          <w:szCs w:val="20"/>
          <w:color w:val="auto"/>
        </w:rPr>
      </w:pPr>
    </w:p>
    <w:p>
      <w:pPr>
        <w:ind w:right="20" w:firstLine="876"/>
        <w:spacing w:after="0" w:line="273"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Subsection 6.1, and excluding for purposes of Section 2 any shares for which registration rights have terminated pursuant to Subsection 2.13 of this Agreement.</w:t>
      </w:r>
    </w:p>
    <w:p>
      <w:pPr>
        <w:spacing w:after="0" w:line="64" w:lineRule="exact"/>
        <w:rPr>
          <w:sz w:val="20"/>
          <w:szCs w:val="20"/>
          <w:color w:val="auto"/>
        </w:rPr>
      </w:pPr>
    </w:p>
    <w:p>
      <w:pPr>
        <w:ind w:right="60" w:firstLine="876"/>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0" w:right="259" w:bottom="1440" w:gutter="0" w:footer="0" w:header="0"/>
        </w:sectPr>
      </w:pPr>
    </w:p>
    <w:bookmarkStart w:id="260" w:name="page261"/>
    <w:bookmarkEnd w:id="260"/>
    <w:p>
      <w:pPr>
        <w:ind w:left="13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hereof.</w:t>
      </w:r>
    </w:p>
    <w:p>
      <w:pPr>
        <w:spacing w:after="0" w:line="9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52" w:right="400" w:firstLine="876"/>
        <w:spacing w:after="0" w:line="266"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68"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“Series Seed Preferred Stock</w:t>
      </w:r>
      <w:r>
        <w:rPr>
          <w:rFonts w:ascii="Arial" w:cs="Arial" w:eastAsia="Arial" w:hAnsi="Arial"/>
          <w:sz w:val="17"/>
          <w:szCs w:val="17"/>
          <w:color w:val="auto"/>
        </w:rPr>
        <w:t>” means shares of the Company’s Series Seed Preferred Stock, par value $0.0001 per share.</w:t>
      </w:r>
    </w:p>
    <w:p>
      <w:pPr>
        <w:spacing w:after="0" w:line="12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Surveyor</w:t>
      </w:r>
      <w:r>
        <w:rPr>
          <w:rFonts w:ascii="Arial" w:cs="Arial" w:eastAsia="Arial" w:hAnsi="Arial"/>
          <w:sz w:val="18"/>
          <w:szCs w:val="18"/>
          <w:color w:val="auto"/>
        </w:rPr>
        <w:t>” means Citadel Multi-Strategy Equities Master Fund Ltd.</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SV</w:t>
      </w:r>
      <w:r>
        <w:rPr>
          <w:rFonts w:ascii="Arial" w:cs="Arial" w:eastAsia="Arial" w:hAnsi="Arial"/>
          <w:sz w:val="18"/>
          <w:szCs w:val="18"/>
          <w:color w:val="auto"/>
        </w:rPr>
        <w:t>” means SV Life Sciences Fund VI, L.P and SV Life Sciences Fund VI Strategic Partners, L.P.</w:t>
      </w:r>
    </w:p>
    <w:p>
      <w:pPr>
        <w:spacing w:after="0" w:line="121" w:lineRule="exact"/>
        <w:rPr>
          <w:sz w:val="20"/>
          <w:szCs w:val="20"/>
          <w:color w:val="auto"/>
        </w:rPr>
      </w:pPr>
    </w:p>
    <w:p>
      <w:pPr>
        <w:ind w:left="1332" w:right="5820" w:hanging="876"/>
        <w:spacing w:after="0" w:line="375" w:lineRule="auto"/>
        <w:tabs>
          <w:tab w:leader="none" w:pos="636"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732" w:hanging="248"/>
        <w:spacing w:after="0"/>
        <w:tabs>
          <w:tab w:leader="none" w:pos="1732" w:val="left"/>
        </w:tabs>
        <w:numPr>
          <w:ilvl w:val="2"/>
          <w:numId w:val="183"/>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If at any time after the earlier of (i) five (5) years after the date of this Agreement or (ii) one hundred eighty</w:t>
      </w:r>
    </w:p>
    <w:p>
      <w:pPr>
        <w:spacing w:after="0" w:line="34" w:lineRule="exact"/>
        <w:rPr>
          <w:rFonts w:ascii="Arial" w:cs="Arial" w:eastAsia="Arial" w:hAnsi="Arial"/>
          <w:sz w:val="17"/>
          <w:szCs w:val="17"/>
          <w:color w:val="auto"/>
        </w:rPr>
      </w:pPr>
    </w:p>
    <w:p>
      <w:pPr>
        <w:ind w:left="-8" w:firstLine="8"/>
        <w:spacing w:after="0" w:line="292" w:lineRule="auto"/>
        <w:tabs>
          <w:tab w:leader="none" w:pos="42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for the IPO, the Company receives a request from the Preferred Majority that the Company file a Form S-1 registration statement with respect to at least fifty percent (50%) of the Registrable Securities then outstanding having an anticipated aggregate offering price, net of Selling Expenses, of not less than $10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w:t>
      </w:r>
    </w:p>
    <w:p>
      <w:pPr>
        <w:spacing w:after="0" w:line="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0" w:right="279" w:bottom="1440" w:gutter="0" w:footer="0" w:header="0"/>
        </w:sectPr>
      </w:pPr>
    </w:p>
    <w:bookmarkStart w:id="261" w:name="page262"/>
    <w:bookmarkEnd w:id="26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2.3.</w:t>
      </w:r>
    </w:p>
    <w:p>
      <w:pPr>
        <w:spacing w:after="0" w:line="73" w:lineRule="exact"/>
        <w:rPr>
          <w:sz w:val="20"/>
          <w:szCs w:val="20"/>
          <w:color w:val="auto"/>
        </w:rPr>
      </w:pPr>
    </w:p>
    <w:p>
      <w:pPr>
        <w:ind w:firstLine="1492"/>
        <w:spacing w:after="0" w:line="286" w:lineRule="auto"/>
        <w:tabs>
          <w:tab w:leader="none" w:pos="173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Form S-3 Demand.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w:t>
      </w:r>
    </w:p>
    <w:p>
      <w:pPr>
        <w:spacing w:after="0" w:line="1" w:lineRule="exact"/>
        <w:rPr>
          <w:rFonts w:ascii="Arial" w:cs="Arial" w:eastAsia="Arial" w:hAnsi="Arial"/>
          <w:sz w:val="16"/>
          <w:szCs w:val="16"/>
          <w:color w:val="auto"/>
        </w:rPr>
      </w:pPr>
    </w:p>
    <w:p>
      <w:pPr>
        <w:ind w:right="200" w:firstLine="8"/>
        <w:spacing w:after="0" w:line="254" w:lineRule="auto"/>
        <w:tabs>
          <w:tab w:leader="none" w:pos="2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right="20" w:firstLine="1492"/>
        <w:spacing w:after="0" w:line="288" w:lineRule="auto"/>
        <w:tabs>
          <w:tab w:leader="none" w:pos="172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 other than an Excluded Registration.</w:t>
      </w:r>
    </w:p>
    <w:p>
      <w:pPr>
        <w:spacing w:after="0" w:line="61" w:lineRule="exact"/>
        <w:rPr>
          <w:rFonts w:ascii="Arial" w:cs="Arial" w:eastAsia="Arial" w:hAnsi="Arial"/>
          <w:sz w:val="16"/>
          <w:szCs w:val="16"/>
          <w:color w:val="auto"/>
        </w:rPr>
      </w:pPr>
    </w:p>
    <w:p>
      <w:pPr>
        <w:ind w:firstLine="1492"/>
        <w:spacing w:after="0" w:line="255" w:lineRule="auto"/>
        <w:tabs>
          <w:tab w:leader="none" w:pos="173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effect, or to take any action to effect, any registration pursuant to </w:t>
      </w:r>
      <w:r>
        <w:rPr>
          <w:rFonts w:ascii="Arial" w:cs="Arial" w:eastAsia="Arial" w:hAnsi="Arial"/>
          <w:sz w:val="18"/>
          <w:szCs w:val="18"/>
          <w:u w:val="single" w:color="auto"/>
          <w:color w:val="auto"/>
        </w:rPr>
        <w:t>Subsection 2.1(a)(i)</w:t>
      </w:r>
      <w:r>
        <w:rPr>
          <w:rFonts w:ascii="Arial" w:cs="Arial" w:eastAsia="Arial" w:hAnsi="Arial"/>
          <w:sz w:val="18"/>
          <w:szCs w:val="18"/>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8"/>
          <w:szCs w:val="18"/>
          <w:u w:val="single" w:color="auto"/>
          <w:color w:val="auto"/>
        </w:rPr>
        <w:t>Subsection 2.1(a)</w:t>
      </w:r>
      <w:r>
        <w:rPr>
          <w:rFonts w:ascii="Arial" w:cs="Arial" w:eastAsia="Arial" w:hAnsi="Arial"/>
          <w:sz w:val="18"/>
          <w:szCs w:val="18"/>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The Company shall not be obligated to effect, or to take any action to effect, any registration pursuant to </w:t>
      </w:r>
      <w:r>
        <w:rPr>
          <w:rFonts w:ascii="Arial" w:cs="Arial" w:eastAsia="Arial" w:hAnsi="Arial"/>
          <w:sz w:val="18"/>
          <w:szCs w:val="18"/>
          <w:u w:val="single" w:color="auto"/>
          <w:color w:val="auto"/>
        </w:rPr>
        <w:t>Subsection 2.1(b)</w:t>
      </w:r>
      <w:r>
        <w:rPr>
          <w:rFonts w:ascii="Arial" w:cs="Arial" w:eastAsia="Arial" w:hAnsi="Arial"/>
          <w:sz w:val="18"/>
          <w:szCs w:val="18"/>
          <w:color w:val="auto"/>
        </w:rPr>
        <w:t>(i) during the period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62" w:name="page263"/>
    <w:bookmarkEnd w:id="26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70" w:lineRule="exact"/>
        <w:rPr>
          <w:sz w:val="20"/>
          <w:szCs w:val="20"/>
          <w:color w:val="auto"/>
        </w:rPr>
      </w:pPr>
    </w:p>
    <w:p>
      <w:pPr>
        <w:ind w:right="40" w:firstLine="1484"/>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87" w:lineRule="auto"/>
        <w:tabs>
          <w:tab w:leader="none" w:pos="172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63" w:name="page264"/>
    <w:bookmarkEnd w:id="2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proportion as shall mutually be agreed to by all such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79" w:lineRule="exact"/>
        <w:rPr>
          <w:sz w:val="20"/>
          <w:szCs w:val="20"/>
          <w:color w:val="auto"/>
        </w:rPr>
      </w:pPr>
    </w:p>
    <w:p>
      <w:pPr>
        <w:ind w:firstLine="1492"/>
        <w:spacing w:after="0" w:line="285" w:lineRule="auto"/>
        <w:tabs>
          <w:tab w:leader="none" w:pos="173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60" w:lineRule="exact"/>
        <w:rPr>
          <w:rFonts w:ascii="Arial" w:cs="Arial" w:eastAsia="Arial" w:hAnsi="Arial"/>
          <w:sz w:val="16"/>
          <w:szCs w:val="16"/>
          <w:color w:val="auto"/>
        </w:rPr>
      </w:pPr>
    </w:p>
    <w:p>
      <w:pPr>
        <w:ind w:right="440" w:firstLine="1492"/>
        <w:spacing w:after="0" w:line="264" w:lineRule="auto"/>
        <w:tabs>
          <w:tab w:leader="none" w:pos="17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4" w:name="page265"/>
    <w:bookmarkEnd w:id="264"/>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80" w:firstLine="1492"/>
        <w:spacing w:after="0" w:line="271" w:lineRule="auto"/>
        <w:tabs>
          <w:tab w:leader="none" w:pos="172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70" w:lineRule="exact"/>
        <w:rPr>
          <w:rFonts w:ascii="Arial" w:cs="Arial" w:eastAsia="Arial" w:hAnsi="Arial"/>
          <w:sz w:val="17"/>
          <w:szCs w:val="17"/>
          <w:color w:val="auto"/>
        </w:rPr>
      </w:pPr>
    </w:p>
    <w:p>
      <w:pPr>
        <w:ind w:right="100" w:firstLine="1492"/>
        <w:spacing w:after="0" w:line="264" w:lineRule="auto"/>
        <w:tabs>
          <w:tab w:leader="none" w:pos="17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73" w:lineRule="exact"/>
        <w:rPr>
          <w:rFonts w:ascii="Arial" w:cs="Arial" w:eastAsia="Arial" w:hAnsi="Arial"/>
          <w:sz w:val="18"/>
          <w:szCs w:val="18"/>
          <w:color w:val="auto"/>
        </w:rPr>
      </w:pPr>
    </w:p>
    <w:p>
      <w:pPr>
        <w:jc w:val="both"/>
        <w:ind w:right="700" w:firstLine="1492"/>
        <w:spacing w:after="0" w:line="342" w:lineRule="auto"/>
        <w:tabs>
          <w:tab w:leader="none" w:pos="172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5" w:lineRule="exact"/>
        <w:rPr>
          <w:rFonts w:ascii="Arial" w:cs="Arial" w:eastAsia="Arial" w:hAnsi="Arial"/>
          <w:sz w:val="16"/>
          <w:szCs w:val="16"/>
          <w:color w:val="auto"/>
        </w:rPr>
      </w:pPr>
    </w:p>
    <w:p>
      <w:pPr>
        <w:ind w:right="140" w:firstLine="1492"/>
        <w:spacing w:after="0" w:line="259" w:lineRule="auto"/>
        <w:tabs>
          <w:tab w:leader="none" w:pos="17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8" w:lineRule="exact"/>
        <w:rPr>
          <w:rFonts w:ascii="Arial" w:cs="Arial" w:eastAsia="Arial" w:hAnsi="Arial"/>
          <w:sz w:val="18"/>
          <w:szCs w:val="18"/>
          <w:color w:val="auto"/>
        </w:rPr>
      </w:pPr>
    </w:p>
    <w:p>
      <w:pPr>
        <w:ind w:right="100" w:firstLine="1492"/>
        <w:spacing w:after="0" w:line="277" w:lineRule="auto"/>
        <w:tabs>
          <w:tab w:leader="none" w:pos="17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jc w:val="both"/>
        <w:ind w:firstLine="1492"/>
        <w:spacing w:after="0" w:line="264" w:lineRule="auto"/>
        <w:tabs>
          <w:tab w:leader="none" w:pos="170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3" w:lineRule="exact"/>
        <w:rPr>
          <w:rFonts w:ascii="Arial" w:cs="Arial" w:eastAsia="Arial" w:hAnsi="Arial"/>
          <w:sz w:val="18"/>
          <w:szCs w:val="18"/>
          <w:color w:val="auto"/>
        </w:rPr>
      </w:pPr>
    </w:p>
    <w:p>
      <w:pPr>
        <w:ind w:right="580" w:firstLine="1492"/>
        <w:spacing w:after="0" w:line="277" w:lineRule="auto"/>
        <w:tabs>
          <w:tab w:leader="none" w:pos="17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65" w:name="page266"/>
    <w:bookmarkEnd w:id="265"/>
    <w:p>
      <w:pPr>
        <w:ind w:right="80" w:firstLine="1492"/>
        <w:spacing w:after="0" w:line="297" w:lineRule="auto"/>
        <w:tabs>
          <w:tab w:leader="none" w:pos="1738"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50"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62" w:lineRule="exact"/>
        <w:rPr>
          <w:rFonts w:ascii="Arial" w:cs="Arial" w:eastAsia="Arial" w:hAnsi="Arial"/>
          <w:sz w:val="18"/>
          <w:szCs w:val="18"/>
          <w:color w:val="auto"/>
        </w:rPr>
      </w:pPr>
    </w:p>
    <w:p>
      <w:pPr>
        <w:ind w:right="100" w:firstLine="1492"/>
        <w:spacing w:after="0" w:line="277" w:lineRule="auto"/>
        <w:tabs>
          <w:tab w:leader="none" w:pos="169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6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73"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right="20" w:firstLine="1484"/>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$40,000,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66" w:name="page267"/>
    <w:bookmarkEnd w:id="266"/>
    <w:p>
      <w:pPr>
        <w:ind w:right="80" w:firstLine="148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70" w:lineRule="auto"/>
        <w:tabs>
          <w:tab w:leader="none" w:pos="172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9" w:lineRule="exact"/>
        <w:rPr>
          <w:rFonts w:ascii="Arial" w:cs="Arial" w:eastAsia="Arial" w:hAnsi="Arial"/>
          <w:sz w:val="17"/>
          <w:szCs w:val="17"/>
          <w:color w:val="auto"/>
        </w:rPr>
      </w:pPr>
    </w:p>
    <w:p>
      <w:pPr>
        <w:ind w:firstLine="1492"/>
        <w:spacing w:after="0" w:line="269" w:lineRule="auto"/>
        <w:tabs>
          <w:tab w:leader="none" w:pos="173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67" w:name="page268"/>
    <w:bookmarkEnd w:id="267"/>
    <w:p>
      <w:pPr>
        <w:ind w:left="-8" w:right="40" w:firstLine="1492"/>
        <w:spacing w:after="0" w:line="269" w:lineRule="auto"/>
        <w:tabs>
          <w:tab w:leader="none" w:pos="1720" w:val="left"/>
        </w:tabs>
        <w:numPr>
          <w:ilvl w:val="1"/>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8" w:right="80" w:firstLine="1492"/>
        <w:spacing w:after="0" w:line="269" w:lineRule="auto"/>
        <w:tabs>
          <w:tab w:leader="none" w:pos="173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w:t>
      </w:r>
    </w:p>
    <w:p>
      <w:pPr>
        <w:spacing w:after="0" w:line="2" w:lineRule="exact"/>
        <w:rPr>
          <w:rFonts w:ascii="Arial" w:cs="Arial" w:eastAsia="Arial" w:hAnsi="Arial"/>
          <w:sz w:val="17"/>
          <w:szCs w:val="17"/>
          <w:color w:val="auto"/>
        </w:rPr>
      </w:pPr>
    </w:p>
    <w:p>
      <w:pPr>
        <w:ind w:left="-8" w:firstLine="8"/>
        <w:spacing w:after="0" w:line="286" w:lineRule="auto"/>
        <w:tabs>
          <w:tab w:leader="none" w:pos="25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268" w:name="page269"/>
    <w:bookmarkEnd w:id="268"/>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Subsection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Subsection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73" w:lineRule="exact"/>
        <w:rPr>
          <w:sz w:val="20"/>
          <w:szCs w:val="20"/>
          <w:color w:val="auto"/>
        </w:rPr>
      </w:pPr>
    </w:p>
    <w:p>
      <w:pPr>
        <w:ind w:right="220" w:firstLine="1492"/>
        <w:spacing w:after="0" w:line="264" w:lineRule="auto"/>
        <w:tabs>
          <w:tab w:leader="none" w:pos="17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in the underwriting agreement approved by the Preferred Majority entered into in connection with the underwritten public offering are in conflict with the foregoing provisions, the provisions in the underwriting agreement shall control.</w:t>
      </w:r>
    </w:p>
    <w:p>
      <w:pPr>
        <w:spacing w:after="0" w:line="73" w:lineRule="exact"/>
        <w:rPr>
          <w:rFonts w:ascii="Arial" w:cs="Arial" w:eastAsia="Arial" w:hAnsi="Arial"/>
          <w:sz w:val="18"/>
          <w:szCs w:val="18"/>
          <w:color w:val="auto"/>
        </w:rPr>
      </w:pPr>
    </w:p>
    <w:p>
      <w:pPr>
        <w:jc w:val="both"/>
        <w:ind w:right="400" w:firstLine="1492"/>
        <w:spacing w:after="0" w:line="264" w:lineRule="auto"/>
        <w:tabs>
          <w:tab w:leader="none" w:pos="170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73"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3" w:lineRule="exact"/>
        <w:rPr>
          <w:sz w:val="20"/>
          <w:szCs w:val="20"/>
          <w:color w:val="auto"/>
        </w:rPr>
      </w:pPr>
    </w:p>
    <w:p>
      <w:pPr>
        <w:ind w:firstLine="1492"/>
        <w:spacing w:after="0" w:line="277" w:lineRule="auto"/>
        <w:tabs>
          <w:tab w:leader="none" w:pos="172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62" w:lineRule="exact"/>
        <w:rPr>
          <w:rFonts w:ascii="Arial" w:cs="Arial" w:eastAsia="Arial" w:hAnsi="Arial"/>
          <w:sz w:val="18"/>
          <w:szCs w:val="18"/>
          <w:color w:val="auto"/>
        </w:rPr>
      </w:pPr>
    </w:p>
    <w:p>
      <w:pPr>
        <w:ind w:firstLine="1492"/>
        <w:spacing w:after="0" w:line="308" w:lineRule="auto"/>
        <w:tabs>
          <w:tab w:leader="none" w:pos="173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38" w:lineRule="exact"/>
        <w:rPr>
          <w:rFonts w:ascii="Arial" w:cs="Arial" w:eastAsia="Arial" w:hAnsi="Arial"/>
          <w:sz w:val="17"/>
          <w:szCs w:val="17"/>
          <w:color w:val="auto"/>
        </w:rPr>
      </w:pPr>
    </w:p>
    <w:p>
      <w:pPr>
        <w:ind w:firstLine="1492"/>
        <w:spacing w:after="0" w:line="285" w:lineRule="auto"/>
        <w:tabs>
          <w:tab w:leader="none" w:pos="172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w:t>
      </w:r>
    </w:p>
    <w:p>
      <w:pPr>
        <w:spacing w:after="0" w:line="2" w:lineRule="exact"/>
        <w:rPr>
          <w:rFonts w:ascii="Arial" w:cs="Arial" w:eastAsia="Arial" w:hAnsi="Arial"/>
          <w:sz w:val="16"/>
          <w:szCs w:val="16"/>
          <w:color w:val="auto"/>
        </w:rPr>
      </w:pPr>
    </w:p>
    <w:p>
      <w:pPr>
        <w:ind w:right="40" w:firstLine="8"/>
        <w:spacing w:after="0" w:line="255" w:lineRule="auto"/>
        <w:tabs>
          <w:tab w:leader="none" w:pos="31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69" w:name="page270"/>
    <w:bookmarkEnd w:id="269"/>
    <w:p>
      <w:pPr>
        <w:ind w:right="20" w:firstLine="14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Preferred Majority, enter into any agreement with any holder or prospective holder of any securities of the Company that (i) would provide to such holder the right to include securities in any registration on other than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70"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effective date of the registration statement relating to the IPO and ending on the date specified by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provided, however, that in no event will the restricted period extend beyond two hundred sixteen (216) days after the effective date of such registration statement) or such longer period approved by the Preferred Majority;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not apply to the sale of any shares to an underwriter pursuant to an underwriting agreement, or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and shall be applicable to the Holders only if all officers, directors and stockholders individually (and with their Affiliates) owning more than one percent (1%) of the Company’s outstanding Common Stock (after giving effect to conversion into Common Stock of all outstanding Preferred Stock) are subject to the same or substantially similar restrictions.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70" w:name="page271"/>
    <w:bookmarkEnd w:id="27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20" w:firstLine="1492"/>
        <w:spacing w:after="0" w:line="276" w:lineRule="auto"/>
        <w:tabs>
          <w:tab w:leader="none" w:pos="172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64" w:lineRule="exact"/>
        <w:rPr>
          <w:rFonts w:ascii="Arial" w:cs="Arial" w:eastAsia="Arial" w:hAnsi="Arial"/>
          <w:sz w:val="17"/>
          <w:szCs w:val="17"/>
          <w:color w:val="auto"/>
        </w:rPr>
      </w:pPr>
    </w:p>
    <w:p>
      <w:pPr>
        <w:ind w:right="100" w:firstLine="1492"/>
        <w:spacing w:after="0" w:line="312" w:lineRule="auto"/>
        <w:tabs>
          <w:tab w:leader="none" w:pos="173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Subsection 2.12</w:t>
      </w:r>
      <w:r>
        <w:rPr>
          <w:rFonts w:ascii="Arial" w:cs="Arial" w:eastAsia="Arial" w:hAnsi="Arial"/>
          <w:sz w:val="16"/>
          <w:szCs w:val="16"/>
          <w:color w:val="auto"/>
        </w:rPr>
        <w:t>) be notated with a legend substantially in the following form:</w:t>
      </w:r>
    </w:p>
    <w:p>
      <w:pPr>
        <w:spacing w:after="0" w:line="39"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57"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62" w:lineRule="exact"/>
        <w:rPr>
          <w:sz w:val="20"/>
          <w:szCs w:val="20"/>
          <w:color w:val="auto"/>
        </w:rPr>
      </w:pPr>
    </w:p>
    <w:p>
      <w:pPr>
        <w:ind w:right="40" w:firstLine="1492"/>
        <w:spacing w:after="0" w:line="270" w:lineRule="auto"/>
        <w:tabs>
          <w:tab w:leader="none" w:pos="172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71" w:name="page272"/>
    <w:bookmarkEnd w:id="271"/>
    <w:p>
      <w:pPr>
        <w:ind w:right="1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2.12(b)</w:t>
      </w:r>
      <w:r>
        <w:rPr>
          <w:rFonts w:ascii="Arial" w:cs="Arial" w:eastAsia="Arial" w:hAnsi="Arial"/>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76"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1740" w:hanging="248"/>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w:t>
      </w:r>
    </w:p>
    <w:p>
      <w:pPr>
        <w:spacing w:after="0" w:line="117" w:lineRule="exact"/>
        <w:rPr>
          <w:rFonts w:ascii="Arial" w:cs="Arial" w:eastAsia="Arial" w:hAnsi="Arial"/>
          <w:sz w:val="18"/>
          <w:szCs w:val="18"/>
          <w:color w:val="auto"/>
        </w:rPr>
      </w:pPr>
    </w:p>
    <w:p>
      <w:pPr>
        <w:ind w:right="320" w:firstLine="1492"/>
        <w:spacing w:after="0" w:line="277" w:lineRule="auto"/>
        <w:tabs>
          <w:tab w:leader="none" w:pos="173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117" w:lineRule="exact"/>
        <w:rPr>
          <w:sz w:val="20"/>
          <w:szCs w:val="20"/>
          <w:color w:val="auto"/>
        </w:rPr>
      </w:pPr>
    </w:p>
    <w:p>
      <w:pPr>
        <w:ind w:left="640" w:hanging="176"/>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Information and Inspection Rights</w:t>
      </w:r>
      <w:r>
        <w:rPr>
          <w:rFonts w:ascii="Arial" w:cs="Arial" w:eastAsia="Arial" w:hAnsi="Arial"/>
          <w:sz w:val="18"/>
          <w:szCs w:val="18"/>
          <w:color w:val="auto"/>
        </w:rPr>
        <w:t>.</w:t>
      </w:r>
    </w:p>
    <w:p>
      <w:pPr>
        <w:spacing w:after="0" w:line="117"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(including a majority of the Preferred Directors) has not reasonably determined that such Major Investor is a Competitor:</w:t>
      </w:r>
    </w:p>
    <w:p>
      <w:pPr>
        <w:spacing w:after="0" w:line="62" w:lineRule="exact"/>
        <w:rPr>
          <w:sz w:val="20"/>
          <w:szCs w:val="20"/>
          <w:color w:val="auto"/>
        </w:rPr>
      </w:pPr>
    </w:p>
    <w:p>
      <w:pPr>
        <w:ind w:right="20" w:firstLine="1492"/>
        <w:spacing w:after="0" w:line="259" w:lineRule="auto"/>
        <w:tabs>
          <w:tab w:leader="none" w:pos="17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with each being prepared in accordance with GAAP, audited and certified by independent public accountants selected by the Board of Directors (including a majority of the Preferred Directors);</w:t>
      </w:r>
    </w:p>
    <w:p>
      <w:pPr>
        <w:spacing w:after="0" w:line="78" w:lineRule="exact"/>
        <w:rPr>
          <w:rFonts w:ascii="Arial" w:cs="Arial" w:eastAsia="Arial" w:hAnsi="Arial"/>
          <w:sz w:val="18"/>
          <w:szCs w:val="18"/>
          <w:color w:val="auto"/>
        </w:rPr>
      </w:pPr>
    </w:p>
    <w:p>
      <w:pPr>
        <w:ind w:right="60" w:firstLine="1492"/>
        <w:spacing w:after="0" w:line="259" w:lineRule="auto"/>
        <w:tabs>
          <w:tab w:leader="none" w:pos="17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72" w:name="page273"/>
    <w:bookmarkEnd w:id="272"/>
    <w:p>
      <w:pPr>
        <w:ind w:right="40" w:firstLine="1492"/>
        <w:spacing w:after="0" w:line="293" w:lineRule="auto"/>
        <w:tabs>
          <w:tab w:leader="none" w:pos="1728"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practicable, but in any event within thirty (30)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56" w:lineRule="exact"/>
        <w:rPr>
          <w:rFonts w:ascii="Arial" w:cs="Arial" w:eastAsia="Arial" w:hAnsi="Arial"/>
          <w:sz w:val="16"/>
          <w:szCs w:val="16"/>
          <w:color w:val="auto"/>
        </w:rPr>
      </w:pPr>
    </w:p>
    <w:p>
      <w:pPr>
        <w:ind w:right="240" w:firstLine="1492"/>
        <w:spacing w:after="0" w:line="312" w:lineRule="auto"/>
        <w:tabs>
          <w:tab w:leader="none" w:pos="173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38" w:lineRule="exact"/>
        <w:rPr>
          <w:rFonts w:ascii="Arial" w:cs="Arial" w:eastAsia="Arial" w:hAnsi="Arial"/>
          <w:sz w:val="16"/>
          <w:szCs w:val="16"/>
          <w:color w:val="auto"/>
        </w:rPr>
      </w:pPr>
    </w:p>
    <w:p>
      <w:pPr>
        <w:ind w:right="260" w:firstLine="1492"/>
        <w:spacing w:after="0" w:line="273" w:lineRule="auto"/>
        <w:tabs>
          <w:tab w:leader="none" w:pos="172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(i) that the Company reasonably determines in good faith to be a trade secret or confidential information (unless covered by an enforceable confidentiality agreement, in a form reasonably acceptable to the Company, it being agreed that the confidentiality provisions of Section 3.4 hereof shall constitute such an enforceable confidentiality agreement with respect to any Major Investor party to this Agreement); or (ii) the disclosure of which would adversely affect the attorney-client privilege between the Company and its counsel.</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submission or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80"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(including a majority of the Preferred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73" w:name="page274"/>
    <w:bookmarkEnd w:id="273"/>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normal business hours of the Company as may be reasonably requested by the Major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a form reasonably acceptable to the Company, it being agreed that the confidentiality provisions of Section 3.5 hereof shall constitute such an enforceable confidentiality agreement with respect to any Major Investor party to this Agreement) or the disclosure of which would adversely affect the attorney-client privilege between the Company and its counsel.</w:t>
      </w:r>
    </w:p>
    <w:p>
      <w:pPr>
        <w:spacing w:after="0" w:line="64" w:lineRule="exact"/>
        <w:rPr>
          <w:sz w:val="20"/>
          <w:szCs w:val="20"/>
          <w:color w:val="auto"/>
        </w:rPr>
      </w:pPr>
    </w:p>
    <w:p>
      <w:pPr>
        <w:ind w:firstLine="1484"/>
        <w:spacing w:after="0" w:line="31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and be of no further force or effect (i) immediately before the consummation of the IPO, or (ii) when the Company first becomes subject to the periodic reporting requirements of Section 12(g) or 15(d) of the Exchange Act, or (iii) upon a Deemed Liquidation Event, as such term is defined in the Company’s Certificate of Incorporation.</w:t>
      </w:r>
    </w:p>
    <w:p>
      <w:pPr>
        <w:spacing w:after="0" w:line="39"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or reasonably appropriate to obtain their services in connection with monitoring its investment in the Company or interpreting, enforcing, or defending a claim under an agreement to which such Investor and the Company are both party;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 xml:space="preserve">; (iii) to any existing or prospective Affiliate, limited partner, partner, member, stockholder, or wholly owned subsidiary of such Investor in the ordinary course of business, provided that such Investor informs such Person that such information is confidential and directs such Person to maintain the confidentiality of such information and such Person is bound by confidentiality obligations with respect to any confidential information of the Company to the same degree as such Investor hereunder;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shall supersede any confidentiality agreement executed by Aisling, Atlas, Brace, Clarus, Cormorant, Eventide, Leerink, Morningside, Surveyor or SV or any of their respective Affiliates and the Company. The Company acknowledges that each of Aisling, Atlas, Brace, Clarus, Cormorant, Eventide, Leerink, Morningside, Surveyor and SV and their respective representatives and Affiliates (the “Investor Parties”) are or may be in the business of venture capital investing and, therefore, review business plans and other materials containing proprietary information of many enterprises, including enterprises which may have products or services which compete directly or indirectly with those of the Company and that have and may provide to the Investor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74" w:name="page275"/>
    <w:bookmarkEnd w:id="274"/>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ideas, plans or other information which is similar to that embodied in the confidential information of the Company and nothing in this Agreement shall preclude or in any way restrict the Investor Parties from investing in any particular enterprise (including but not limited to participating fully as a member of the board of directors in such enterprise) whether or not such enterprise has products or services which compete with those of the Company. The Company acknowledges that some knowledge may be gained by the Investor Parties from reviewing the confidential information of the Company that cannot be separated from any of the Investors Parties’ overall knowledge and, provided that the Investor Parties do not disclose any confidential information of the Company to a third party in violation of this Agreement, including any companies in which any of the Investor Parties invests, such general industry knowledge shall be permitted to be used in the ordinary course of business of each of the Investor Parties.</w:t>
      </w:r>
    </w:p>
    <w:p>
      <w:pPr>
        <w:spacing w:after="0" w:line="70" w:lineRule="exact"/>
        <w:rPr>
          <w:sz w:val="20"/>
          <w:szCs w:val="20"/>
          <w:color w:val="auto"/>
        </w:rPr>
      </w:pPr>
    </w:p>
    <w:p>
      <w:pPr>
        <w:ind w:left="640" w:hanging="17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or FOIA Party, unless such party’s purchase of New Securities is otherwise consented to by the Board of Directors, and (y) agrees to enter into this Agreement and each of the Voting Agreement and Right of First Refusal and Co-Sale Agreement of even date herewith among the Company, the Investors and the other parties named therein,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or FOIA Party to whom the foregoing right of first offer is apportioned shall not be entitled to any rights as a Major Investor or Investor, as applicable,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but the Investor that so apportioned the right of first offer shall retain all rights hereunder to which it would otherwise be entitled in accordance with the terms hereof).</w:t>
      </w:r>
    </w:p>
    <w:p>
      <w:pPr>
        <w:spacing w:after="0" w:line="57" w:lineRule="exact"/>
        <w:rPr>
          <w:sz w:val="20"/>
          <w:szCs w:val="20"/>
          <w:color w:val="auto"/>
        </w:rPr>
      </w:pPr>
    </w:p>
    <w:p>
      <w:pPr>
        <w:ind w:right="380" w:firstLine="1492"/>
        <w:spacing w:after="0" w:line="347" w:lineRule="auto"/>
        <w:tabs>
          <w:tab w:leader="none" w:pos="172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 w:lineRule="exact"/>
        <w:rPr>
          <w:rFonts w:ascii="Arial" w:cs="Arial" w:eastAsia="Arial" w:hAnsi="Arial"/>
          <w:sz w:val="16"/>
          <w:szCs w:val="16"/>
          <w:color w:val="auto"/>
        </w:rPr>
      </w:pPr>
    </w:p>
    <w:p>
      <w:pPr>
        <w:ind w:firstLine="1492"/>
        <w:spacing w:after="0" w:line="285" w:lineRule="auto"/>
        <w:tabs>
          <w:tab w:leader="none" w:pos="173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Preferred Stock on an as converted to Common Stock basis then held by such Major Investor bears to the total Preferred Stock on an as converted to Common Stock basis held by all Major Investors.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day period commencing after the Company has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75" w:name="page276"/>
    <w:bookmarkEnd w:id="27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Preferred Stock on an as-converted to Common Stock basis issued and held, then held, by such Fully Exercising Investor bears to the Preferred Stock on an as-converted to Common Stock basis issued and held, by all Fully Exercising Investors who wish to purchase such unsubscribed shares. The closing of any sale pursuant to this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shall occur within the later of ninety (90) days of the date that the Offer Notice is given and the date of initial sale of New Securities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w:t>
      </w:r>
    </w:p>
    <w:p>
      <w:pPr>
        <w:spacing w:after="0" w:line="70" w:lineRule="exact"/>
        <w:rPr>
          <w:sz w:val="20"/>
          <w:szCs w:val="20"/>
          <w:color w:val="auto"/>
        </w:rPr>
      </w:pPr>
    </w:p>
    <w:p>
      <w:pPr>
        <w:ind w:right="40" w:firstLine="1492"/>
        <w:spacing w:after="0" w:line="273" w:lineRule="auto"/>
        <w:tabs>
          <w:tab w:leader="none" w:pos="172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360" w:firstLine="1492"/>
        <w:spacing w:after="0" w:line="264" w:lineRule="auto"/>
        <w:tabs>
          <w:tab w:leader="none" w:pos="173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Certificate of Incorporation); (ii) shares of Common Stock issued in the IPO; and (iii) the issuance of shares of Series B Preferred Stock pursuant to the Purchase Agreement.</w:t>
      </w:r>
    </w:p>
    <w:p>
      <w:pPr>
        <w:spacing w:after="0" w:line="73" w:lineRule="exact"/>
        <w:rPr>
          <w:rFonts w:ascii="Arial" w:cs="Arial" w:eastAsia="Arial" w:hAnsi="Arial"/>
          <w:sz w:val="18"/>
          <w:szCs w:val="18"/>
          <w:color w:val="auto"/>
        </w:rPr>
      </w:pPr>
    </w:p>
    <w:p>
      <w:pPr>
        <w:ind w:firstLine="1492"/>
        <w:spacing w:after="0" w:line="255" w:lineRule="auto"/>
        <w:tabs>
          <w:tab w:leader="none" w:pos="17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any provision hereof to the contrary, in lieu of complying with the provisions of this Subsection 4.1,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Subsection 4.1(b) before giving effect to the issuance of such New Securities. The closing of such sale shall occur within sixty (60) days of the date notice is given to the Major Investors.</w:t>
      </w:r>
    </w:p>
    <w:p>
      <w:pPr>
        <w:spacing w:after="0" w:line="8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a Qualified IPO, as such term is defined in the Company’s Certificate of Incorporation, or (ii) upon a Deemed Liquidation Event, as such term is defined in the Company’s Certificate of Incorporation, whichever event occurs first.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4" w:right="379" w:bottom="1440" w:gutter="0" w:footer="0" w:header="0"/>
        </w:sectPr>
      </w:pPr>
    </w:p>
    <w:bookmarkStart w:id="276" w:name="page277"/>
    <w:bookmarkEnd w:id="276"/>
    <w:p>
      <w:pPr>
        <w:ind w:left="640" w:hanging="176"/>
        <w:spacing w:after="0"/>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Covenants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shall use its commercially reasonable efforts to maintain Directors and Officers liability insurance from financially sound and reputable insurers in an amount and on terms and conditions satisfactory to the Board of Directors, including a majority of the Preferred Directors, and will use commercially reasonable efforts to cause such insurance policies to be maintained until such time as the Board of Directors, including a majority of the Preferred Directors, determines that such insurance should be discontinued. The policy shall not be cancelable by the Company without prior approval by the Board of Directors including a majority of the Preferred Directors. Notwithstanding any other provision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to the contrary, for so long as any Preferred Director is serving on the Board of Directors, the Company shall not cease to maintain a Directors and Officers liability insurance policy in an amount of at least two million dollars ($2.0 million) unless approved by such Preferred Director, and the Company shall annually, within one hundred twenty (120) days after the end of each fiscal year of the Company, deliver to each Preferred Director a certification that such a Directors and Officers liability insurance policy remains in effect.</w:t>
      </w:r>
    </w:p>
    <w:p>
      <w:pPr>
        <w:spacing w:after="0" w:line="74" w:lineRule="exact"/>
        <w:rPr>
          <w:sz w:val="20"/>
          <w:szCs w:val="20"/>
          <w:color w:val="auto"/>
        </w:rPr>
      </w:pPr>
    </w:p>
    <w:p>
      <w:pPr>
        <w:ind w:firstLine="1484"/>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(including a majority of the Preferred Directors), after the date hereof, or, otherwise, substantially in the form provided to counsel for the Investors before the date hereof as the Company’s standard form agreement. In addition, the Company shall not amend, modify, terminate, waive, or otherwise alter, in whole or in part, any of the above-referenced agreements or any restricted stock agreement between the Company and any employee, without the consent of a majority of the Preferred Directors.</w:t>
      </w:r>
    </w:p>
    <w:p>
      <w:pPr>
        <w:spacing w:after="0" w:line="70"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of Directors, including a majority of the Preferred Directors, any employees or consultants of the Company who purchases, receives options to purchase, or receives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or in equal quarterly installments over the following twelve (12) quarters, (ii) a market stand-off provision substantially similar to that in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(iii) provisions requiring such employee or consultant to enter into each of the Voting Agreement pursuant to Section 7.1(b) thereof and Right of First Refusal and Co-Sale Agreement pursuant to Section 6.17 thereof, in each case as applicable to such employee or consultant. In addition, unless otherwise approved by the Board of Directors, including a majority of the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70" w:lineRule="exact"/>
        <w:rPr>
          <w:sz w:val="20"/>
          <w:szCs w:val="20"/>
          <w:color w:val="auto"/>
        </w:rPr>
      </w:pPr>
    </w:p>
    <w:p>
      <w:pPr>
        <w:ind w:right="340" w:firstLine="1484"/>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Board Matters</w:t>
      </w:r>
      <w:r>
        <w:rPr>
          <w:rFonts w:ascii="Arial" w:cs="Arial" w:eastAsia="Arial" w:hAnsi="Arial"/>
          <w:sz w:val="18"/>
          <w:szCs w:val="18"/>
          <w:color w:val="auto"/>
        </w:rPr>
        <w:t>. Unless otherwise determined the Board of Directors, including a majority of the Preferred Directors, the Board of Directors shall meet at least quarterly in accordance with an agreed-upon schedule. The Company shall reimburse the nonemployee directors for all reasonable out-of-pocket travel (consistent with the Company’s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77" w:name="page278"/>
    <w:bookmarkEnd w:id="27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travel policy) and other expenses incurred in connection with the performance of their duties as directors and attending meetings of the Board of Directors and committees thereof and attending events on behalf of the Company. Each of the Preferred Directors shall have the right to sit on any audit committee or compensation committee of the Board of Directors or any other committee with authority to act on behalf of the Company without specific approval from the Board of Directors. As of the date hereof, Bruce Booth shall be the Chairman of the Board of Directors.</w:t>
      </w:r>
    </w:p>
    <w:p>
      <w:pPr>
        <w:spacing w:after="0" w:line="63" w:lineRule="exact"/>
        <w:rPr>
          <w:sz w:val="20"/>
          <w:szCs w:val="20"/>
          <w:color w:val="auto"/>
        </w:rPr>
      </w:pPr>
    </w:p>
    <w:p>
      <w:pPr>
        <w:ind w:right="120" w:firstLine="1484"/>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80"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the reasonable fees and disbursements, not to exceed $25,000, of one counsel for the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57" w:lineRule="exact"/>
        <w:rPr>
          <w:sz w:val="20"/>
          <w:szCs w:val="20"/>
          <w:color w:val="auto"/>
        </w:rPr>
      </w:pPr>
    </w:p>
    <w:p>
      <w:pPr>
        <w:ind w:right="340" w:firstLine="1484"/>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Indemnification Matters</w:t>
      </w:r>
      <w:r>
        <w:rPr>
          <w:rFonts w:ascii="Arial" w:cs="Arial" w:eastAsia="Arial" w:hAnsi="Arial"/>
          <w:sz w:val="18"/>
          <w:szCs w:val="18"/>
          <w:color w:val="auto"/>
        </w:rPr>
        <w:t>. The Company hereby acknowledges that one (1) or more of the Preferred Directors (each a “</w:t>
      </w:r>
      <w:r>
        <w:rPr>
          <w:rFonts w:ascii="Arial" w:cs="Arial" w:eastAsia="Arial" w:hAnsi="Arial"/>
          <w:sz w:val="18"/>
          <w:szCs w:val="18"/>
          <w:b w:val="1"/>
          <w:bCs w:val="1"/>
          <w:color w:val="auto"/>
        </w:rPr>
        <w:t>Fund</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w:t>
      </w:r>
      <w:r>
        <w:rPr>
          <w:rFonts w:ascii="Arial" w:cs="Arial" w:eastAsia="Arial" w:hAnsi="Arial"/>
          <w:sz w:val="18"/>
          <w:szCs w:val="18"/>
          <w:color w:val="auto"/>
        </w:rPr>
        <w:t>”) may have certain rights to indemnification, advancement of expenses and/or insurance provided by one or more of the Investors and certain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affiliates (collectively, the “</w:t>
      </w:r>
      <w:r>
        <w:rPr>
          <w:rFonts w:ascii="Arial" w:cs="Arial" w:eastAsia="Arial" w:hAnsi="Arial"/>
          <w:sz w:val="18"/>
          <w:szCs w:val="18"/>
          <w:b w:val="1"/>
          <w:bCs w:val="1"/>
          <w:color w:val="auto"/>
        </w:rPr>
        <w:t>Fund Indemnitors</w:t>
      </w:r>
      <w:r>
        <w:rPr>
          <w:rFonts w:ascii="Arial" w:cs="Arial" w:eastAsia="Arial" w:hAnsi="Arial"/>
          <w:sz w:val="18"/>
          <w:szCs w:val="18"/>
          <w:color w:val="auto"/>
        </w:rPr>
        <w:t>”).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8" w:name="page279"/>
    <w:bookmarkEnd w:id="27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hereby agrees (a)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61"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Subsections 5.5, 5.6, 5.7, 5.8 and 5.9</w:t>
      </w:r>
      <w:r>
        <w:rPr>
          <w:rFonts w:ascii="Arial" w:cs="Arial" w:eastAsia="Arial" w:hAnsi="Arial"/>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79" w:lineRule="exact"/>
        <w:rPr>
          <w:sz w:val="20"/>
          <w:szCs w:val="20"/>
          <w:color w:val="auto"/>
        </w:rPr>
      </w:pPr>
    </w:p>
    <w:p>
      <w:pPr>
        <w:ind w:right="180" w:firstLine="1484"/>
        <w:spacing w:after="0" w:line="28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each of Aisling, Atlas, Brace, Clarus, Cormorant, Eventide, Leerink, Morningside, Surveyor and SV (each a “</w:t>
      </w:r>
      <w:r>
        <w:rPr>
          <w:rFonts w:ascii="Arial" w:cs="Arial" w:eastAsia="Arial" w:hAnsi="Arial"/>
          <w:sz w:val="16"/>
          <w:szCs w:val="16"/>
          <w:b w:val="1"/>
          <w:bCs w:val="1"/>
          <w:color w:val="auto"/>
        </w:rPr>
        <w:t>Fund</w:t>
      </w:r>
      <w:r>
        <w:rPr>
          <w:rFonts w:ascii="Arial" w:cs="Arial" w:eastAsia="Arial" w:hAnsi="Arial"/>
          <w:sz w:val="16"/>
          <w:szCs w:val="16"/>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no Fund shall be liable to the Company for any claim arising out of, or based upon, (i) the investment by such Fund or its Affiliates in any entity competitive with the Company, or (ii) actions taken by any Affiliate, partner, officer or other representative of such Fund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Funds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59" w:lineRule="exact"/>
        <w:rPr>
          <w:sz w:val="20"/>
          <w:szCs w:val="20"/>
          <w:color w:val="auto"/>
        </w:rPr>
      </w:pPr>
    </w:p>
    <w:p>
      <w:pPr>
        <w:ind w:right="140" w:firstLine="1484"/>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So long as there are any Preferred Directors, the Company hereby covenants and agrees with each of the Investors that it shall not, without approval of the Board of Directors, which approval must include the affirmative vote a majority of the Preferred Directors:</w:t>
      </w:r>
    </w:p>
    <w:p>
      <w:pPr>
        <w:spacing w:after="0" w:line="73" w:lineRule="exact"/>
        <w:rPr>
          <w:sz w:val="20"/>
          <w:szCs w:val="20"/>
          <w:color w:val="auto"/>
        </w:rPr>
      </w:pPr>
    </w:p>
    <w:p>
      <w:pPr>
        <w:ind w:right="400" w:firstLine="1492"/>
        <w:spacing w:after="0" w:line="277" w:lineRule="auto"/>
        <w:tabs>
          <w:tab w:leader="none" w:pos="172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make any loan or advance to, or own any stock or other securities of, any subsidiary or other corporation, partnership, unless it is wholly owned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9" w:name="page280"/>
    <w:bookmarkEnd w:id="279"/>
    <w:p>
      <w:pPr>
        <w:ind w:right="600" w:firstLine="1492"/>
        <w:spacing w:after="0" w:line="308" w:lineRule="auto"/>
        <w:tabs>
          <w:tab w:leader="none" w:pos="1738"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loan or advance to any person, including, any employee or director, except advances and similar expenditures in the ordinary course of business or under the terms of an employee stock or option plan approved by the Board of Directors;</w:t>
      </w:r>
    </w:p>
    <w:p>
      <w:pPr>
        <w:spacing w:after="0" w:line="38" w:lineRule="exact"/>
        <w:rPr>
          <w:rFonts w:ascii="Arial" w:cs="Arial" w:eastAsia="Arial" w:hAnsi="Arial"/>
          <w:sz w:val="17"/>
          <w:szCs w:val="17"/>
          <w:color w:val="auto"/>
        </w:rPr>
      </w:pPr>
    </w:p>
    <w:p>
      <w:pPr>
        <w:ind w:left="1740" w:hanging="248"/>
        <w:spacing w:after="0"/>
        <w:tabs>
          <w:tab w:leader="none" w:pos="17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Company or any subsidiary arising in the ordinary course of business;</w:t>
      </w:r>
    </w:p>
    <w:p>
      <w:pPr>
        <w:spacing w:after="0" w:line="140" w:lineRule="exact"/>
        <w:rPr>
          <w:rFonts w:ascii="Arial" w:cs="Arial" w:eastAsia="Arial" w:hAnsi="Arial"/>
          <w:sz w:val="16"/>
          <w:szCs w:val="16"/>
          <w:color w:val="auto"/>
        </w:rPr>
      </w:pPr>
    </w:p>
    <w:p>
      <w:pPr>
        <w:ind w:left="1740" w:hanging="248"/>
        <w:spacing w:after="0"/>
        <w:tabs>
          <w:tab w:leader="none" w:pos="1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117" w:lineRule="exact"/>
        <w:rPr>
          <w:rFonts w:ascii="Arial" w:cs="Arial" w:eastAsia="Arial" w:hAnsi="Arial"/>
          <w:sz w:val="18"/>
          <w:szCs w:val="18"/>
          <w:color w:val="auto"/>
        </w:rPr>
      </w:pPr>
    </w:p>
    <w:p>
      <w:pPr>
        <w:ind w:right="400" w:firstLine="1492"/>
        <w:spacing w:after="0" w:line="277" w:lineRule="auto"/>
        <w:tabs>
          <w:tab w:leader="none" w:pos="172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incur any aggregate indebtedness in excess of $100,000 that is not already included in a Board-approved budget, other than trade credit incurred in the ordinary course of business;</w:t>
      </w:r>
    </w:p>
    <w:p>
      <w:pPr>
        <w:spacing w:after="0" w:line="62" w:lineRule="exact"/>
        <w:rPr>
          <w:rFonts w:ascii="Arial" w:cs="Arial" w:eastAsia="Arial" w:hAnsi="Arial"/>
          <w:sz w:val="18"/>
          <w:szCs w:val="18"/>
          <w:color w:val="auto"/>
        </w:rPr>
      </w:pPr>
    </w:p>
    <w:p>
      <w:pPr>
        <w:jc w:val="both"/>
        <w:ind w:firstLine="1492"/>
        <w:spacing w:after="0" w:line="259" w:lineRule="auto"/>
        <w:tabs>
          <w:tab w:leader="none" w:pos="170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Restated Charter, except for transactions contemplated by this Agreement and the Purchase Agreement;</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hire, terminate, or change the compensation of the executive officers, including approving any option grants or stock awards;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102" w:lineRule="exact"/>
        <w:rPr>
          <w:rFonts w:ascii="Arial" w:cs="Arial" w:eastAsia="Arial" w:hAnsi="Arial"/>
          <w:sz w:val="16"/>
          <w:szCs w:val="16"/>
          <w:color w:val="auto"/>
        </w:rPr>
      </w:pPr>
    </w:p>
    <w:p>
      <w:pPr>
        <w:ind w:right="180" w:firstLine="1492"/>
        <w:spacing w:after="0" w:line="277" w:lineRule="auto"/>
        <w:tabs>
          <w:tab w:leader="none" w:pos="16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assets greater than $100,000; or</w:t>
      </w:r>
    </w:p>
    <w:p>
      <w:pPr>
        <w:spacing w:after="0" w:line="62" w:lineRule="exact"/>
        <w:rPr>
          <w:rFonts w:ascii="Arial" w:cs="Arial" w:eastAsia="Arial" w:hAnsi="Arial"/>
          <w:sz w:val="18"/>
          <w:szCs w:val="18"/>
          <w:color w:val="auto"/>
        </w:rPr>
      </w:pPr>
    </w:p>
    <w:p>
      <w:pPr>
        <w:ind w:right="60" w:firstLine="1492"/>
        <w:spacing w:after="0" w:line="257" w:lineRule="auto"/>
        <w:tabs>
          <w:tab w:leader="none" w:pos="173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permit AvroBio, Inc. (a corporation formed under the laws of Ontario and a wholly-owned subsidiary of the Company, or the “Canadian Subsidiary”) to have any assets, liabilities or operations, unless, at such time and continuing for so long as the Canadian Subsidiary has any assets, liabilities or operations, the board of directors or other governing body of the Canadian Subsidiary shall be composed of the same members as the Board of Directors of the Company at such time (subject to applicable law), and the other covenants set forth in this Section 5.10 shall be applicable to the Canadian Subsidiary to the same extent as they are to the Company.</w:t>
      </w:r>
    </w:p>
    <w:p>
      <w:pPr>
        <w:spacing w:after="0" w:line="80" w:lineRule="exact"/>
        <w:rPr>
          <w:sz w:val="20"/>
          <w:szCs w:val="20"/>
          <w:color w:val="auto"/>
        </w:rPr>
      </w:pPr>
    </w:p>
    <w:p>
      <w:pPr>
        <w:ind w:left="640" w:hanging="176"/>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under this Agreement may be assigned (but only with all related obligations) by a Holder to a transferee of Registrable Securities that (i) is an Affiliate of a Holder; (ii) is a Holder’s Immediate Family Member or trust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0" w:name="page281"/>
    <w:bookmarkEnd w:id="28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benefit of an individual Holder or one or more of such Holder’s Immediate Family Members; or (iii) after such transfer, holds at least 1,500,000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61"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its principles of conflicts of laws.</w:t>
      </w:r>
    </w:p>
    <w:p>
      <w:pPr>
        <w:spacing w:after="0" w:line="73"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8"/>
          <w:szCs w:val="18"/>
          <w:b w:val="1"/>
          <w:bCs w:val="1"/>
          <w:color w:val="auto"/>
        </w:rPr>
        <w:t>.</w:t>
      </w:r>
    </w:p>
    <w:p>
      <w:pPr>
        <w:spacing w:after="0" w:line="79" w:lineRule="exact"/>
        <w:rPr>
          <w:sz w:val="20"/>
          <w:szCs w:val="20"/>
          <w:color w:val="auto"/>
        </w:rPr>
      </w:pPr>
    </w:p>
    <w:p>
      <w:pPr>
        <w:ind w:right="740" w:firstLine="148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62" w:lineRule="exact"/>
        <w:rPr>
          <w:sz w:val="20"/>
          <w:szCs w:val="20"/>
          <w:color w:val="auto"/>
        </w:rPr>
      </w:pPr>
    </w:p>
    <w:p>
      <w:pPr>
        <w:ind w:right="60" w:firstLine="1484"/>
        <w:spacing w:after="0" w:line="27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1" w:name="page282"/>
    <w:bookmarkEnd w:id="281"/>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communications shall be sent to the respective parties at their addresses as set forth on Schedule A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(which shall not constitute notice) shall also be sent to Arthur R. McGivern, Esq., Goodwin Procter LLP, to the following address: 100 Northern Avenue, Boston, MA 02210 and if notice is given to Investors, a copy shall also be given to Brian Lenihan, Choate, Hall &amp; Stewart LLP, Two International Place, Boston, MA 02110 (which shall not constitute notice)and Suzanne P. Hamel and Thomas B. Rosedale, BRL Law Group LLC, 425 Boylston Street, Third Floor, Boston, MA 02116 (which shall not constitute notice).</w:t>
      </w:r>
    </w:p>
    <w:p>
      <w:pPr>
        <w:spacing w:after="0" w:line="57" w:lineRule="exact"/>
        <w:rPr>
          <w:sz w:val="20"/>
          <w:szCs w:val="20"/>
          <w:color w:val="auto"/>
        </w:rPr>
      </w:pPr>
    </w:p>
    <w:p>
      <w:pPr>
        <w:ind w:right="60" w:firstLine="1484"/>
        <w:spacing w:after="0" w:line="27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Preferred Majority;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shall be deemed to be a waiver); and provided further that any provision hereof may be waived by any waiving party on such party’s own behalf, without the consent of any other party; and provided further that the terms of Section 1.20, the first paragraph of this Section 6.6 and the first sentence of the second paragraph of this Section 6.6 may be amended, modified or terminated and the observance of any term of such sections may be waived only with the written consent of the Company and the holders of at least a majority of outstanding Series B Preferred Stock party to this Agreement.</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the foregoing, this Agreement may not be amended or terminated and the observance of any term hereof may not be waived with respect to any Investor without (i)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that if, after giving effect to such waiver of Section 4 with respect to a particular transaction, an Investor purchases securities in such transaction or issuance (such Investor, a “</w:t>
      </w:r>
      <w:r>
        <w:rPr>
          <w:rFonts w:ascii="Arial" w:cs="Arial" w:eastAsia="Arial" w:hAnsi="Arial"/>
          <w:sz w:val="16"/>
          <w:szCs w:val="16"/>
          <w:b w:val="1"/>
          <w:bCs w:val="1"/>
          <w:color w:val="auto"/>
        </w:rPr>
        <w:t>Participating Investor</w:t>
      </w:r>
      <w:r>
        <w:rPr>
          <w:rFonts w:ascii="Arial" w:cs="Arial" w:eastAsia="Arial" w:hAnsi="Arial"/>
          <w:sz w:val="16"/>
          <w:szCs w:val="16"/>
          <w:color w:val="auto"/>
        </w:rPr>
        <w:t xml:space="preserve">”), such waiver of the provisions of Section 4 shall be deemed to apply to each Major Investor only if the Major Investors have been provided the opportunity to purchase a proportional number of the securities in such transaction based on the pro rata purchase right of each Major Investor set forth in Section 4, assuming a transaction size determined based upon the amount purchased by the Participating Investor that invested the largest percentage in such transaction, or (ii) the written consent of holders of at least a majority of the outstanding Series B Preferred Stock, if such amendment, termination or waiver adversely affects the rights of holders of the Series B Preferred Stock in a different and disproportionate manner than the holders of the Series A Preferred Stock or the Series Seed Preferred Stock.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82" w:name="page283"/>
    <w:bookmarkEnd w:id="282"/>
    <w:p>
      <w:pPr>
        <w:ind w:right="6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39" w:lineRule="exact"/>
        <w:rPr>
          <w:sz w:val="20"/>
          <w:szCs w:val="20"/>
          <w:color w:val="auto"/>
        </w:rPr>
      </w:pPr>
    </w:p>
    <w:p>
      <w:pPr>
        <w:jc w:val="both"/>
        <w:ind w:right="60" w:firstLine="1484"/>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73" w:lineRule="exact"/>
        <w:rPr>
          <w:sz w:val="20"/>
          <w:szCs w:val="20"/>
          <w:color w:val="auto"/>
        </w:rPr>
      </w:pPr>
    </w:p>
    <w:p>
      <w:pPr>
        <w:ind w:firstLine="1484"/>
        <w:spacing w:after="0" w:line="29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50" w:lineRule="exact"/>
        <w:rPr>
          <w:sz w:val="20"/>
          <w:szCs w:val="20"/>
          <w:color w:val="auto"/>
        </w:rPr>
      </w:pPr>
    </w:p>
    <w:p>
      <w:pPr>
        <w:jc w:val="both"/>
        <w:ind w:right="140" w:firstLine="1484"/>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including without limitation, the Prior Agreement.</w:t>
      </w:r>
    </w:p>
    <w:p>
      <w:pPr>
        <w:spacing w:after="0" w:line="73" w:lineRule="exact"/>
        <w:rPr>
          <w:sz w:val="20"/>
          <w:szCs w:val="20"/>
          <w:color w:val="auto"/>
        </w:rPr>
      </w:pPr>
    </w:p>
    <w:p>
      <w:pPr>
        <w:ind w:right="20" w:firstLine="1484"/>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 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83" w:name="page284"/>
    <w:bookmarkEnd w:id="28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74" w:lineRule="exact"/>
        <w:rPr>
          <w:sz w:val="20"/>
          <w:szCs w:val="20"/>
          <w:color w:val="auto"/>
        </w:rPr>
      </w:pPr>
    </w:p>
    <w:p>
      <w:pPr>
        <w:ind w:right="140" w:firstLine="1484"/>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MacKay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Geoffrey MacKay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CITADEL MULTI-STRATEGY EQUITIES MASTER</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FUND LTD.</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Citadel Advisors LLC, its portfolio manager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Noah Goldberg</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Cormorant Private Healthcare Fund I, LP</w:t>
      </w:r>
    </w:p>
    <w:p>
      <w:pPr>
        <w:sectPr>
          <w:pgSz w:w="11900" w:h="16838" w:orient="portrait"/>
          <w:cols w:equalWidth="0" w:num="1">
            <w:col w:w="10960"/>
          </w:cols>
          <w:pgMar w:left="700" w:top="274" w:right="239" w:bottom="1440" w:gutter="0" w:footer="0" w:header="0"/>
        </w:sectPr>
      </w:pP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Cormorant Private Healthcare GP, LLC Bihua Chen, Managing Member of the GP</w:t>
      </w:r>
    </w:p>
    <w:p>
      <w:pPr>
        <w:spacing w:after="0" w:line="124" w:lineRule="exact"/>
        <w:rPr>
          <w:sz w:val="20"/>
          <w:szCs w:val="20"/>
          <w:color w:val="auto"/>
        </w:rPr>
      </w:pPr>
    </w:p>
    <w:p>
      <w:pPr>
        <w:sectPr>
          <w:pgSz w:w="11900" w:h="16838" w:orient="portrait"/>
          <w:cols w:equalWidth="0" w:num="2">
            <w:col w:w="6660" w:space="320"/>
            <w:col w:w="3980"/>
          </w:cols>
          <w:pgMar w:left="700" w:top="274" w:right="239" w:bottom="1440" w:gutter="0" w:footer="0" w:header="0"/>
          <w:type w:val="continuous"/>
        </w:sect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215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660" w:space="320"/>
            <w:col w:w="3980"/>
          </w:cols>
          <w:pgMar w:left="700" w:top="274" w:right="239" w:bottom="1440" w:gutter="0" w:footer="0" w:header="0"/>
          <w:type w:val="continuous"/>
        </w:sectPr>
      </w:pPr>
    </w:p>
    <w:p>
      <w:pPr>
        <w:ind w:left="640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Cormorant Private Healthcare GP,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 Managing Member of the GP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Bihua Chen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r>
      <w:tr>
        <w:trPr>
          <w:trHeight w:val="4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CRMA SPV,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Cormorant Asset Management,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 CEO/CIO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Bihua Chen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0</wp:posOffset>
            </wp:positionV>
            <wp:extent cx="25215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AISLING CAPITAL IV,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Wenzel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Wenzel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LEERINK HOLDINGS LLC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Boylan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Jim Boylan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LEERINK SWANN CO-INVESTMENT FUND, LLC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Boylan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Jim Boylan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BRACE PHARMACEUTICALS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Vinzenz Ploerer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Vinzenz Ploerer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MUTUAL FUND SERIES TRUST, ON BEHALF OF</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EVENTIDE HEALTHCARE &amp; LIFE SCIENCES FUND</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Erik Naviloff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Erik Naviloff</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BIOMARIN PHARMACEUTICAL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Brinda Balakrishnan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Brinda Balakrishnan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Group Vice President</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92" w:name="page293"/>
    <w:bookmarkEnd w:id="2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Alexandria Real Estate Equities, Inc., a Maryland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 its managing member</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VP -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For and on behalf of</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Morningside Venture Investments Limited</w:t>
      </w:r>
    </w:p>
    <w:p>
      <w:pPr>
        <w:spacing w:after="0" w:line="224" w:lineRule="exact"/>
        <w:rPr>
          <w:sz w:val="20"/>
          <w:szCs w:val="20"/>
          <w:color w:val="auto"/>
        </w:rPr>
      </w:pPr>
    </w:p>
    <w:p>
      <w:pPr>
        <w:ind w:left="6400"/>
        <w:spacing w:after="0"/>
        <w:tabs>
          <w:tab w:leader="none" w:pos="696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 Kit Bing</w:t>
      </w:r>
      <w:r>
        <w:rPr>
          <w:sz w:val="20"/>
          <w:szCs w:val="20"/>
          <w:color w:val="auto"/>
        </w:rPr>
        <w:tab/>
      </w:r>
      <w:r>
        <w:rPr>
          <w:rFonts w:ascii="Arial" w:cs="Arial" w:eastAsia="Arial" w:hAnsi="Arial"/>
          <w:sz w:val="17"/>
          <w:szCs w:val="17"/>
          <w:color w:val="auto"/>
        </w:rPr>
        <w:t>/s/ Jill Marie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Hon Kit Bing/Jill Marie Franklin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Signatories</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Atlas Venture Associates X, L.P.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Ommer Chohan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SV Life Sciences Fund VI,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SV Life Sciences Fund VI (GP), L.P., its sole General</w:t>
            </w:r>
          </w:p>
        </w:tc>
      </w:tr>
      <w:tr>
        <w:trPr>
          <w:trHeight w:val="230"/>
        </w:trPr>
        <w:tc>
          <w:tcPr>
            <w:tcW w:w="5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its sole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Member</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SV Life Sciences Fund VI Strategic Partners,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SV Life Sciences Fund VI (GP), L.P., its sole General</w:t>
            </w:r>
          </w:p>
        </w:tc>
      </w:tr>
      <w:tr>
        <w:trPr>
          <w:trHeight w:val="230"/>
        </w:trPr>
        <w:tc>
          <w:tcPr>
            <w:tcW w:w="5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its sole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SVLSF VI, LLC, Member</w:t>
            </w:r>
          </w:p>
        </w:tc>
      </w:tr>
    </w:tbl>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296" w:name="page297"/>
    <w:bookmarkEnd w:id="2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ectPr>
          <w:pgSz w:w="11900" w:h="16838" w:orient="portrait"/>
          <w:cols w:equalWidth="0" w:num="1">
            <w:col w:w="10940"/>
          </w:cols>
          <w:pgMar w:left="700" w:top="274" w:right="259" w:bottom="1440" w:gutter="0" w:footer="0" w:header="0"/>
        </w:sectPr>
      </w:pP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LARUS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IFESCIENCES</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w:t>
      </w:r>
      <w:r>
        <w:rPr>
          <w:rFonts w:ascii="Arial" w:cs="Arial" w:eastAsia="Arial" w:hAnsi="Arial"/>
          <w:sz w:val="14"/>
          <w:szCs w:val="14"/>
          <w:color w:val="auto"/>
        </w:rPr>
        <w:t>Y ITS</w:t>
      </w:r>
      <w:r>
        <w:rPr>
          <w:rFonts w:ascii="Arial" w:cs="Arial" w:eastAsia="Arial" w:hAnsi="Arial"/>
          <w:sz w:val="17"/>
          <w:szCs w:val="17"/>
          <w:color w:val="auto"/>
        </w:rPr>
        <w:t xml:space="preserve"> G</w:t>
      </w:r>
      <w:r>
        <w:rPr>
          <w:rFonts w:ascii="Arial" w:cs="Arial" w:eastAsia="Arial" w:hAnsi="Arial"/>
          <w:sz w:val="14"/>
          <w:szCs w:val="14"/>
          <w:color w:val="auto"/>
        </w:rPr>
        <w:t>ENERAL</w:t>
      </w:r>
      <w:r>
        <w:rPr>
          <w:rFonts w:ascii="Arial" w:cs="Arial" w:eastAsia="Arial" w:hAnsi="Arial"/>
          <w:sz w:val="17"/>
          <w:szCs w:val="17"/>
          <w:color w:val="auto"/>
        </w:rPr>
        <w:t xml:space="preserve"> P</w:t>
      </w:r>
      <w:r>
        <w:rPr>
          <w:rFonts w:ascii="Arial" w:cs="Arial" w:eastAsia="Arial" w:hAnsi="Arial"/>
          <w:sz w:val="14"/>
          <w:szCs w:val="14"/>
          <w:color w:val="auto"/>
        </w:rPr>
        <w:t>ARTNER</w:t>
      </w:r>
      <w:r>
        <w:rPr>
          <w:rFonts w:ascii="Arial" w:cs="Arial" w:eastAsia="Arial" w:hAnsi="Arial"/>
          <w:sz w:val="17"/>
          <w:szCs w:val="17"/>
          <w:color w:val="auto"/>
        </w:rPr>
        <w:t>, C</w:t>
      </w:r>
      <w:r>
        <w:rPr>
          <w:rFonts w:ascii="Arial" w:cs="Arial" w:eastAsia="Arial" w:hAnsi="Arial"/>
          <w:sz w:val="14"/>
          <w:szCs w:val="14"/>
          <w:color w:val="auto"/>
        </w:rPr>
        <w:t>LARUS</w:t>
      </w:r>
      <w:r>
        <w:rPr>
          <w:rFonts w:ascii="Arial" w:cs="Arial" w:eastAsia="Arial" w:hAnsi="Arial"/>
          <w:sz w:val="17"/>
          <w:szCs w:val="17"/>
          <w:color w:val="auto"/>
        </w:rPr>
        <w:t xml:space="preserve"> V</w:t>
      </w:r>
      <w:r>
        <w:rPr>
          <w:rFonts w:ascii="Arial" w:cs="Arial" w:eastAsia="Arial" w:hAnsi="Arial"/>
          <w:sz w:val="14"/>
          <w:szCs w:val="14"/>
          <w:color w:val="auto"/>
        </w:rPr>
        <w:t>ENTURES</w:t>
      </w:r>
      <w:r>
        <w:rPr>
          <w:rFonts w:ascii="Arial" w:cs="Arial" w:eastAsia="Arial" w:hAnsi="Arial"/>
          <w:sz w:val="17"/>
          <w:szCs w:val="17"/>
          <w:color w:val="auto"/>
        </w:rPr>
        <w:t xml:space="preserve"> III GP, LP</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w:t>
      </w:r>
      <w:r>
        <w:rPr>
          <w:rFonts w:ascii="Arial" w:cs="Arial" w:eastAsia="Arial" w:hAnsi="Arial"/>
          <w:sz w:val="14"/>
          <w:szCs w:val="14"/>
          <w:color w:val="auto"/>
        </w:rPr>
        <w:t>Y ITS</w:t>
      </w:r>
      <w:r>
        <w:rPr>
          <w:rFonts w:ascii="Arial" w:cs="Arial" w:eastAsia="Arial" w:hAnsi="Arial"/>
          <w:sz w:val="17"/>
          <w:szCs w:val="17"/>
          <w:color w:val="auto"/>
        </w:rPr>
        <w:t xml:space="preserve"> G</w:t>
      </w:r>
      <w:r>
        <w:rPr>
          <w:rFonts w:ascii="Arial" w:cs="Arial" w:eastAsia="Arial" w:hAnsi="Arial"/>
          <w:sz w:val="14"/>
          <w:szCs w:val="14"/>
          <w:color w:val="auto"/>
        </w:rPr>
        <w:t>ENERAL</w:t>
      </w:r>
      <w:r>
        <w:rPr>
          <w:rFonts w:ascii="Arial" w:cs="Arial" w:eastAsia="Arial" w:hAnsi="Arial"/>
          <w:sz w:val="17"/>
          <w:szCs w:val="17"/>
          <w:color w:val="auto"/>
        </w:rPr>
        <w:t xml:space="preserve"> P</w:t>
      </w:r>
      <w:r>
        <w:rPr>
          <w:rFonts w:ascii="Arial" w:cs="Arial" w:eastAsia="Arial" w:hAnsi="Arial"/>
          <w:sz w:val="14"/>
          <w:szCs w:val="14"/>
          <w:color w:val="auto"/>
        </w:rPr>
        <w:t>ARTNER</w:t>
      </w:r>
      <w:r>
        <w:rPr>
          <w:rFonts w:ascii="Arial" w:cs="Arial" w:eastAsia="Arial" w:hAnsi="Arial"/>
          <w:sz w:val="17"/>
          <w:szCs w:val="17"/>
          <w:color w:val="auto"/>
        </w:rPr>
        <w:t>, C</w:t>
      </w:r>
      <w:r>
        <w:rPr>
          <w:rFonts w:ascii="Arial" w:cs="Arial" w:eastAsia="Arial" w:hAnsi="Arial"/>
          <w:sz w:val="14"/>
          <w:szCs w:val="14"/>
          <w:color w:val="auto"/>
        </w:rPr>
        <w:t>LARUS</w:t>
      </w:r>
      <w:r>
        <w:rPr>
          <w:rFonts w:ascii="Arial" w:cs="Arial" w:eastAsia="Arial" w:hAnsi="Arial"/>
          <w:sz w:val="17"/>
          <w:szCs w:val="17"/>
          <w:color w:val="auto"/>
        </w:rPr>
        <w:t xml:space="preserve"> V</w:t>
      </w:r>
      <w:r>
        <w:rPr>
          <w:rFonts w:ascii="Arial" w:cs="Arial" w:eastAsia="Arial" w:hAnsi="Arial"/>
          <w:sz w:val="14"/>
          <w:szCs w:val="14"/>
          <w:color w:val="auto"/>
        </w:rPr>
        <w:t>ENTURES</w:t>
      </w:r>
      <w:r>
        <w:rPr>
          <w:rFonts w:ascii="Arial" w:cs="Arial" w:eastAsia="Arial" w:hAnsi="Arial"/>
          <w:sz w:val="17"/>
          <w:szCs w:val="17"/>
          <w:color w:val="auto"/>
        </w:rPr>
        <w:t xml:space="preserve"> III, LLC</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-10160</wp:posOffset>
            </wp:positionV>
            <wp:extent cx="21812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COTT</w:t>
      </w:r>
      <w:r>
        <w:rPr>
          <w:rFonts w:ascii="Arial" w:cs="Arial" w:eastAsia="Arial" w:hAnsi="Arial"/>
          <w:sz w:val="18"/>
          <w:szCs w:val="18"/>
          <w:color w:val="auto"/>
        </w:rPr>
        <w:t xml:space="preserve"> R</w:t>
      </w:r>
      <w:r>
        <w:rPr>
          <w:rFonts w:ascii="Arial" w:cs="Arial" w:eastAsia="Arial" w:hAnsi="Arial"/>
          <w:sz w:val="15"/>
          <w:szCs w:val="15"/>
          <w:color w:val="auto"/>
        </w:rPr>
        <w:t>EQUADT</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ANAGING</w:t>
      </w:r>
      <w:r>
        <w:rPr>
          <w:rFonts w:ascii="Arial" w:cs="Arial" w:eastAsia="Arial" w:hAnsi="Arial"/>
          <w:sz w:val="18"/>
          <w:szCs w:val="18"/>
          <w:color w:val="auto"/>
        </w:rPr>
        <w:t xml:space="preserve"> D</w:t>
      </w:r>
      <w:r>
        <w:rPr>
          <w:rFonts w:ascii="Arial" w:cs="Arial" w:eastAsia="Arial" w:hAnsi="Arial"/>
          <w:sz w:val="15"/>
          <w:szCs w:val="15"/>
          <w:color w:val="auto"/>
        </w:rPr>
        <w:t>IRECTOR</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type w:val="continuous"/>
        </w:sectPr>
      </w:pPr>
    </w:p>
    <w:bookmarkStart w:id="297" w:name="page298"/>
    <w:bookmarkEnd w:id="297"/>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842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SCHEDULE A</w:t>
            </w:r>
          </w:p>
        </w:tc>
        <w:tc>
          <w:tcPr>
            <w:tcW w:w="162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42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Investors</w:t>
            </w:r>
          </w:p>
        </w:tc>
        <w:tc>
          <w:tcPr>
            <w:tcW w:w="1620" w:type="dxa"/>
            <w:vAlign w:val="bottom"/>
          </w:tcPr>
          <w:p>
            <w:pPr>
              <w:spacing w:after="0"/>
              <w:rPr>
                <w:sz w:val="20"/>
                <w:szCs w:val="20"/>
                <w:color w:val="auto"/>
              </w:rPr>
            </w:pPr>
          </w:p>
        </w:tc>
      </w:tr>
      <w:tr>
        <w:trPr>
          <w:trHeight w:val="452"/>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Name and Address</w:t>
            </w:r>
          </w:p>
        </w:tc>
        <w:tc>
          <w:tcPr>
            <w:tcW w:w="842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Number of Shares Held</w:t>
            </w:r>
          </w:p>
        </w:tc>
      </w:tr>
      <w:tr>
        <w:trPr>
          <w:trHeight w:val="175"/>
        </w:trPr>
        <w:tc>
          <w:tcPr>
            <w:tcW w:w="9740" w:type="dxa"/>
            <w:vAlign w:val="bottom"/>
            <w:gridSpan w:val="2"/>
          </w:tcPr>
          <w:p>
            <w:pPr>
              <w:spacing w:after="0" w:line="176" w:lineRule="exact"/>
              <w:rPr>
                <w:sz w:val="20"/>
                <w:szCs w:val="20"/>
                <w:color w:val="auto"/>
              </w:rPr>
            </w:pPr>
            <w:r>
              <w:rPr>
                <w:rFonts w:ascii="Arial" w:cs="Arial" w:eastAsia="Arial" w:hAnsi="Arial"/>
                <w:sz w:val="18"/>
                <w:szCs w:val="18"/>
                <w:color w:val="auto"/>
              </w:rPr>
              <w:t>Citadel Multi-Strategy Equities Master Fund Ltd.</w:t>
            </w:r>
          </w:p>
        </w:tc>
        <w:tc>
          <w:tcPr>
            <w:tcW w:w="1620" w:type="dxa"/>
            <w:vAlign w:val="bottom"/>
          </w:tcPr>
          <w:p>
            <w:pPr>
              <w:spacing w:after="0"/>
              <w:rPr>
                <w:sz w:val="15"/>
                <w:szCs w:val="15"/>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 Citadel Advisors LLC</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601 Lexington Avenue, New York, New York</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Noah Goldberg, Senior Deputy General Counsel</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CitadelAgreementNotice@citadel.com</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5,610,360</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Cormorant Private Healthcare Fund I,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4,366,543</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Cormorant Global Healthcare Master Fund,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1,005,938</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CRMA SPV,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PO Box 309</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Ugland House</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Grand Cayman</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KY1-1104 Cayman Islands</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Copy to:</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237,879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Aisling Capital IV,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888 Seventh Avenue, 12th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New York, NY 10106</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Drew Schiff and</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Chief Financial Officer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Fax: 212 651 6379, with copy to:</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McDermott Will &amp; Emery LLP</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340 Madison Avenue</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New York, NY 10173-1922</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Todd Finger</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Fax: 212 547 5444</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2,805,179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Mutual Fund Series Trust, on behalf of Eventide Healthcare &amp; Life Sciences Fund</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 Finny Kuruvilla, One International Place,</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Suite 3510, Boston, MA 02110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2,805,179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Brace Pharmaceuticals LLC</w:t>
            </w:r>
          </w:p>
        </w:tc>
        <w:tc>
          <w:tcPr>
            <w:tcW w:w="1620" w:type="dxa"/>
            <w:vAlign w:val="bottom"/>
          </w:tcPr>
          <w:p>
            <w:pPr>
              <w:spacing w:after="0"/>
              <w:rPr>
                <w:sz w:val="24"/>
                <w:szCs w:val="24"/>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155 Gibbs Street, Suite 406, Rockville, MD, 20850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1,402,589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Morningside Venture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Louise Garbarino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Le Prince de Galles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Avenue des Citronniers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ind w:left="200" w:hanging="192"/>
        <w:spacing w:after="0"/>
        <w:tabs>
          <w:tab w:leader="none" w:pos="2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011-377-97-97-47-37</w:t>
      </w:r>
    </w:p>
    <w:p>
      <w:pPr>
        <w:spacing w:after="0" w:line="9" w:lineRule="exact"/>
        <w:rPr>
          <w:rFonts w:ascii="Arial" w:cs="Arial" w:eastAsia="Arial" w:hAnsi="Arial"/>
          <w:sz w:val="18"/>
          <w:szCs w:val="18"/>
          <w:color w:val="auto"/>
        </w:rPr>
      </w:pPr>
    </w:p>
    <w:p>
      <w:pPr>
        <w:ind w:right="8520" w:firstLine="8"/>
        <w:spacing w:after="0" w:line="250" w:lineRule="auto"/>
        <w:tabs>
          <w:tab w:leader="none" w:pos="1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011-377-97-97-47-30 </w:t>
      </w:r>
      <w:r>
        <w:rPr>
          <w:rFonts w:ascii="Arial" w:cs="Arial" w:eastAsia="Arial" w:hAnsi="Arial"/>
          <w:sz w:val="18"/>
          <w:szCs w:val="18"/>
          <w:u w:val="single" w:color="auto"/>
          <w:color w:val="auto"/>
        </w:rPr>
        <w:t>lgarbarino@thc-mgt.mc</w:t>
      </w:r>
      <w:r>
        <w:rPr>
          <w:rFonts w:ascii="Arial" w:cs="Arial" w:eastAsia="Arial" w:hAnsi="Arial"/>
          <w:sz w:val="18"/>
          <w:szCs w:val="18"/>
          <w:color w:val="auto"/>
        </w:rPr>
        <w:t xml:space="preserve"> with copies to: 1)McCarthy Legal Services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Attn: Stephanie O’Brien, Esq.</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color w:val="auto"/>
              </w:rPr>
              <w:t>1188 Centre Street</w:t>
            </w:r>
          </w:p>
        </w:tc>
        <w:tc>
          <w:tcPr>
            <w:tcW w:w="5300" w:type="dxa"/>
            <w:vAlign w:val="bottom"/>
          </w:tcPr>
          <w:p>
            <w:pPr>
              <w:jc w:val="right"/>
              <w:spacing w:after="0"/>
              <w:rPr>
                <w:sz w:val="20"/>
                <w:szCs w:val="20"/>
                <w:color w:val="auto"/>
              </w:rPr>
            </w:pPr>
            <w:r>
              <w:rPr>
                <w:rFonts w:ascii="Arial" w:cs="Arial" w:eastAsia="Arial" w:hAnsi="Arial"/>
                <w:sz w:val="18"/>
                <w:szCs w:val="18"/>
                <w:b w:val="1"/>
                <w:bCs w:val="1"/>
                <w:color w:val="auto"/>
              </w:rPr>
              <w:t>935,059</w:t>
            </w:r>
          </w:p>
        </w:tc>
      </w:tr>
    </w:tbl>
    <w:p>
      <w:pPr>
        <w:sectPr>
          <w:pgSz w:w="11900" w:h="16838" w:orient="portrait"/>
          <w:cols w:equalWidth="0" w:num="1">
            <w:col w:w="11360"/>
          </w:cols>
          <w:pgMar w:left="240" w:top="270" w:right="29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Newton Centre, MA 02459</w:t>
      </w:r>
    </w:p>
    <w:p>
      <w:pPr>
        <w:spacing w:after="0" w:line="23" w:lineRule="exact"/>
        <w:rPr>
          <w:sz w:val="20"/>
          <w:szCs w:val="20"/>
          <w:color w:val="auto"/>
        </w:rPr>
      </w:pPr>
    </w:p>
    <w:p>
      <w:pPr>
        <w:ind w:left="200" w:hanging="192"/>
        <w:spacing w:after="0"/>
        <w:tabs>
          <w:tab w:leader="none" w:pos="2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(617) 244-2800</w:t>
      </w:r>
    </w:p>
    <w:p>
      <w:pPr>
        <w:spacing w:after="0" w:line="9" w:lineRule="exact"/>
        <w:rPr>
          <w:rFonts w:ascii="Arial" w:cs="Arial" w:eastAsia="Arial" w:hAnsi="Arial"/>
          <w:sz w:val="18"/>
          <w:szCs w:val="18"/>
          <w:color w:val="auto"/>
        </w:rPr>
      </w:pPr>
    </w:p>
    <w:p>
      <w:pPr>
        <w:ind w:right="7160" w:firstLine="8"/>
        <w:spacing w:after="0" w:line="323" w:lineRule="auto"/>
        <w:tabs>
          <w:tab w:leader="none" w:pos="19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(617) 244-2889 </w:t>
      </w:r>
      <w:r>
        <w:rPr>
          <w:rFonts w:ascii="Arial" w:cs="Arial" w:eastAsia="Arial" w:hAnsi="Arial"/>
          <w:sz w:val="16"/>
          <w:szCs w:val="16"/>
          <w:u w:val="single" w:color="auto"/>
          <w:color w:val="auto"/>
        </w:rPr>
        <w:t>obrien@morningsidenewton.com</w:t>
      </w:r>
      <w:r>
        <w:rPr>
          <w:rFonts w:ascii="Arial" w:cs="Arial" w:eastAsia="Arial" w:hAnsi="Arial"/>
          <w:sz w:val="16"/>
          <w:szCs w:val="16"/>
          <w:color w:val="auto"/>
        </w:rPr>
        <w:t>, and</w:t>
      </w:r>
    </w:p>
    <w:p>
      <w:pPr>
        <w:spacing w:after="0" w:line="44" w:lineRule="exact"/>
        <w:rPr>
          <w:sz w:val="20"/>
          <w:szCs w:val="20"/>
          <w:color w:val="auto"/>
        </w:rPr>
      </w:pPr>
    </w:p>
    <w:p>
      <w:pPr>
        <w:ind w:right="6860" w:firstLine="8"/>
        <w:spacing w:after="0" w:line="258" w:lineRule="auto"/>
        <w:tabs>
          <w:tab w:leader="none" w:pos="1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Springfield Financial Advisory Limited Attn: Alice Li/Makim Ma</w:t>
      </w:r>
    </w:p>
    <w:p>
      <w:pPr>
        <w:spacing w:after="0" w:line="1" w:lineRule="exact"/>
        <w:rPr>
          <w:rFonts w:ascii="Arial" w:cs="Arial" w:eastAsia="Arial" w:hAnsi="Arial"/>
          <w:sz w:val="18"/>
          <w:szCs w:val="18"/>
          <w:color w:val="auto"/>
        </w:rPr>
      </w:pPr>
    </w:p>
    <w:p>
      <w:pPr>
        <w:ind w:right="7740"/>
        <w:spacing w:after="0" w:line="265" w:lineRule="auto"/>
        <w:rPr>
          <w:rFonts w:ascii="Arial" w:cs="Arial" w:eastAsia="Arial" w:hAnsi="Arial"/>
          <w:sz w:val="18"/>
          <w:szCs w:val="18"/>
          <w:color w:val="auto"/>
        </w:rPr>
      </w:pPr>
      <w:r>
        <w:rPr>
          <w:rFonts w:ascii="Arial" w:cs="Arial" w:eastAsia="Arial" w:hAnsi="Arial"/>
          <w:sz w:val="17"/>
          <w:szCs w:val="17"/>
          <w:color w:val="auto"/>
        </w:rPr>
        <w:t>22nd Floor Hang Lung Centre 2-20 Paterson Street Causeway Bay, Hong Kong T: 011-852-2576-6800</w:t>
      </w:r>
    </w:p>
    <w:p>
      <w:pPr>
        <w:ind w:right="798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F: 011-852-2881-5741 alice.li@springfld.com </w:t>
      </w:r>
      <w:r>
        <w:rPr>
          <w:rFonts w:ascii="Arial" w:cs="Arial" w:eastAsia="Arial" w:hAnsi="Arial"/>
          <w:sz w:val="17"/>
          <w:szCs w:val="17"/>
          <w:u w:val="single" w:color="auto"/>
          <w:color w:val="auto"/>
        </w:rPr>
        <w:t>MakimMa@springfld.com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Leerink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Leerink Swann Co-Investment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General Counsel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Atlas Venture Fund X,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tabs>
          <w:tab w:leader="none" w:pos="900" w:val="left"/>
          <w:tab w:leader="none" w:pos="2920" w:val="left"/>
        </w:tabs>
        <w:rPr>
          <w:sz w:val="20"/>
          <w:szCs w:val="20"/>
          <w:color w:val="auto"/>
        </w:rPr>
      </w:pPr>
      <w:r>
        <w:rPr>
          <w:rFonts w:ascii="Arial" w:cs="Arial" w:eastAsia="Arial" w:hAnsi="Arial"/>
          <w:sz w:val="18"/>
          <w:szCs w:val="18"/>
          <w:color w:val="auto"/>
        </w:rPr>
        <w:t>Attention:</w:t>
        <w:tab/>
        <w:t>General Counsel, E-mail:</w:t>
      </w:r>
      <w:r>
        <w:rPr>
          <w:sz w:val="20"/>
          <w:szCs w:val="20"/>
          <w:color w:val="auto"/>
        </w:rPr>
        <w:tab/>
      </w:r>
      <w:r>
        <w:rPr>
          <w:rFonts w:ascii="Arial" w:cs="Arial" w:eastAsia="Arial" w:hAnsi="Arial"/>
          <w:sz w:val="16"/>
          <w:szCs w:val="16"/>
          <w:u w:val="single" w:color="auto"/>
          <w:color w:val="auto"/>
        </w:rPr>
        <w:t>bruce@atlasventure.com</w:t>
      </w:r>
      <w:r>
        <w:rPr>
          <w:rFonts w:ascii="Arial" w:cs="Arial" w:eastAsia="Arial" w:hAnsi="Arial"/>
          <w:sz w:val="16"/>
          <w:szCs w:val="16"/>
          <w:color w:val="auto"/>
        </w:rPr>
        <w:t>, with a copy to</w:t>
      </w:r>
      <w:r>
        <w:rPr>
          <w:rFonts w:ascii="Arial" w:cs="Arial" w:eastAsia="Arial" w:hAnsi="Arial"/>
          <w:sz w:val="16"/>
          <w:szCs w:val="16"/>
          <w:u w:val="single" w:color="auto"/>
          <w:color w:val="auto"/>
        </w:rPr>
        <w:t xml:space="preserve"> ommer@atlasventure.com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SV Life Sciences Fund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 Washington Street, Suite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Resnick and Denise 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jresnick@svhealthinvestors.com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dmarks@svhealthinvestors.com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SV Life Sciences Fund VI Strategic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 Washington Street, Suite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Resnick and Denise 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jresnick@svhealthinvestors.com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dmarks@svhealthinvestors.com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Main Street, 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Requadt and Rob Liptak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srequadt@clarusfunds.com  rliptak@clarusfunds.com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233,764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233,765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3,740,239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1,808,211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61,908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2,805,179</w:t>
      </w:r>
    </w:p>
    <w:p>
      <w:pPr>
        <w:sectPr>
          <w:pgSz w:w="11900" w:h="16838" w:orient="portrait"/>
          <w:cols w:equalWidth="0" w:num="2">
            <w:col w:w="9920" w:space="720"/>
            <w:col w:w="720"/>
          </w:cols>
          <w:pgMar w:left="240" w:top="274" w:right="29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Alexandria Venture Investments, LLC</w:t>
            </w:r>
          </w:p>
        </w:tc>
        <w:tc>
          <w:tcPr>
            <w:tcW w:w="410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385 E. Colorado Blvd., Suite 299, Pasadena, CA 91101</w:t>
            </w:r>
          </w:p>
        </w:tc>
        <w:tc>
          <w:tcPr>
            <w:tcW w:w="4100" w:type="dxa"/>
            <w:vAlign w:val="bottom"/>
          </w:tcPr>
          <w:p>
            <w:pPr>
              <w:spacing w:after="0"/>
              <w:rPr>
                <w:sz w:val="18"/>
                <w:szCs w:val="18"/>
                <w:color w:val="auto"/>
              </w:rPr>
            </w:pPr>
          </w:p>
        </w:tc>
      </w:tr>
      <w:tr>
        <w:trPr>
          <w:trHeight w:val="244"/>
        </w:trPr>
        <w:tc>
          <w:tcPr>
            <w:tcW w:w="7260" w:type="dxa"/>
            <w:vAlign w:val="bottom"/>
          </w:tcPr>
          <w:p>
            <w:pPr>
              <w:spacing w:after="0"/>
              <w:rPr>
                <w:sz w:val="20"/>
                <w:szCs w:val="20"/>
                <w:color w:val="auto"/>
              </w:rPr>
            </w:pPr>
            <w:r>
              <w:rPr>
                <w:rFonts w:ascii="Arial" w:cs="Arial" w:eastAsia="Arial" w:hAnsi="Arial"/>
                <w:sz w:val="18"/>
                <w:szCs w:val="18"/>
                <w:color w:val="auto"/>
              </w:rPr>
              <w:t>Attention: Aaron Jacobson</w:t>
            </w:r>
          </w:p>
        </w:tc>
        <w:tc>
          <w:tcPr>
            <w:tcW w:w="4100" w:type="dxa"/>
            <w:vAlign w:val="bottom"/>
          </w:tcPr>
          <w:p>
            <w:pPr>
              <w:jc w:val="center"/>
              <w:ind w:left="3190"/>
              <w:spacing w:after="0"/>
              <w:rPr>
                <w:sz w:val="20"/>
                <w:szCs w:val="20"/>
                <w:color w:val="auto"/>
              </w:rPr>
            </w:pPr>
            <w:r>
              <w:rPr>
                <w:rFonts w:ascii="Arial" w:cs="Arial" w:eastAsia="Arial" w:hAnsi="Arial"/>
                <w:sz w:val="18"/>
                <w:szCs w:val="18"/>
                <w:b w:val="1"/>
                <w:bCs w:val="1"/>
                <w:color w:val="auto"/>
                <w:w w:val="89"/>
              </w:rPr>
              <w:t>233,765</w:t>
            </w:r>
          </w:p>
        </w:tc>
      </w:tr>
      <w:tr>
        <w:trPr>
          <w:trHeight w:val="310"/>
        </w:trPr>
        <w:tc>
          <w:tcPr>
            <w:tcW w:w="7260" w:type="dxa"/>
            <w:vAlign w:val="bottom"/>
          </w:tcPr>
          <w:p>
            <w:pPr>
              <w:spacing w:after="0"/>
              <w:rPr>
                <w:sz w:val="20"/>
                <w:szCs w:val="20"/>
                <w:color w:val="auto"/>
              </w:rPr>
            </w:pPr>
            <w:r>
              <w:rPr>
                <w:rFonts w:ascii="Arial" w:cs="Arial" w:eastAsia="Arial" w:hAnsi="Arial"/>
                <w:sz w:val="18"/>
                <w:szCs w:val="18"/>
                <w:color w:val="auto"/>
              </w:rPr>
              <w:t>BioMarin Pharmaceutical Inc.</w:t>
            </w:r>
          </w:p>
        </w:tc>
        <w:tc>
          <w:tcPr>
            <w:tcW w:w="4100" w:type="dxa"/>
            <w:vAlign w:val="bottom"/>
          </w:tcPr>
          <w:p>
            <w:pPr>
              <w:spacing w:after="0"/>
              <w:rPr>
                <w:sz w:val="24"/>
                <w:szCs w:val="24"/>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105 Digital Drive, Novato, CA 94949</w:t>
            </w:r>
          </w:p>
        </w:tc>
        <w:tc>
          <w:tcPr>
            <w:tcW w:w="4100" w:type="dxa"/>
            <w:vAlign w:val="bottom"/>
          </w:tcPr>
          <w:p>
            <w:pPr>
              <w:spacing w:after="0"/>
              <w:rPr>
                <w:sz w:val="18"/>
                <w:szCs w:val="18"/>
                <w:color w:val="auto"/>
              </w:rPr>
            </w:pPr>
          </w:p>
        </w:tc>
      </w:tr>
      <w:tr>
        <w:trPr>
          <w:trHeight w:val="244"/>
        </w:trPr>
        <w:tc>
          <w:tcPr>
            <w:tcW w:w="7260" w:type="dxa"/>
            <w:vAlign w:val="bottom"/>
          </w:tcPr>
          <w:p>
            <w:pPr>
              <w:spacing w:after="0"/>
              <w:rPr>
                <w:sz w:val="20"/>
                <w:szCs w:val="20"/>
                <w:color w:val="auto"/>
              </w:rPr>
            </w:pPr>
            <w:r>
              <w:rPr>
                <w:rFonts w:ascii="Arial" w:cs="Arial" w:eastAsia="Arial" w:hAnsi="Arial"/>
                <w:sz w:val="18"/>
                <w:szCs w:val="18"/>
                <w:color w:val="auto"/>
              </w:rPr>
              <w:t>Attention: General Counsel</w:t>
            </w:r>
          </w:p>
        </w:tc>
        <w:tc>
          <w:tcPr>
            <w:tcW w:w="4100" w:type="dxa"/>
            <w:vAlign w:val="bottom"/>
          </w:tcPr>
          <w:p>
            <w:pPr>
              <w:jc w:val="center"/>
              <w:ind w:left="3190"/>
              <w:spacing w:after="0"/>
              <w:rPr>
                <w:sz w:val="20"/>
                <w:szCs w:val="20"/>
                <w:color w:val="auto"/>
              </w:rPr>
            </w:pPr>
            <w:r>
              <w:rPr>
                <w:rFonts w:ascii="Arial" w:cs="Arial" w:eastAsia="Arial" w:hAnsi="Arial"/>
                <w:sz w:val="18"/>
                <w:szCs w:val="18"/>
                <w:color w:val="auto"/>
                <w:w w:val="89"/>
              </w:rPr>
              <w:t>233,765</w:t>
            </w:r>
          </w:p>
        </w:tc>
      </w:tr>
      <w:tr>
        <w:trPr>
          <w:trHeight w:val="324"/>
        </w:trPr>
        <w:tc>
          <w:tcPr>
            <w:tcW w:w="7260" w:type="dxa"/>
            <w:vAlign w:val="bottom"/>
          </w:tcPr>
          <w:p>
            <w:pPr>
              <w:ind w:left="360"/>
              <w:spacing w:after="0"/>
              <w:rPr>
                <w:sz w:val="20"/>
                <w:szCs w:val="20"/>
                <w:color w:val="auto"/>
              </w:rPr>
            </w:pPr>
            <w:r>
              <w:rPr>
                <w:rFonts w:ascii="Arial" w:cs="Arial" w:eastAsia="Arial" w:hAnsi="Arial"/>
                <w:sz w:val="18"/>
                <w:szCs w:val="18"/>
                <w:color w:val="auto"/>
              </w:rPr>
              <w:t>TOTAL:</w:t>
            </w:r>
          </w:p>
        </w:tc>
        <w:tc>
          <w:tcPr>
            <w:tcW w:w="4100" w:type="dxa"/>
            <w:vAlign w:val="bottom"/>
          </w:tcPr>
          <w:p>
            <w:pPr>
              <w:jc w:val="center"/>
              <w:ind w:left="3190"/>
              <w:spacing w:after="0"/>
              <w:rPr>
                <w:sz w:val="20"/>
                <w:szCs w:val="20"/>
                <w:color w:val="auto"/>
              </w:rPr>
            </w:pPr>
            <w:r>
              <w:rPr>
                <w:rFonts w:ascii="Arial" w:cs="Arial" w:eastAsia="Arial" w:hAnsi="Arial"/>
                <w:sz w:val="18"/>
                <w:szCs w:val="18"/>
                <w:color w:val="auto"/>
                <w:w w:val="90"/>
              </w:rPr>
              <w:t>28,519,322</w:t>
            </w:r>
          </w:p>
        </w:tc>
      </w:tr>
    </w:tbl>
    <w:p>
      <w:pPr>
        <w:jc w:val="center"/>
        <w:ind w:left="3190"/>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0" w:name="page301"/>
    <w:bookmarkEnd w:id="300"/>
    <w:p>
      <w:pPr>
        <w:ind w:left="105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AVROBIO,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A Preferred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$0.7949 per Share, subject to adjustment as provided herein</w:t>
      </w: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June 23, 2017</w:t>
            </w: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June 22, 2027</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84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320" w:type="dxa"/>
            <w:vAlign w:val="bottom"/>
            <w:gridSpan w:val="5"/>
          </w:tcPr>
          <w:p>
            <w:pPr>
              <w:spacing w:after="0" w:line="194" w:lineRule="exact"/>
              <w:rPr>
                <w:sz w:val="20"/>
                <w:szCs w:val="20"/>
                <w:color w:val="auto"/>
              </w:rPr>
            </w:pPr>
            <w:r>
              <w:rPr>
                <w:rFonts w:ascii="Arial" w:cs="Arial" w:eastAsia="Arial" w:hAnsi="Arial"/>
                <w:sz w:val="18"/>
                <w:szCs w:val="18"/>
                <w:color w:val="auto"/>
                <w:w w:val="91"/>
              </w:rPr>
              <w:t>This Warrant to Purchase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 even date</w:t>
            </w:r>
          </w:p>
        </w:tc>
      </w:tr>
      <w:tr>
        <w:trPr>
          <w:trHeight w:val="20"/>
        </w:trPr>
        <w:tc>
          <w:tcPr>
            <w:tcW w:w="18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40" w:type="dxa"/>
            <w:vAlign w:val="bottom"/>
          </w:tcPr>
          <w:p>
            <w:pPr>
              <w:spacing w:after="0"/>
              <w:rPr>
                <w:sz w:val="17"/>
                <w:szCs w:val="17"/>
                <w:color w:val="auto"/>
              </w:rPr>
            </w:pPr>
          </w:p>
        </w:tc>
        <w:tc>
          <w:tcPr>
            <w:tcW w:w="9320" w:type="dxa"/>
            <w:vAlign w:val="bottom"/>
            <w:gridSpan w:val="5"/>
          </w:tcPr>
          <w:p>
            <w:pPr>
              <w:spacing w:after="0" w:line="196" w:lineRule="exact"/>
              <w:rPr>
                <w:sz w:val="20"/>
                <w:szCs w:val="20"/>
                <w:color w:val="auto"/>
              </w:rPr>
            </w:pPr>
            <w:r>
              <w:rPr>
                <w:rFonts w:ascii="Arial" w:cs="Arial" w:eastAsia="Arial" w:hAnsi="Arial"/>
                <w:sz w:val="18"/>
                <w:szCs w:val="18"/>
                <w:color w:val="auto"/>
                <w:w w:val="91"/>
              </w:rPr>
              <w:t>herewith between Silicon Valley Bank and the Company (as amended and/or modified and in effect from time to time, the “</w:t>
            </w:r>
            <w:r>
              <w:rPr>
                <w:rFonts w:ascii="Arial" w:cs="Arial" w:eastAsia="Arial" w:hAnsi="Arial"/>
                <w:sz w:val="18"/>
                <w:szCs w:val="18"/>
                <w:b w:val="1"/>
                <w:bCs w:val="1"/>
                <w:color w:val="auto"/>
                <w:w w:val="91"/>
              </w:rPr>
              <w:t>Loan</w:t>
            </w:r>
          </w:p>
        </w:tc>
      </w:tr>
      <w:tr>
        <w:trPr>
          <w:trHeight w:val="196"/>
        </w:trPr>
        <w:tc>
          <w:tcPr>
            <w:tcW w:w="1840" w:type="dxa"/>
            <w:vAlign w:val="bottom"/>
          </w:tcPr>
          <w:p>
            <w:pPr>
              <w:spacing w:after="0"/>
              <w:rPr>
                <w:sz w:val="17"/>
                <w:szCs w:val="17"/>
                <w:color w:val="auto"/>
              </w:rPr>
            </w:pPr>
          </w:p>
        </w:tc>
        <w:tc>
          <w:tcPr>
            <w:tcW w:w="89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400" w:type="dxa"/>
            <w:vAlign w:val="bottom"/>
            <w:tcBorders>
              <w:top w:val="single" w:sz="8" w:color="auto"/>
            </w:tcBorders>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such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as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8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the Initial Shares, plus the Additional Shares, if any (collectively, and as may be adjusted from time to time in accordance with the provisions of this Warrant,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58" w:lineRule="exact"/>
        <w:rPr>
          <w:sz w:val="20"/>
          <w:szCs w:val="20"/>
          <w:color w:val="auto"/>
        </w:rPr>
      </w:pPr>
    </w:p>
    <w:p>
      <w:pPr>
        <w:ind w:right="80" w:firstLine="921"/>
        <w:spacing w:after="0" w:line="282" w:lineRule="auto"/>
        <w:tabs>
          <w:tab w:leader="none" w:pos="1168"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Initial Shares</w:t>
      </w:r>
      <w:r>
        <w:rPr>
          <w:rFonts w:ascii="Arial" w:cs="Arial" w:eastAsia="Arial" w:hAnsi="Arial"/>
          <w:sz w:val="18"/>
          <w:szCs w:val="18"/>
          <w:color w:val="auto"/>
        </w:rPr>
        <w:t>. As used herein, “</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28,305 shares of the Class, subject to adjustment from time to time in accordance with the provisions of this Warrant.</w:t>
      </w:r>
    </w:p>
    <w:p>
      <w:pPr>
        <w:spacing w:after="0" w:line="57" w:lineRule="exact"/>
        <w:rPr>
          <w:rFonts w:ascii="Arial" w:cs="Arial" w:eastAsia="Arial" w:hAnsi="Arial"/>
          <w:sz w:val="18"/>
          <w:szCs w:val="18"/>
          <w:color w:val="auto"/>
        </w:rPr>
      </w:pPr>
    </w:p>
    <w:p>
      <w:pPr>
        <w:ind w:right="340" w:firstLine="921"/>
        <w:spacing w:after="0" w:line="276" w:lineRule="auto"/>
        <w:tabs>
          <w:tab w:leader="none" w:pos="116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Upon the making of each Term Loan Advance (as defined in the Loan Agreement) to the Company, this Warrant automatically shall become exercisable for such number of additional shares of the Class as shall equal (a) the Additional Shares Pool, multiplied by (b) a fraction, the numerator of which shall equal the amount of such Term Loan Advance and the denominator of which shall equal $10,000,000, subject to adjustment thereafter from time to time in accordance with the provisions of this Warrant. All shares, if any, for which this Warrant becomes exercisable pursuant to this Paragraph A(2) are referred to herein cumulatively as the “</w:t>
      </w:r>
      <w:r>
        <w:rPr>
          <w:rFonts w:ascii="Arial" w:cs="Arial" w:eastAsia="Arial" w:hAnsi="Arial"/>
          <w:sz w:val="17"/>
          <w:szCs w:val="17"/>
          <w:b w:val="1"/>
          <w:bCs w:val="1"/>
          <w:u w:val="single" w:color="auto"/>
          <w:color w:val="auto"/>
        </w:rPr>
        <w:t>Additional Shares</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301" w:name="page302"/>
    <w:bookmarkEnd w:id="301"/>
    <w:p>
      <w:pPr>
        <w:jc w:val="both"/>
        <w:ind w:right="40" w:firstLine="921"/>
        <w:spacing w:after="0" w:line="266" w:lineRule="auto"/>
        <w:tabs>
          <w:tab w:leader="none" w:pos="1168"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 Pool</w:t>
      </w:r>
      <w:r>
        <w:rPr>
          <w:rFonts w:ascii="Arial" w:cs="Arial" w:eastAsia="Arial" w:hAnsi="Arial"/>
          <w:sz w:val="18"/>
          <w:szCs w:val="18"/>
          <w:color w:val="auto"/>
        </w:rPr>
        <w:t>. As used herein, “</w:t>
      </w:r>
      <w:r>
        <w:rPr>
          <w:rFonts w:ascii="Arial" w:cs="Arial" w:eastAsia="Arial" w:hAnsi="Arial"/>
          <w:sz w:val="18"/>
          <w:szCs w:val="18"/>
          <w:b w:val="1"/>
          <w:bCs w:val="1"/>
          <w:u w:val="single" w:color="auto"/>
          <w:color w:val="auto"/>
        </w:rPr>
        <w:t>Additional Shares Pool</w:t>
      </w:r>
      <w:r>
        <w:rPr>
          <w:rFonts w:ascii="Arial" w:cs="Arial" w:eastAsia="Arial" w:hAnsi="Arial"/>
          <w:sz w:val="18"/>
          <w:szCs w:val="18"/>
          <w:color w:val="auto"/>
        </w:rPr>
        <w:t>” means 160,397 shares of the Class, as such number may be adjusted from time to time in accordance with the provisions of this Warrant (as if the Additional Shares Pool constituted “Shares” hereunder at all times from and after the Issue Date for such purpose).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through 5:00 PM, Eastern time, on the Expiration Date,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above, but otherwise in accordance with the requirements of Section 1.1, Holder may elect to receive Shares equal to the value of this Warrant,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hereof as to which this Warrant is being exercised. Thereupon, the Company shall issue to the Holder such number of fully paid and non-assessable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as are computed using the following formula:</w:t>
      </w:r>
    </w:p>
    <w:p>
      <w:pPr>
        <w:spacing w:after="0" w:line="1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270" w:right="259" w:bottom="1440" w:gutter="0" w:footer="0" w:header="0"/>
        </w:sectPr>
      </w:pP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X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to the Holder;</w:t>
      </w:r>
    </w:p>
    <w:p>
      <w:pPr>
        <w:spacing w:after="0" w:line="154" w:lineRule="exact"/>
        <w:rPr>
          <w:sz w:val="20"/>
          <w:szCs w:val="20"/>
          <w:color w:val="auto"/>
        </w:rPr>
      </w:pPr>
    </w:p>
    <w:p>
      <w:pPr>
        <w:sectPr>
          <w:pgSz w:w="11900" w:h="16838" w:orient="portrait"/>
          <w:cols w:equalWidth="0" w:num="2">
            <w:col w:w="2100" w:space="640"/>
            <w:col w:w="8660"/>
          </w:cols>
          <w:pgMar w:left="240" w:top="270"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Y =</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sectPr>
          <w:pgSz w:w="11900" w:h="16838" w:orient="portrait"/>
          <w:cols w:equalWidth="0" w:num="2">
            <w:col w:w="2100" w:space="640"/>
            <w:col w:w="8660"/>
          </w:cols>
          <w:pgMar w:left="240" w:top="270"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Fair Market Value (as determined pursuant to Section 1.3 below) of one Share; and</w:t>
      </w:r>
    </w:p>
    <w:p>
      <w:pPr>
        <w:spacing w:after="0" w:line="154" w:lineRule="exact"/>
        <w:rPr>
          <w:sz w:val="20"/>
          <w:szCs w:val="20"/>
          <w:color w:val="auto"/>
        </w:rPr>
      </w:pPr>
    </w:p>
    <w:p>
      <w:pPr>
        <w:sectPr>
          <w:pgSz w:w="11900" w:h="16838" w:orient="portrait"/>
          <w:cols w:equalWidth="0" w:num="2">
            <w:col w:w="2100" w:space="640"/>
            <w:col w:w="8660"/>
          </w:cols>
          <w:pgMar w:left="240" w:top="270"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Warrant Price.</w:t>
      </w:r>
    </w:p>
    <w:p>
      <w:pPr>
        <w:spacing w:after="0" w:line="140" w:lineRule="exact"/>
        <w:rPr>
          <w:sz w:val="20"/>
          <w:szCs w:val="20"/>
          <w:color w:val="auto"/>
        </w:rPr>
      </w:pPr>
    </w:p>
    <w:p>
      <w:pPr>
        <w:sectPr>
          <w:pgSz w:w="11900" w:h="16838" w:orient="portrait"/>
          <w:cols w:equalWidth="0" w:num="2">
            <w:col w:w="2100" w:space="640"/>
            <w:col w:w="8660"/>
          </w:cols>
          <w:pgMar w:left="240" w:top="270" w:right="259" w:bottom="1440" w:gutter="0" w:footer="0" w:header="0"/>
          <w:type w:val="continuous"/>
        </w:sectPr>
      </w:pPr>
    </w:p>
    <w:p>
      <w:pPr>
        <w:ind w:right="40" w:firstLine="913"/>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type w:val="continuous"/>
        </w:sectPr>
      </w:pPr>
    </w:p>
    <w:bookmarkStart w:id="302" w:name="page303"/>
    <w:bookmarkEnd w:id="302"/>
    <w:p>
      <w:pPr>
        <w:jc w:val="both"/>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right="180" w:firstLine="921"/>
        <w:spacing w:after="0" w:line="291" w:lineRule="auto"/>
        <w:tabs>
          <w:tab w:leader="none" w:pos="115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56" w:lineRule="exact"/>
        <w:rPr>
          <w:rFonts w:ascii="Arial" w:cs="Arial" w:eastAsia="Arial" w:hAnsi="Arial"/>
          <w:sz w:val="16"/>
          <w:szCs w:val="16"/>
          <w:color w:val="auto"/>
        </w:rPr>
      </w:pPr>
    </w:p>
    <w:p>
      <w:pPr>
        <w:ind w:firstLine="921"/>
        <w:spacing w:after="0" w:line="270" w:lineRule="auto"/>
        <w:tabs>
          <w:tab w:leader="none" w:pos="116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69" w:lineRule="exact"/>
        <w:rPr>
          <w:rFonts w:ascii="Arial" w:cs="Arial" w:eastAsia="Arial" w:hAnsi="Arial"/>
          <w:sz w:val="17"/>
          <w:szCs w:val="17"/>
          <w:color w:val="auto"/>
        </w:rPr>
      </w:pPr>
    </w:p>
    <w:p>
      <w:pPr>
        <w:ind w:right="400" w:firstLine="921"/>
        <w:spacing w:after="0" w:line="279" w:lineRule="auto"/>
        <w:tabs>
          <w:tab w:leader="none" w:pos="115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03" w:name="page304"/>
    <w:bookmarkEnd w:id="303"/>
    <w:p>
      <w:pPr>
        <w:ind w:right="60" w:firstLine="921"/>
        <w:spacing w:after="0" w:line="272" w:lineRule="auto"/>
        <w:tabs>
          <w:tab w:leader="none" w:pos="1168" w:val="left"/>
        </w:tabs>
        <w:numPr>
          <w:ilvl w:val="0"/>
          <w:numId w:val="2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6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Certain Agreements</w:t>
      </w:r>
      <w:r>
        <w:rPr>
          <w:rFonts w:ascii="Arial" w:cs="Arial" w:eastAsia="Arial" w:hAnsi="Arial"/>
          <w:sz w:val="17"/>
          <w:szCs w:val="17"/>
          <w:color w:val="auto"/>
        </w:rPr>
        <w:t>. Following any exercise of this Warrant and solely with respect to the Shares issued thereupon (and the shares of Common Stock, if any, issued upon conversion of such Shares), Holder shall, if the Company so requests in writing, become a party to, by execution and delivery to the Company of a counterpart signature page, joinder agreement, instrument of accession or similar instrument, the Company’s then-effective investor rights agreement, stockholders agreement and/or each other agreement entered into among the Company and the holders of the outstanding shares of the Class, in each case only if (i) all holders of outstanding shares of the Class are then parties thereto, and (ii) such agreement is then by its terms in force and effect. Provided that the conditions described in the foregoing clauses (i) and (ii) are met as to any such agreement at the time of any exercise of this Warrant, Holder shall, effective upon such exercise, automatically become bound by, and the Shares issued upon such exercise (and the shares of Common Stock, if any, issuable upon conversion of such Shares), automatically become subject to, such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04" w:name="page305"/>
    <w:bookmarkEnd w:id="304"/>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the same anti-dilution adjustments, if any, made to the outstanding shares of the Class from time to time in the manner set forth in the Company’s Certificate of Incorporation as if the Shares were issued and outstanding on and as of the date of any such required adjustment.</w:t>
      </w:r>
    </w:p>
    <w:p>
      <w:pPr>
        <w:spacing w:after="0" w:line="7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ind w:right="420" w:firstLine="1492"/>
        <w:spacing w:after="0" w:line="342" w:lineRule="auto"/>
        <w:tabs>
          <w:tab w:leader="none" w:pos="17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05" w:name="page306"/>
    <w:bookmarkEnd w:id="305"/>
    <w:p>
      <w:pPr>
        <w:ind w:right="140" w:firstLine="1492"/>
        <w:spacing w:after="0" w:line="297" w:lineRule="auto"/>
        <w:tabs>
          <w:tab w:leader="none" w:pos="1738"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(c)The Company’s capitalization table attached hereto as Schedule 1 is true and complete, in all material respects, as of the Issue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right="200" w:firstLine="1492"/>
        <w:spacing w:after="0" w:line="277" w:lineRule="auto"/>
        <w:tabs>
          <w:tab w:leader="none" w:pos="172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00" w:firstLine="1492"/>
        <w:spacing w:after="0" w:line="277" w:lineRule="auto"/>
        <w:tabs>
          <w:tab w:leader="none" w:pos="173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20" w:right="80" w:firstLine="421"/>
        <w:spacing w:after="0" w:line="286" w:lineRule="auto"/>
        <w:tabs>
          <w:tab w:leader="none" w:pos="159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57" w:lineRule="exact"/>
        <w:rPr>
          <w:rFonts w:ascii="Arial" w:cs="Arial" w:eastAsia="Arial" w:hAnsi="Arial"/>
          <w:sz w:val="17"/>
          <w:szCs w:val="17"/>
          <w:color w:val="auto"/>
        </w:rPr>
      </w:pPr>
    </w:p>
    <w:p>
      <w:pPr>
        <w:ind w:left="920" w:firstLine="421"/>
        <w:spacing w:after="0" w:line="279" w:lineRule="auto"/>
        <w:tabs>
          <w:tab w:leader="none" w:pos="159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63" w:lineRule="exact"/>
        <w:rPr>
          <w:rFonts w:ascii="Arial" w:cs="Arial" w:eastAsia="Arial" w:hAnsi="Arial"/>
          <w:sz w:val="17"/>
          <w:szCs w:val="17"/>
          <w:color w:val="auto"/>
        </w:rPr>
      </w:pPr>
    </w:p>
    <w:p>
      <w:pPr>
        <w:ind w:left="920" w:right="380" w:firstLine="421"/>
        <w:spacing w:after="0" w:line="277" w:lineRule="auto"/>
        <w:tabs>
          <w:tab w:leader="none" w:pos="15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306" w:name="page307"/>
    <w:bookmarkEnd w:id="306"/>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also provide information requested by Holder that is reasonably necessary to enable Holder to comply with Holder’s accounting or reporting requirements.</w:t>
      </w:r>
    </w:p>
    <w:p>
      <w:pPr>
        <w:spacing w:after="0" w:line="38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3"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5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Holder is an “accredited investor” within the meaning of Regulation D promulgated under the Act.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8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and the securities issuable, directly or indirectly, upon conversion of the Shares, if any, shall be subject to the Market Standoff provisions in Section 2.11 of the Company’s Amended and Restated Investor Rights Agreement, dated as of July 21, 2016, as amended and/or restated and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7" w:name="page308"/>
    <w:bookmarkEnd w:id="307"/>
    <w:p>
      <w:pPr>
        <w:ind w:right="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8"/>
          <w:szCs w:val="18"/>
          <w:u w:val="single" w:color="auto"/>
          <w:color w:val="auto"/>
        </w:rPr>
        <w:t>No Shareholder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shareholder of the Company with respect to the Shares issuable hereunder unless and until the exercise of this Warrant and then only with respect to the Shares issued on such exercise.</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SECTION 5. 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220" w:firstLine="921"/>
        <w:spacing w:after="0" w:line="277" w:lineRule="auto"/>
        <w:tabs>
          <w:tab w:leader="none" w:pos="115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firstLine="921"/>
        <w:spacing w:after="0" w:line="257" w:lineRule="auto"/>
        <w:tabs>
          <w:tab w:leader="none" w:pos="116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8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securities issued upon conversion of any Shares, if any) shall be imprinted with a legend in substantially the following form:</w:t>
      </w:r>
    </w:p>
    <w:p>
      <w:pPr>
        <w:spacing w:after="0" w:line="62"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JUNE __, 2017,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8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08" w:name="page309"/>
    <w:bookmarkEnd w:id="308"/>
    <w:p>
      <w:pPr>
        <w:ind w:right="4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xml:space="preserve">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(or the securities issued upon conversion of the Shares, if any) to any transferee, provided, however, in connection with any such transfer, SVB Financial Group or any subsequent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8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from the Company to the Holder, or vice versa, shall be deemed delivered and effective (i) when given personally, (ii) on the third (3</w:t>
      </w:r>
      <w:r>
        <w:rPr>
          <w:rFonts w:ascii="Arial" w:cs="Arial" w:eastAsia="Arial" w:hAnsi="Arial"/>
          <w:sz w:val="14"/>
          <w:szCs w:val="14"/>
          <w:color w:val="auto"/>
        </w:rPr>
        <w:t>rd</w:t>
      </w:r>
      <w:r>
        <w:rPr>
          <w:rFonts w:ascii="Arial" w:cs="Arial" w:eastAsia="Arial" w:hAnsi="Arial"/>
          <w:sz w:val="17"/>
          <w:szCs w:val="17"/>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derivatives@svb.com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(617) 914-8403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geoff.mackay@avrobio.com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09" w:name="page310"/>
    <w:bookmarkEnd w:id="30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Arthur McGivern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(617) 570-1971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(617) 523-1231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AMcGivern@goodwinlaw.com</w:t>
      </w:r>
    </w:p>
    <w:p>
      <w:pPr>
        <w:spacing w:after="0" w:line="10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Commonwealth of Massachusetts, without giving effect to its principles regarding conflicts of law.</w:t>
      </w:r>
    </w:p>
    <w:p>
      <w:pPr>
        <w:spacing w:after="0" w:line="62"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3" w:right="279" w:bottom="1440" w:gutter="0" w:footer="0" w:header="0"/>
        </w:sectPr>
      </w:pPr>
    </w:p>
    <w:bookmarkStart w:id="310" w:name="page311"/>
    <w:bookmarkEnd w:id="31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Geoffrey MacKay</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Geoffrey MacKay</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(Print)</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CEO, Treasurer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Thomas C. Kelly</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Thomas C. Kelly</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(Print)</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273" w:right="419" w:bottom="1440" w:gutter="0" w:footer="0" w:header="0"/>
        </w:sectPr>
      </w:pPr>
    </w:p>
    <w:bookmarkStart w:id="311" w:name="page312"/>
    <w:bookmarkEnd w:id="31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60"/>
        <w:spacing w:after="0"/>
        <w:tabs>
          <w:tab w:leader="none" w:pos="6060" w:val="left"/>
          <w:tab w:leader="none" w:pos="8820" w:val="left"/>
        </w:tabs>
        <w:rPr>
          <w:sz w:val="20"/>
          <w:szCs w:val="20"/>
          <w:color w:val="auto"/>
        </w:rPr>
      </w:pPr>
      <w:r>
        <w:rPr>
          <w:rFonts w:ascii="Arial" w:cs="Arial" w:eastAsia="Arial" w:hAnsi="Arial"/>
          <w:sz w:val="18"/>
          <w:szCs w:val="18"/>
          <w:color w:val="auto"/>
        </w:rPr>
        <w:t>1. The undersigned Holder hereby exercises its right to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pacing w:after="0" w:line="116" w:lineRule="exact"/>
        <w:rPr>
          <w:sz w:val="20"/>
          <w:szCs w:val="20"/>
          <w:color w:val="auto"/>
        </w:rPr>
      </w:pPr>
    </w:p>
    <w:p>
      <w:pPr>
        <w:ind w:left="900" w:hanging="446"/>
        <w:spacing w:after="0"/>
        <w:tabs>
          <w:tab w:leader="none" w:pos="900" w:val="left"/>
        </w:tabs>
        <w:numPr>
          <w:ilvl w:val="0"/>
          <w:numId w:val="225"/>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5"/>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117" w:lineRule="exact"/>
        <w:rPr>
          <w:sz w:val="20"/>
          <w:szCs w:val="20"/>
          <w:color w:val="auto"/>
        </w:rPr>
      </w:pPr>
    </w:p>
    <w:p>
      <w:pPr>
        <w:ind w:left="1980" w:right="4100" w:hanging="1516"/>
        <w:spacing w:after="0" w:line="637" w:lineRule="auto"/>
        <w:tabs>
          <w:tab w:leader="none" w:pos="64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-387985</wp:posOffset>
            </wp:positionV>
            <wp:extent cx="37731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66040</wp:posOffset>
            </wp:positionV>
            <wp:extent cx="37731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357505</wp:posOffset>
            </wp:positionV>
            <wp:extent cx="37731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right="360" w:firstLine="464"/>
        <w:spacing w:after="0" w:line="277" w:lineRule="auto"/>
        <w:tabs>
          <w:tab w:leader="none" w:pos="6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60"/>
          </w:cols>
          <w:pgMar w:left="240" w:top="274" w:right="299"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3"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2015 STOCK OPTION AND GRANT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 of the plan is the AvroBio, Inc. Amended and Restated 2015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The purpose of the Plan is to encourage and enable the officers, employees, directors, Consultants and other key persons of AvroBio, Inc., a Delaware corporation (including any successor entity,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upon whose judgment, initiative and efforts the Company largely depends for the successful conduct of its business, to acquire a proprietary interest in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or “</w:t>
      </w:r>
      <w:r>
        <w:rPr>
          <w:rFonts w:ascii="Arial" w:cs="Arial" w:eastAsia="Arial" w:hAnsi="Arial"/>
          <w:sz w:val="17"/>
          <w:szCs w:val="17"/>
          <w:i w:val="1"/>
          <w:iCs w:val="1"/>
          <w:color w:val="auto"/>
        </w:rPr>
        <w:t>Awards,</w:t>
      </w:r>
      <w:r>
        <w:rPr>
          <w:rFonts w:ascii="Arial" w:cs="Arial" w:eastAsia="Arial" w:hAnsi="Arial"/>
          <w:sz w:val="17"/>
          <w:szCs w:val="17"/>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or electronic agreement setting forth the terms and provisions applicable to an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Award Agreement may contain terms and conditions in addition to those set forth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of any conflict in the terms of the Plan and the Award Agreement, the terms of the Plan shall govern</w:t>
      </w:r>
      <w:r>
        <w:rPr>
          <w:rFonts w:ascii="Arial" w:cs="Arial" w:eastAsia="Arial" w:hAnsi="Arial"/>
          <w:sz w:val="18"/>
          <w:szCs w:val="18"/>
          <w:b w:val="1"/>
          <w:bCs w:val="1"/>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420"/>
          </w:cols>
          <w:pgMar w:left="240" w:top="121" w:right="239" w:bottom="1440" w:gutter="0" w:footer="0" w:header="0"/>
        </w:sectPr>
      </w:pPr>
    </w:p>
    <w:bookmarkStart w:id="314" w:name="page315"/>
    <w:bookmarkEnd w:id="314"/>
    <w:p>
      <w:pPr>
        <w:ind w:right="500" w:firstLine="456"/>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“Chief Executive Officer” </w:t>
      </w:r>
      <w:r>
        <w:rPr>
          <w:rFonts w:ascii="Arial" w:cs="Arial" w:eastAsia="Arial" w:hAnsi="Arial"/>
          <w:sz w:val="18"/>
          <w:szCs w:val="18"/>
          <w:color w:val="auto"/>
        </w:rPr>
        <w:t>means the Chief Executive Officer of the Company or, if there is no Chief Executive Officer, then the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and any successor Code, and related rules, regulations and interpretations.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Committee of the Board referred to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(including a Subsidiary),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have the meaning as set forth in the Award Agreement(s). In the case that any Award Agreement does not contain a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with respect to an Award or any Shares, the Person holding such Award or Shares, including the initial recipient of the Award or any</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Transferee.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15" w:name="page316"/>
    <w:bookmarkEnd w:id="315"/>
    <w:p>
      <w:pPr>
        <w:jc w:val="center"/>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any Stock Option designated and qualified as an “incentive stock option” as defined in Section 422 of the Code.</w:t>
      </w:r>
    </w:p>
    <w:p>
      <w:pPr>
        <w:spacing w:after="0" w:line="23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xml:space="preserve">” means any option to purchase shares of Stock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Transferees</w:t>
      </w:r>
      <w:r>
        <w:rPr>
          <w:rFonts w:ascii="Arial" w:cs="Arial" w:eastAsia="Arial" w:hAnsi="Arial"/>
          <w:sz w:val="18"/>
          <w:szCs w:val="18"/>
          <w:color w:val="auto"/>
        </w:rPr>
        <w:t xml:space="preserve">” shall mean any of the following to whom a Holder may transfer Shares hereunder (as set forth in </w:t>
      </w:r>
      <w:r>
        <w:rPr>
          <w:rFonts w:ascii="Arial" w:cs="Arial" w:eastAsia="Arial" w:hAnsi="Arial"/>
          <w:sz w:val="18"/>
          <w:szCs w:val="18"/>
          <w:u w:val="single" w:color="auto"/>
          <w:color w:val="auto"/>
        </w:rPr>
        <w:t>Section 9(a)(ii)(A)</w:t>
      </w:r>
      <w:r>
        <w:rPr>
          <w:rFonts w:ascii="Arial" w:cs="Arial" w:eastAsia="Arial" w:hAnsi="Arial"/>
          <w:sz w:val="18"/>
          <w:szCs w:val="18"/>
          <w:color w:val="auto"/>
        </w:rPr>
        <w:t>):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9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“Restricted Stock Award” </w:t>
      </w:r>
      <w:r>
        <w:rPr>
          <w:rFonts w:ascii="Arial" w:cs="Arial" w:eastAsia="Arial" w:hAnsi="Arial"/>
          <w:sz w:val="17"/>
          <w:szCs w:val="17"/>
          <w:color w:val="auto"/>
        </w:rPr>
        <w:t>means Awards granted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“Restricted Stock” </w:t>
      </w:r>
      <w:r>
        <w:rPr>
          <w:rFonts w:ascii="Arial" w:cs="Arial" w:eastAsia="Arial" w:hAnsi="Arial"/>
          <w:sz w:val="17"/>
          <w:szCs w:val="17"/>
          <w:color w:val="auto"/>
        </w:rPr>
        <w:t>means Shares issued pursuant to such Awards.</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of phantom stock units to a grantee, which may be settled in cash or Shares as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316" w:name="page317"/>
    <w:bookmarkEnd w:id="31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key person (including Consultants)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or any successor entity (e.g., a Service Relationship shall be deemed to continue without interruption in the event an individual’s status changes from full-time employee to part-time employee or Consultant).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10 percent of the combined voting power of all classes of stock of the Company or any parent of the Company or any Subsidiary.</w:t>
      </w:r>
    </w:p>
    <w:p>
      <w:pPr>
        <w:spacing w:after="0" w:line="147"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i w:val="1"/>
          <w:iCs w:val="1"/>
          <w:color w:val="auto"/>
        </w:rPr>
        <w:t xml:space="preserve">“Termination Event” </w:t>
      </w:r>
      <w:r>
        <w:rPr>
          <w:rFonts w:ascii="Arial" w:cs="Arial" w:eastAsia="Arial" w:hAnsi="Arial"/>
          <w:sz w:val="16"/>
          <w:szCs w:val="16"/>
          <w:color w:val="auto"/>
        </w:rPr>
        <w:t>means the termination of the Award recipient’s Service Relationship with the Company and its Subsidiaries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Stock Award”</w:t>
      </w:r>
      <w:r>
        <w:rPr>
          <w:rFonts w:ascii="Arial" w:cs="Arial" w:eastAsia="Arial" w:hAnsi="Arial"/>
          <w:sz w:val="16"/>
          <w:szCs w:val="16"/>
          <w:color w:val="auto"/>
        </w:rPr>
        <w:t xml:space="preserve"> means any Award granted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i w:val="1"/>
          <w:iCs w:val="1"/>
          <w:color w:val="auto"/>
        </w:rPr>
        <w:t>“Unrestricted Stock”</w:t>
      </w:r>
      <w:r>
        <w:rPr>
          <w:rFonts w:ascii="Arial" w:cs="Arial" w:eastAsia="Arial" w:hAnsi="Arial"/>
          <w:sz w:val="16"/>
          <w:szCs w:val="16"/>
          <w:color w:val="auto"/>
        </w:rPr>
        <w:t xml:space="preserve"> means Shares issued pursuant to such Awards.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COMMITTEE AUTHORITY TO SELECT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GRANTEES AND DETERMINE AWARDS</w:t>
      </w:r>
    </w:p>
    <w:p>
      <w:pPr>
        <w:spacing w:after="0" w:line="211" w:lineRule="exact"/>
        <w:rPr>
          <w:sz w:val="20"/>
          <w:szCs w:val="20"/>
          <w:color w:val="auto"/>
        </w:rPr>
      </w:pPr>
    </w:p>
    <w:p>
      <w:pPr>
        <w:jc w:val="both"/>
        <w:ind w:right="220" w:firstLine="464"/>
        <w:spacing w:after="0" w:line="264"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73" w:lineRule="exact"/>
        <w:rPr>
          <w:rFonts w:ascii="Arial" w:cs="Arial" w:eastAsia="Arial" w:hAnsi="Arial"/>
          <w:sz w:val="18"/>
          <w:szCs w:val="18"/>
          <w:color w:val="auto"/>
        </w:rPr>
      </w:pPr>
    </w:p>
    <w:p>
      <w:pPr>
        <w:ind w:firstLine="464"/>
        <w:spacing w:after="0" w:line="277" w:lineRule="auto"/>
        <w:tabs>
          <w:tab w:leader="none" w:pos="71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17" w:name="page318"/>
    <w:bookmarkEnd w:id="317"/>
    <w:p>
      <w:pPr>
        <w:ind w:left="1140" w:hanging="219"/>
        <w:spacing w:after="0"/>
        <w:tabs>
          <w:tab w:leader="none" w:pos="11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select the individuals to whom Awards may from time to time be granted;</w:t>
      </w:r>
    </w:p>
    <w:p>
      <w:pPr>
        <w:spacing w:after="0" w:line="117" w:lineRule="exact"/>
        <w:rPr>
          <w:rFonts w:ascii="Arial" w:cs="Arial" w:eastAsia="Arial" w:hAnsi="Arial"/>
          <w:sz w:val="18"/>
          <w:szCs w:val="18"/>
          <w:color w:val="auto"/>
        </w:rPr>
      </w:pPr>
    </w:p>
    <w:p>
      <w:pPr>
        <w:ind w:right="260" w:firstLine="921"/>
        <w:spacing w:after="0" w:line="308" w:lineRule="auto"/>
        <w:tabs>
          <w:tab w:leader="none" w:pos="117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38" w:lineRule="exact"/>
        <w:rPr>
          <w:rFonts w:ascii="Arial" w:cs="Arial" w:eastAsia="Arial" w:hAnsi="Arial"/>
          <w:sz w:val="17"/>
          <w:szCs w:val="17"/>
          <w:color w:val="auto"/>
        </w:rPr>
      </w:pPr>
    </w:p>
    <w:p>
      <w:pPr>
        <w:ind w:right="820" w:firstLine="921"/>
        <w:spacing w:after="0" w:line="277" w:lineRule="auto"/>
        <w:tabs>
          <w:tab w:leader="none" w:pos="122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62" w:lineRule="exact"/>
        <w:rPr>
          <w:rFonts w:ascii="Arial" w:cs="Arial" w:eastAsia="Arial" w:hAnsi="Arial"/>
          <w:sz w:val="18"/>
          <w:szCs w:val="18"/>
          <w:color w:val="auto"/>
        </w:rPr>
      </w:pPr>
    </w:p>
    <w:p>
      <w:pPr>
        <w:ind w:firstLine="921"/>
        <w:spacing w:after="0" w:line="264" w:lineRule="auto"/>
        <w:tabs>
          <w:tab w:leader="none" w:pos="12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 determine and,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impose any limitations on Awards, including limitations on transfers, repurchase provisions and the like, and to exercise repurchase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obligations;</w:t>
      </w:r>
    </w:p>
    <w:p>
      <w:pPr>
        <w:spacing w:after="0" w:line="102" w:lineRule="exact"/>
        <w:rPr>
          <w:rFonts w:ascii="Arial" w:cs="Arial" w:eastAsia="Arial" w:hAnsi="Arial"/>
          <w:sz w:val="16"/>
          <w:szCs w:val="16"/>
          <w:color w:val="auto"/>
        </w:rPr>
      </w:pPr>
    </w:p>
    <w:p>
      <w:pPr>
        <w:ind w:left="1280" w:hanging="359"/>
        <w:spacing w:after="0"/>
        <w:tabs>
          <w:tab w:leader="none" w:pos="12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5(a)(ii)</w:t>
      </w:r>
      <w:r>
        <w:rPr>
          <w:rFonts w:ascii="Arial" w:cs="Arial" w:eastAsia="Arial" w:hAnsi="Arial"/>
          <w:sz w:val="16"/>
          <w:szCs w:val="16"/>
          <w:color w:val="auto"/>
        </w:rPr>
        <w:t xml:space="preserve"> and any restrictions imposed by Section 409A, to extend at any time the period in which Stock Options may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exercised; and</w:t>
      </w:r>
    </w:p>
    <w:p>
      <w:pPr>
        <w:spacing w:after="0" w:line="102" w:lineRule="exact"/>
        <w:rPr>
          <w:rFonts w:ascii="Arial" w:cs="Arial" w:eastAsia="Arial" w:hAnsi="Arial"/>
          <w:sz w:val="16"/>
          <w:szCs w:val="16"/>
          <w:color w:val="auto"/>
        </w:rPr>
      </w:pPr>
    </w:p>
    <w:p>
      <w:pPr>
        <w:ind w:right="40" w:firstLine="921"/>
        <w:spacing w:after="0" w:line="259" w:lineRule="auto"/>
        <w:tabs>
          <w:tab w:leader="none" w:pos="13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117" w:lineRule="exact"/>
        <w:rPr>
          <w:sz w:val="20"/>
          <w:szCs w:val="20"/>
          <w:color w:val="auto"/>
        </w:rPr>
      </w:pPr>
    </w:p>
    <w:p>
      <w:pPr>
        <w:ind w:left="700" w:hanging="236"/>
        <w:spacing w:after="0"/>
        <w:tabs>
          <w:tab w:leader="none" w:pos="70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color w:val="auto"/>
        </w:rPr>
      </w:pPr>
    </w:p>
    <w:p>
      <w:pPr>
        <w:ind w:right="180" w:firstLine="464"/>
        <w:spacing w:after="0" w:line="273" w:lineRule="auto"/>
        <w:tabs>
          <w:tab w:leader="none" w:pos="711"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18" w:name="page319"/>
    <w:bookmarkEnd w:id="318"/>
    <w:p>
      <w:pPr>
        <w:ind w:left="-20" w:right="80" w:firstLine="464"/>
        <w:spacing w:after="0" w:line="253" w:lineRule="auto"/>
        <w:tabs>
          <w:tab w:leader="none" w:pos="68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Award Recipients</w:t>
      </w:r>
      <w:r>
        <w:rPr>
          <w:rFonts w:ascii="Arial" w:cs="Arial" w:eastAsia="Arial" w:hAnsi="Arial"/>
          <w:sz w:val="18"/>
          <w:szCs w:val="18"/>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 contained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 and (v) take any action, before or after an Award is made, that the Committee determines to be necessary or advisable to obtain approval or comply with any local governmental regulatory exemptions or approvals.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AND OTHER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TRANSACTIONS; SUBSTITUTION</w:t>
      </w:r>
    </w:p>
    <w:p>
      <w:pPr>
        <w:spacing w:after="0" w:line="211" w:lineRule="exact"/>
        <w:rPr>
          <w:sz w:val="20"/>
          <w:szCs w:val="20"/>
          <w:color w:val="auto"/>
        </w:rPr>
      </w:pPr>
    </w:p>
    <w:p>
      <w:pPr>
        <w:ind w:left="-20" w:firstLine="464"/>
        <w:spacing w:after="0" w:line="271" w:lineRule="auto"/>
        <w:tabs>
          <w:tab w:leader="none" w:pos="681"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3,361,345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33,613,450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3,361,345 Shares shall be granted to any one individual in any calendar year period.</w:t>
      </w:r>
    </w:p>
    <w:p>
      <w:pPr>
        <w:spacing w:after="0" w:line="70" w:lineRule="exact"/>
        <w:rPr>
          <w:rFonts w:ascii="Arial" w:cs="Arial" w:eastAsia="Arial" w:hAnsi="Arial"/>
          <w:sz w:val="17"/>
          <w:szCs w:val="17"/>
          <w:color w:val="auto"/>
        </w:rPr>
      </w:pPr>
    </w:p>
    <w:p>
      <w:pPr>
        <w:ind w:left="-20" w:right="140" w:firstLine="464"/>
        <w:spacing w:after="0" w:line="271" w:lineRule="auto"/>
        <w:tabs>
          <w:tab w:leader="none" w:pos="691"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319" w:name="page320"/>
    <w:bookmarkEnd w:id="31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w:t>
      </w:r>
    </w:p>
    <w:p>
      <w:pPr>
        <w:spacing w:after="0" w:line="255" w:lineRule="auto"/>
        <w:rPr>
          <w:sz w:val="20"/>
          <w:szCs w:val="20"/>
          <w:color w:val="auto"/>
        </w:rPr>
      </w:pPr>
      <w:r>
        <w:rPr>
          <w:rFonts w:ascii="Arial" w:cs="Arial" w:eastAsia="Arial" w:hAnsi="Arial"/>
          <w:sz w:val="18"/>
          <w:szCs w:val="18"/>
          <w:color w:val="auto"/>
        </w:rPr>
        <w:t>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82" w:lineRule="exact"/>
        <w:rPr>
          <w:sz w:val="20"/>
          <w:szCs w:val="20"/>
          <w:color w:val="auto"/>
        </w:rPr>
      </w:pPr>
    </w:p>
    <w:p>
      <w:pPr>
        <w:ind w:left="700" w:hanging="236"/>
        <w:spacing w:after="0"/>
        <w:tabs>
          <w:tab w:leader="none" w:pos="70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20" w:firstLine="881"/>
        <w:spacing w:after="0" w:line="257" w:lineRule="auto"/>
        <w:tabs>
          <w:tab w:leader="none" w:pos="1631" w:val="left"/>
        </w:tabs>
        <w:numPr>
          <w:ilvl w:val="2"/>
          <w:numId w:val="233"/>
        </w:numPr>
        <w:rPr>
          <w:rFonts w:ascii="Arial" w:cs="Arial" w:eastAsia="Arial" w:hAnsi="Arial"/>
          <w:sz w:val="18"/>
          <w:szCs w:val="18"/>
          <w:color w:val="auto"/>
        </w:rPr>
      </w:pPr>
      <w:r>
        <w:rPr>
          <w:rFonts w:ascii="Arial" w:cs="Arial" w:eastAsia="Arial" w:hAnsi="Arial"/>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80" w:lineRule="exact"/>
        <w:rPr>
          <w:rFonts w:ascii="Arial" w:cs="Arial" w:eastAsia="Arial" w:hAnsi="Arial"/>
          <w:sz w:val="18"/>
          <w:szCs w:val="18"/>
          <w:color w:val="auto"/>
        </w:rPr>
      </w:pPr>
    </w:p>
    <w:p>
      <w:pPr>
        <w:ind w:left="460" w:right="360" w:firstLine="881"/>
        <w:spacing w:after="0" w:line="279" w:lineRule="auto"/>
        <w:tabs>
          <w:tab w:leader="none" w:pos="1621" w:val="left"/>
        </w:tabs>
        <w:numPr>
          <w:ilvl w:val="2"/>
          <w:numId w:val="233"/>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the Plan and all outstanding Options issued hereunder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exercise of Options not exercisable prior to the Sale Event shall be subject to the consummation of the Sale Event.</w:t>
      </w:r>
    </w:p>
    <w:p>
      <w:pPr>
        <w:spacing w:after="0" w:line="63" w:lineRule="exact"/>
        <w:rPr>
          <w:rFonts w:ascii="Arial" w:cs="Arial" w:eastAsia="Arial" w:hAnsi="Arial"/>
          <w:sz w:val="17"/>
          <w:szCs w:val="17"/>
          <w:color w:val="auto"/>
        </w:rPr>
      </w:pPr>
    </w:p>
    <w:p>
      <w:pPr>
        <w:ind w:left="460" w:right="120" w:firstLine="881"/>
        <w:spacing w:after="0" w:line="273" w:lineRule="auto"/>
        <w:tabs>
          <w:tab w:leader="none" w:pos="1621" w:val="left"/>
        </w:tabs>
        <w:numPr>
          <w:ilvl w:val="2"/>
          <w:numId w:val="23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3(c)(i)(A)</w:t>
      </w:r>
      <w:r>
        <w:rPr>
          <w:rFonts w:ascii="Arial" w:cs="Arial" w:eastAsia="Arial" w:hAnsi="Arial"/>
          <w:sz w:val="17"/>
          <w:szCs w:val="17"/>
          <w:color w:val="auto"/>
        </w:rPr>
        <w:t>,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7"/>
          <w:szCs w:val="17"/>
          <w:u w:val="single" w:color="auto"/>
          <w:color w:val="auto"/>
        </w:rPr>
        <w:t>Sale Price</w:t>
      </w:r>
      <w:r>
        <w:rPr>
          <w:rFonts w:ascii="Arial" w:cs="Arial" w:eastAsia="Arial" w:hAnsi="Arial"/>
          <w:sz w:val="17"/>
          <w:szCs w:val="17"/>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320" w:name="page321"/>
    <w:bookmarkEnd w:id="320"/>
    <w:p>
      <w:pPr>
        <w:ind w:left="1180" w:hanging="259"/>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and Restricted Stock Unit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881"/>
        <w:spacing w:after="0" w:line="276" w:lineRule="auto"/>
        <w:tabs>
          <w:tab w:leader="none" w:pos="1631"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In the case of and subject to the consummation of a Sale Event, all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64" w:lineRule="exact"/>
        <w:rPr>
          <w:rFonts w:ascii="Arial" w:cs="Arial" w:eastAsia="Arial" w:hAnsi="Arial"/>
          <w:sz w:val="17"/>
          <w:szCs w:val="17"/>
          <w:color w:val="auto"/>
        </w:rPr>
      </w:pPr>
    </w:p>
    <w:p>
      <w:pPr>
        <w:jc w:val="both"/>
        <w:ind w:left="460" w:right="180" w:firstLine="881"/>
        <w:spacing w:after="0" w:line="286" w:lineRule="auto"/>
        <w:tabs>
          <w:tab w:leader="none" w:pos="1621"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In the event of the forfeiture of Restricted Stock pursuant to </w:t>
      </w:r>
      <w:r>
        <w:rPr>
          <w:rFonts w:ascii="Arial" w:cs="Arial" w:eastAsia="Arial" w:hAnsi="Arial"/>
          <w:sz w:val="17"/>
          <w:szCs w:val="17"/>
          <w:u w:val="single" w:color="auto"/>
          <w:color w:val="auto"/>
        </w:rPr>
        <w:t>Section 3(c)(ii)(A)</w:t>
      </w:r>
      <w:r>
        <w:rPr>
          <w:rFonts w:ascii="Arial" w:cs="Arial" w:eastAsia="Arial" w:hAnsi="Arial"/>
          <w:sz w:val="17"/>
          <w:szCs w:val="17"/>
          <w:color w:val="auto"/>
        </w:rPr>
        <w:t xml:space="preserve">, such Restricted Stock shall be repurchased from the Holder thereof at a price per share equal to the lower of the original per share purchase price paid by the Holder (subject to adjustment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or the current Fair Market Value of such Shares, determined immediately prior to the effective time of the Sale Event.</w:t>
      </w:r>
    </w:p>
    <w:p>
      <w:pPr>
        <w:spacing w:after="0" w:line="57" w:lineRule="exact"/>
        <w:rPr>
          <w:rFonts w:ascii="Arial" w:cs="Arial" w:eastAsia="Arial" w:hAnsi="Arial"/>
          <w:sz w:val="17"/>
          <w:szCs w:val="17"/>
          <w:color w:val="auto"/>
        </w:rPr>
      </w:pPr>
    </w:p>
    <w:p>
      <w:pPr>
        <w:ind w:left="460" w:right="20" w:firstLine="881"/>
        <w:spacing w:after="0" w:line="259" w:lineRule="auto"/>
        <w:tabs>
          <w:tab w:leader="none" w:pos="162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3(c)(ii)(A)</w:t>
      </w:r>
      <w:r>
        <w:rPr>
          <w:rFonts w:ascii="Arial" w:cs="Arial" w:eastAsia="Arial" w:hAnsi="Arial"/>
          <w:sz w:val="18"/>
          <w:szCs w:val="18"/>
          <w:color w:val="auto"/>
        </w:rPr>
        <w:t>,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73" w:lineRule="exact"/>
        <w:rPr>
          <w:sz w:val="20"/>
          <w:szCs w:val="20"/>
          <w:color w:val="auto"/>
        </w:rPr>
      </w:pPr>
    </w:p>
    <w:p>
      <w:pPr>
        <w:ind w:right="140" w:firstLine="464"/>
        <w:spacing w:after="0" w:line="264"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xml:space="preserve">. The Committee in its discretion may grant Stock Options to those individuals who meet the eligibility requirements of </w:t>
      </w:r>
      <w:r>
        <w:rPr>
          <w:rFonts w:ascii="Arial" w:cs="Arial" w:eastAsia="Arial" w:hAnsi="Arial"/>
          <w:sz w:val="18"/>
          <w:szCs w:val="18"/>
          <w:u w:val="single" w:color="auto"/>
          <w:color w:val="auto"/>
        </w:rPr>
        <w:t>Section 4</w:t>
      </w:r>
      <w:r>
        <w:rPr>
          <w:rFonts w:ascii="Arial" w:cs="Arial" w:eastAsia="Arial" w:hAnsi="Arial"/>
          <w:sz w:val="18"/>
          <w:szCs w:val="18"/>
          <w:color w:val="auto"/>
        </w:rPr>
        <w:t>. Stock Options shall be subject to the following terms and conditions and shall contain such additional terms and conditions, not inconsistent with the terms of the Plan, as the Committee shall deem desirable.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21" w:name="page322"/>
    <w:bookmarkEnd w:id="321"/>
    <w:p>
      <w:pPr>
        <w:ind w:right="80" w:firstLine="921"/>
        <w:spacing w:after="0" w:line="259" w:lineRule="auto"/>
        <w:tabs>
          <w:tab w:leader="none" w:pos="112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w:t>
      </w:r>
      <w:r>
        <w:rPr>
          <w:rFonts w:ascii="Arial" w:cs="Arial" w:eastAsia="Arial" w:hAnsi="Arial"/>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78" w:lineRule="exact"/>
        <w:rPr>
          <w:rFonts w:ascii="Arial" w:cs="Arial" w:eastAsia="Arial" w:hAnsi="Arial"/>
          <w:sz w:val="18"/>
          <w:szCs w:val="18"/>
          <w:color w:val="auto"/>
        </w:rPr>
      </w:pPr>
    </w:p>
    <w:p>
      <w:pPr>
        <w:ind w:firstLine="921"/>
        <w:spacing w:after="0" w:line="264" w:lineRule="auto"/>
        <w:tabs>
          <w:tab w:leader="none" w:pos="117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73" w:lineRule="exact"/>
        <w:rPr>
          <w:rFonts w:ascii="Arial" w:cs="Arial" w:eastAsia="Arial" w:hAnsi="Arial"/>
          <w:sz w:val="18"/>
          <w:szCs w:val="18"/>
          <w:color w:val="auto"/>
        </w:rPr>
      </w:pPr>
    </w:p>
    <w:p>
      <w:pPr>
        <w:ind w:firstLine="921"/>
        <w:spacing w:after="0" w:line="271" w:lineRule="auto"/>
        <w:tabs>
          <w:tab w:leader="none" w:pos="1228"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70" w:lineRule="exact"/>
        <w:rPr>
          <w:rFonts w:ascii="Arial" w:cs="Arial" w:eastAsia="Arial" w:hAnsi="Arial"/>
          <w:sz w:val="17"/>
          <w:szCs w:val="17"/>
          <w:color w:val="auto"/>
        </w:rPr>
      </w:pPr>
    </w:p>
    <w:p>
      <w:pPr>
        <w:jc w:val="both"/>
        <w:ind w:right="200" w:firstLine="921"/>
        <w:spacing w:after="0" w:line="264" w:lineRule="auto"/>
        <w:tabs>
          <w:tab w:leader="none" w:pos="121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 cash, by certified or bank check, by wire transfer of immediately available funds, or other instrument acceptable to the Committee;</w:t>
      </w:r>
    </w:p>
    <w:p>
      <w:pPr>
        <w:spacing w:after="0" w:line="140" w:lineRule="exact"/>
        <w:rPr>
          <w:rFonts w:ascii="Arial" w:cs="Arial" w:eastAsia="Arial" w:hAnsi="Arial"/>
          <w:sz w:val="16"/>
          <w:szCs w:val="16"/>
          <w:color w:val="auto"/>
        </w:rPr>
      </w:pPr>
    </w:p>
    <w:p>
      <w:pPr>
        <w:ind w:left="460" w:firstLine="881"/>
        <w:spacing w:after="0" w:line="286" w:lineRule="auto"/>
        <w:tabs>
          <w:tab w:leader="none" w:pos="1621"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that at least so much of the exercise price as represents the par value of the Stock shall be paid in cash if required by state law;</w:t>
      </w:r>
    </w:p>
    <w:p>
      <w:pPr>
        <w:spacing w:after="0" w:line="57" w:lineRule="exact"/>
        <w:rPr>
          <w:rFonts w:ascii="Arial" w:cs="Arial" w:eastAsia="Arial" w:hAnsi="Arial"/>
          <w:sz w:val="17"/>
          <w:szCs w:val="17"/>
          <w:color w:val="auto"/>
        </w:rPr>
      </w:pPr>
    </w:p>
    <w:p>
      <w:pPr>
        <w:jc w:val="both"/>
        <w:ind w:left="460" w:right="60" w:firstLine="881"/>
        <w:spacing w:after="0" w:line="297" w:lineRule="auto"/>
        <w:tabs>
          <w:tab w:leader="none" w:pos="1621"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22" w:name="page323"/>
    <w:bookmarkEnd w:id="322"/>
    <w:p>
      <w:pPr>
        <w:ind w:left="460" w:right="240" w:firstLine="881"/>
        <w:spacing w:after="0" w:line="276" w:lineRule="auto"/>
        <w:tabs>
          <w:tab w:leader="none" w:pos="1631" w:val="left"/>
        </w:tabs>
        <w:numPr>
          <w:ilvl w:val="0"/>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64" w:lineRule="exact"/>
        <w:rPr>
          <w:rFonts w:ascii="Arial" w:cs="Arial" w:eastAsia="Arial" w:hAnsi="Arial"/>
          <w:sz w:val="17"/>
          <w:szCs w:val="17"/>
          <w:color w:val="auto"/>
        </w:rPr>
      </w:pPr>
    </w:p>
    <w:p>
      <w:pPr>
        <w:ind w:left="460" w:right="300" w:firstLine="881"/>
        <w:spacing w:after="0" w:line="264" w:lineRule="auto"/>
        <w:tabs>
          <w:tab w:leader="none" w:pos="16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77" w:lineRule="exact"/>
        <w:rPr>
          <w:sz w:val="20"/>
          <w:szCs w:val="20"/>
          <w:color w:val="auto"/>
        </w:rPr>
      </w:pPr>
    </w:p>
    <w:p>
      <w:pPr>
        <w:ind w:firstLine="464"/>
        <w:spacing w:after="0" w:line="257" w:lineRule="auto"/>
        <w:tabs>
          <w:tab w:leader="none" w:pos="71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23" w:name="page324"/>
    <w:bookmarkEnd w:id="323"/>
    <w:p>
      <w:pPr>
        <w:ind w:firstLine="464"/>
        <w:spacing w:after="0" w:line="289" w:lineRule="auto"/>
        <w:tabs>
          <w:tab w:leader="none" w:pos="701"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6"/>
          <w:szCs w:val="16"/>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right="20" w:firstLine="464"/>
        <w:spacing w:after="0" w:line="293" w:lineRule="auto"/>
        <w:tabs>
          <w:tab w:leader="none" w:pos="701"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xml:space="preserve">. The Committee may, in its sole discretion, grant (or sell at par value or such other purchase price determined by the Committee) to an eligible individual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56" w:lineRule="exact"/>
        <w:rPr>
          <w:rFonts w:ascii="Arial" w:cs="Arial" w:eastAsia="Arial" w:hAnsi="Arial"/>
          <w:sz w:val="16"/>
          <w:szCs w:val="16"/>
          <w:color w:val="auto"/>
        </w:rPr>
      </w:pPr>
    </w:p>
    <w:p>
      <w:pPr>
        <w:ind w:firstLine="464"/>
        <w:spacing w:after="0" w:line="272" w:lineRule="auto"/>
        <w:tabs>
          <w:tab w:leader="none" w:pos="711"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below of this Section, and the grantee shall be required, as a condition of the grant, to deliver to the Company a stock power endorsed in blank and such other instruments of transfer as the Committee may prescribe.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24" w:name="page325"/>
    <w:bookmarkEnd w:id="324"/>
    <w:p>
      <w:pPr>
        <w:ind w:right="80" w:firstLine="464"/>
        <w:spacing w:after="0" w:line="257"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w:t>
      </w:r>
      <w:r>
        <w:rPr>
          <w:rFonts w:ascii="Arial" w:cs="Arial" w:eastAsia="Arial" w:hAnsi="Arial"/>
          <w:sz w:val="18"/>
          <w:szCs w:val="18"/>
          <w:color w:val="auto"/>
        </w:rPr>
        <w:t xml:space="preserve">. Restricted Stock may not be sold, assigned, transferred, pledged or otherwise encumbered or disposed of except as specifically provided herein or in the Award Agreement. Except as may otherwise be provided by the Committee either in the Award Agreement or,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80" w:lineRule="exact"/>
        <w:rPr>
          <w:rFonts w:ascii="Arial" w:cs="Arial" w:eastAsia="Arial" w:hAnsi="Arial"/>
          <w:sz w:val="18"/>
          <w:szCs w:val="18"/>
          <w:color w:val="auto"/>
        </w:rPr>
      </w:pPr>
    </w:p>
    <w:p>
      <w:pPr>
        <w:jc w:val="both"/>
        <w:ind w:right="320" w:firstLine="464"/>
        <w:spacing w:after="0" w:line="312" w:lineRule="auto"/>
        <w:tabs>
          <w:tab w:leader="none" w:pos="711"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The Committee may, in its sole discretion, grant (or sell at par value or such other purchase price determined by the Committee) to an eligible person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 Unrestricted Stock Award under the Plan. Unrestricted Stock Awards may be granted in respect of past services or other valid consideration, or in lieu of cash compensation due to such grantee.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firstLine="464"/>
        <w:spacing w:after="0" w:line="290" w:lineRule="auto"/>
        <w:tabs>
          <w:tab w:leader="none" w:pos="701"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xml:space="preserve">. The Committee may, in its sole discretion, grant to an eligible person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58" w:lineRule="exact"/>
        <w:rPr>
          <w:rFonts w:ascii="Arial" w:cs="Arial" w:eastAsia="Arial" w:hAnsi="Arial"/>
          <w:sz w:val="16"/>
          <w:szCs w:val="16"/>
          <w:color w:val="auto"/>
        </w:rPr>
      </w:pPr>
    </w:p>
    <w:p>
      <w:pPr>
        <w:ind w:right="140" w:firstLine="464"/>
        <w:spacing w:after="0" w:line="257"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80" w:lineRule="exact"/>
        <w:rPr>
          <w:rFonts w:ascii="Arial" w:cs="Arial" w:eastAsia="Arial" w:hAnsi="Arial"/>
          <w:sz w:val="18"/>
          <w:szCs w:val="18"/>
          <w:color w:val="auto"/>
        </w:rPr>
      </w:pPr>
    </w:p>
    <w:p>
      <w:pPr>
        <w:ind w:right="200" w:firstLine="464"/>
        <w:spacing w:after="0" w:line="264" w:lineRule="auto"/>
        <w:tabs>
          <w:tab w:leader="none" w:pos="70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8"/>
          <w:szCs w:val="18"/>
          <w:u w:val="single" w:color="auto"/>
          <w:color w:val="auto"/>
        </w:rPr>
        <w:t>TRANSFER RESTRICTIONS; COMPANY RIGHT OF FIRST REFUSAL;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REPURCHASE RIGHTS</w:t>
      </w:r>
    </w:p>
    <w:p>
      <w:pPr>
        <w:spacing w:after="0" w:line="211" w:lineRule="exact"/>
        <w:rPr>
          <w:sz w:val="20"/>
          <w:szCs w:val="20"/>
          <w:color w:val="auto"/>
        </w:rPr>
      </w:pPr>
    </w:p>
    <w:p>
      <w:pPr>
        <w:ind w:left="700" w:hanging="236"/>
        <w:spacing w:after="0"/>
        <w:tabs>
          <w:tab w:leader="none" w:pos="70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69" w:lineRule="auto"/>
        <w:tabs>
          <w:tab w:leader="none" w:pos="1128"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Non-Transferability of Stock Options</w:t>
      </w:r>
      <w:r>
        <w:rPr>
          <w:rFonts w:ascii="Arial" w:cs="Arial" w:eastAsia="Arial" w:hAnsi="Arial"/>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74" w:lineRule="exact"/>
        <w:rPr>
          <w:rFonts w:ascii="Arial" w:cs="Arial" w:eastAsia="Arial" w:hAnsi="Arial"/>
          <w:sz w:val="17"/>
          <w:szCs w:val="17"/>
          <w:color w:val="auto"/>
        </w:rPr>
      </w:pPr>
    </w:p>
    <w:p>
      <w:pPr>
        <w:ind w:firstLine="921"/>
        <w:spacing w:after="0" w:line="286" w:lineRule="auto"/>
        <w:tabs>
          <w:tab w:leader="none" w:pos="1178"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(ii) the transfer does not cause the Company to become subject to the reporting requirements of the Exchange Act, and (iii) the transferee consents in writing to be bound by the provisions of the Plan and the Award Agreement, including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26" w:name="page327"/>
    <w:bookmarkEnd w:id="326"/>
    <w:p>
      <w:pPr>
        <w:ind w:left="440" w:right="80" w:firstLine="881"/>
        <w:spacing w:after="0" w:line="297" w:lineRule="auto"/>
        <w:tabs>
          <w:tab w:leader="none" w:pos="1611"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to Permitted Transferees</w:t>
      </w:r>
      <w:r>
        <w:rPr>
          <w:rFonts w:ascii="Arial" w:cs="Arial" w:eastAsia="Arial" w:hAnsi="Arial"/>
          <w:sz w:val="16"/>
          <w:szCs w:val="16"/>
          <w:color w:val="auto"/>
        </w:rPr>
        <w:t xml:space="preserve">. The Holder may transfer any or all of the Shares to one or more Permitted Transferees;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such transfer, such Shares shall continue to be subject to the terms of this Plan (including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and such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50" w:lineRule="exact"/>
        <w:rPr>
          <w:rFonts w:ascii="Arial" w:cs="Arial" w:eastAsia="Arial" w:hAnsi="Arial"/>
          <w:sz w:val="16"/>
          <w:szCs w:val="16"/>
          <w:color w:val="auto"/>
        </w:rPr>
      </w:pPr>
    </w:p>
    <w:p>
      <w:pPr>
        <w:ind w:left="440" w:right="120" w:firstLine="881"/>
        <w:spacing w:after="0" w:line="259" w:lineRule="auto"/>
        <w:tabs>
          <w:tab w:leader="none" w:pos="160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r>
        <w:rPr>
          <w:rFonts w:ascii="Arial" w:cs="Arial" w:eastAsia="Arial" w:hAnsi="Arial"/>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78"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Arial" w:cs="Arial" w:eastAsia="Arial" w:hAnsi="Arial"/>
          <w:sz w:val="16"/>
          <w:szCs w:val="16"/>
          <w:u w:val="single" w:color="auto"/>
          <w:color w:val="auto"/>
        </w:rPr>
        <w:t>Offered Shares</w:t>
      </w:r>
      <w:r>
        <w:rPr>
          <w:rFonts w:ascii="Arial" w:cs="Arial" w:eastAsia="Arial" w:hAnsi="Arial"/>
          <w:sz w:val="16"/>
          <w:szCs w:val="16"/>
          <w:color w:val="auto"/>
        </w:rPr>
        <w:t xml:space="preserve">”),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w:t>
      </w:r>
      <w:r>
        <w:rPr>
          <w:rFonts w:ascii="Arial" w:cs="Arial" w:eastAsia="Arial" w:hAnsi="Arial"/>
          <w:sz w:val="16"/>
          <w:szCs w:val="16"/>
          <w:u w:val="single" w:color="auto"/>
          <w:color w:val="auto"/>
        </w:rPr>
        <w:t>Section 9(b)</w:t>
      </w:r>
      <w:r>
        <w:rPr>
          <w:rFonts w:ascii="Arial" w:cs="Arial" w:eastAsia="Arial" w:hAnsi="Arial"/>
          <w:sz w:val="16"/>
          <w:szCs w:val="16"/>
          <w:color w:val="auto"/>
        </w:rPr>
        <w:t>,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327" w:name="page328"/>
    <w:bookmarkEnd w:id="327"/>
    <w:p>
      <w:pPr>
        <w:ind w:left="660" w:hanging="236"/>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Right of Repurchase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60" w:firstLine="921"/>
        <w:spacing w:after="0" w:line="271" w:lineRule="auto"/>
        <w:tabs>
          <w:tab w:leader="none" w:pos="1088"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Right of Repurchase for Shares Issued Upon the Exercise of an Option.</w:t>
      </w:r>
      <w:r>
        <w:rPr>
          <w:rFonts w:ascii="Arial" w:cs="Arial" w:eastAsia="Arial" w:hAnsi="Arial"/>
          <w:sz w:val="17"/>
          <w:szCs w:val="17"/>
          <w:color w:val="auto"/>
        </w:rPr>
        <w:t xml:space="preserve"> Upon a Termination Event, the Company or its assigns shall have the right and option to repurchase from a Holder of Shares acquired upon exercise of a Stock Option which are still subject to a risk of forfeiture as of the Termination Event. Additionally, notwithstanding anything to the contrary contained in this Plan, upon a Termination Event for Cause, the Company or its assigns shall have the right and option to repurchase from a Holder of Shares acquired upon exercise of a Stock Option whether or not they are still subject to a risk of forfeiture as of such Termination Event for Cause.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70" w:lineRule="exact"/>
        <w:rPr>
          <w:rFonts w:ascii="Arial" w:cs="Arial" w:eastAsia="Arial" w:hAnsi="Arial"/>
          <w:sz w:val="17"/>
          <w:szCs w:val="17"/>
          <w:color w:val="auto"/>
        </w:rPr>
      </w:pPr>
    </w:p>
    <w:p>
      <w:pPr>
        <w:ind w:left="-40" w:right="40" w:firstLine="921"/>
        <w:spacing w:after="0" w:line="290" w:lineRule="auto"/>
        <w:tabs>
          <w:tab w:leader="none" w:pos="1138"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Additionally, notwithstanding anything to the contrary contained in this Plan, upon a Termination Event for Cause, the Company or its assigns shall have the right and option to repurchase from a Holder of Shares received pursuant to a Restricted Stock Award any Shares whether or not they are still subject to a risk of forfeiture as of such Termination Event for Cause.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58" w:lineRule="exact"/>
        <w:rPr>
          <w:rFonts w:ascii="Arial" w:cs="Arial" w:eastAsia="Arial" w:hAnsi="Arial"/>
          <w:sz w:val="16"/>
          <w:szCs w:val="16"/>
          <w:color w:val="auto"/>
        </w:rPr>
      </w:pPr>
    </w:p>
    <w:p>
      <w:pPr>
        <w:ind w:left="-40" w:firstLine="921"/>
        <w:spacing w:after="0" w:line="293" w:lineRule="auto"/>
        <w:tabs>
          <w:tab w:leader="none" w:pos="1188"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pay the repurchase price by offsetting and canceling any indebtedness then owed by the Holder to the Company.</w:t>
      </w:r>
    </w:p>
    <w:p>
      <w:pPr>
        <w:spacing w:after="0" w:line="56" w:lineRule="exact"/>
        <w:rPr>
          <w:rFonts w:ascii="Arial" w:cs="Arial" w:eastAsia="Arial" w:hAnsi="Arial"/>
          <w:sz w:val="16"/>
          <w:szCs w:val="16"/>
          <w:color w:val="auto"/>
        </w:rPr>
      </w:pPr>
    </w:p>
    <w:p>
      <w:pPr>
        <w:ind w:left="680" w:hanging="256"/>
        <w:spacing w:after="0"/>
        <w:tabs>
          <w:tab w:leader="none" w:pos="6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36"/>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3" w:right="259" w:bottom="1440" w:gutter="0" w:footer="0" w:header="0"/>
        </w:sectPr>
      </w:pPr>
    </w:p>
    <w:bookmarkStart w:id="328" w:name="page329"/>
    <w:bookmarkEnd w:id="328"/>
    <w:p>
      <w:pPr>
        <w:ind w:left="-20" w:right="20" w:firstLine="921"/>
        <w:spacing w:after="0" w:line="255" w:lineRule="auto"/>
        <w:tabs>
          <w:tab w:leader="none" w:pos="1108"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w:t>
      </w:r>
      <w:r>
        <w:rPr>
          <w:rFonts w:ascii="Arial" w:cs="Arial" w:eastAsia="Arial" w:hAnsi="Arial"/>
          <w:sz w:val="18"/>
          <w:szCs w:val="18"/>
          <w:color w:val="auto"/>
        </w:rPr>
        <w:t xml:space="preserve">. In order to carry out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81" w:lineRule="exact"/>
        <w:rPr>
          <w:rFonts w:ascii="Arial" w:cs="Arial" w:eastAsia="Arial" w:hAnsi="Arial"/>
          <w:sz w:val="18"/>
          <w:szCs w:val="18"/>
          <w:color w:val="auto"/>
        </w:rPr>
      </w:pPr>
    </w:p>
    <w:p>
      <w:pPr>
        <w:ind w:left="-20" w:right="60" w:firstLine="921"/>
        <w:spacing w:after="0" w:line="288" w:lineRule="auto"/>
        <w:tabs>
          <w:tab w:leader="none" w:pos="1158"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xml:space="preserve">. Without limitation of any other provision of this Plan or other rights, in the event that a Holder or any other Person is required to sell a Holder’s Shares pursuant to the provisions of </w:t>
      </w:r>
      <w:r>
        <w:rPr>
          <w:rFonts w:ascii="Arial" w:cs="Arial" w:eastAsia="Arial" w:hAnsi="Arial"/>
          <w:sz w:val="16"/>
          <w:szCs w:val="16"/>
          <w:u w:val="single" w:color="auto"/>
          <w:color w:val="auto"/>
        </w:rPr>
        <w:t>Sections 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w:t>
      </w:r>
      <w:r>
        <w:rPr>
          <w:rFonts w:ascii="Arial" w:cs="Arial" w:eastAsia="Arial" w:hAnsi="Arial"/>
          <w:sz w:val="16"/>
          <w:szCs w:val="16"/>
          <w:u w:val="single" w:color="auto"/>
          <w:color w:val="auto"/>
        </w:rPr>
        <w:t>Sections 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61" w:lineRule="exact"/>
        <w:rPr>
          <w:rFonts w:ascii="Arial" w:cs="Arial" w:eastAsia="Arial" w:hAnsi="Arial"/>
          <w:sz w:val="16"/>
          <w:szCs w:val="16"/>
          <w:color w:val="auto"/>
        </w:rPr>
      </w:pPr>
    </w:p>
    <w:p>
      <w:pPr>
        <w:ind w:left="-20" w:right="40" w:firstLine="464"/>
        <w:spacing w:after="0" w:line="259" w:lineRule="auto"/>
        <w:tabs>
          <w:tab w:leader="none" w:pos="66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Lockup Provision</w:t>
      </w:r>
      <w:r>
        <w:rPr>
          <w:rFonts w:ascii="Arial" w:cs="Arial" w:eastAsia="Arial" w:hAnsi="Arial"/>
          <w:sz w:val="18"/>
          <w:szCs w:val="18"/>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78" w:lineRule="exact"/>
        <w:rPr>
          <w:rFonts w:ascii="Arial" w:cs="Arial" w:eastAsia="Arial" w:hAnsi="Arial"/>
          <w:sz w:val="18"/>
          <w:szCs w:val="18"/>
          <w:color w:val="auto"/>
        </w:rPr>
      </w:pPr>
    </w:p>
    <w:p>
      <w:pPr>
        <w:ind w:left="-20" w:firstLine="464"/>
        <w:spacing w:after="0" w:line="259" w:lineRule="auto"/>
        <w:tabs>
          <w:tab w:leader="none" w:pos="69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xml:space="preserve">.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with equal force to additional and/or substitute securities, if any, received by Holder in exchange for, or by virtue of his or her ownership of, Shares.</w:t>
      </w:r>
    </w:p>
    <w:p>
      <w:pPr>
        <w:spacing w:after="0" w:line="78" w:lineRule="exact"/>
        <w:rPr>
          <w:rFonts w:ascii="Arial" w:cs="Arial" w:eastAsia="Arial" w:hAnsi="Arial"/>
          <w:sz w:val="18"/>
          <w:szCs w:val="18"/>
          <w:color w:val="auto"/>
        </w:rPr>
      </w:pPr>
    </w:p>
    <w:p>
      <w:pPr>
        <w:jc w:val="both"/>
        <w:ind w:left="-20" w:right="160" w:firstLine="464"/>
        <w:spacing w:after="0" w:line="312" w:lineRule="auto"/>
        <w:tabs>
          <w:tab w:leader="none" w:pos="691"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terms and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3" w:right="259" w:bottom="1440" w:gutter="0" w:footer="0" w:header="0"/>
        </w:sectPr>
      </w:pPr>
    </w:p>
    <w:bookmarkStart w:id="329" w:name="page330"/>
    <w:bookmarkEnd w:id="3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firstLine="464"/>
        <w:spacing w:after="0" w:line="255" w:lineRule="auto"/>
        <w:tabs>
          <w:tab w:leader="none" w:pos="70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85" w:lineRule="exact"/>
        <w:rPr>
          <w:rFonts w:ascii="Arial" w:cs="Arial" w:eastAsia="Arial" w:hAnsi="Arial"/>
          <w:sz w:val="18"/>
          <w:szCs w:val="18"/>
          <w:color w:val="auto"/>
        </w:rPr>
      </w:pPr>
    </w:p>
    <w:p>
      <w:pPr>
        <w:ind w:firstLine="464"/>
        <w:spacing w:after="0" w:line="264"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w:t>
      </w:r>
      <w:r>
        <w:rPr>
          <w:rFonts w:ascii="Arial" w:cs="Arial" w:eastAsia="Arial" w:hAnsi="Arial"/>
          <w:sz w:val="18"/>
          <w:szCs w:val="18"/>
          <w:u w:val="single" w:color="auto"/>
          <w:color w:val="auto"/>
        </w:rPr>
        <w:t>409A Award</w:t>
      </w:r>
      <w:r>
        <w:rPr>
          <w:rFonts w:ascii="Arial" w:cs="Arial" w:eastAsia="Arial" w:hAnsi="Arial"/>
          <w:sz w:val="18"/>
          <w:szCs w:val="18"/>
          <w:color w:val="auto"/>
        </w:rPr>
        <w:t>”),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limit the Board’s or Committee’s authority to take any action permitted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The Board reserves the right to amend the Plan and/or the terms of any outstanding Stock Options to the extent reasonably necessary to comply with the requirements of the exemption pursuant to paragraph (f)(4) of Rule 12h-1 of the Exchange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464"/>
        <w:spacing w:after="0" w:line="279" w:lineRule="auto"/>
        <w:tabs>
          <w:tab w:leader="none" w:pos="701"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No Distribution; Compliance with Legal Requirements</w:t>
      </w:r>
      <w:r>
        <w:rPr>
          <w:rFonts w:ascii="Arial" w:cs="Arial" w:eastAsia="Arial" w:hAnsi="Arial"/>
          <w:sz w:val="17"/>
          <w:szCs w:val="17"/>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63" w:lineRule="exact"/>
        <w:rPr>
          <w:rFonts w:ascii="Arial" w:cs="Arial" w:eastAsia="Arial" w:hAnsi="Arial"/>
          <w:sz w:val="17"/>
          <w:szCs w:val="17"/>
          <w:color w:val="auto"/>
        </w:rPr>
      </w:pPr>
    </w:p>
    <w:p>
      <w:pPr>
        <w:ind w:right="20" w:firstLine="464"/>
        <w:spacing w:after="0" w:line="293" w:lineRule="auto"/>
        <w:tabs>
          <w:tab w:leader="none" w:pos="711"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xml:space="preserve">.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52" w:lineRule="exact"/>
        <w:rPr>
          <w:rFonts w:ascii="Arial" w:cs="Arial" w:eastAsia="Arial" w:hAnsi="Arial"/>
          <w:sz w:val="16"/>
          <w:szCs w:val="16"/>
          <w:color w:val="auto"/>
        </w:rPr>
      </w:pPr>
    </w:p>
    <w:p>
      <w:pPr>
        <w:ind w:right="340" w:firstLine="464"/>
        <w:spacing w:after="0" w:line="282" w:lineRule="auto"/>
        <w:tabs>
          <w:tab w:leader="none" w:pos="70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adoption of the Plan and the grant of Awards do not confer upon any Person any right to continued employment or Service Relationship with the Company or any Subsidiary.</w:t>
      </w:r>
    </w:p>
    <w:p>
      <w:pPr>
        <w:spacing w:after="0" w:line="57" w:lineRule="exact"/>
        <w:rPr>
          <w:rFonts w:ascii="Arial" w:cs="Arial" w:eastAsia="Arial" w:hAnsi="Arial"/>
          <w:sz w:val="18"/>
          <w:szCs w:val="18"/>
          <w:color w:val="auto"/>
        </w:rPr>
      </w:pPr>
    </w:p>
    <w:p>
      <w:pPr>
        <w:ind w:right="440" w:firstLine="464"/>
        <w:spacing w:after="0" w:line="342" w:lineRule="auto"/>
        <w:tabs>
          <w:tab w:leader="none" w:pos="711"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5" w:lineRule="exact"/>
        <w:rPr>
          <w:rFonts w:ascii="Arial" w:cs="Arial" w:eastAsia="Arial" w:hAnsi="Arial"/>
          <w:sz w:val="16"/>
          <w:szCs w:val="16"/>
          <w:color w:val="auto"/>
        </w:rPr>
      </w:pPr>
    </w:p>
    <w:p>
      <w:pPr>
        <w:jc w:val="both"/>
        <w:ind w:right="40" w:firstLine="464"/>
        <w:spacing w:after="0" w:line="302" w:lineRule="auto"/>
        <w:tabs>
          <w:tab w:leader="none" w:pos="701"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31" w:name="page332"/>
    <w:bookmarkEnd w:id="331"/>
    <w:p>
      <w:pPr>
        <w:ind w:right="120" w:firstLine="464"/>
        <w:spacing w:after="0" w:line="277" w:lineRule="auto"/>
        <w:tabs>
          <w:tab w:leader="none" w:pos="681"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62"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restrictions, terms and conditions (including repurchase and restrictions against transfers) contained in the AvroBio, Inc. Amended and Restated 2015 Stock Option and Grant Plan and any agreements entered into thereunder by and between the company and the holder of this certificate (a copy of which is available at the offices of the company for examination).</w:t>
      </w:r>
    </w:p>
    <w:p>
      <w:pPr>
        <w:spacing w:after="0" w:line="79" w:lineRule="exact"/>
        <w:rPr>
          <w:sz w:val="20"/>
          <w:szCs w:val="20"/>
          <w:color w:val="auto"/>
        </w:rPr>
      </w:pPr>
    </w:p>
    <w:p>
      <w:pPr>
        <w:ind w:right="60" w:firstLine="464"/>
        <w:spacing w:after="0" w:line="257" w:lineRule="auto"/>
        <w:tabs>
          <w:tab w:leader="none" w:pos="711"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Information to Holders of Options</w:t>
      </w:r>
      <w:r>
        <w:rPr>
          <w:rFonts w:ascii="Arial" w:cs="Arial" w:eastAsia="Arial" w:hAnsi="Arial"/>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ADOPTED BY THE BOARD OF DIRECTORS: July 21, 2016</w:t>
      </w:r>
    </w:p>
    <w:p>
      <w:pPr>
        <w:spacing w:after="0" w:line="225"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DATE APPROVED BY THE STOCKHOLDERS:</w:t>
      </w:r>
      <w:r>
        <w:rPr>
          <w:sz w:val="20"/>
          <w:szCs w:val="20"/>
          <w:color w:val="auto"/>
        </w:rPr>
        <w:tab/>
      </w:r>
      <w:r>
        <w:rPr>
          <w:rFonts w:ascii="Arial" w:cs="Arial" w:eastAsia="Arial" w:hAnsi="Arial"/>
          <w:sz w:val="16"/>
          <w:szCs w:val="16"/>
          <w:color w:val="auto"/>
        </w:rPr>
        <w:t>July 21,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32" w:name="page333"/>
    <w:bookmarkEnd w:id="3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 TO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2015 STOCK OPTION AND GRANT PLAN</w:t>
      </w:r>
    </w:p>
    <w:p>
      <w:pPr>
        <w:spacing w:after="0" w:line="22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WHEREAS, the Board of Directors of AvroBio,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Amended and Restated 2015 Stock Option and Grant Plan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July 21, 2016, and the stockholders of the Company approved and adopted the Plan on July 21, 2016; and</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Board of Directors and the stockholders of the Company have determined that it is in the best interest of the Company to amend the Plan as set forth in this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Plan is amended as follows:</w:t>
      </w:r>
    </w:p>
    <w:p>
      <w:pPr>
        <w:spacing w:after="0" w:line="370"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Section 3(a) of the Plan is hereby amended and restated in its entirety to read as follows:</w:t>
      </w:r>
    </w:p>
    <w:p>
      <w:pPr>
        <w:spacing w:after="0" w:line="121" w:lineRule="exact"/>
        <w:rPr>
          <w:rFonts w:ascii="Arial" w:cs="Arial" w:eastAsia="Arial" w:hAnsi="Arial"/>
          <w:sz w:val="18"/>
          <w:szCs w:val="18"/>
          <w:b w:val="1"/>
          <w:bCs w:val="1"/>
          <w:color w:val="auto"/>
        </w:rPr>
      </w:pPr>
    </w:p>
    <w:p>
      <w:pPr>
        <w:ind w:firstLine="464"/>
        <w:spacing w:after="0" w:line="271" w:lineRule="auto"/>
        <w:tabs>
          <w:tab w:leader="none" w:pos="701" w:val="left"/>
        </w:tabs>
        <w:numPr>
          <w:ilvl w:val="1"/>
          <w:numId w:val="2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5,536,966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55,369,660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5,536,966 Shares shall be granted to any one individual in any calendar year period.</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 </w:t>
      </w:r>
      <w:r>
        <w:rPr>
          <w:rFonts w:ascii="Arial" w:cs="Arial" w:eastAsia="Arial" w:hAnsi="Arial"/>
          <w:sz w:val="18"/>
          <w:szCs w:val="18"/>
          <w:u w:val="single" w:color="auto"/>
          <w:color w:val="auto"/>
        </w:rPr>
        <w:t>Effect</w:t>
      </w:r>
      <w:r>
        <w:rPr>
          <w:rFonts w:ascii="Arial" w:cs="Arial" w:eastAsia="Arial" w:hAnsi="Arial"/>
          <w:sz w:val="18"/>
          <w:szCs w:val="18"/>
          <w:color w:val="auto"/>
        </w:rPr>
        <w:t>. Except as amended hereby, the Plan shall remain in full force and effect.</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specifically defined herein shall have the same meanings given such terms in the Plan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clearly indicates or dictates a contrary meaning.</w:t>
      </w:r>
    </w:p>
    <w:p>
      <w:pPr>
        <w:spacing w:after="0" w:line="5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2.03.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General Corporation Law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 March 30, 2017</w:t>
      </w:r>
    </w:p>
    <w:p>
      <w:pPr>
        <w:spacing w:after="0" w:line="225"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APPROVED BY STOCKHOLDERS:</w:t>
      </w:r>
      <w:r>
        <w:rPr>
          <w:sz w:val="20"/>
          <w:szCs w:val="20"/>
          <w:color w:val="auto"/>
        </w:rPr>
        <w:tab/>
      </w:r>
      <w:r>
        <w:rPr>
          <w:rFonts w:ascii="Arial" w:cs="Arial" w:eastAsia="Arial" w:hAnsi="Arial"/>
          <w:sz w:val="16"/>
          <w:szCs w:val="16"/>
          <w:color w:val="auto"/>
        </w:rPr>
        <w:t>March 30, 2017</w:t>
      </w:r>
    </w:p>
    <w:p>
      <w:pPr>
        <w:sectPr>
          <w:pgSz w:w="11900" w:h="16838" w:orient="portrait"/>
          <w:cols w:equalWidth="0" w:num="1">
            <w:col w:w="11340"/>
          </w:cols>
          <w:pgMar w:left="240" w:top="269" w:right="319" w:bottom="1440" w:gutter="0" w:footer="0" w:header="0"/>
        </w:sectPr>
      </w:pPr>
    </w:p>
    <w:bookmarkStart w:id="333" w:name="page334"/>
    <w:bookmarkEnd w:id="3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STOCK OPTION GRANT NOTICE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Pursuant to the AVROBIO, Inc. 2015 Stock Option and Grant Plan (the “</w:t>
      </w:r>
      <w:r>
        <w:rPr>
          <w:rFonts w:ascii="Arial" w:cs="Arial" w:eastAsia="Arial" w:hAnsi="Arial"/>
          <w:sz w:val="17"/>
          <w:szCs w:val="17"/>
          <w:u w:val="single" w:color="auto"/>
          <w:color w:val="auto"/>
        </w:rPr>
        <w:t>Plan</w:t>
      </w:r>
      <w:r>
        <w:rPr>
          <w:rFonts w:ascii="Arial" w:cs="Arial" w:eastAsia="Arial" w:hAnsi="Arial"/>
          <w:sz w:val="17"/>
          <w:szCs w:val="17"/>
          <w:color w:val="auto"/>
        </w:rPr>
        <w:t>”), AVROBIO, Inc., a Delaware corporation (together with any successor,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to the individual named below, an option (the “</w:t>
      </w:r>
      <w:r>
        <w:rPr>
          <w:rFonts w:ascii="Arial" w:cs="Arial" w:eastAsia="Arial" w:hAnsi="Arial"/>
          <w:sz w:val="17"/>
          <w:szCs w:val="17"/>
          <w:u w:val="single" w:color="auto"/>
          <w:color w:val="auto"/>
        </w:rPr>
        <w:t>Stock Option</w:t>
      </w:r>
      <w:r>
        <w:rPr>
          <w:rFonts w:ascii="Arial" w:cs="Arial" w:eastAsia="Arial" w:hAnsi="Arial"/>
          <w:sz w:val="17"/>
          <w:szCs w:val="17"/>
          <w:color w:val="auto"/>
        </w:rPr>
        <w:t>”) to purchase on or prior to the Expiration Date, or such earlier date as is specified herein, all or any part of the number of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indicated below (the “</w:t>
      </w:r>
      <w:r>
        <w:rPr>
          <w:rFonts w:ascii="Arial" w:cs="Arial" w:eastAsia="Arial" w:hAnsi="Arial"/>
          <w:sz w:val="17"/>
          <w:szCs w:val="17"/>
          <w:u w:val="single" w:color="auto"/>
          <w:color w:val="auto"/>
        </w:rPr>
        <w:t>Shares</w:t>
      </w:r>
      <w:r>
        <w:rPr>
          <w:rFonts w:ascii="Arial" w:cs="Arial" w:eastAsia="Arial" w:hAnsi="Arial"/>
          <w:sz w:val="17"/>
          <w:szCs w:val="17"/>
          <w:color w:val="auto"/>
        </w:rPr>
        <w:t>”), at the Option Exercise Price per share, subject to the terms and conditions set forth in this Incentive Stock Option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the attached Incentive Stock Option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This Stock Option is intended to qualify as an “incentive stock option” as defined in Section 422(b) of the Internal Revenue Code of 1986, as amended from time to time (the “</w:t>
      </w:r>
      <w:r>
        <w:rPr>
          <w:rFonts w:ascii="Arial" w:cs="Arial" w:eastAsia="Arial" w:hAnsi="Arial"/>
          <w:sz w:val="17"/>
          <w:szCs w:val="17"/>
          <w:u w:val="single" w:color="auto"/>
          <w:color w:val="auto"/>
        </w:rPr>
        <w:t>Code</w:t>
      </w:r>
      <w:r>
        <w:rPr>
          <w:rFonts w:ascii="Arial" w:cs="Arial" w:eastAsia="Arial" w:hAnsi="Arial"/>
          <w:sz w:val="17"/>
          <w:szCs w:val="17"/>
          <w:color w:val="auto"/>
        </w:rPr>
        <w:t>”). To the extent that any portion of the Stock Option does not so qualify, it shall be deemed a non-qualified stock option.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“Optionee”)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8"/>
                <w:szCs w:val="18"/>
                <w:color w:val="auto"/>
              </w:rPr>
              <w:t>No. of Shares:</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 Shares of Common Stock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84"/>
        </w:trPr>
        <w:tc>
          <w:tcPr>
            <w:tcW w:w="30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“Vesting Commencement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“Expiration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 (the “Option Exercise Price”)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Vesting Schedule: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[25] percent of the Shares shall vest and become exercisable on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5"/>
              </w:rPr>
              <w:t>Commencement Date; provided that the Optionee continues to have a Service Relationship with the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Company at such time. Thereafter, the remaining [75] percent of the Shares shall vest and become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exercisable in [36] equal monthly installments following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0"/>
              </w:rPr>
              <w:t>Commencement Date, provided the Optionee continues to have a Service Relationship with the Company</w:t>
            </w:r>
          </w:p>
        </w:tc>
      </w:tr>
      <w:tr>
        <w:trPr>
          <w:trHeight w:val="212"/>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1"/>
              </w:rPr>
              <w:t>at such time. Notwithstanding anything in the Agreement to the contrary, in the case of a Sale Event, this</w:t>
            </w:r>
          </w:p>
        </w:tc>
      </w:tr>
      <w:tr>
        <w:trPr>
          <w:trHeight w:val="234"/>
        </w:trPr>
        <w:tc>
          <w:tcPr>
            <w:tcW w:w="3000" w:type="dxa"/>
            <w:vAlign w:val="bottom"/>
          </w:tcPr>
          <w:p>
            <w:pPr>
              <w:spacing w:after="0"/>
              <w:rPr>
                <w:sz w:val="20"/>
                <w:szCs w:val="20"/>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Stock Option and the Shares shall be treated as provided in Section 3(c) of the Plan</w:t>
            </w:r>
            <w:r>
              <w:rPr>
                <w:rFonts w:ascii="Arial" w:cs="Arial" w:eastAsia="Arial" w:hAnsi="Arial"/>
                <w:sz w:val="18"/>
                <w:szCs w:val="18"/>
                <w:b w:val="1"/>
                <w:bCs w:val="1"/>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Incentive Stock Option Agreement, 2015 Stock Option and Grant Plan</w:t>
      </w:r>
    </w:p>
    <w:p>
      <w:pPr>
        <w:sectPr>
          <w:pgSz w:w="11900" w:h="16838" w:orient="portrait"/>
          <w:cols w:equalWidth="0" w:num="1">
            <w:col w:w="11380"/>
          </w:cols>
          <w:pgMar w:left="240" w:top="269" w:right="279" w:bottom="1440" w:gutter="0" w:footer="0" w:header="0"/>
        </w:sectPr>
      </w:pPr>
    </w:p>
    <w:bookmarkStart w:id="334" w:name="page335"/>
    <w:bookmarkEnd w:id="3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129" w:lineRule="exact"/>
        <w:rPr>
          <w:sz w:val="20"/>
          <w:szCs w:val="20"/>
          <w:color w:val="auto"/>
        </w:rPr>
      </w:pPr>
    </w:p>
    <w:p>
      <w:pPr>
        <w:ind w:left="640" w:hanging="176"/>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117" w:lineRule="exact"/>
        <w:rPr>
          <w:rFonts w:ascii="Arial" w:cs="Arial" w:eastAsia="Arial" w:hAnsi="Arial"/>
          <w:sz w:val="18"/>
          <w:szCs w:val="18"/>
          <w:color w:val="auto"/>
        </w:rPr>
      </w:pPr>
    </w:p>
    <w:p>
      <w:pPr>
        <w:ind w:right="740" w:firstLine="921"/>
        <w:spacing w:after="0" w:line="277" w:lineRule="auto"/>
        <w:tabs>
          <w:tab w:leader="none" w:pos="116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This Stock Option shall vest and become exercisable in accordance with the Vesting Schedule set forth in the Grant Notice.</w:t>
      </w:r>
    </w:p>
    <w:p>
      <w:pPr>
        <w:spacing w:after="0" w:line="128" w:lineRule="exact"/>
        <w:rPr>
          <w:rFonts w:ascii="Arial" w:cs="Arial" w:eastAsia="Arial" w:hAnsi="Arial"/>
          <w:sz w:val="17"/>
          <w:szCs w:val="17"/>
          <w:color w:val="auto"/>
        </w:rPr>
      </w:pPr>
    </w:p>
    <w:p>
      <w:pPr>
        <w:jc w:val="both"/>
        <w:ind w:right="40" w:firstLine="921"/>
        <w:spacing w:after="0" w:line="264" w:lineRule="auto"/>
        <w:tabs>
          <w:tab w:leader="none" w:pos="1157"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3" w:lineRule="exact"/>
        <w:rPr>
          <w:rFonts w:ascii="Arial" w:cs="Arial" w:eastAsia="Arial" w:hAnsi="Arial"/>
          <w:sz w:val="18"/>
          <w:szCs w:val="18"/>
          <w:color w:val="auto"/>
        </w:rPr>
      </w:pPr>
    </w:p>
    <w:p>
      <w:pPr>
        <w:ind w:left="460" w:right="600" w:firstLine="881"/>
        <w:spacing w:after="0" w:line="312" w:lineRule="auto"/>
        <w:tabs>
          <w:tab w:leader="none" w:pos="1551" w:val="left"/>
        </w:tabs>
        <w:numPr>
          <w:ilvl w:val="2"/>
          <w:numId w:val="254"/>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38" w:lineRule="exact"/>
        <w:rPr>
          <w:rFonts w:ascii="Arial" w:cs="Arial" w:eastAsia="Arial" w:hAnsi="Arial"/>
          <w:sz w:val="16"/>
          <w:szCs w:val="16"/>
          <w:color w:val="auto"/>
        </w:rPr>
      </w:pPr>
    </w:p>
    <w:p>
      <w:pPr>
        <w:jc w:val="both"/>
        <w:ind w:left="460" w:firstLine="881"/>
        <w:spacing w:after="0" w:line="259" w:lineRule="auto"/>
        <w:tabs>
          <w:tab w:leader="none" w:pos="1601" w:val="left"/>
        </w:tabs>
        <w:numPr>
          <w:ilvl w:val="2"/>
          <w:numId w:val="254"/>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335" w:name="page336"/>
    <w:bookmarkEnd w:id="335"/>
    <w:p>
      <w:pPr>
        <w:ind w:left="-20" w:firstLine="921"/>
        <w:spacing w:after="0" w:line="270" w:lineRule="auto"/>
        <w:tabs>
          <w:tab w:leader="none" w:pos="1148" w:val="left"/>
        </w:tabs>
        <w:numPr>
          <w:ilvl w:val="1"/>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69" w:lineRule="exact"/>
        <w:rPr>
          <w:rFonts w:ascii="Arial" w:cs="Arial" w:eastAsia="Arial" w:hAnsi="Arial"/>
          <w:sz w:val="17"/>
          <w:szCs w:val="17"/>
          <w:color w:val="auto"/>
        </w:rPr>
      </w:pPr>
    </w:p>
    <w:p>
      <w:pPr>
        <w:ind w:left="620" w:hanging="176"/>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21"/>
        <w:spacing w:after="0" w:line="276" w:lineRule="auto"/>
        <w:tabs>
          <w:tab w:leader="none" w:pos="1138"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4" w:lineRule="exact"/>
        <w:rPr>
          <w:rFonts w:ascii="Arial" w:cs="Arial" w:eastAsia="Arial" w:hAnsi="Arial"/>
          <w:sz w:val="17"/>
          <w:szCs w:val="17"/>
          <w:color w:val="auto"/>
        </w:rPr>
      </w:pPr>
    </w:p>
    <w:p>
      <w:pPr>
        <w:ind w:left="1160" w:hanging="259"/>
        <w:spacing w:after="0"/>
        <w:tabs>
          <w:tab w:leader="none" w:pos="11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128" w:lineRule="exact"/>
        <w:rPr>
          <w:rFonts w:ascii="Arial" w:cs="Arial" w:eastAsia="Arial" w:hAnsi="Arial"/>
          <w:sz w:val="17"/>
          <w:szCs w:val="17"/>
          <w:color w:val="auto"/>
        </w:rPr>
      </w:pPr>
    </w:p>
    <w:p>
      <w:pPr>
        <w:ind w:left="-20" w:right="520" w:firstLine="464"/>
        <w:spacing w:after="0" w:line="277" w:lineRule="auto"/>
        <w:tabs>
          <w:tab w:leader="none" w:pos="61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2" w:lineRule="exact"/>
        <w:rPr>
          <w:rFonts w:ascii="Arial" w:cs="Arial" w:eastAsia="Arial" w:hAnsi="Arial"/>
          <w:sz w:val="18"/>
          <w:szCs w:val="18"/>
          <w:color w:val="auto"/>
        </w:rPr>
      </w:pPr>
    </w:p>
    <w:p>
      <w:pPr>
        <w:ind w:left="-20" w:right="60" w:firstLine="464"/>
        <w:spacing w:after="0" w:line="272" w:lineRule="auto"/>
        <w:tabs>
          <w:tab w:leader="none" w:pos="616"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336" w:name="page337"/>
    <w:bookmarkEnd w:id="336"/>
    <w:p>
      <w:pPr>
        <w:ind w:left="-20" w:right="220" w:firstLine="464"/>
        <w:spacing w:after="0" w:line="277" w:lineRule="auto"/>
        <w:tabs>
          <w:tab w:leader="none" w:pos="616"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00" w:firstLine="921"/>
        <w:spacing w:after="0" w:line="308" w:lineRule="auto"/>
        <w:tabs>
          <w:tab w:leader="none" w:pos="1137"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8" w:lineRule="exact"/>
        <w:rPr>
          <w:rFonts w:ascii="Arial" w:cs="Arial" w:eastAsia="Arial" w:hAnsi="Arial"/>
          <w:sz w:val="17"/>
          <w:szCs w:val="17"/>
          <w:color w:val="auto"/>
        </w:rPr>
      </w:pPr>
    </w:p>
    <w:p>
      <w:pPr>
        <w:ind w:left="-20" w:right="20" w:firstLine="921"/>
        <w:spacing w:after="0" w:line="257" w:lineRule="auto"/>
        <w:tabs>
          <w:tab w:leader="none" w:pos="1148"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80" w:lineRule="exact"/>
        <w:rPr>
          <w:rFonts w:ascii="Arial" w:cs="Arial" w:eastAsia="Arial" w:hAnsi="Arial"/>
          <w:sz w:val="18"/>
          <w:szCs w:val="18"/>
          <w:color w:val="auto"/>
        </w:rPr>
      </w:pPr>
    </w:p>
    <w:p>
      <w:pPr>
        <w:ind w:left="-20" w:right="140" w:firstLine="921"/>
        <w:spacing w:after="0" w:line="342" w:lineRule="auto"/>
        <w:tabs>
          <w:tab w:leader="none" w:pos="113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5" w:lineRule="exact"/>
        <w:rPr>
          <w:rFonts w:ascii="Arial" w:cs="Arial" w:eastAsia="Arial" w:hAnsi="Arial"/>
          <w:sz w:val="16"/>
          <w:szCs w:val="16"/>
          <w:color w:val="auto"/>
        </w:rPr>
      </w:pPr>
    </w:p>
    <w:p>
      <w:pPr>
        <w:jc w:val="both"/>
        <w:ind w:left="-20" w:right="600" w:firstLine="921"/>
        <w:spacing w:after="0" w:line="259" w:lineRule="auto"/>
        <w:tabs>
          <w:tab w:leader="none" w:pos="1148"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78" w:lineRule="exact"/>
        <w:rPr>
          <w:rFonts w:ascii="Arial" w:cs="Arial" w:eastAsia="Arial" w:hAnsi="Arial"/>
          <w:sz w:val="18"/>
          <w:szCs w:val="18"/>
          <w:color w:val="auto"/>
        </w:rPr>
      </w:pPr>
    </w:p>
    <w:p>
      <w:pPr>
        <w:ind w:left="-20" w:right="780" w:firstLine="921"/>
        <w:spacing w:after="0" w:line="277" w:lineRule="auto"/>
        <w:tabs>
          <w:tab w:leader="none" w:pos="113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2" w:lineRule="exact"/>
        <w:rPr>
          <w:rFonts w:ascii="Arial" w:cs="Arial" w:eastAsia="Arial" w:hAnsi="Arial"/>
          <w:sz w:val="18"/>
          <w:szCs w:val="18"/>
          <w:color w:val="auto"/>
        </w:rPr>
      </w:pPr>
    </w:p>
    <w:p>
      <w:pPr>
        <w:ind w:left="-20" w:firstLine="921"/>
        <w:spacing w:after="0" w:line="277" w:lineRule="auto"/>
        <w:tabs>
          <w:tab w:leader="none" w:pos="1118"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2" w:lineRule="exact"/>
        <w:rPr>
          <w:rFonts w:ascii="Arial" w:cs="Arial" w:eastAsia="Arial" w:hAnsi="Arial"/>
          <w:sz w:val="18"/>
          <w:szCs w:val="18"/>
          <w:color w:val="auto"/>
        </w:rPr>
      </w:pPr>
    </w:p>
    <w:p>
      <w:pPr>
        <w:ind w:left="-20" w:right="60" w:firstLine="921"/>
        <w:spacing w:after="0" w:line="259" w:lineRule="auto"/>
        <w:tabs>
          <w:tab w:leader="none" w:pos="1148"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8" w:lineRule="exact"/>
        <w:rPr>
          <w:rFonts w:ascii="Arial" w:cs="Arial" w:eastAsia="Arial" w:hAnsi="Arial"/>
          <w:sz w:val="18"/>
          <w:szCs w:val="18"/>
          <w:color w:val="auto"/>
        </w:rPr>
      </w:pPr>
    </w:p>
    <w:p>
      <w:pPr>
        <w:ind w:left="-20" w:firstLine="921"/>
        <w:spacing w:after="0" w:line="264" w:lineRule="auto"/>
        <w:tabs>
          <w:tab w:leader="none" w:pos="1148"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337" w:name="page338"/>
    <w:bookmarkEnd w:id="337"/>
    <w:p>
      <w:pPr>
        <w:ind w:left="-20" w:firstLine="921"/>
        <w:spacing w:after="0" w:line="277" w:lineRule="auto"/>
        <w:tabs>
          <w:tab w:leader="none" w:pos="110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62" w:lineRule="exact"/>
        <w:rPr>
          <w:rFonts w:ascii="Arial" w:cs="Arial" w:eastAsia="Arial" w:hAnsi="Arial"/>
          <w:sz w:val="18"/>
          <w:szCs w:val="18"/>
          <w:color w:val="auto"/>
        </w:rPr>
      </w:pPr>
    </w:p>
    <w:p>
      <w:pPr>
        <w:ind w:left="-20" w:right="320" w:firstLine="921"/>
        <w:spacing w:after="0" w:line="277" w:lineRule="auto"/>
        <w:tabs>
          <w:tab w:leader="none" w:pos="110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21"/>
        <w:spacing w:after="0" w:line="257" w:lineRule="auto"/>
        <w:tabs>
          <w:tab w:leader="none" w:pos="113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 16, and judgment upon the award rendered by the arbitrators may be entered by any court having jurisdiction thereof. The place of arbitration shall be Boston, MA.</w:t>
      </w:r>
    </w:p>
    <w:p>
      <w:pPr>
        <w:spacing w:after="0" w:line="80" w:lineRule="exact"/>
        <w:rPr>
          <w:rFonts w:ascii="Arial" w:cs="Arial" w:eastAsia="Arial" w:hAnsi="Arial"/>
          <w:sz w:val="18"/>
          <w:szCs w:val="18"/>
          <w:color w:val="auto"/>
        </w:rPr>
      </w:pPr>
    </w:p>
    <w:p>
      <w:pPr>
        <w:ind w:left="-20" w:right="20" w:firstLine="921"/>
        <w:spacing w:after="0" w:line="270" w:lineRule="auto"/>
        <w:tabs>
          <w:tab w:leader="none" w:pos="1148"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ind w:left="-20" w:right="100" w:firstLine="921"/>
        <w:spacing w:after="0" w:line="259" w:lineRule="auto"/>
        <w:tabs>
          <w:tab w:leader="none" w:pos="113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Company, the Optionee,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3" w:right="239" w:bottom="1440" w:gutter="0" w:footer="0" w:header="0"/>
        </w:sectPr>
      </w:pPr>
    </w:p>
    <w:bookmarkStart w:id="338" w:name="page339"/>
    <w:bookmarkEnd w:id="338"/>
    <w:p>
      <w:pPr>
        <w:ind w:left="-60" w:firstLine="921"/>
        <w:spacing w:after="0" w:line="270" w:lineRule="auto"/>
        <w:tabs>
          <w:tab w:leader="none" w:pos="1108"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00" w:top="273" w:right="279" w:bottom="1440" w:gutter="0" w:footer="0" w:header="0"/>
        </w:sectPr>
      </w:pPr>
    </w:p>
    <w:bookmarkStart w:id="339" w:name="page340"/>
    <w:bookmarkEnd w:id="339"/>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461010</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ISO A</w:t>
      </w:r>
      <w:r>
        <w:rPr>
          <w:rFonts w:ascii="Arial" w:cs="Arial" w:eastAsia="Arial" w:hAnsi="Arial"/>
          <w:sz w:val="15"/>
          <w:szCs w:val="15"/>
          <w:b w:val="1"/>
          <w:bCs w:val="1"/>
          <w:color w:val="auto"/>
        </w:rPr>
        <w:t>GREEMENT</w:t>
      </w:r>
    </w:p>
    <w:p>
      <w:pPr>
        <w:sectPr>
          <w:pgSz w:w="11900" w:h="16838" w:orient="portrait"/>
          <w:cols w:equalWidth="0" w:num="1">
            <w:col w:w="11300"/>
          </w:cols>
          <w:pgMar w:left="240" w:top="274" w:right="359"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926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23926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23926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terms of the grant notice and stock option agreement between the undersigned and AVROBIO, Inc. (the “Company”) dated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“Agreement”) under the AVROBIO, Inc. 2015 Stock Option and Grant Plan, I, [Insert Name] , hereby [Circle One] partially/fully exercise such option by including herein payment in the amount of $ representing the purchase price for [Fill in number of Shares] Shares. I have chosen the following form(s) of payment:</w:t>
      </w:r>
    </w:p>
    <w:p>
      <w:pPr>
        <w:spacing w:after="0" w:line="217" w:lineRule="exact"/>
        <w:rPr>
          <w:sz w:val="20"/>
          <w:szCs w:val="20"/>
          <w:color w:val="auto"/>
        </w:rPr>
      </w:pPr>
    </w:p>
    <w:p>
      <w:pPr>
        <w:ind w:left="1420" w:hanging="264"/>
        <w:spacing w:after="0"/>
        <w:tabs>
          <w:tab w:leader="none" w:pos="142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AVROBIO, Inc.</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117" w:lineRule="exact"/>
        <w:rPr>
          <w:rFonts w:ascii="MS PGothic" w:cs="MS PGothic" w:eastAsia="MS PGothic" w:hAnsi="MS PGothic"/>
          <w:sz w:val="18"/>
          <w:szCs w:val="18"/>
          <w:color w:val="auto"/>
        </w:rPr>
      </w:pPr>
    </w:p>
    <w:p>
      <w:pPr>
        <w:ind w:left="16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_____________________________________________________________________________________________.</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560" w:hanging="219"/>
        <w:spacing w:after="0"/>
        <w:tabs>
          <w:tab w:leader="none" w:pos="15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 distribution thereof.</w:t>
      </w:r>
    </w:p>
    <w:p>
      <w:pPr>
        <w:spacing w:after="0" w:line="128" w:lineRule="exact"/>
        <w:rPr>
          <w:rFonts w:ascii="Arial" w:cs="Arial" w:eastAsia="Arial" w:hAnsi="Arial"/>
          <w:sz w:val="17"/>
          <w:szCs w:val="17"/>
          <w:color w:val="auto"/>
        </w:rPr>
      </w:pPr>
    </w:p>
    <w:p>
      <w:pPr>
        <w:ind w:left="460" w:firstLine="881"/>
        <w:spacing w:after="0" w:line="264" w:lineRule="auto"/>
        <w:tabs>
          <w:tab w:leader="none" w:pos="16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3" w:lineRule="exact"/>
        <w:rPr>
          <w:rFonts w:ascii="Arial" w:cs="Arial" w:eastAsia="Arial" w:hAnsi="Arial"/>
          <w:sz w:val="18"/>
          <w:szCs w:val="18"/>
          <w:color w:val="auto"/>
        </w:rPr>
      </w:pPr>
    </w:p>
    <w:p>
      <w:pPr>
        <w:ind w:left="460" w:firstLine="881"/>
        <w:spacing w:after="0" w:line="277" w:lineRule="auto"/>
        <w:tabs>
          <w:tab w:leader="none" w:pos="165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 of time.</w:t>
      </w:r>
    </w:p>
    <w:p>
      <w:pPr>
        <w:spacing w:after="0" w:line="102" w:lineRule="exact"/>
        <w:rPr>
          <w:rFonts w:ascii="Arial" w:cs="Arial" w:eastAsia="Arial" w:hAnsi="Arial"/>
          <w:sz w:val="16"/>
          <w:szCs w:val="16"/>
          <w:color w:val="auto"/>
        </w:rPr>
      </w:pPr>
    </w:p>
    <w:p>
      <w:pPr>
        <w:ind w:left="460" w:right="40" w:firstLine="881"/>
        <w:spacing w:after="0" w:line="286" w:lineRule="auto"/>
        <w:tabs>
          <w:tab w:leader="none" w:pos="159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w:t>
      </w:r>
    </w:p>
    <w:p>
      <w:pPr>
        <w:sectPr>
          <w:pgSz w:w="11900" w:h="16838" w:orient="portrait"/>
          <w:cols w:equalWidth="0" w:num="1">
            <w:col w:w="11420"/>
          </w:cols>
          <w:pgMar w:left="240" w:top="270" w:right="239" w:bottom="1440" w:gutter="0" w:footer="0" w:header="0"/>
        </w:sectPr>
      </w:pPr>
    </w:p>
    <w:bookmarkStart w:id="341" w:name="page342"/>
    <w:bookmarkEnd w:id="341"/>
    <w:p>
      <w:pPr>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3" w:lineRule="exact"/>
        <w:rPr>
          <w:sz w:val="20"/>
          <w:szCs w:val="20"/>
          <w:color w:val="auto"/>
        </w:rPr>
      </w:pPr>
    </w:p>
    <w:p>
      <w:pPr>
        <w:ind w:right="420" w:firstLine="881"/>
        <w:spacing w:after="0" w:line="277" w:lineRule="auto"/>
        <w:tabs>
          <w:tab w:leader="none" w:pos="118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240" w:hanging="359"/>
        <w:spacing w:after="0"/>
        <w:tabs>
          <w:tab w:leader="none" w:pos="12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 Plan.</w:t>
      </w:r>
    </w:p>
    <w:p>
      <w:pPr>
        <w:spacing w:after="0" w:line="140" w:lineRule="exact"/>
        <w:rPr>
          <w:rFonts w:ascii="Arial" w:cs="Arial" w:eastAsia="Arial" w:hAnsi="Arial"/>
          <w:sz w:val="16"/>
          <w:szCs w:val="16"/>
          <w:color w:val="auto"/>
        </w:rPr>
      </w:pPr>
    </w:p>
    <w:p>
      <w:pPr>
        <w:ind w:left="1280" w:hanging="399"/>
        <w:spacing w:after="0"/>
        <w:tabs>
          <w:tab w:leader="none" w:pos="12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 Plan.</w:t>
      </w:r>
    </w:p>
    <w:p>
      <w:pPr>
        <w:spacing w:after="0" w:line="140" w:lineRule="exact"/>
        <w:rPr>
          <w:rFonts w:ascii="Arial" w:cs="Arial" w:eastAsia="Arial" w:hAnsi="Arial"/>
          <w:sz w:val="16"/>
          <w:szCs w:val="16"/>
          <w:color w:val="auto"/>
        </w:rPr>
      </w:pPr>
    </w:p>
    <w:p>
      <w:pPr>
        <w:ind w:firstLine="881"/>
        <w:spacing w:after="0" w:line="277" w:lineRule="auto"/>
        <w:tabs>
          <w:tab w:leader="none" w:pos="118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581025</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40"/>
          </w:cols>
          <w:pgMar w:left="700" w:top="274" w:right="25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GRANT NOTICE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Pursuant to the AVROBIO, Inc. 2015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AVROBIO, Inc., a Delaware corporation (together with any successor, the “</w:t>
      </w:r>
      <w:r>
        <w:rPr>
          <w:rFonts w:ascii="Arial" w:cs="Arial" w:eastAsia="Arial" w:hAnsi="Arial"/>
          <w:sz w:val="16"/>
          <w:szCs w:val="16"/>
          <w:u w:val="single" w:color="auto"/>
          <w:color w:val="auto"/>
        </w:rPr>
        <w:t>Company</w:t>
      </w:r>
      <w:r>
        <w:rPr>
          <w:rFonts w:ascii="Arial" w:cs="Arial" w:eastAsia="Arial" w:hAnsi="Arial"/>
          <w:sz w:val="16"/>
          <w:szCs w:val="16"/>
          <w:color w:val="auto"/>
        </w:rPr>
        <w:t>”), has granted to the individual named below, an option (the “</w:t>
      </w:r>
      <w:r>
        <w:rPr>
          <w:rFonts w:ascii="Arial" w:cs="Arial" w:eastAsia="Arial" w:hAnsi="Arial"/>
          <w:sz w:val="16"/>
          <w:szCs w:val="16"/>
          <w:u w:val="single" w:color="auto"/>
          <w:color w:val="auto"/>
        </w:rPr>
        <w:t>Stock Option</w:t>
      </w:r>
      <w:r>
        <w:rPr>
          <w:rFonts w:ascii="Arial" w:cs="Arial" w:eastAsia="Arial" w:hAnsi="Arial"/>
          <w:sz w:val="16"/>
          <w:szCs w:val="16"/>
          <w:color w:val="auto"/>
        </w:rPr>
        <w:t>”) to purchase on or prior to the Expiration Date, or such earlier date as is specified herein, all or any part of the number of shares of Common Stock,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indicated below (the “</w:t>
      </w:r>
      <w:r>
        <w:rPr>
          <w:rFonts w:ascii="Arial" w:cs="Arial" w:eastAsia="Arial" w:hAnsi="Arial"/>
          <w:sz w:val="16"/>
          <w:szCs w:val="16"/>
          <w:u w:val="single" w:color="auto"/>
          <w:color w:val="auto"/>
        </w:rPr>
        <w:t>Shares</w:t>
      </w:r>
      <w:r>
        <w:rPr>
          <w:rFonts w:ascii="Arial" w:cs="Arial" w:eastAsia="Arial" w:hAnsi="Arial"/>
          <w:sz w:val="16"/>
          <w:szCs w:val="16"/>
          <w:color w:val="auto"/>
        </w:rPr>
        <w:t>”), at the Option Exercise Price per share, subject to the terms and conditions set forth in this Non-Qualified Stock Option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the attached Non-Qualified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This Stock Option is not intended to qualify as an “incentive stock option” as defined in Section 422(b) of the Internal Revenue Code of 1986, as amended from time to time (the “Code”).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“Optionee”)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8"/>
                <w:szCs w:val="18"/>
                <w:color w:val="auto"/>
              </w:rPr>
              <w:t>No. of Shares:</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 Shares of Common Stock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84"/>
        </w:trPr>
        <w:tc>
          <w:tcPr>
            <w:tcW w:w="30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“Vesting Commencement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“Expiration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 (the “Option Exercise Price”)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Vesting Schedule: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[25] percent of the Shares shall vest and become exercisable on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5"/>
              </w:rPr>
              <w:t>Commencement Date, provided that the Optionee continues to have a Service Relationship with the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Company at such time. Thereafter, the remaining [75] percent of the Shares shall vest and become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exercisable in [36] equal monthly installments following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0"/>
              </w:rPr>
              <w:t>Commencement Date, provided the Optionee continues to have a Service Relationship with the Company</w:t>
            </w:r>
          </w:p>
        </w:tc>
      </w:tr>
      <w:tr>
        <w:trPr>
          <w:trHeight w:val="212"/>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1"/>
              </w:rPr>
              <w:t>at such time. Notwithstanding anything in the Agreement to the contrary, in the case of a Sale Event, this</w:t>
            </w:r>
          </w:p>
        </w:tc>
      </w:tr>
      <w:tr>
        <w:trPr>
          <w:trHeight w:val="234"/>
        </w:trPr>
        <w:tc>
          <w:tcPr>
            <w:tcW w:w="3000" w:type="dxa"/>
            <w:vAlign w:val="bottom"/>
          </w:tcPr>
          <w:p>
            <w:pPr>
              <w:spacing w:after="0"/>
              <w:rPr>
                <w:sz w:val="20"/>
                <w:szCs w:val="20"/>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Stock Option and the Shares shall be treated as provided in Section 3(c) of the Plan</w:t>
            </w:r>
            <w:r>
              <w:rPr>
                <w:rFonts w:ascii="Arial" w:cs="Arial" w:eastAsia="Arial" w:hAnsi="Arial"/>
                <w:sz w:val="18"/>
                <w:szCs w:val="18"/>
                <w:b w:val="1"/>
                <w:bCs w:val="1"/>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Non-Qualified Stock Option Agreement, 2015 Stock Option and Grant Plan</w:t>
      </w:r>
    </w:p>
    <w:p>
      <w:pPr>
        <w:sectPr>
          <w:pgSz w:w="11900" w:h="16838" w:orient="portrait"/>
          <w:cols w:equalWidth="0" w:num="1">
            <w:col w:w="11380"/>
          </w:cols>
          <w:pgMar w:left="240" w:top="269" w:right="279" w:bottom="1440" w:gutter="0" w:footer="0" w:header="0"/>
        </w:sectPr>
      </w:pPr>
    </w:p>
    <w:bookmarkStart w:id="343" w:name="page344"/>
    <w:bookmarkEnd w:id="3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129" w:lineRule="exact"/>
        <w:rPr>
          <w:sz w:val="20"/>
          <w:szCs w:val="20"/>
          <w:color w:val="auto"/>
        </w:rPr>
      </w:pPr>
    </w:p>
    <w:p>
      <w:pPr>
        <w:ind w:left="640" w:hanging="176"/>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117" w:lineRule="exact"/>
        <w:rPr>
          <w:rFonts w:ascii="Arial" w:cs="Arial" w:eastAsia="Arial" w:hAnsi="Arial"/>
          <w:sz w:val="18"/>
          <w:szCs w:val="18"/>
          <w:color w:val="auto"/>
        </w:rPr>
      </w:pPr>
    </w:p>
    <w:p>
      <w:pPr>
        <w:ind w:right="740" w:firstLine="921"/>
        <w:spacing w:after="0" w:line="277" w:lineRule="auto"/>
        <w:tabs>
          <w:tab w:leader="none" w:pos="116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64"/>
        </w:numPr>
        <w:rPr>
          <w:rFonts w:ascii="Arial" w:cs="Arial" w:eastAsia="Arial" w:hAnsi="Arial"/>
          <w:sz w:val="17"/>
          <w:szCs w:val="17"/>
          <w:color w:val="auto"/>
        </w:rPr>
      </w:pPr>
      <w:r>
        <w:rPr>
          <w:rFonts w:ascii="Arial" w:cs="Arial" w:eastAsia="Arial" w:hAnsi="Arial"/>
          <w:sz w:val="17"/>
          <w:szCs w:val="17"/>
          <w:color w:val="auto"/>
        </w:rPr>
        <w:t>This Stock Option shall vest and become exercisable in accordance with the Vesting Schedule set forth in the Grant Notice.</w:t>
      </w:r>
    </w:p>
    <w:p>
      <w:pPr>
        <w:spacing w:after="0" w:line="128" w:lineRule="exact"/>
        <w:rPr>
          <w:rFonts w:ascii="Arial" w:cs="Arial" w:eastAsia="Arial" w:hAnsi="Arial"/>
          <w:sz w:val="17"/>
          <w:szCs w:val="17"/>
          <w:color w:val="auto"/>
        </w:rPr>
      </w:pPr>
    </w:p>
    <w:p>
      <w:pPr>
        <w:jc w:val="both"/>
        <w:ind w:right="40" w:firstLine="921"/>
        <w:spacing w:after="0" w:line="264" w:lineRule="auto"/>
        <w:tabs>
          <w:tab w:leader="none" w:pos="1157"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3" w:lineRule="exact"/>
        <w:rPr>
          <w:rFonts w:ascii="Arial" w:cs="Arial" w:eastAsia="Arial" w:hAnsi="Arial"/>
          <w:sz w:val="18"/>
          <w:szCs w:val="18"/>
          <w:color w:val="auto"/>
        </w:rPr>
      </w:pPr>
    </w:p>
    <w:p>
      <w:pPr>
        <w:ind w:left="460" w:right="600" w:firstLine="881"/>
        <w:spacing w:after="0" w:line="312" w:lineRule="auto"/>
        <w:tabs>
          <w:tab w:leader="none" w:pos="1551" w:val="left"/>
        </w:tabs>
        <w:numPr>
          <w:ilvl w:val="2"/>
          <w:numId w:val="264"/>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38" w:lineRule="exact"/>
        <w:rPr>
          <w:rFonts w:ascii="Arial" w:cs="Arial" w:eastAsia="Arial" w:hAnsi="Arial"/>
          <w:sz w:val="16"/>
          <w:szCs w:val="16"/>
          <w:color w:val="auto"/>
        </w:rPr>
      </w:pPr>
    </w:p>
    <w:p>
      <w:pPr>
        <w:jc w:val="both"/>
        <w:ind w:left="460" w:firstLine="881"/>
        <w:spacing w:after="0" w:line="259" w:lineRule="auto"/>
        <w:tabs>
          <w:tab w:leader="none" w:pos="1601" w:val="left"/>
        </w:tabs>
        <w:numPr>
          <w:ilvl w:val="2"/>
          <w:numId w:val="264"/>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7"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ectPr>
          <w:pgSz w:w="11900" w:h="16838" w:orient="portrait"/>
          <w:cols w:equalWidth="0" w:num="1">
            <w:col w:w="11380"/>
          </w:cols>
          <w:pgMar w:left="240" w:top="269" w:right="279" w:bottom="1440" w:gutter="0" w:footer="0" w:header="0"/>
        </w:sectPr>
      </w:pPr>
    </w:p>
    <w:bookmarkStart w:id="344" w:name="page345"/>
    <w:bookmarkEnd w:id="344"/>
    <w:p>
      <w:pPr>
        <w:ind w:left="176" w:hanging="176"/>
        <w:spacing w:after="0"/>
        <w:tabs>
          <w:tab w:leader="none" w:pos="176"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Stock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40" w:firstLine="921"/>
        <w:spacing w:after="0" w:line="276" w:lineRule="auto"/>
        <w:tabs>
          <w:tab w:leader="none" w:pos="693"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4" w:lineRule="exact"/>
        <w:rPr>
          <w:rFonts w:ascii="Arial" w:cs="Arial" w:eastAsia="Arial" w:hAnsi="Arial"/>
          <w:sz w:val="17"/>
          <w:szCs w:val="17"/>
          <w:color w:val="auto"/>
        </w:rPr>
      </w:pPr>
    </w:p>
    <w:p>
      <w:pPr>
        <w:ind w:left="716" w:hanging="259"/>
        <w:spacing w:after="0"/>
        <w:tabs>
          <w:tab w:leader="none" w:pos="716" w:val="left"/>
        </w:tabs>
        <w:numPr>
          <w:ilvl w:val="1"/>
          <w:numId w:val="265"/>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128" w:lineRule="exact"/>
        <w:rPr>
          <w:rFonts w:ascii="Arial" w:cs="Arial" w:eastAsia="Arial" w:hAnsi="Arial"/>
          <w:sz w:val="17"/>
          <w:szCs w:val="17"/>
          <w:color w:val="auto"/>
        </w:rPr>
      </w:pPr>
    </w:p>
    <w:p>
      <w:pPr>
        <w:ind w:left="-464" w:right="480" w:firstLine="464"/>
        <w:spacing w:after="0" w:line="277" w:lineRule="auto"/>
        <w:tabs>
          <w:tab w:leader="none" w:pos="172"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2" w:lineRule="exact"/>
        <w:rPr>
          <w:rFonts w:ascii="Arial" w:cs="Arial" w:eastAsia="Arial" w:hAnsi="Arial"/>
          <w:sz w:val="18"/>
          <w:szCs w:val="18"/>
          <w:color w:val="auto"/>
        </w:rPr>
      </w:pPr>
    </w:p>
    <w:p>
      <w:pPr>
        <w:ind w:left="-464" w:right="20" w:firstLine="464"/>
        <w:spacing w:after="0" w:line="272" w:lineRule="auto"/>
        <w:tabs>
          <w:tab w:leader="none" w:pos="172"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69" w:lineRule="exact"/>
        <w:rPr>
          <w:rFonts w:ascii="Arial" w:cs="Arial" w:eastAsia="Arial" w:hAnsi="Arial"/>
          <w:sz w:val="17"/>
          <w:szCs w:val="17"/>
          <w:color w:val="auto"/>
        </w:rPr>
      </w:pPr>
    </w:p>
    <w:p>
      <w:pPr>
        <w:ind w:left="-464" w:right="200" w:firstLine="464"/>
        <w:spacing w:after="0" w:line="277" w:lineRule="auto"/>
        <w:tabs>
          <w:tab w:leader="none" w:pos="172"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60" w:firstLine="921"/>
        <w:spacing w:after="0" w:line="308" w:lineRule="auto"/>
        <w:tabs>
          <w:tab w:leader="none" w:pos="693"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8" w:lineRule="exact"/>
        <w:rPr>
          <w:rFonts w:ascii="Arial" w:cs="Arial" w:eastAsia="Arial" w:hAnsi="Arial"/>
          <w:sz w:val="17"/>
          <w:szCs w:val="17"/>
          <w:color w:val="auto"/>
        </w:rPr>
      </w:pPr>
    </w:p>
    <w:p>
      <w:pPr>
        <w:ind w:left="-464" w:firstLine="921"/>
        <w:spacing w:after="0" w:line="257" w:lineRule="auto"/>
        <w:tabs>
          <w:tab w:leader="none" w:pos="703"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ectPr>
          <w:pgSz w:w="11900" w:h="16838" w:orient="portrait"/>
          <w:cols w:equalWidth="0" w:num="1">
            <w:col w:w="10916"/>
          </w:cols>
          <w:pgMar w:left="704" w:top="274" w:right="279" w:bottom="1440" w:gutter="0" w:footer="0" w:header="0"/>
        </w:sectPr>
      </w:pPr>
    </w:p>
    <w:bookmarkStart w:id="345" w:name="page346"/>
    <w:bookmarkEnd w:id="345"/>
    <w:p>
      <w:pPr>
        <w:ind w:left="-464" w:right="140" w:firstLine="921"/>
        <w:spacing w:after="0" w:line="342" w:lineRule="auto"/>
        <w:tabs>
          <w:tab w:leader="none" w:pos="693"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3" w:lineRule="exact"/>
        <w:rPr>
          <w:rFonts w:ascii="Arial" w:cs="Arial" w:eastAsia="Arial" w:hAnsi="Arial"/>
          <w:sz w:val="16"/>
          <w:szCs w:val="16"/>
          <w:color w:val="auto"/>
        </w:rPr>
      </w:pPr>
    </w:p>
    <w:p>
      <w:pPr>
        <w:jc w:val="both"/>
        <w:ind w:left="-464" w:right="600" w:firstLine="921"/>
        <w:spacing w:after="0" w:line="259" w:lineRule="auto"/>
        <w:tabs>
          <w:tab w:leader="none" w:pos="70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86" w:lineRule="exact"/>
        <w:rPr>
          <w:rFonts w:ascii="Arial" w:cs="Arial" w:eastAsia="Arial" w:hAnsi="Arial"/>
          <w:sz w:val="18"/>
          <w:szCs w:val="18"/>
          <w:color w:val="auto"/>
        </w:rPr>
      </w:pPr>
    </w:p>
    <w:p>
      <w:pPr>
        <w:ind w:left="-464" w:right="780" w:firstLine="921"/>
        <w:spacing w:after="0" w:line="277" w:lineRule="auto"/>
        <w:tabs>
          <w:tab w:leader="none" w:pos="69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0" w:lineRule="exact"/>
        <w:rPr>
          <w:rFonts w:ascii="Arial" w:cs="Arial" w:eastAsia="Arial" w:hAnsi="Arial"/>
          <w:sz w:val="18"/>
          <w:szCs w:val="18"/>
          <w:color w:val="auto"/>
        </w:rPr>
      </w:pPr>
    </w:p>
    <w:p>
      <w:pPr>
        <w:ind w:left="-464" w:firstLine="921"/>
        <w:spacing w:after="0" w:line="277" w:lineRule="auto"/>
        <w:tabs>
          <w:tab w:leader="none" w:pos="67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0" w:lineRule="exact"/>
        <w:rPr>
          <w:rFonts w:ascii="Arial" w:cs="Arial" w:eastAsia="Arial" w:hAnsi="Arial"/>
          <w:sz w:val="18"/>
          <w:szCs w:val="18"/>
          <w:color w:val="auto"/>
        </w:rPr>
      </w:pPr>
    </w:p>
    <w:p>
      <w:pPr>
        <w:ind w:left="-464" w:right="60" w:firstLine="921"/>
        <w:spacing w:after="0" w:line="259" w:lineRule="auto"/>
        <w:tabs>
          <w:tab w:leader="none" w:pos="70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86" w:lineRule="exact"/>
        <w:rPr>
          <w:rFonts w:ascii="Arial" w:cs="Arial" w:eastAsia="Arial" w:hAnsi="Arial"/>
          <w:sz w:val="18"/>
          <w:szCs w:val="18"/>
          <w:color w:val="auto"/>
        </w:rPr>
      </w:pPr>
    </w:p>
    <w:p>
      <w:pPr>
        <w:ind w:left="-464" w:firstLine="921"/>
        <w:spacing w:after="0" w:line="264" w:lineRule="auto"/>
        <w:tabs>
          <w:tab w:leader="none" w:pos="70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1" w:lineRule="exact"/>
        <w:rPr>
          <w:rFonts w:ascii="Arial" w:cs="Arial" w:eastAsia="Arial" w:hAnsi="Arial"/>
          <w:sz w:val="18"/>
          <w:szCs w:val="18"/>
          <w:color w:val="auto"/>
        </w:rPr>
      </w:pPr>
    </w:p>
    <w:p>
      <w:pPr>
        <w:ind w:left="-464" w:right="360" w:firstLine="921"/>
        <w:spacing w:after="0" w:line="277" w:lineRule="auto"/>
        <w:tabs>
          <w:tab w:leader="none" w:pos="66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70" w:lineRule="exact"/>
        <w:rPr>
          <w:rFonts w:ascii="Arial" w:cs="Arial" w:eastAsia="Arial" w:hAnsi="Arial"/>
          <w:sz w:val="18"/>
          <w:szCs w:val="18"/>
          <w:color w:val="auto"/>
        </w:rPr>
      </w:pPr>
    </w:p>
    <w:p>
      <w:pPr>
        <w:ind w:left="-464" w:right="300" w:firstLine="921"/>
        <w:spacing w:after="0" w:line="277" w:lineRule="auto"/>
        <w:tabs>
          <w:tab w:leader="none" w:pos="66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20" w:firstLine="921"/>
        <w:spacing w:after="0" w:line="257" w:lineRule="auto"/>
        <w:tabs>
          <w:tab w:leader="none" w:pos="6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1-16, and judgment upon the award rendered by the arbitrators may be entered by any court having jurisdiction thereof. The place of arbitration shall be Boston, MA.</w:t>
      </w:r>
    </w:p>
    <w:p>
      <w:pPr>
        <w:sectPr>
          <w:pgSz w:w="11900" w:h="16838" w:orient="portrait"/>
          <w:cols w:equalWidth="0" w:num="1">
            <w:col w:w="10936"/>
          </w:cols>
          <w:pgMar w:left="704" w:top="274" w:right="259" w:bottom="1440" w:gutter="0" w:footer="0" w:header="0"/>
        </w:sectPr>
      </w:pPr>
    </w:p>
    <w:bookmarkStart w:id="346" w:name="page347"/>
    <w:bookmarkEnd w:id="346"/>
    <w:p>
      <w:pPr>
        <w:ind w:left="-20" w:firstLine="921"/>
        <w:spacing w:after="0" w:line="270" w:lineRule="auto"/>
        <w:tabs>
          <w:tab w:leader="none" w:pos="1148" w:val="left"/>
        </w:tabs>
        <w:numPr>
          <w:ilvl w:val="0"/>
          <w:numId w:val="2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ind w:left="-20" w:right="80" w:firstLine="921"/>
        <w:spacing w:after="0" w:line="259" w:lineRule="auto"/>
        <w:tabs>
          <w:tab w:leader="none" w:pos="113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the Optionee,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8" w:lineRule="exact"/>
        <w:rPr>
          <w:rFonts w:ascii="Arial" w:cs="Arial" w:eastAsia="Arial" w:hAnsi="Arial"/>
          <w:sz w:val="18"/>
          <w:szCs w:val="18"/>
          <w:color w:val="auto"/>
        </w:rPr>
      </w:pPr>
    </w:p>
    <w:p>
      <w:pPr>
        <w:ind w:left="-20" w:right="20" w:firstLine="921"/>
        <w:spacing w:after="0" w:line="270" w:lineRule="auto"/>
        <w:tabs>
          <w:tab w:leader="none" w:pos="114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80"/>
          </w:cols>
          <w:pgMar w:left="260" w:top="274" w:right="259" w:bottom="1440" w:gutter="0" w:footer="0" w:header="0"/>
        </w:sectPr>
      </w:pPr>
    </w:p>
    <w:bookmarkStart w:id="347" w:name="page348"/>
    <w:bookmarkEnd w:id="347"/>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872490</wp:posOffset>
            </wp:positionV>
            <wp:extent cx="28987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acknowledges receiving and reviewing a copy of the Plan, including, 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NQSO A</w:t>
      </w:r>
      <w:r>
        <w:rPr>
          <w:rFonts w:ascii="Arial" w:cs="Arial" w:eastAsia="Arial" w:hAnsi="Arial"/>
          <w:sz w:val="15"/>
          <w:szCs w:val="15"/>
          <w:b w:val="1"/>
          <w:bCs w:val="1"/>
          <w:color w:val="auto"/>
        </w:rPr>
        <w:t>GREEMENT</w:t>
      </w:r>
    </w:p>
    <w:p>
      <w:pPr>
        <w:sectPr>
          <w:pgSz w:w="11900" w:h="16838" w:orient="portrait"/>
          <w:cols w:equalWidth="0" w:num="1">
            <w:col w:w="11380"/>
          </w:cols>
          <w:pgMar w:left="240" w:top="273" w:right="27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926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23926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23926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Pursuant to the terms of the grant notice and stock option agreement between the undersigned and AVROBIO, Inc. (the “Company”) dated</w:t>
      </w:r>
    </w:p>
    <w:p>
      <w:pPr>
        <w:spacing w:after="0" w:line="35"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(the “Agreement”) under the AVROBIO, Inc. 2015 Stock Option and Grant Plan, I, [Insert Name] , hereby [Circle One] partially/fully exercise such option by including herein payment in the amount of $ representing the purchase price for [Fill in number of Shares] Shares. I have chosen the following form(s) of payment:</w:t>
      </w:r>
    </w:p>
    <w:p>
      <w:pPr>
        <w:spacing w:after="0" w:line="217" w:lineRule="exact"/>
        <w:rPr>
          <w:sz w:val="20"/>
          <w:szCs w:val="20"/>
          <w:color w:val="auto"/>
        </w:rPr>
      </w:pPr>
    </w:p>
    <w:p>
      <w:pPr>
        <w:ind w:left="1420" w:hanging="264"/>
        <w:spacing w:after="0"/>
        <w:tabs>
          <w:tab w:leader="none" w:pos="1420" w:val="left"/>
        </w:tabs>
        <w:numPr>
          <w:ilvl w:val="0"/>
          <w:numId w:val="269"/>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9"/>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AVROBIO, Inc.</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9"/>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117" w:lineRule="exact"/>
        <w:rPr>
          <w:rFonts w:ascii="MS PGothic" w:cs="MS PGothic" w:eastAsia="MS PGothic" w:hAnsi="MS PGothic"/>
          <w:sz w:val="18"/>
          <w:szCs w:val="18"/>
          <w:color w:val="auto"/>
        </w:rPr>
      </w:pPr>
    </w:p>
    <w:p>
      <w:pPr>
        <w:ind w:left="16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________________________________________________________________________________________________.</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560" w:hanging="219"/>
        <w:spacing w:after="0"/>
        <w:tabs>
          <w:tab w:leader="none" w:pos="15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 distribution thereof.</w:t>
      </w:r>
    </w:p>
    <w:p>
      <w:pPr>
        <w:spacing w:after="0" w:line="128" w:lineRule="exact"/>
        <w:rPr>
          <w:rFonts w:ascii="Arial" w:cs="Arial" w:eastAsia="Arial" w:hAnsi="Arial"/>
          <w:sz w:val="17"/>
          <w:szCs w:val="17"/>
          <w:color w:val="auto"/>
        </w:rPr>
      </w:pPr>
    </w:p>
    <w:p>
      <w:pPr>
        <w:ind w:left="460" w:firstLine="881"/>
        <w:spacing w:after="0" w:line="264" w:lineRule="auto"/>
        <w:tabs>
          <w:tab w:leader="none" w:pos="160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3" w:lineRule="exact"/>
        <w:rPr>
          <w:rFonts w:ascii="Arial" w:cs="Arial" w:eastAsia="Arial" w:hAnsi="Arial"/>
          <w:sz w:val="18"/>
          <w:szCs w:val="18"/>
          <w:color w:val="auto"/>
        </w:rPr>
      </w:pPr>
    </w:p>
    <w:p>
      <w:pPr>
        <w:ind w:left="460" w:firstLine="881"/>
        <w:spacing w:after="0" w:line="277" w:lineRule="auto"/>
        <w:tabs>
          <w:tab w:leader="none" w:pos="165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 of time.</w:t>
      </w:r>
    </w:p>
    <w:p>
      <w:pPr>
        <w:spacing w:after="0" w:line="102" w:lineRule="exact"/>
        <w:rPr>
          <w:rFonts w:ascii="Arial" w:cs="Arial" w:eastAsia="Arial" w:hAnsi="Arial"/>
          <w:sz w:val="16"/>
          <w:szCs w:val="16"/>
          <w:color w:val="auto"/>
        </w:rPr>
      </w:pPr>
    </w:p>
    <w:p>
      <w:pPr>
        <w:ind w:left="460" w:right="40" w:firstLine="881"/>
        <w:spacing w:after="0" w:line="264" w:lineRule="auto"/>
        <w:tabs>
          <w:tab w:leader="none" w:pos="15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w:t>
      </w:r>
    </w:p>
    <w:p>
      <w:pPr>
        <w:sectPr>
          <w:pgSz w:w="11900" w:h="16838" w:orient="portrait"/>
          <w:cols w:equalWidth="0" w:num="1">
            <w:col w:w="11420"/>
          </w:cols>
          <w:pgMar w:left="240" w:top="270" w:right="239" w:bottom="1440" w:gutter="0" w:footer="0" w:header="0"/>
        </w:sectPr>
      </w:pPr>
    </w:p>
    <w:bookmarkStart w:id="349" w:name="page350"/>
    <w:bookmarkEnd w:id="34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3" w:lineRule="exact"/>
        <w:rPr>
          <w:sz w:val="20"/>
          <w:szCs w:val="20"/>
          <w:color w:val="auto"/>
        </w:rPr>
      </w:pPr>
    </w:p>
    <w:p>
      <w:pPr>
        <w:ind w:right="440" w:firstLine="881"/>
        <w:spacing w:after="0" w:line="277" w:lineRule="auto"/>
        <w:tabs>
          <w:tab w:leader="none" w:pos="118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240" w:hanging="359"/>
        <w:spacing w:after="0"/>
        <w:tabs>
          <w:tab w:leader="none" w:pos="12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 Plan.</w:t>
      </w:r>
    </w:p>
    <w:p>
      <w:pPr>
        <w:spacing w:after="0" w:line="140" w:lineRule="exact"/>
        <w:rPr>
          <w:rFonts w:ascii="Arial" w:cs="Arial" w:eastAsia="Arial" w:hAnsi="Arial"/>
          <w:sz w:val="16"/>
          <w:szCs w:val="16"/>
          <w:color w:val="auto"/>
        </w:rPr>
      </w:pPr>
    </w:p>
    <w:p>
      <w:pPr>
        <w:ind w:left="1280" w:hanging="399"/>
        <w:spacing w:after="0"/>
        <w:tabs>
          <w:tab w:leader="none" w:pos="12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 Plan.</w:t>
      </w:r>
    </w:p>
    <w:p>
      <w:pPr>
        <w:spacing w:after="0" w:line="140" w:lineRule="exact"/>
        <w:rPr>
          <w:rFonts w:ascii="Arial" w:cs="Arial" w:eastAsia="Arial" w:hAnsi="Arial"/>
          <w:sz w:val="16"/>
          <w:szCs w:val="16"/>
          <w:color w:val="auto"/>
        </w:rPr>
      </w:pPr>
    </w:p>
    <w:p>
      <w:pPr>
        <w:ind w:right="20" w:firstLine="881"/>
        <w:spacing w:after="0" w:line="277" w:lineRule="auto"/>
        <w:tabs>
          <w:tab w:leader="none" w:pos="118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581025</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AWARD NOTICE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AvroBio, Inc. 2015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AvroBio, Inc., a Delaware corporation (together with any successor,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sells and issues to the individual named below, the Shares at the Per Share Purchase Price, subject to the terms and conditions set forth in this Restricted Stock Award Notice (the “</w:t>
      </w:r>
      <w:r>
        <w:rPr>
          <w:rFonts w:ascii="Arial" w:cs="Arial" w:eastAsia="Arial" w:hAnsi="Arial"/>
          <w:sz w:val="16"/>
          <w:szCs w:val="16"/>
          <w:u w:val="single" w:color="auto"/>
          <w:color w:val="auto"/>
        </w:rPr>
        <w:t>Award Notice</w:t>
      </w:r>
      <w:r>
        <w:rPr>
          <w:rFonts w:ascii="Arial" w:cs="Arial" w:eastAsia="Arial" w:hAnsi="Arial"/>
          <w:sz w:val="16"/>
          <w:szCs w:val="16"/>
          <w:color w:val="auto"/>
        </w:rPr>
        <w:t>”), the attached Restricted Stock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The Grantee agrees to the provisions set forth herein and acknowledges that each such provision is a material condition of the Company’s agreement to issue and sell the Shares to him or her. The Company hereby acknowledges receipt of $[ ]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20"/>
                <w:szCs w:val="20"/>
                <w:color w:val="auto"/>
              </w:rPr>
            </w:pPr>
            <w:r>
              <w:rPr>
                <w:rFonts w:ascii="Arial" w:cs="Arial" w:eastAsia="Arial" w:hAnsi="Arial"/>
                <w:sz w:val="18"/>
                <w:szCs w:val="18"/>
                <w:color w:val="auto"/>
              </w:rPr>
              <w:t>Name of Grantee:</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_________________________ (the “Grantee”)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No. of Shares:</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 Shares of Common Stock (the “Shares”)</w:t>
            </w: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Grant Date:</w:t>
            </w:r>
          </w:p>
        </w:tc>
        <w:tc>
          <w:tcPr>
            <w:tcW w:w="1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____________________ (the “Vesting Commencement Date”)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7560" w:type="dxa"/>
            <w:vAlign w:val="bottom"/>
            <w:gridSpan w:val="10"/>
          </w:tcPr>
          <w:p>
            <w:pPr>
              <w:spacing w:after="0"/>
              <w:rPr>
                <w:sz w:val="20"/>
                <w:szCs w:val="20"/>
                <w:color w:val="auto"/>
              </w:rPr>
            </w:pPr>
            <w:r>
              <w:rPr>
                <w:rFonts w:ascii="Arial" w:cs="Arial" w:eastAsia="Arial" w:hAnsi="Arial"/>
                <w:sz w:val="18"/>
                <w:szCs w:val="18"/>
                <w:color w:val="auto"/>
              </w:rPr>
              <w:t>$0.0001 (the “Per Share Purchase Price”)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r>
      <w:tr>
        <w:trPr>
          <w:trHeight w:val="330"/>
        </w:trPr>
        <w:tc>
          <w:tcPr>
            <w:tcW w:w="3780" w:type="dxa"/>
            <w:vAlign w:val="bottom"/>
          </w:tcPr>
          <w:p>
            <w:pPr>
              <w:spacing w:after="0"/>
              <w:rPr>
                <w:sz w:val="20"/>
                <w:szCs w:val="20"/>
                <w:color w:val="auto"/>
              </w:rPr>
            </w:pPr>
            <w:r>
              <w:rPr>
                <w:rFonts w:ascii="Arial" w:cs="Arial" w:eastAsia="Arial" w:hAnsi="Arial"/>
                <w:sz w:val="18"/>
                <w:szCs w:val="18"/>
                <w:color w:val="auto"/>
              </w:rPr>
              <w:t>Vesting Schedule:</w:t>
            </w:r>
          </w:p>
        </w:tc>
        <w:tc>
          <w:tcPr>
            <w:tcW w:w="7560" w:type="dxa"/>
            <w:vAlign w:val="bottom"/>
            <w:gridSpan w:val="10"/>
          </w:tcPr>
          <w:p>
            <w:pPr>
              <w:spacing w:after="0"/>
              <w:rPr>
                <w:sz w:val="20"/>
                <w:szCs w:val="20"/>
                <w:color w:val="auto"/>
              </w:rPr>
            </w:pPr>
            <w:r>
              <w:rPr>
                <w:rFonts w:ascii="Arial" w:cs="Arial" w:eastAsia="Arial" w:hAnsi="Arial"/>
                <w:sz w:val="18"/>
                <w:szCs w:val="18"/>
                <w:color w:val="auto"/>
                <w:w w:val="89"/>
              </w:rPr>
              <w:t>25 percent of the Shares shall vest on the first anniversary of the Vesting Commencement Date; provided</w:t>
            </w:r>
          </w:p>
        </w:tc>
      </w:tr>
      <w:tr>
        <w:trPr>
          <w:trHeight w:val="216"/>
        </w:trPr>
        <w:tc>
          <w:tcPr>
            <w:tcW w:w="3780" w:type="dxa"/>
            <w:vAlign w:val="bottom"/>
          </w:tcPr>
          <w:p>
            <w:pPr>
              <w:spacing w:after="0"/>
              <w:rPr>
                <w:sz w:val="18"/>
                <w:szCs w:val="18"/>
                <w:color w:val="auto"/>
              </w:rPr>
            </w:pPr>
          </w:p>
        </w:tc>
        <w:tc>
          <w:tcPr>
            <w:tcW w:w="7560" w:type="dxa"/>
            <w:vAlign w:val="bottom"/>
            <w:gridSpan w:val="10"/>
          </w:tcPr>
          <w:p>
            <w:pPr>
              <w:spacing w:after="0"/>
              <w:rPr>
                <w:sz w:val="20"/>
                <w:szCs w:val="20"/>
                <w:color w:val="auto"/>
              </w:rPr>
            </w:pPr>
            <w:r>
              <w:rPr>
                <w:rFonts w:ascii="Arial" w:cs="Arial" w:eastAsia="Arial" w:hAnsi="Arial"/>
                <w:sz w:val="18"/>
                <w:szCs w:val="18"/>
                <w:color w:val="auto"/>
                <w:w w:val="89"/>
              </w:rPr>
              <w:t>that the Grantee continues to have a Service Relationship with the Company at such time. Thereafter, the</w:t>
            </w:r>
          </w:p>
        </w:tc>
      </w:tr>
      <w:tr>
        <w:trPr>
          <w:trHeight w:val="216"/>
        </w:trPr>
        <w:tc>
          <w:tcPr>
            <w:tcW w:w="3780" w:type="dxa"/>
            <w:vAlign w:val="bottom"/>
          </w:tcPr>
          <w:p>
            <w:pPr>
              <w:spacing w:after="0"/>
              <w:rPr>
                <w:sz w:val="18"/>
                <w:szCs w:val="18"/>
                <w:color w:val="auto"/>
              </w:rPr>
            </w:pPr>
          </w:p>
        </w:tc>
        <w:tc>
          <w:tcPr>
            <w:tcW w:w="7560" w:type="dxa"/>
            <w:vAlign w:val="bottom"/>
            <w:gridSpan w:val="10"/>
          </w:tcPr>
          <w:p>
            <w:pPr>
              <w:spacing w:after="0"/>
              <w:rPr>
                <w:sz w:val="20"/>
                <w:szCs w:val="20"/>
                <w:color w:val="auto"/>
              </w:rPr>
            </w:pPr>
            <w:r>
              <w:rPr>
                <w:rFonts w:ascii="Arial" w:cs="Arial" w:eastAsia="Arial" w:hAnsi="Arial"/>
                <w:sz w:val="18"/>
                <w:szCs w:val="18"/>
                <w:color w:val="auto"/>
                <w:w w:val="99"/>
              </w:rPr>
              <w:t>remaining 75 percent of the Shares shall vest in 36 equal monthly installments following the first</w:t>
            </w:r>
          </w:p>
        </w:tc>
      </w:tr>
      <w:tr>
        <w:trPr>
          <w:trHeight w:val="230"/>
        </w:trPr>
        <w:tc>
          <w:tcPr>
            <w:tcW w:w="3780" w:type="dxa"/>
            <w:vAlign w:val="bottom"/>
          </w:tcPr>
          <w:p>
            <w:pPr>
              <w:spacing w:after="0"/>
              <w:rPr>
                <w:sz w:val="20"/>
                <w:szCs w:val="20"/>
                <w:color w:val="auto"/>
              </w:rPr>
            </w:pPr>
          </w:p>
        </w:tc>
        <w:tc>
          <w:tcPr>
            <w:tcW w:w="7560" w:type="dxa"/>
            <w:vAlign w:val="bottom"/>
            <w:gridSpan w:val="10"/>
          </w:tcPr>
          <w:p>
            <w:pPr>
              <w:spacing w:after="0"/>
              <w:rPr>
                <w:sz w:val="20"/>
                <w:szCs w:val="20"/>
                <w:color w:val="auto"/>
              </w:rPr>
            </w:pPr>
            <w:r>
              <w:rPr>
                <w:rFonts w:ascii="Arial" w:cs="Arial" w:eastAsia="Arial" w:hAnsi="Arial"/>
                <w:sz w:val="18"/>
                <w:szCs w:val="18"/>
                <w:color w:val="auto"/>
                <w:w w:val="95"/>
              </w:rPr>
              <w:t>anniversary of the Vesting Commencement Date, provided the Grantee continues to have a Service</w:t>
            </w:r>
          </w:p>
        </w:tc>
      </w:tr>
    </w:tbl>
    <w:p>
      <w:pPr>
        <w:jc w:val="both"/>
        <w:ind w:left="3780" w:right="80"/>
        <w:spacing w:after="0" w:line="255" w:lineRule="auto"/>
        <w:rPr>
          <w:sz w:val="20"/>
          <w:szCs w:val="20"/>
          <w:color w:val="auto"/>
        </w:rPr>
      </w:pPr>
      <w:r>
        <w:rPr>
          <w:rFonts w:ascii="Arial" w:cs="Arial" w:eastAsia="Arial" w:hAnsi="Arial"/>
          <w:sz w:val="18"/>
          <w:szCs w:val="18"/>
          <w:color w:val="auto"/>
        </w:rPr>
        <w:t>Relationship with the Company at such time. Notwithstanding anything in the Agreement to the contrary in the case of a Sale Event, the Shares of Restricted Stock shall be treated as provided in Section 3(c) of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Attachments: Restricted Stock Agreement, 2015 Stock Option and Grant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129" w:lineRule="exact"/>
        <w:rPr>
          <w:sz w:val="20"/>
          <w:szCs w:val="20"/>
          <w:color w:val="auto"/>
        </w:rPr>
      </w:pPr>
    </w:p>
    <w:p>
      <w:pPr>
        <w:ind w:left="620" w:hanging="176"/>
        <w:spacing w:after="0"/>
        <w:tabs>
          <w:tab w:leader="none" w:pos="62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 Vesting; Investment 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60" w:firstLine="921"/>
        <w:spacing w:after="0" w:line="277" w:lineRule="auto"/>
        <w:tabs>
          <w:tab w:leader="none" w:pos="1137"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The Company hereby sells to the Grantee, and the Grantee hereby purchases from the Company, the number of Shares set forth in the Award Notice for the Per Share Purchase Price.</w:t>
      </w:r>
    </w:p>
    <w:p>
      <w:pPr>
        <w:spacing w:after="0" w:line="62" w:lineRule="exact"/>
        <w:rPr>
          <w:rFonts w:ascii="Arial" w:cs="Arial" w:eastAsia="Arial" w:hAnsi="Arial"/>
          <w:sz w:val="18"/>
          <w:szCs w:val="18"/>
          <w:color w:val="auto"/>
        </w:rPr>
      </w:pPr>
    </w:p>
    <w:p>
      <w:pPr>
        <w:ind w:left="-20" w:right="180" w:firstLine="921"/>
        <w:spacing w:after="0" w:line="342" w:lineRule="auto"/>
        <w:tabs>
          <w:tab w:leader="none" w:pos="1148"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5" w:lineRule="exact"/>
        <w:rPr>
          <w:rFonts w:ascii="Arial" w:cs="Arial" w:eastAsia="Arial" w:hAnsi="Arial"/>
          <w:sz w:val="16"/>
          <w:szCs w:val="16"/>
          <w:color w:val="auto"/>
        </w:rPr>
      </w:pPr>
    </w:p>
    <w:p>
      <w:pPr>
        <w:ind w:left="-20" w:right="140" w:firstLine="921"/>
        <w:spacing w:after="0" w:line="277" w:lineRule="auto"/>
        <w:tabs>
          <w:tab w:leader="none" w:pos="1137"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In connection with the purchase and sale of the Shares contemplated by Section 1(a) above, the Grantee hereby represents and warrants to the Company as follows:</w:t>
      </w:r>
    </w:p>
    <w:p>
      <w:pPr>
        <w:spacing w:after="0" w:line="62" w:lineRule="exact"/>
        <w:rPr>
          <w:rFonts w:ascii="Arial" w:cs="Arial" w:eastAsia="Arial" w:hAnsi="Arial"/>
          <w:sz w:val="18"/>
          <w:szCs w:val="18"/>
          <w:color w:val="auto"/>
        </w:rPr>
      </w:pPr>
    </w:p>
    <w:p>
      <w:pPr>
        <w:ind w:left="440" w:right="620" w:firstLine="881"/>
        <w:spacing w:after="0" w:line="277" w:lineRule="auto"/>
        <w:tabs>
          <w:tab w:leader="none" w:pos="153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Grantee is purchasing the Shares for the Grantee’s own account for investment only, and not for resale or with a view to the distribution thereof.</w:t>
      </w:r>
    </w:p>
    <w:p>
      <w:pPr>
        <w:spacing w:after="0" w:line="62" w:lineRule="exact"/>
        <w:rPr>
          <w:rFonts w:ascii="Arial" w:cs="Arial" w:eastAsia="Arial" w:hAnsi="Arial"/>
          <w:sz w:val="18"/>
          <w:szCs w:val="18"/>
          <w:color w:val="auto"/>
        </w:rPr>
      </w:pPr>
    </w:p>
    <w:p>
      <w:pPr>
        <w:ind w:left="440" w:right="200" w:firstLine="881"/>
        <w:spacing w:after="0" w:line="264" w:lineRule="auto"/>
        <w:tabs>
          <w:tab w:leader="none" w:pos="158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73" w:lineRule="exact"/>
        <w:rPr>
          <w:rFonts w:ascii="Arial" w:cs="Arial" w:eastAsia="Arial" w:hAnsi="Arial"/>
          <w:sz w:val="18"/>
          <w:szCs w:val="18"/>
          <w:color w:val="auto"/>
        </w:rPr>
      </w:pPr>
    </w:p>
    <w:p>
      <w:pPr>
        <w:ind w:left="440" w:right="400" w:firstLine="881"/>
        <w:spacing w:after="0" w:line="277" w:lineRule="auto"/>
        <w:tabs>
          <w:tab w:leader="none" w:pos="163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440" w:right="220" w:firstLine="881"/>
        <w:spacing w:after="0" w:line="277" w:lineRule="auto"/>
        <w:tabs>
          <w:tab w:leader="none" w:pos="162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Grantee can afford a complete loss of the value of the Shares and is able to bear the economic risk of holding such Shares for an indefinite period.</w:t>
      </w:r>
    </w:p>
    <w:p>
      <w:pPr>
        <w:spacing w:after="0" w:line="62" w:lineRule="exact"/>
        <w:rPr>
          <w:rFonts w:ascii="Arial" w:cs="Arial" w:eastAsia="Arial" w:hAnsi="Arial"/>
          <w:sz w:val="18"/>
          <w:szCs w:val="18"/>
          <w:color w:val="auto"/>
        </w:rPr>
      </w:pPr>
    </w:p>
    <w:p>
      <w:pPr>
        <w:ind w:left="440" w:firstLine="881"/>
        <w:spacing w:after="0" w:line="297" w:lineRule="auto"/>
        <w:tabs>
          <w:tab w:leader="none" w:pos="1571" w:val="left"/>
        </w:tabs>
        <w:numPr>
          <w:ilvl w:val="2"/>
          <w:numId w:val="272"/>
        </w:numPr>
        <w:rPr>
          <w:rFonts w:ascii="Arial" w:cs="Arial" w:eastAsia="Arial" w:hAnsi="Arial"/>
          <w:sz w:val="16"/>
          <w:szCs w:val="16"/>
          <w:color w:val="auto"/>
        </w:rPr>
      </w:pPr>
      <w:r>
        <w:rPr>
          <w:rFonts w:ascii="Arial" w:cs="Arial" w:eastAsia="Arial" w:hAnsi="Arial"/>
          <w:sz w:val="16"/>
          <w:szCs w:val="16"/>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0" w:right="259" w:bottom="1440" w:gutter="0" w:footer="0" w:header="0"/>
        </w:sectPr>
      </w:pPr>
    </w:p>
    <w:bookmarkStart w:id="352" w:name="page353"/>
    <w:bookmarkEnd w:id="352"/>
    <w:p>
      <w:pPr>
        <w:ind w:left="400" w:right="120" w:firstLine="881"/>
        <w:spacing w:after="0" w:line="277" w:lineRule="auto"/>
        <w:tabs>
          <w:tab w:leader="none" w:pos="1581" w:val="left"/>
        </w:tabs>
        <w:numPr>
          <w:ilvl w:val="2"/>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640" w:hanging="359"/>
        <w:spacing w:after="0"/>
        <w:tabs>
          <w:tab w:leader="none" w:pos="1640"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Grantee understands and agrees that the Company has a right of first refusal with respect to the Shares pursuant to Section 9(b) of</w:t>
      </w:r>
    </w:p>
    <w:p>
      <w:pPr>
        <w:spacing w:after="0" w:line="4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02" w:lineRule="exact"/>
        <w:rPr>
          <w:rFonts w:ascii="Arial" w:cs="Arial" w:eastAsia="Arial" w:hAnsi="Arial"/>
          <w:sz w:val="16"/>
          <w:szCs w:val="16"/>
          <w:color w:val="auto"/>
        </w:rPr>
      </w:pPr>
    </w:p>
    <w:p>
      <w:pPr>
        <w:ind w:left="1680" w:hanging="399"/>
        <w:spacing w:after="0"/>
        <w:tabs>
          <w:tab w:leader="none" w:pos="1680" w:val="left"/>
        </w:tabs>
        <w:numPr>
          <w:ilvl w:val="2"/>
          <w:numId w:val="273"/>
        </w:numPr>
        <w:rPr>
          <w:rFonts w:ascii="Arial" w:cs="Arial" w:eastAsia="Arial" w:hAnsi="Arial"/>
          <w:sz w:val="15"/>
          <w:szCs w:val="15"/>
          <w:color w:val="auto"/>
        </w:rPr>
      </w:pPr>
      <w:r>
        <w:rPr>
          <w:rFonts w:ascii="Arial" w:cs="Arial" w:eastAsia="Arial" w:hAnsi="Arial"/>
          <w:sz w:val="15"/>
          <w:szCs w:val="15"/>
          <w:color w:val="auto"/>
        </w:rPr>
        <w:t>The Grantee understands and agree that the Company has certain repurchase rights with respect to the Shares pursuant to Section 9(c)</w:t>
      </w:r>
    </w:p>
    <w:p>
      <w:pPr>
        <w:spacing w:after="0" w:line="57"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of the Plan.</w:t>
      </w:r>
    </w:p>
    <w:p>
      <w:pPr>
        <w:spacing w:after="0" w:line="102" w:lineRule="exact"/>
        <w:rPr>
          <w:rFonts w:ascii="Arial" w:cs="Arial" w:eastAsia="Arial" w:hAnsi="Arial"/>
          <w:sz w:val="15"/>
          <w:szCs w:val="15"/>
          <w:color w:val="auto"/>
        </w:rPr>
      </w:pPr>
    </w:p>
    <w:p>
      <w:pPr>
        <w:ind w:left="400" w:right="260" w:firstLine="881"/>
        <w:spacing w:after="0" w:line="277" w:lineRule="auto"/>
        <w:tabs>
          <w:tab w:leader="none" w:pos="158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62" w:lineRule="exact"/>
        <w:rPr>
          <w:rFonts w:ascii="Arial" w:cs="Arial" w:eastAsia="Arial" w:hAnsi="Arial"/>
          <w:sz w:val="18"/>
          <w:szCs w:val="18"/>
          <w:color w:val="auto"/>
        </w:rPr>
      </w:pPr>
    </w:p>
    <w:p>
      <w:pPr>
        <w:ind w:left="-60" w:right="100" w:firstLine="464"/>
        <w:spacing w:after="0" w:line="277" w:lineRule="auto"/>
        <w:tabs>
          <w:tab w:leader="none" w:pos="57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62" w:lineRule="exact"/>
        <w:rPr>
          <w:rFonts w:ascii="Arial" w:cs="Arial" w:eastAsia="Arial" w:hAnsi="Arial"/>
          <w:sz w:val="18"/>
          <w:szCs w:val="18"/>
          <w:color w:val="auto"/>
        </w:rPr>
      </w:pPr>
    </w:p>
    <w:p>
      <w:pPr>
        <w:ind w:left="-60" w:right="40" w:firstLine="464"/>
        <w:spacing w:after="0" w:line="277" w:lineRule="auto"/>
        <w:tabs>
          <w:tab w:leader="none" w:pos="57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(whether or not vested)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60" w:right="40" w:firstLine="464"/>
        <w:spacing w:after="0" w:line="277" w:lineRule="auto"/>
        <w:tabs>
          <w:tab w:leader="none" w:pos="57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Restricted Stock Award shall be subject to and governed by all the terms and conditions of the Plan.</w:t>
      </w:r>
    </w:p>
    <w:p>
      <w:pPr>
        <w:spacing w:after="0" w:line="62" w:lineRule="exact"/>
        <w:rPr>
          <w:rFonts w:ascii="Arial" w:cs="Arial" w:eastAsia="Arial" w:hAnsi="Arial"/>
          <w:sz w:val="18"/>
          <w:szCs w:val="18"/>
          <w:color w:val="auto"/>
        </w:rPr>
      </w:pPr>
    </w:p>
    <w:p>
      <w:pPr>
        <w:ind w:left="580" w:hanging="176"/>
        <w:spacing w:after="0"/>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0" w:right="60" w:firstLine="921"/>
        <w:spacing w:after="0" w:line="259" w:lineRule="auto"/>
        <w:tabs>
          <w:tab w:leader="none" w:pos="1097"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Record Owner; Dividends</w:t>
      </w:r>
      <w:r>
        <w:rPr>
          <w:rFonts w:ascii="Arial" w:cs="Arial" w:eastAsia="Arial" w:hAnsi="Arial"/>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is under no duty to declare any such dividends or to make any such distribution.</w:t>
      </w:r>
    </w:p>
    <w:p>
      <w:pPr>
        <w:spacing w:after="0" w:line="78" w:lineRule="exact"/>
        <w:rPr>
          <w:rFonts w:ascii="Arial" w:cs="Arial" w:eastAsia="Arial" w:hAnsi="Arial"/>
          <w:sz w:val="18"/>
          <w:szCs w:val="18"/>
          <w:color w:val="auto"/>
        </w:rPr>
      </w:pPr>
    </w:p>
    <w:p>
      <w:pPr>
        <w:ind w:left="-60" w:right="20" w:firstLine="921"/>
        <w:spacing w:after="0" w:line="259" w:lineRule="auto"/>
        <w:tabs>
          <w:tab w:leader="none" w:pos="1108"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78" w:lineRule="exact"/>
        <w:rPr>
          <w:rFonts w:ascii="Arial" w:cs="Arial" w:eastAsia="Arial" w:hAnsi="Arial"/>
          <w:sz w:val="18"/>
          <w:szCs w:val="18"/>
          <w:color w:val="auto"/>
        </w:rPr>
      </w:pPr>
    </w:p>
    <w:p>
      <w:pPr>
        <w:ind w:left="-60" w:right="80" w:firstLine="921"/>
        <w:spacing w:after="0" w:line="308" w:lineRule="auto"/>
        <w:tabs>
          <w:tab w:leader="none" w:pos="1097"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73" w:right="279" w:bottom="1440" w:gutter="0" w:footer="0" w:header="0"/>
        </w:sectPr>
      </w:pPr>
    </w:p>
    <w:bookmarkStart w:id="353" w:name="page354"/>
    <w:bookmarkEnd w:id="353"/>
    <w:p>
      <w:pPr>
        <w:ind w:left="-20" w:right="120" w:firstLine="921"/>
        <w:spacing w:after="0" w:line="342" w:lineRule="auto"/>
        <w:tabs>
          <w:tab w:leader="none" w:pos="1148"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5" w:lineRule="exact"/>
        <w:rPr>
          <w:rFonts w:ascii="Arial" w:cs="Arial" w:eastAsia="Arial" w:hAnsi="Arial"/>
          <w:sz w:val="16"/>
          <w:szCs w:val="16"/>
          <w:color w:val="auto"/>
        </w:rPr>
      </w:pPr>
    </w:p>
    <w:p>
      <w:pPr>
        <w:jc w:val="both"/>
        <w:ind w:left="-20" w:right="600" w:firstLine="921"/>
        <w:spacing w:after="0" w:line="259" w:lineRule="auto"/>
        <w:tabs>
          <w:tab w:leader="none" w:pos="1137"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78" w:lineRule="exact"/>
        <w:rPr>
          <w:rFonts w:ascii="Arial" w:cs="Arial" w:eastAsia="Arial" w:hAnsi="Arial"/>
          <w:sz w:val="18"/>
          <w:szCs w:val="18"/>
          <w:color w:val="auto"/>
        </w:rPr>
      </w:pPr>
    </w:p>
    <w:p>
      <w:pPr>
        <w:ind w:left="-20" w:right="800" w:firstLine="921"/>
        <w:spacing w:after="0" w:line="277" w:lineRule="auto"/>
        <w:tabs>
          <w:tab w:leader="none" w:pos="111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2" w:lineRule="exact"/>
        <w:rPr>
          <w:rFonts w:ascii="Arial" w:cs="Arial" w:eastAsia="Arial" w:hAnsi="Arial"/>
          <w:sz w:val="18"/>
          <w:szCs w:val="18"/>
          <w:color w:val="auto"/>
        </w:rPr>
      </w:pPr>
    </w:p>
    <w:p>
      <w:pPr>
        <w:ind w:left="-20" w:right="540" w:firstLine="921"/>
        <w:spacing w:after="0" w:line="277" w:lineRule="auto"/>
        <w:tabs>
          <w:tab w:leader="none" w:pos="114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2" w:lineRule="exact"/>
        <w:rPr>
          <w:rFonts w:ascii="Arial" w:cs="Arial" w:eastAsia="Arial" w:hAnsi="Arial"/>
          <w:sz w:val="18"/>
          <w:szCs w:val="18"/>
          <w:color w:val="auto"/>
        </w:rPr>
      </w:pPr>
    </w:p>
    <w:p>
      <w:pPr>
        <w:ind w:left="-20" w:right="60" w:firstLine="921"/>
        <w:spacing w:after="0" w:line="259" w:lineRule="auto"/>
        <w:tabs>
          <w:tab w:leader="none" w:pos="114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78" w:lineRule="exact"/>
        <w:rPr>
          <w:rFonts w:ascii="Arial" w:cs="Arial" w:eastAsia="Arial" w:hAnsi="Arial"/>
          <w:sz w:val="18"/>
          <w:szCs w:val="18"/>
          <w:color w:val="auto"/>
        </w:rPr>
      </w:pPr>
    </w:p>
    <w:p>
      <w:pPr>
        <w:ind w:left="-20" w:firstLine="921"/>
        <w:spacing w:after="0" w:line="264" w:lineRule="auto"/>
        <w:tabs>
          <w:tab w:leader="none" w:pos="110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73" w:lineRule="exact"/>
        <w:rPr>
          <w:rFonts w:ascii="Arial" w:cs="Arial" w:eastAsia="Arial" w:hAnsi="Arial"/>
          <w:sz w:val="18"/>
          <w:szCs w:val="18"/>
          <w:color w:val="auto"/>
        </w:rPr>
      </w:pPr>
    </w:p>
    <w:p>
      <w:pPr>
        <w:ind w:left="-20" w:right="360" w:firstLine="921"/>
        <w:spacing w:after="0" w:line="277" w:lineRule="auto"/>
        <w:tabs>
          <w:tab w:leader="none" w:pos="110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62" w:lineRule="exact"/>
        <w:rPr>
          <w:rFonts w:ascii="Arial" w:cs="Arial" w:eastAsia="Arial" w:hAnsi="Arial"/>
          <w:sz w:val="18"/>
          <w:szCs w:val="18"/>
          <w:color w:val="auto"/>
        </w:rPr>
      </w:pPr>
    </w:p>
    <w:p>
      <w:pPr>
        <w:ind w:left="-20" w:right="740" w:firstLine="921"/>
        <w:spacing w:after="0" w:line="277" w:lineRule="auto"/>
        <w:tabs>
          <w:tab w:leader="none" w:pos="114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540" w:firstLine="921"/>
        <w:spacing w:after="0" w:line="264" w:lineRule="auto"/>
        <w:tabs>
          <w:tab w:leader="none" w:pos="113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354" w:name="page355"/>
    <w:bookmarkEnd w:id="35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1—16, and judgment upon the award rendered by the arbitrators may be entered by any court having jurisdiction thereof. The place of arbitration shall be Boston, MA.</w:t>
      </w:r>
    </w:p>
    <w:p>
      <w:pPr>
        <w:spacing w:after="0" w:line="62" w:lineRule="exact"/>
        <w:rPr>
          <w:sz w:val="20"/>
          <w:szCs w:val="20"/>
          <w:color w:val="auto"/>
        </w:rPr>
      </w:pPr>
    </w:p>
    <w:p>
      <w:pPr>
        <w:ind w:firstLine="921"/>
        <w:spacing w:after="0" w:line="270"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jc w:val="both"/>
        <w:ind w:right="180" w:firstLine="921"/>
        <w:spacing w:after="0" w:line="259" w:lineRule="auto"/>
        <w:tabs>
          <w:tab w:leader="none" w:pos="11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the Grantee,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8"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55" w:name="page356"/>
    <w:bookmarkEnd w:id="355"/>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Restricted Stock Agreement is hereby accepted and the terms and conditions thereof are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872490</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200"/>
          </w:cols>
          <w:pgMar w:left="240" w:top="273" w:right="45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November 4,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117" w:lineRule="exact"/>
        <w:rPr>
          <w:sz w:val="20"/>
          <w:szCs w:val="20"/>
          <w:color w:val="auto"/>
        </w:rPr>
      </w:pPr>
    </w:p>
    <w:p>
      <w:pPr>
        <w:ind w:left="1500" w:right="320"/>
        <w:spacing w:after="0" w:line="266" w:lineRule="auto"/>
        <w:rPr>
          <w:sz w:val="20"/>
          <w:szCs w:val="20"/>
          <w:color w:val="auto"/>
        </w:rPr>
      </w:pPr>
      <w:r>
        <w:rPr>
          <w:rFonts w:ascii="Arial" w:cs="Arial" w:eastAsia="Arial" w:hAnsi="Arial"/>
          <w:sz w:val="18"/>
          <w:szCs w:val="18"/>
          <w:b w:val="1"/>
          <w:bCs w:val="1"/>
          <w:color w:val="auto"/>
        </w:rPr>
        <w:t>UNIVERSITY HEALTH NETWORK</w:t>
      </w:r>
      <w:r>
        <w:rPr>
          <w:rFonts w:ascii="Arial" w:cs="Arial" w:eastAsia="Arial" w:hAnsi="Arial"/>
          <w:sz w:val="18"/>
          <w:szCs w:val="18"/>
          <w:color w:val="auto"/>
        </w:rPr>
        <w:t>, an Ontario corporation incorporated by special statute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University Health Network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1997, </w:t>
      </w:r>
      <w:r>
        <w:rPr>
          <w:rFonts w:ascii="Arial" w:cs="Arial" w:eastAsia="Arial" w:hAnsi="Arial"/>
          <w:sz w:val="18"/>
          <w:szCs w:val="18"/>
          <w:color w:val="auto"/>
        </w:rPr>
        <w:t>having a principal office at 190 Elizabeth Street, R. Fraser Elliott Building—Room 1S-417, Toronto, Ontario M5G 2C4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UHN</w:t>
      </w:r>
      <w:r>
        <w:rPr>
          <w:rFonts w:ascii="Arial" w:cs="Arial" w:eastAsia="Arial" w:hAnsi="Arial"/>
          <w:sz w:val="18"/>
          <w:szCs w:val="18"/>
          <w:color w:val="auto"/>
        </w:rPr>
        <w:t>”)</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 a Delaware corporation, with offices at 400 Technology Square,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Cambridge, MA 02139 (“</w:t>
      </w:r>
      <w:r>
        <w:rPr>
          <w:rFonts w:ascii="Arial" w:cs="Arial" w:eastAsia="Arial" w:hAnsi="Arial"/>
          <w:sz w:val="18"/>
          <w:szCs w:val="18"/>
          <w:b w:val="1"/>
          <w:bCs w:val="1"/>
          <w:color w:val="auto"/>
        </w:rPr>
        <w:t>Avro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UHN and Avro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UHN principal investigator Dr. Jeffrey Medin (the “</w:t>
      </w:r>
      <w:r>
        <w:rPr>
          <w:rFonts w:ascii="Arial" w:cs="Arial" w:eastAsia="Arial" w:hAnsi="Arial"/>
          <w:sz w:val="18"/>
          <w:szCs w:val="18"/>
          <w:b w:val="1"/>
          <w:bCs w:val="1"/>
          <w:color w:val="auto"/>
        </w:rPr>
        <w:t>Principal Investigator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as further defined below) has created, conceived or developed compositions and methods for use in the treatment of Fabry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UHN owns and controls certain intellectual property rights relating to the treatment of Fabry disease.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Avro wishes to license from UHN rights under such intellectual property rights so as to allow Avro to research, develop, manufacture and commercialize products in accordance with the following terms and conditions.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UHN and Avro entered into an option agreement, dated as of January 27, 2016, pursuant to which UHN exclusively optioned to Avro the right to exclusively license all UHN owned or controlled intellectual property rights relating to UHN developed compositions and methods for use in the treatment of Fabry disease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wish to enter into this Agreement in accordance with the terms and conditions set forth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2760"/>
              <w:spacing w:after="0"/>
              <w:rPr>
                <w:sz w:val="20"/>
                <w:szCs w:val="20"/>
                <w:color w:val="auto"/>
              </w:rPr>
            </w:pPr>
            <w:r>
              <w:rPr>
                <w:rFonts w:ascii="Arial" w:cs="Arial" w:eastAsia="Arial" w:hAnsi="Arial"/>
                <w:sz w:val="18"/>
                <w:szCs w:val="18"/>
                <w:b w:val="1"/>
                <w:bCs w:val="1"/>
                <w:color w:val="auto"/>
              </w:rPr>
              <w:t>ARTICLE 1 - INTERPRETATION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1.1</w:t>
            </w:r>
          </w:p>
        </w:tc>
        <w:tc>
          <w:tcPr>
            <w:tcW w:w="1066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Defined Terms</w:t>
            </w:r>
            <w:r>
              <w:rPr>
                <w:rFonts w:ascii="Arial" w:cs="Arial" w:eastAsia="Arial" w:hAnsi="Arial"/>
                <w:sz w:val="18"/>
                <w:szCs w:val="18"/>
                <w:color w:val="auto"/>
                <w:w w:val="92"/>
              </w:rPr>
              <w:t>. For the purposes of this Agreement, the following terms shall have the respective meanings set out below and grammatical</w:t>
            </w:r>
          </w:p>
        </w:tc>
      </w:tr>
      <w:tr>
        <w:trPr>
          <w:trHeight w:val="230"/>
        </w:trPr>
        <w:tc>
          <w:tcPr>
            <w:tcW w:w="580" w:type="dxa"/>
            <w:vAlign w:val="bottom"/>
          </w:tcPr>
          <w:p>
            <w:pPr>
              <w:spacing w:after="0"/>
              <w:rPr>
                <w:sz w:val="20"/>
                <w:szCs w:val="20"/>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variations of such terms shall have corresponding meanings: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1.1.1</w:t>
            </w:r>
          </w:p>
        </w:tc>
        <w:tc>
          <w:tcPr>
            <w:tcW w:w="9640" w:type="dxa"/>
            <w:vAlign w:val="bottom"/>
          </w:tcPr>
          <w:p>
            <w:pPr>
              <w:ind w:left="3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Affiliate</w:t>
            </w:r>
            <w:r>
              <w:rPr>
                <w:rFonts w:ascii="Arial" w:cs="Arial" w:eastAsia="Arial" w:hAnsi="Arial"/>
                <w:sz w:val="18"/>
                <w:szCs w:val="18"/>
                <w:color w:val="auto"/>
                <w:w w:val="91"/>
              </w:rPr>
              <w:t>” means, with respect to any Person, a Person directly or indirectly controlled by, controlling, or under common control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w w:val="92"/>
              </w:rPr>
              <w:t>with such Person. For the purposes of this definition, except as otherwise expressly set out in this Agreement, “control” means</w:t>
            </w:r>
          </w:p>
        </w:tc>
      </w:tr>
    </w:tbl>
    <w:p>
      <w:pPr>
        <w:ind w:left="1940" w:right="60" w:hanging="1"/>
        <w:spacing w:after="0" w:line="261" w:lineRule="auto"/>
        <w:tabs>
          <w:tab w:leader="none" w:pos="218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direct or indirect beneficial ownership of at least fifty percent (50%) of the voting stock of such Person or (b) with the power to direct the management and policies of such entities.</w:t>
      </w:r>
    </w:p>
    <w:p>
      <w:pPr>
        <w:sectPr>
          <w:pgSz w:w="11900" w:h="16838" w:orient="portrait"/>
          <w:cols w:equalWidth="0" w:num="1">
            <w:col w:w="11420"/>
          </w:cols>
          <w:pgMar w:left="240" w:top="121" w:right="2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Agreement</w:t>
            </w:r>
            <w:r>
              <w:rPr>
                <w:rFonts w:ascii="Arial" w:cs="Arial" w:eastAsia="Arial" w:hAnsi="Arial"/>
                <w:sz w:val="18"/>
                <w:szCs w:val="18"/>
                <w:color w:val="auto"/>
                <w:w w:val="91"/>
              </w:rPr>
              <w:t>” means this Exclusive License Agreement, and all of its Schedules, and the terms “herein”, “hereunder”, “hereto”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such similar expressions shall refer to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Avro Insurance</w:t>
            </w:r>
            <w:r>
              <w:rPr>
                <w:rFonts w:ascii="Arial" w:cs="Arial" w:eastAsia="Arial" w:hAnsi="Arial"/>
                <w:sz w:val="18"/>
                <w:szCs w:val="18"/>
                <w:color w:val="auto"/>
              </w:rPr>
              <w:t>” shall have the meaning provided in Section 13.1.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Calendar Year</w:t>
            </w:r>
            <w:r>
              <w:rPr>
                <w:rFonts w:ascii="Arial" w:cs="Arial" w:eastAsia="Arial" w:hAnsi="Arial"/>
                <w:sz w:val="18"/>
                <w:szCs w:val="18"/>
                <w:color w:val="auto"/>
                <w:w w:val="97"/>
              </w:rPr>
              <w:t>” means each twelve (12) month period beginning on January 1 and each subsequent anniversary thereof;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provided, however, that (a) the first Calendar Year of this Agreement will commence on the Effective Date and end on</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December 31 of the same year, and (b) the last Calendar Year of this Agreement will commence on January 1 of the Calendar Year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 which this Agreement terminates or expires and end on the date of expiration or termination of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shall have the meaning provided in Section 12.1.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Clinical Trial Application</w:t>
            </w:r>
            <w:r>
              <w:rPr>
                <w:rFonts w:ascii="Arial" w:cs="Arial" w:eastAsia="Arial" w:hAnsi="Arial"/>
                <w:sz w:val="18"/>
                <w:szCs w:val="18"/>
                <w:color w:val="auto"/>
                <w:w w:val="98"/>
              </w:rPr>
              <w:t>” or “</w:t>
            </w:r>
            <w:r>
              <w:rPr>
                <w:rFonts w:ascii="Arial" w:cs="Arial" w:eastAsia="Arial" w:hAnsi="Arial"/>
                <w:sz w:val="18"/>
                <w:szCs w:val="18"/>
                <w:b w:val="1"/>
                <w:bCs w:val="1"/>
                <w:color w:val="auto"/>
                <w:w w:val="98"/>
              </w:rPr>
              <w:t>CTA</w:t>
            </w:r>
            <w:r>
              <w:rPr>
                <w:rFonts w:ascii="Arial" w:cs="Arial" w:eastAsia="Arial" w:hAnsi="Arial"/>
                <w:sz w:val="18"/>
                <w:szCs w:val="18"/>
                <w:color w:val="auto"/>
                <w:w w:val="98"/>
              </w:rPr>
              <w:t>” has the meaning accorded this term in accordance with the requirements of Health</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Canada, including all amendments and supplements to such application, or any IND or other equivalent filing with any other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Regulatory Authority.</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1.1.7</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Clinical Trial Data</w:t>
            </w:r>
            <w:r>
              <w:rPr>
                <w:rFonts w:ascii="Arial" w:cs="Arial" w:eastAsia="Arial" w:hAnsi="Arial"/>
                <w:sz w:val="18"/>
                <w:szCs w:val="18"/>
                <w:color w:val="auto"/>
                <w:w w:val="95"/>
              </w:rPr>
              <w:t>” means all Patient Data generated from the one or more of the clinical trial sites (including UHN, Calgary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and Halifax), but excludes Sample Processing Data. For greater certainty, investigator suspected adverse events are not separately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identified within the Clinical Trial Data, but are reviewed in accordance with the Clinical Trial Protocol and reported to Avro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accordance with obligations as outlined in Sections 2.4.4 to 2.4.6.</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Clinical Trial Protocol</w:t>
            </w:r>
            <w:r>
              <w:rPr>
                <w:rFonts w:ascii="Arial" w:cs="Arial" w:eastAsia="Arial" w:hAnsi="Arial"/>
                <w:sz w:val="18"/>
                <w:szCs w:val="18"/>
                <w:color w:val="auto"/>
                <w:w w:val="92"/>
              </w:rPr>
              <w:t>” means the protocol governing the UHN Planned Trial. The Clinical Trial Protocol may be amended from</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time to time by agreement of the Parties subject to funding being available to support the costs of changes as required by the</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amendment.</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1.1.9</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Combination Product</w:t>
            </w:r>
            <w:r>
              <w:rPr>
                <w:rFonts w:ascii="Arial" w:cs="Arial" w:eastAsia="Arial" w:hAnsi="Arial"/>
                <w:sz w:val="18"/>
                <w:szCs w:val="18"/>
                <w:color w:val="auto"/>
                <w:w w:val="93"/>
              </w:rPr>
              <w:t>” means a Licensed Product sold or used in combination with one or more other products which are not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Licensed Products.</w:t>
            </w:r>
          </w:p>
        </w:tc>
      </w:tr>
      <w:tr>
        <w:trPr>
          <w:trHeight w:val="319"/>
        </w:trPr>
        <w:tc>
          <w:tcPr>
            <w:tcW w:w="740" w:type="dxa"/>
            <w:vAlign w:val="bottom"/>
          </w:tcPr>
          <w:p>
            <w:pPr>
              <w:spacing w:after="0"/>
              <w:rPr>
                <w:sz w:val="20"/>
                <w:szCs w:val="20"/>
                <w:color w:val="auto"/>
              </w:rPr>
            </w:pPr>
            <w:r>
              <w:rPr>
                <w:rFonts w:ascii="Arial" w:cs="Arial" w:eastAsia="Arial" w:hAnsi="Arial"/>
                <w:sz w:val="18"/>
                <w:szCs w:val="18"/>
                <w:b w:val="1"/>
                <w:bCs w:val="1"/>
                <w:color w:val="auto"/>
              </w:rPr>
              <w:t>1.1.10</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Confidential Information</w:t>
            </w:r>
            <w:r>
              <w:rPr>
                <w:rFonts w:ascii="Arial" w:cs="Arial" w:eastAsia="Arial" w:hAnsi="Arial"/>
                <w:sz w:val="18"/>
                <w:szCs w:val="18"/>
                <w:color w:val="auto"/>
                <w:w w:val="93"/>
              </w:rPr>
              <w:t>” of a Party means any and all confidential or proprietary information of and disclosed by or on behalf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of a Party and/or any of its Affiliates (a “</w:t>
            </w:r>
            <w:r>
              <w:rPr>
                <w:rFonts w:ascii="Arial" w:cs="Arial" w:eastAsia="Arial" w:hAnsi="Arial"/>
                <w:sz w:val="18"/>
                <w:szCs w:val="18"/>
                <w:b w:val="1"/>
                <w:bCs w:val="1"/>
                <w:color w:val="auto"/>
                <w:w w:val="91"/>
              </w:rPr>
              <w:t>Disclosing Party</w:t>
            </w:r>
            <w:r>
              <w:rPr>
                <w:rFonts w:ascii="Arial" w:cs="Arial" w:eastAsia="Arial" w:hAnsi="Arial"/>
                <w:sz w:val="18"/>
                <w:szCs w:val="18"/>
                <w:color w:val="auto"/>
                <w:w w:val="91"/>
              </w:rPr>
              <w:t>”) which has or does come into the possession or knowledge of the other</w:t>
            </w:r>
          </w:p>
        </w:tc>
      </w:tr>
      <w:tr>
        <w:trPr>
          <w:trHeight w:val="220"/>
        </w:trPr>
        <w:tc>
          <w:tcPr>
            <w:tcW w:w="740" w:type="dxa"/>
            <w:vAlign w:val="bottom"/>
          </w:tcPr>
          <w:p>
            <w:pPr>
              <w:spacing w:after="0"/>
              <w:rPr>
                <w:sz w:val="19"/>
                <w:szCs w:val="19"/>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Party and/or any of its Affiliates (a “</w:t>
            </w:r>
            <w:r>
              <w:rPr>
                <w:rFonts w:ascii="Arial" w:cs="Arial" w:eastAsia="Arial" w:hAnsi="Arial"/>
                <w:sz w:val="18"/>
                <w:szCs w:val="18"/>
                <w:b w:val="1"/>
                <w:bCs w:val="1"/>
                <w:color w:val="auto"/>
                <w:w w:val="92"/>
              </w:rPr>
              <w:t>Receiving Party</w:t>
            </w:r>
            <w:r>
              <w:rPr>
                <w:rFonts w:ascii="Arial" w:cs="Arial" w:eastAsia="Arial" w:hAnsi="Arial"/>
                <w:sz w:val="18"/>
                <w:szCs w:val="18"/>
                <w:color w:val="auto"/>
                <w:w w:val="92"/>
              </w:rPr>
              <w:t>”) in connection with or as a result of entering into this Agreement and which</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is (a) marked as confidential or identified as confidential at the time of disclosure, or (b) given the nature of the information or</w:t>
            </w:r>
          </w:p>
        </w:tc>
      </w:tr>
    </w:tbl>
    <w:p>
      <w:pPr>
        <w:ind w:left="102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of disclosure, would be recognized as confidential or proprietary by a reasonable person, in each case including information concerning the Disclosing Party’s past, present and future business, research and development, technology, customers and suppliers.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0" w:right="2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Information shall not be considered “Confidential Information” to the extent that the information:</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 is part of the public domain at the time of disclosure,</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(b) subsequently becomes part of the public domain through no act or fault of the Receiving Party or its Representatives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violation of this Agreement,</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(c) can be demonstrated by the Receiving Party’s written records or other credible evidence to have been known or otherwise</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 available to the Receiving Party prior to the disclosure by the Disclosing Party,</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 can be demonstrated by the Receiving Party’s written records or other credible evidence, to have been provided to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9"/>
              </w:rPr>
              <w:t>Receiving Party, without restriction, by a Third Party who is not under a duty of confidentiality respecting the information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disclosed,</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(f) can be demonstrated by the Receiving Party’s written records, or other credible evidence, to have been independently developed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or on behalf of the Receiving Party without use of or reference to the disclosed Confidential Information, or</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(g) is identified in writing by the Disclosing Party as no longer constituting Confidential information.</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1.1.11</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shall have the meaning provided in Section 1.1.10.</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1.1.12</w:t>
            </w: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Exclusively Licensed Know-How</w:t>
            </w:r>
            <w:r>
              <w:rPr>
                <w:rFonts w:ascii="Arial" w:cs="Arial" w:eastAsia="Arial" w:hAnsi="Arial"/>
                <w:sz w:val="18"/>
                <w:szCs w:val="18"/>
                <w:color w:val="auto"/>
                <w:w w:val="94"/>
              </w:rPr>
              <w:t>” means (a) any and all Fabry Know-How, (b) any and all Licensed Trial Related Data,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 the Clinical Trial Protocol.</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1.1.13</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Fabry Know-How</w:t>
            </w:r>
            <w:r>
              <w:rPr>
                <w:rFonts w:ascii="Arial" w:cs="Arial" w:eastAsia="Arial" w:hAnsi="Arial"/>
                <w:sz w:val="18"/>
                <w:szCs w:val="18"/>
                <w:color w:val="auto"/>
                <w:w w:val="98"/>
              </w:rPr>
              <w:t>” means any and all Know-How (A) existing as of the Effective Date that (i) was created, conceived or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developed by (1) the Principal Investigator; (2) by UHN employees or agents under the direction or supervision of the Principal</w:t>
            </w:r>
          </w:p>
        </w:tc>
      </w:tr>
    </w:tbl>
    <w:p>
      <w:pPr>
        <w:ind w:left="10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Investigator, or (3) the UHN CRO; (ii) is owned or controlled by UHN and (iii) is listed or otherwise defined in Schedule “A”, or Schedule “B”, or (B) existing as of the Effective Date or during the Term that was (i) created, conceived or developed by one or more third party(ies) in collaboration with UHN or the Principal Investigator (or UHN employees or agents of UHN under the direction or supervision of the Principal Investigator) in connection with the UHN Planned Trial and for which UHN has been granted exclusive rights pursuant to a Fabry Trial Team Agreement. In the event that there exists as of the Effective Date other Know-How which is (a) relevant to the Field of Use, (b) created, conceived or developed by (1) the Principal Investigator, (2) by UHN employees or agents under the direction or supervision of the Principal Investigator, or (3) the UHN CRO, and (c) owned or controlled by UHN and is not Improved Therapies Know-How, the Parties will update Schedule A and/or Schedule B accordingly. For greater certainty Fabry Know-How does not include Fabry Patents, Improved Therapies Patents or Improvement Patents or any Patent Rights in the SRA Intellectual Property.</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74" w:right="239" w:bottom="1440" w:gutter="0" w:footer="0" w:header="0"/>
        </w:sectPr>
      </w:pPr>
    </w:p>
    <w:bookmarkStart w:id="359" w:name="page360"/>
    <w:bookmarkEnd w:id="359"/>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Fabry Non-Exclusive Know-How</w:t>
      </w:r>
      <w:r>
        <w:rPr>
          <w:rFonts w:ascii="Arial" w:cs="Arial" w:eastAsia="Arial" w:hAnsi="Arial"/>
          <w:sz w:val="17"/>
          <w:szCs w:val="17"/>
          <w:color w:val="auto"/>
        </w:rPr>
        <w:t>” means any and all Know-How existing as of the Effective Date or during the Term that was created, conceived or developed by one or more third party(ies) in collaboration with the Principal Investigator (or UHN employees or agents of UHN under the direction or supervision of the Principal Investigator) in connection with the UHN Planned Trial and for which UHN has been granted non-exclusive rights pursuant to a Fabry Trial Team Agreement.</w:t>
      </w:r>
    </w:p>
    <w:p>
      <w:pPr>
        <w:spacing w:after="0" w:line="70" w:lineRule="exact"/>
        <w:rPr>
          <w:sz w:val="20"/>
          <w:szCs w:val="20"/>
          <w:color w:val="auto"/>
        </w:rPr>
      </w:pPr>
    </w:p>
    <w:p>
      <w:pPr>
        <w:ind w:left="1020" w:right="4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Patents</w:t>
      </w:r>
      <w:r>
        <w:rPr>
          <w:rFonts w:ascii="Arial" w:cs="Arial" w:eastAsia="Arial" w:hAnsi="Arial"/>
          <w:sz w:val="16"/>
          <w:szCs w:val="16"/>
          <w:color w:val="auto"/>
        </w:rPr>
        <w:t>” means (a) the patents and patent applications listed on Schedule “C”, (b) any Canadian or U.S. or other foreign patent application corresponding or claiming priority to the patents and applications listed in Schedule “C”, and all patents issuing therefrom, (c) all divisionals, continuations and continuations-in part applications to the patents and applications listed in Schedule “C”, and all patents issuing therefrom, with the proviso that any continuations-in-part applications and/or patents shall only apply to claims that are directed to subject matter specifically described in any patent or patent application described in clauses (a) or (b);</w:t>
      </w:r>
    </w:p>
    <w:p>
      <w:pPr>
        <w:spacing w:after="0" w:line="2" w:lineRule="exact"/>
        <w:rPr>
          <w:sz w:val="20"/>
          <w:szCs w:val="20"/>
          <w:color w:val="auto"/>
        </w:rPr>
      </w:pPr>
    </w:p>
    <w:p>
      <w:pPr>
        <w:ind w:left="1020" w:right="180" w:hanging="1"/>
        <w:spacing w:after="0" w:line="273" w:lineRule="auto"/>
        <w:tabs>
          <w:tab w:leader="none" w:pos="127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all foreign counterparts of any of the patents or applications in clauses (a), (b), and (c) (including, without limitation, any European Supplementary Protection Certificates or equivalents), and all patents issuing therefrom; and (e) all patents of addition, reissues, renewals, and/or extensions of any of the patents or patent applications set out in any of clauses (a), (b), (c), or (d), but excluding any patents or patent applications listed as “Excluded Patents” on Schedule C.</w:t>
      </w:r>
    </w:p>
    <w:p>
      <w:pPr>
        <w:spacing w:after="0" w:line="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Vector</w:t>
      </w:r>
      <w:r>
        <w:rPr>
          <w:rFonts w:ascii="Arial" w:cs="Arial" w:eastAsia="Arial" w:hAnsi="Arial"/>
          <w:sz w:val="16"/>
          <w:szCs w:val="16"/>
          <w:color w:val="auto"/>
        </w:rPr>
        <w:t>” means the Lentiviral a-Gal A expression vector utilized in the UHN Planned Trial.</w:t>
      </w:r>
    </w:p>
    <w:p>
      <w:pPr>
        <w:spacing w:after="0" w:line="131"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w:t>
      </w:r>
      <w:r>
        <w:rPr>
          <w:rFonts w:ascii="Arial" w:cs="Arial" w:eastAsia="Arial" w:hAnsi="Arial"/>
          <w:sz w:val="18"/>
          <w:szCs w:val="18"/>
          <w:color w:val="auto"/>
        </w:rPr>
        <w:t>” means the principal investigators in their appointment and capacity as investigators of their respective Fabry Trial Team Institution(s).</w:t>
      </w:r>
    </w:p>
    <w:p>
      <w:pPr>
        <w:spacing w:after="0" w:line="67" w:lineRule="exact"/>
        <w:rPr>
          <w:sz w:val="20"/>
          <w:szCs w:val="20"/>
          <w:color w:val="auto"/>
        </w:rPr>
      </w:pPr>
    </w:p>
    <w:p>
      <w:pPr>
        <w:ind w:left="1020" w:right="2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Institution</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each of the institutions involved in the UHN Planned Trial. As of the Effective Date, the Fabry Trial Team Institutions include Hamilton Regional Laboratory Medicine Program (“Hamilton Service”), Hamilton Health Sciences Corporation (“Hamilton Clinical”), Universite de Sherbrooke (“Sherbrooke”), The Governors of the University of Calgary in conjunction with Alberta Health Services (collectively “Calgary”), London Health Sciences Centre (“London”), and Nova Scotia Health Authority (“Halifax”). The list of Fabry Trial Team Institutions(s) may be amended by agreement of the Parties.</w:t>
      </w:r>
    </w:p>
    <w:p>
      <w:pPr>
        <w:spacing w:after="0" w:line="93" w:lineRule="exact"/>
        <w:rPr>
          <w:sz w:val="20"/>
          <w:szCs w:val="20"/>
          <w:color w:val="auto"/>
        </w:rPr>
      </w:pPr>
    </w:p>
    <w:p>
      <w:pPr>
        <w:ind w:left="1020" w:right="14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Agreement</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any agreement(s) to be entered into between Fabry Trial Team Institutions, UHN, and Avro governing, among other items, the transfer of certain Exclusively Licensed Know-How and Non-Exclusively Licensed Know-How from the Fabry Trial Team Institutions to UHN and Avro. The Fabry Trial Team Agreement(s) may be amended from time to time by agreement of the Parties.</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agency thereto.</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Fabry disease.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70" w:right="23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1.1.22</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First Commercial Sale</w:t>
            </w:r>
            <w:r>
              <w:rPr>
                <w:rFonts w:ascii="Arial" w:cs="Arial" w:eastAsia="Arial" w:hAnsi="Arial"/>
                <w:sz w:val="18"/>
                <w:szCs w:val="18"/>
                <w:color w:val="auto"/>
                <w:w w:val="95"/>
              </w:rPr>
              <w:t>” means, with respect to a Licensed Product and a country, the first arms-length commercial sale for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monetary value of such Licensed Product to a Third Party in such country after Regulatory Approval allowing for the marketing</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and sale of such Licensed Product has been obtained in such country. Sales prior to receipt of Regulatory Approval for such</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Licensed Product, such as so-called “treatment IND sales,” “named patient sales”, “Health Canada Special Access Programme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sales” and “compassionate use sales” shall not be construed as a First Commercial Sale.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1.1.23</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Gross Revenue</w:t>
            </w:r>
            <w:r>
              <w:rPr>
                <w:rFonts w:ascii="Arial" w:cs="Arial" w:eastAsia="Arial" w:hAnsi="Arial"/>
                <w:sz w:val="18"/>
                <w:szCs w:val="18"/>
                <w:color w:val="auto"/>
                <w:w w:val="92"/>
              </w:rPr>
              <w:t>” means the gross amount received by each of: (a) Avro and/or its Affiliates, and (b) any permitted Sublicensee,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where such gross amount is received in respect of the sale or transfer or other disposition of a Licensed Product to a Third Party.</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1.1.24</w:t>
            </w: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IL-12 Agreement</w:t>
            </w:r>
            <w:r>
              <w:rPr>
                <w:rFonts w:ascii="Arial" w:cs="Arial" w:eastAsia="Arial" w:hAnsi="Arial"/>
                <w:sz w:val="18"/>
                <w:szCs w:val="18"/>
                <w:color w:val="auto"/>
                <w:w w:val="94"/>
              </w:rPr>
              <w:t>” means the Exclusive License Agreement, dated January 27, 2016, by and between Avro and UHN (and as</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further amended or restated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1.1.25</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Improvements</w:t>
            </w:r>
            <w:r>
              <w:rPr>
                <w:rFonts w:ascii="Arial" w:cs="Arial" w:eastAsia="Arial" w:hAnsi="Arial"/>
                <w:sz w:val="18"/>
                <w:szCs w:val="18"/>
                <w:color w:val="auto"/>
                <w:w w:val="92"/>
              </w:rPr>
              <w:t>” means any and all discoveries, derivatives, adaptations, changes, inventions, enhancements and modifications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(whether patentable or not) of the Fabry Patents or Fabry Know-How that are created, conceived, developed or reduced to practice</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either (a) prior to the Effective Date or during the Option Term, by (i) the Principal Investigator (ii) any employees or agents of</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UHN under the direction or supervision of the Principal Investigator or (iii) the UHN CRO, where same are owned or controlled by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UHN and relevant to the Field of Use, or (b) arising from the UHN Planned Trial; but, in each case ((a)-(b)), are not (i) Improved</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Therapies or (ii) in connection with or in performance of an SRA.</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1.1.26</w:t>
            </w:r>
          </w:p>
        </w:tc>
        <w:tc>
          <w:tcPr>
            <w:tcW w:w="9760" w:type="dxa"/>
            <w:vAlign w:val="bottom"/>
          </w:tcPr>
          <w:p>
            <w:pPr>
              <w:ind w:left="28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Improved Therapies</w:t>
            </w:r>
            <w:r>
              <w:rPr>
                <w:rFonts w:ascii="Arial" w:cs="Arial" w:eastAsia="Arial" w:hAnsi="Arial"/>
                <w:sz w:val="18"/>
                <w:szCs w:val="18"/>
                <w:color w:val="auto"/>
                <w:w w:val="99"/>
              </w:rPr>
              <w:t>” means any and all discoveries, derivatives, adaptations, changes, inventions, enhancements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modifications (whether patentable or not) of the Fabry Patents or Fabry Know-How that are created, conceived, developed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reduced to practice prior to the Effective Date or during the Option Term by the Principal Investigator (or any employees or agents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of UHN under the direction or supervision of the Principal Investigator) and relevant to the Field of Use, where the technology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advancement relates to a new product or a method relating thereto which is distinct from the technology encompassed by the UHN</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Planned Trial and requires the submission of a new IND or foreign equivalent thereof. For clarity, addition of TMPK to the Fabry</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Vector is NOT considered a new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1.1.27</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Know-How</w:t>
            </w:r>
            <w:r>
              <w:rPr>
                <w:rFonts w:ascii="Arial" w:cs="Arial" w:eastAsia="Arial" w:hAnsi="Arial"/>
                <w:sz w:val="18"/>
                <w:szCs w:val="18"/>
                <w:color w:val="auto"/>
              </w:rPr>
              <w:t>” means any and all Know-How that exists within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1.1.28</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Patents</w:t>
            </w:r>
            <w:r>
              <w:rPr>
                <w:rFonts w:ascii="Arial" w:cs="Arial" w:eastAsia="Arial" w:hAnsi="Arial"/>
                <w:sz w:val="18"/>
                <w:szCs w:val="18"/>
                <w:color w:val="auto"/>
              </w:rPr>
              <w:t>” means any and all Patent Rights that claim or cover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1.1.29</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Know-How</w:t>
            </w:r>
            <w:r>
              <w:rPr>
                <w:rFonts w:ascii="Arial" w:cs="Arial" w:eastAsia="Arial" w:hAnsi="Arial"/>
                <w:sz w:val="18"/>
                <w:szCs w:val="18"/>
                <w:color w:val="auto"/>
              </w:rPr>
              <w:t>” means any and all Know-How that exists within any of the Improvements.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1.1.30</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Patents</w:t>
            </w:r>
            <w:r>
              <w:rPr>
                <w:rFonts w:ascii="Arial" w:cs="Arial" w:eastAsia="Arial" w:hAnsi="Arial"/>
                <w:sz w:val="18"/>
                <w:szCs w:val="18"/>
                <w:color w:val="auto"/>
              </w:rPr>
              <w:t>” means Patent Rights that claim or cover any of the Improvements.</w:t>
            </w:r>
          </w:p>
        </w:tc>
      </w:tr>
      <w:tr>
        <w:trPr>
          <w:trHeight w:val="365"/>
        </w:trPr>
        <w:tc>
          <w:tcPr>
            <w:tcW w:w="740" w:type="dxa"/>
            <w:vAlign w:val="bottom"/>
          </w:tcPr>
          <w:p>
            <w:pPr>
              <w:spacing w:after="0"/>
              <w:rPr>
                <w:sz w:val="24"/>
                <w:szCs w:val="24"/>
                <w:color w:val="auto"/>
              </w:rPr>
            </w:pPr>
          </w:p>
        </w:tc>
        <w:tc>
          <w:tcPr>
            <w:tcW w:w="9760" w:type="dxa"/>
            <w:vAlign w:val="bottom"/>
          </w:tcPr>
          <w:p>
            <w:pPr>
              <w:ind w:left="6660"/>
              <w:spacing w:after="0"/>
              <w:rPr>
                <w:sz w:val="20"/>
                <w:szCs w:val="20"/>
                <w:color w:val="auto"/>
              </w:rPr>
            </w:pPr>
            <w:r>
              <w:rPr>
                <w:rFonts w:ascii="Arial" w:cs="Arial" w:eastAsia="Arial" w:hAnsi="Arial"/>
                <w:sz w:val="18"/>
                <w:szCs w:val="18"/>
                <w:color w:val="auto"/>
                <w:w w:val="94"/>
              </w:rPr>
              <w:t>*** Confidential Treatment Requested ***</w:t>
            </w:r>
          </w:p>
        </w:tc>
      </w:tr>
      <w:tr>
        <w:trPr>
          <w:trHeight w:val="675"/>
        </w:trPr>
        <w:tc>
          <w:tcPr>
            <w:tcW w:w="74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5</w:t>
            </w:r>
          </w:p>
        </w:tc>
      </w:tr>
    </w:tbl>
    <w:p>
      <w:pPr>
        <w:ind w:left="4000"/>
        <w:spacing w:after="0"/>
        <w:rPr>
          <w:sz w:val="20"/>
          <w:szCs w:val="20"/>
          <w:color w:val="auto"/>
        </w:rPr>
        <w:sectPr>
          <w:pgSz w:w="11900" w:h="16838" w:orient="portrait"/>
          <w:cols w:equalWidth="0" w:num="1">
            <w:col w:w="10500"/>
          </w:cols>
          <w:pgMar w:left="116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1" w:name="page362"/>
    <w:bookmarkEnd w:id="361"/>
    <w:p>
      <w:pPr>
        <w:ind w:left="1020" w:right="1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with respect to a product, an Investigational New Drug Application filed with the FDA with respect to such product pursuant to 21 C.F.R. § 312 before the commencement of human clinical trials involving such product.</w:t>
      </w:r>
    </w:p>
    <w:p>
      <w:pPr>
        <w:spacing w:after="0" w:line="67" w:lineRule="exact"/>
        <w:rPr>
          <w:sz w:val="20"/>
          <w:szCs w:val="20"/>
          <w:color w:val="auto"/>
        </w:rPr>
      </w:pPr>
    </w:p>
    <w:p>
      <w:pPr>
        <w:ind w:left="1020" w:right="40" w:hanging="1025"/>
        <w:spacing w:after="0" w:line="292" w:lineRule="auto"/>
        <w:tabs>
          <w:tab w:leader="none" w:pos="100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and all commercial, technical, regulatory, scientific and other know-how, information, knowledge, technology, methods, processes, practices, standard operating procedures, formulae, instructions, skills, techniques, procedures, assay protocols, experiences, ideas, technical assistance, designs, drawings, assembly procedures, specifications, data and results (including biological, chemical, pharmacological, toxicological, pharmaceutical, physical and analytical, pre-clinical, clinical, safety, regulatory, manufacturing and quality control data and know-how, including study designs and protocols), in all cases now known or hereafter developed, whether or not confidential or proprietary, in written, electronic or any other form. Know-How shall exclude Patent Rights (including rights in the Fabry Patents, Improved Therapies Patents, and Improvement Patents).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shall have the meaning provided in Section 2.1.</w:t>
      </w:r>
    </w:p>
    <w:p>
      <w:pPr>
        <w:spacing w:after="0" w:line="131" w:lineRule="exact"/>
        <w:rPr>
          <w:sz w:val="20"/>
          <w:szCs w:val="20"/>
          <w:color w:val="auto"/>
        </w:rPr>
      </w:pPr>
    </w:p>
    <w:p>
      <w:pPr>
        <w:ind w:left="1020" w:right="5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Patents</w:t>
      </w:r>
      <w:r>
        <w:rPr>
          <w:rFonts w:ascii="Arial" w:cs="Arial" w:eastAsia="Arial" w:hAnsi="Arial"/>
          <w:sz w:val="18"/>
          <w:szCs w:val="18"/>
          <w:color w:val="auto"/>
        </w:rPr>
        <w:t>” means: (a) any and all Fabry Patents, (b) any and all Optioned Improvement Patents, and (b) any and all Patent Rights within the Licensed SRA IP.</w:t>
      </w:r>
    </w:p>
    <w:p>
      <w:pPr>
        <w:spacing w:after="0" w:line="67" w:lineRule="exact"/>
        <w:rPr>
          <w:sz w:val="20"/>
          <w:szCs w:val="20"/>
          <w:color w:val="auto"/>
        </w:rPr>
      </w:pPr>
    </w:p>
    <w:p>
      <w:pPr>
        <w:ind w:left="1020" w:right="80" w:hanging="1025"/>
        <w:spacing w:after="0" w:line="289" w:lineRule="auto"/>
        <w:tabs>
          <w:tab w:leader="none" w:pos="100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in the Field of Use that (a) the manufacture, use or sale of which, but for the licenses granted herein, would infringe a Valid Claim in the Licensed Patents, or (b) incorporates, uses, or practices the Exclusively Licensed Know-How or Non-Exclusively Licensed Know-How. For greater certainty and clarity, a product in the Field of Use that</w:t>
      </w:r>
    </w:p>
    <w:p>
      <w:pPr>
        <w:spacing w:after="0" w:line="2" w:lineRule="exact"/>
        <w:rPr>
          <w:sz w:val="20"/>
          <w:szCs w:val="20"/>
          <w:color w:val="auto"/>
        </w:rPr>
      </w:pPr>
    </w:p>
    <w:p>
      <w:pPr>
        <w:ind w:left="1020" w:right="1080" w:hanging="1"/>
        <w:spacing w:after="0" w:line="261" w:lineRule="auto"/>
        <w:tabs>
          <w:tab w:leader="none" w:pos="123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incorporates, uses or practices any preclinical data or clinical data within the Exclusively Licensed Know-How or Non-Exclusively Licensed Know-How, or (ii) [***] shall be considered a Licensed Product.</w:t>
      </w:r>
    </w:p>
    <w:p>
      <w:pPr>
        <w:spacing w:after="0" w:line="85"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SRA IP</w:t>
      </w:r>
      <w:r>
        <w:rPr>
          <w:rFonts w:ascii="Arial" w:cs="Arial" w:eastAsia="Arial" w:hAnsi="Arial"/>
          <w:sz w:val="18"/>
          <w:szCs w:val="18"/>
          <w:color w:val="auto"/>
        </w:rPr>
        <w:t>” means any and all SRA IP for which the Parties have agreed to incorporate such SRA IP into this Agreement per Section 3.1 (as such IP is further listed in Schedule “D” (as may be amended from time to time)).</w:t>
      </w:r>
    </w:p>
    <w:p>
      <w:pPr>
        <w:spacing w:after="0" w:line="67" w:lineRule="exact"/>
        <w:rPr>
          <w:sz w:val="20"/>
          <w:szCs w:val="20"/>
          <w:color w:val="auto"/>
        </w:rPr>
      </w:pPr>
    </w:p>
    <w:p>
      <w:pPr>
        <w:ind w:left="1020" w:right="3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any and all Licensed Patents, Exclusively Licensed Know-How and Non-Exclusively Licensed Know-How.</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Transfer Fee</w:t>
      </w:r>
      <w:r>
        <w:rPr>
          <w:rFonts w:ascii="Arial" w:cs="Arial" w:eastAsia="Arial" w:hAnsi="Arial"/>
          <w:sz w:val="16"/>
          <w:szCs w:val="16"/>
          <w:color w:val="auto"/>
        </w:rPr>
        <w:t>” shall have the meaning provided in Section 16.4.2.</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Trial Related Data</w:t>
      </w:r>
      <w:r>
        <w:rPr>
          <w:rFonts w:ascii="Arial" w:cs="Arial" w:eastAsia="Arial" w:hAnsi="Arial"/>
          <w:sz w:val="16"/>
          <w:szCs w:val="16"/>
          <w:color w:val="auto"/>
        </w:rPr>
        <w:t>” means any and all information, data, results and reports (i) owned and controlled by UHN, or</w:t>
      </w:r>
    </w:p>
    <w:p>
      <w:pPr>
        <w:spacing w:after="0" w:line="27" w:lineRule="exact"/>
        <w:rPr>
          <w:sz w:val="20"/>
          <w:szCs w:val="20"/>
          <w:color w:val="auto"/>
        </w:rPr>
      </w:pPr>
    </w:p>
    <w:p>
      <w:pPr>
        <w:ind w:left="1020" w:right="180" w:hanging="1"/>
        <w:spacing w:after="0" w:line="254" w:lineRule="auto"/>
        <w:tabs>
          <w:tab w:leader="none" w:pos="128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which UHN has been granted rights and/or permission pursuant to a Fabry Trial Team Agreement and (ii) relating to the UHN Planned Trial, including Patient Data, regulatory documents (including Clinical Trial Applications, Q&amp;As, investigator brochures), manufacturing data (including supplier agreements and batch records) and such other relevant data relating to the use of the Licensed Products in the conduct of the UHN Planned Trial.</w:t>
      </w:r>
    </w:p>
    <w:p>
      <w:pPr>
        <w:spacing w:after="0" w:line="122" w:lineRule="exact"/>
        <w:rPr>
          <w:rFonts w:ascii="Arial" w:cs="Arial" w:eastAsia="Arial" w:hAnsi="Arial"/>
          <w:sz w:val="18"/>
          <w:szCs w:val="18"/>
          <w:color w:val="auto"/>
        </w:rPr>
      </w:pPr>
    </w:p>
    <w:p>
      <w:pPr>
        <w:ind w:left="7720" w:hanging="323"/>
        <w:spacing w:after="0"/>
        <w:tabs>
          <w:tab w:leader="none" w:pos="77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70" w:right="239" w:bottom="1440" w:gutter="0" w:footer="0" w:header="0"/>
        </w:sectPr>
      </w:pPr>
    </w:p>
    <w:bookmarkStart w:id="362" w:name="page363"/>
    <w:bookmarkEnd w:id="362"/>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Revenues</w:t>
      </w:r>
      <w:r>
        <w:rPr>
          <w:rFonts w:ascii="Arial" w:cs="Arial" w:eastAsia="Arial" w:hAnsi="Arial"/>
          <w:sz w:val="16"/>
          <w:szCs w:val="16"/>
          <w:color w:val="auto"/>
        </w:rPr>
        <w:t>” means, the Gross Revenue net of any of the following:</w:t>
      </w:r>
    </w:p>
    <w:p>
      <w:pPr>
        <w:spacing w:after="0" w:line="121" w:lineRule="exact"/>
        <w:rPr>
          <w:sz w:val="20"/>
          <w:szCs w:val="20"/>
          <w:color w:val="auto"/>
        </w:rPr>
      </w:pPr>
    </w:p>
    <w:p>
      <w:pPr>
        <w:ind w:left="1020" w:right="720" w:firstLine="8"/>
        <w:spacing w:after="0" w:line="277" w:lineRule="auto"/>
        <w:tabs>
          <w:tab w:leader="none" w:pos="126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normal, customary and actual quantity, trade or cash allowance/discounts, credits or volume discounts, and other price reductions with respect to Licensed Products;</w:t>
      </w:r>
    </w:p>
    <w:p>
      <w:pPr>
        <w:spacing w:after="0" w:line="62" w:lineRule="exact"/>
        <w:rPr>
          <w:rFonts w:ascii="Arial" w:cs="Arial" w:eastAsia="Arial" w:hAnsi="Arial"/>
          <w:sz w:val="18"/>
          <w:szCs w:val="18"/>
          <w:color w:val="auto"/>
        </w:rPr>
      </w:pPr>
    </w:p>
    <w:p>
      <w:pPr>
        <w:ind w:left="1020" w:right="280" w:firstLine="8"/>
        <w:spacing w:after="0" w:line="277" w:lineRule="auto"/>
        <w:tabs>
          <w:tab w:leader="none" w:pos="127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credits, rebates or allowances because of billing errors, damaged, outdated, obsolete, nonconforming, rejected, re-worked or recalled goods or services or returns with respect to Licensed Product(s);</w:t>
      </w:r>
    </w:p>
    <w:p>
      <w:pPr>
        <w:spacing w:after="0" w:line="62" w:lineRule="exact"/>
        <w:rPr>
          <w:rFonts w:ascii="Arial" w:cs="Arial" w:eastAsia="Arial" w:hAnsi="Arial"/>
          <w:sz w:val="18"/>
          <w:szCs w:val="18"/>
          <w:color w:val="auto"/>
        </w:rPr>
      </w:pPr>
    </w:p>
    <w:p>
      <w:pPr>
        <w:ind w:left="1020" w:right="540" w:firstLine="8"/>
        <w:spacing w:after="0" w:line="277" w:lineRule="auto"/>
        <w:tabs>
          <w:tab w:leader="none" w:pos="126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freight, postage, shipping and insurance charges incurred in transporting the Licensed Product(s) to the Third Party or its designee; and</w:t>
      </w:r>
    </w:p>
    <w:p>
      <w:pPr>
        <w:spacing w:after="0" w:line="62" w:lineRule="exact"/>
        <w:rPr>
          <w:rFonts w:ascii="Arial" w:cs="Arial" w:eastAsia="Arial" w:hAnsi="Arial"/>
          <w:sz w:val="18"/>
          <w:szCs w:val="18"/>
          <w:color w:val="auto"/>
        </w:rPr>
      </w:pPr>
    </w:p>
    <w:p>
      <w:pPr>
        <w:ind w:left="1020" w:right="540" w:firstLine="8"/>
        <w:spacing w:after="0" w:line="342" w:lineRule="auto"/>
        <w:tabs>
          <w:tab w:leader="none" w:pos="127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taxes including sales, use, value-added, and other direct taxes, customs, duties, tariffs, surcharges, or other governmental charges (other than income taxes) levied on, absorbed or otherwise imposed on sales of Licensed Product(s);</w:t>
      </w:r>
    </w:p>
    <w:p>
      <w:pPr>
        <w:spacing w:after="0" w:line="16" w:lineRule="exact"/>
        <w:rPr>
          <w:sz w:val="20"/>
          <w:szCs w:val="20"/>
          <w:color w:val="auto"/>
        </w:rPr>
      </w:pPr>
    </w:p>
    <w:p>
      <w:pPr>
        <w:ind w:left="1020" w:right="540"/>
        <w:spacing w:after="0" w:line="277" w:lineRule="auto"/>
        <w:rPr>
          <w:sz w:val="20"/>
          <w:szCs w:val="20"/>
          <w:color w:val="auto"/>
        </w:rPr>
      </w:pPr>
      <w:r>
        <w:rPr>
          <w:rFonts w:ascii="Arial" w:cs="Arial" w:eastAsia="Arial" w:hAnsi="Arial"/>
          <w:sz w:val="18"/>
          <w:szCs w:val="18"/>
          <w:color w:val="auto"/>
        </w:rPr>
        <w:t>with (a) - (d) to be as determined from the books and records of Avro and/or its Affiliate(s) and/or permitted Sublicensee(s), maintained in accordance with generally accepted accounting principles.</w:t>
      </w:r>
    </w:p>
    <w:p>
      <w:pPr>
        <w:spacing w:after="0" w:line="62" w:lineRule="exact"/>
        <w:rPr>
          <w:sz w:val="20"/>
          <w:szCs w:val="20"/>
          <w:color w:val="auto"/>
        </w:rPr>
      </w:pPr>
    </w:p>
    <w:p>
      <w:pPr>
        <w:ind w:left="1020" w:right="80" w:firstLine="379"/>
        <w:spacing w:after="0" w:line="264" w:lineRule="auto"/>
        <w:rPr>
          <w:sz w:val="20"/>
          <w:szCs w:val="20"/>
          <w:color w:val="auto"/>
        </w:rPr>
      </w:pPr>
      <w:r>
        <w:rPr>
          <w:rFonts w:ascii="Arial" w:cs="Arial" w:eastAsia="Arial" w:hAnsi="Arial"/>
          <w:sz w:val="18"/>
          <w:szCs w:val="18"/>
          <w:color w:val="auto"/>
        </w:rPr>
        <w:t>For the avoidance of doubt, transfers of a Licensed Product between any of Avro, an Affiliate or a Sublicensee for sale by the transferee shall not be considered Net Revenues hereunder. Net Sales shall not include transfers or dispositions for charitable, promotional, preclinical, clinical, regulatory, or governmental purposes.</w:t>
      </w:r>
    </w:p>
    <w:p>
      <w:pPr>
        <w:spacing w:after="0" w:line="73" w:lineRule="exact"/>
        <w:rPr>
          <w:sz w:val="20"/>
          <w:szCs w:val="20"/>
          <w:color w:val="auto"/>
        </w:rPr>
      </w:pPr>
    </w:p>
    <w:p>
      <w:pPr>
        <w:jc w:val="both"/>
        <w:ind w:left="1020" w:right="20" w:firstLine="379"/>
        <w:spacing w:after="0" w:line="286" w:lineRule="auto"/>
        <w:rPr>
          <w:sz w:val="20"/>
          <w:szCs w:val="20"/>
          <w:color w:val="auto"/>
        </w:rPr>
      </w:pPr>
      <w:r>
        <w:rPr>
          <w:rFonts w:ascii="Arial" w:cs="Arial" w:eastAsia="Arial" w:hAnsi="Arial"/>
          <w:sz w:val="17"/>
          <w:szCs w:val="17"/>
          <w:color w:val="auto"/>
        </w:rPr>
        <w:t>In the event that a Licensed Product is sold as a Combination Product, Net Revenues, for the purposes of determining royalty payments on the Combination Product, means the gross amount collected for the Combination Product less the deductions set forth in clauses (a)—(d) above, multiplied by a proration factor that is determined as follows:</w:t>
      </w:r>
    </w:p>
    <w:p>
      <w:pPr>
        <w:spacing w:after="0" w:line="57" w:lineRule="exact"/>
        <w:rPr>
          <w:sz w:val="20"/>
          <w:szCs w:val="20"/>
          <w:color w:val="auto"/>
        </w:rPr>
      </w:pPr>
    </w:p>
    <w:p>
      <w:pPr>
        <w:ind w:left="1020" w:right="200" w:firstLine="379"/>
        <w:spacing w:after="0" w:line="257" w:lineRule="auto"/>
        <w:rPr>
          <w:sz w:val="20"/>
          <w:szCs w:val="20"/>
          <w:color w:val="auto"/>
        </w:rPr>
      </w:pPr>
      <w:r>
        <w:rPr>
          <w:rFonts w:ascii="Arial" w:cs="Arial" w:eastAsia="Arial" w:hAnsi="Arial"/>
          <w:sz w:val="18"/>
          <w:szCs w:val="18"/>
          <w:color w:val="auto"/>
        </w:rPr>
        <w:t>If all components of the Combination Product were sold separately during the same or immediately preceding Quarterly Period, the proration factor shall be determined by the formula [A / (A+B)], where A is the average gross sales price of all Licensed Product components (as applicable) during such period when sold separately from the other component(s), and B is the average gross sales price of the other component(s) during such period when sold separately from the Licensed Product components (as applicable); or</w:t>
      </w:r>
    </w:p>
    <w:p>
      <w:pPr>
        <w:spacing w:after="0" w:line="80" w:lineRule="exact"/>
        <w:rPr>
          <w:sz w:val="20"/>
          <w:szCs w:val="20"/>
          <w:color w:val="auto"/>
        </w:rPr>
      </w:pPr>
    </w:p>
    <w:p>
      <w:pPr>
        <w:ind w:left="1020" w:right="20" w:firstLine="379"/>
        <w:spacing w:after="0" w:line="264" w:lineRule="auto"/>
        <w:rPr>
          <w:sz w:val="20"/>
          <w:szCs w:val="20"/>
          <w:color w:val="auto"/>
        </w:rPr>
      </w:pPr>
      <w:r>
        <w:rPr>
          <w:rFonts w:ascii="Arial" w:cs="Arial" w:eastAsia="Arial" w:hAnsi="Arial"/>
          <w:sz w:val="18"/>
          <w:szCs w:val="18"/>
          <w:color w:val="auto"/>
        </w:rPr>
        <w:t>If all components of the Combination Product were not sold or provided separately during the same or immediately preceding Quarterly Period, the proration factor shall be determined by the Parties in good faith negotiations based on the reasonably estimated commercial value or relative value contributed by each component.</w:t>
      </w:r>
    </w:p>
    <w:p>
      <w:pPr>
        <w:spacing w:after="0" w:line="83"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Non-Exclusively Licensed Know-How</w:t>
      </w:r>
      <w:r>
        <w:rPr>
          <w:rFonts w:ascii="Arial" w:cs="Arial" w:eastAsia="Arial" w:hAnsi="Arial"/>
          <w:sz w:val="18"/>
          <w:szCs w:val="18"/>
          <w:color w:val="auto"/>
        </w:rPr>
        <w:t>” means (a) Fabry Non-Exclusive Know-How (b) any and all Improvements Know-How, and (c) any and all Know-How within the Licensed SRA IP.</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shall have the meaning provided in Section 15.1.</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0" w:right="2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1.1.43</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Option Term</w:t>
            </w:r>
            <w:r>
              <w:rPr>
                <w:rFonts w:ascii="Arial" w:cs="Arial" w:eastAsia="Arial" w:hAnsi="Arial"/>
                <w:sz w:val="18"/>
                <w:szCs w:val="18"/>
                <w:color w:val="auto"/>
                <w:w w:val="91"/>
              </w:rPr>
              <w:t>” means the period commencing on the Effective Date and ending on the [***] anniversary thereof, unless extended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the Parties in writing.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1.1.44</w:t>
            </w: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Optioned Improvements Patents</w:t>
            </w:r>
            <w:r>
              <w:rPr>
                <w:rFonts w:ascii="Arial" w:cs="Arial" w:eastAsia="Arial" w:hAnsi="Arial"/>
                <w:sz w:val="18"/>
                <w:szCs w:val="18"/>
                <w:color w:val="auto"/>
                <w:w w:val="90"/>
              </w:rPr>
              <w:t>” means any and all Improvement Patents which the Parties have agreed to incorporate into this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Agreement per Section 3.2.1, as further listed in Schedule “E” (or as may be amended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1.1.45</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Patent Rights</w:t>
            </w:r>
            <w:r>
              <w:rPr>
                <w:rFonts w:ascii="Arial" w:cs="Arial" w:eastAsia="Arial" w:hAnsi="Arial"/>
                <w:sz w:val="18"/>
                <w:szCs w:val="18"/>
                <w:color w:val="auto"/>
                <w:w w:val="98"/>
              </w:rPr>
              <w:t>” means all rights in, to and under any patent applications or patents, whether domestic or foreign, or any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equivalent thereof, including all direct or indirect divisionals, continuations, continuations-in-part, reissues, reexaminations,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protection certificates or extensions thereof, and any patent that issues on any of the foregoing.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1.1.46</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Patient Data</w:t>
            </w:r>
            <w:r>
              <w:rPr>
                <w:rFonts w:ascii="Arial" w:cs="Arial" w:eastAsia="Arial" w:hAnsi="Arial"/>
                <w:sz w:val="18"/>
                <w:szCs w:val="18"/>
                <w:color w:val="auto"/>
                <w:w w:val="95"/>
              </w:rPr>
              <w:t>” means any and all anonymized and de-identified clinical data, information, results and reports arising from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performance of the UHN Planned Trial (including, for clarity, all raw data, cleaned data, final data, data summaries, ‘Case Report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Forms’ or such similar documents for the UHN Planned Trial).</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1.1.47</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Person</w:t>
            </w:r>
            <w:r>
              <w:rPr>
                <w:rFonts w:ascii="Arial" w:cs="Arial" w:eastAsia="Arial" w:hAnsi="Arial"/>
                <w:sz w:val="18"/>
                <w:szCs w:val="18"/>
                <w:color w:val="auto"/>
                <w:w w:val="92"/>
              </w:rPr>
              <w:t>” includes any individual, corporation or other incorporated organization, sole proprietorship, partnership, unincorporated</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89"/>
              </w:rPr>
              <w:t>association, unincorporated syndicate, unincorporated organization, trust, body corporate and a natural person in his or her capacity</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as trustee, executor, administrator or other legal representative.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1.1.48</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1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312.21(a)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1.1.49</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312.21(b)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1.1.50</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3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312.21(c)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1.1.51</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2/3 Clinical Trial</w:t>
            </w:r>
            <w:r>
              <w:rPr>
                <w:rFonts w:ascii="Arial" w:cs="Arial" w:eastAsia="Arial" w:hAnsi="Arial"/>
                <w:sz w:val="18"/>
                <w:szCs w:val="18"/>
                <w:color w:val="auto"/>
                <w:w w:val="95"/>
              </w:rPr>
              <w:t>” means a human clinical trial of a Licensed Product that is not a Phase 2 Clinical Trial or a Phase 3</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Clinical Trial, but some combination thereof.</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Pivotal Trial</w:t>
            </w:r>
            <w:r>
              <w:rPr>
                <w:rFonts w:ascii="Arial" w:cs="Arial" w:eastAsia="Arial" w:hAnsi="Arial"/>
                <w:sz w:val="18"/>
                <w:szCs w:val="18"/>
                <w:color w:val="auto"/>
                <w:w w:val="91"/>
              </w:rPr>
              <w:t>” means, with respect to any Licensed Product, a clinical trial that at the time of commencement, is intended by Avro</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to be the basis for Regulatory Approval with respect to clinical trials for such Licensed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1.1.53</w:t>
            </w: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Principal Investigator</w:t>
            </w:r>
            <w:r>
              <w:rPr>
                <w:rFonts w:ascii="Arial" w:cs="Arial" w:eastAsia="Arial" w:hAnsi="Arial"/>
                <w:sz w:val="18"/>
                <w:szCs w:val="18"/>
                <w:color w:val="auto"/>
                <w:w w:val="96"/>
              </w:rPr>
              <w:t>” shall mean Dr. Jeffrey Medin in his appointment and capacity as affiliate scientist. For purposes of</w:t>
            </w:r>
          </w:p>
        </w:tc>
      </w:tr>
    </w:tbl>
    <w:p>
      <w:pPr>
        <w:ind w:left="1020" w:right="5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clarity, Dr. Medin shall not be considered a Principal Investigator under this Agreement as it pertains to his appointment and scientific research activities at the Medical College of Wisconsin.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70" w:right="239" w:bottom="1440" w:gutter="0" w:footer="0" w:header="0"/>
        </w:sectPr>
      </w:pPr>
    </w:p>
    <w:bookmarkStart w:id="364" w:name="page365"/>
    <w:bookmarkEnd w:id="364"/>
    <w:p>
      <w:pPr>
        <w:ind w:left="1020" w:right="48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Quarterly Period</w:t>
      </w:r>
      <w:r>
        <w:rPr>
          <w:rFonts w:ascii="Arial" w:cs="Arial" w:eastAsia="Arial" w:hAnsi="Arial"/>
          <w:sz w:val="18"/>
          <w:szCs w:val="18"/>
          <w:color w:val="auto"/>
        </w:rPr>
        <w:t>” means each successive three (3) calendar month period during the Term ending March 31, June 30, September 30 and December 31. The first and last Quarterly Periods may be less than three (3) calendar months and will commence on the Effective Date of this Agreement and terminate on the date this Agreement expires or is earlier terminated, respectively.</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shall have the meaning provided in Section 1.1.10.</w:t>
      </w:r>
    </w:p>
    <w:p>
      <w:pPr>
        <w:spacing w:after="0" w:line="131" w:lineRule="exact"/>
        <w:rPr>
          <w:sz w:val="20"/>
          <w:szCs w:val="20"/>
          <w:color w:val="auto"/>
        </w:rPr>
      </w:pPr>
    </w:p>
    <w:p>
      <w:pPr>
        <w:ind w:left="1020" w:right="1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those clearances or approvals of a Regulatory Authority, with respect to any jurisdiction, that are legally required for the marketing or sale of Licensed Products in such jurisdiction.</w:t>
      </w:r>
    </w:p>
    <w:p>
      <w:pPr>
        <w:spacing w:after="0" w:line="67" w:lineRule="exact"/>
        <w:rPr>
          <w:sz w:val="20"/>
          <w:szCs w:val="20"/>
          <w:color w:val="auto"/>
        </w:rPr>
      </w:pPr>
    </w:p>
    <w:p>
      <w:pPr>
        <w:ind w:left="1020" w:right="180" w:hanging="1025"/>
        <w:spacing w:after="0" w:line="347" w:lineRule="auto"/>
        <w:tabs>
          <w:tab w:leader="none" w:pos="1000" w:val="left"/>
        </w:tabs>
        <w:rPr>
          <w:sz w:val="20"/>
          <w:szCs w:val="20"/>
          <w:color w:val="auto"/>
        </w:rPr>
      </w:pPr>
      <w:r>
        <w:rPr>
          <w:rFonts w:ascii="Arial" w:cs="Arial" w:eastAsia="Arial" w:hAnsi="Arial"/>
          <w:sz w:val="18"/>
          <w:szCs w:val="18"/>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applicable government regulatory authority involved in granting clearances or approvals for the manufacturing or marketing of a Licensed Product, including, in the United States, the FDA, and in Canada, Health Canada.</w:t>
      </w:r>
    </w:p>
    <w:p>
      <w:pPr>
        <w:spacing w:after="0" w:line="22" w:lineRule="exact"/>
        <w:rPr>
          <w:sz w:val="20"/>
          <w:szCs w:val="20"/>
          <w:color w:val="auto"/>
        </w:rPr>
      </w:pPr>
    </w:p>
    <w:p>
      <w:pPr>
        <w:ind w:left="1020" w:right="100" w:hanging="1025"/>
        <w:spacing w:after="0" w:line="298" w:lineRule="auto"/>
        <w:tabs>
          <w:tab w:leader="none" w:pos="1000" w:val="left"/>
        </w:tabs>
        <w:rPr>
          <w:sz w:val="20"/>
          <w:szCs w:val="20"/>
          <w:color w:val="auto"/>
        </w:rPr>
      </w:pPr>
      <w:r>
        <w:rPr>
          <w:rFonts w:ascii="Arial" w:cs="Arial" w:eastAsia="Arial" w:hAnsi="Arial"/>
          <w:sz w:val="18"/>
          <w:szCs w:val="18"/>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Exclusivity</w:t>
      </w:r>
      <w:r>
        <w:rPr>
          <w:rFonts w:ascii="Arial" w:cs="Arial" w:eastAsia="Arial" w:hAnsi="Arial"/>
          <w:sz w:val="16"/>
          <w:szCs w:val="16"/>
          <w:color w:val="auto"/>
        </w:rPr>
        <w:t>” means any exclusive marketing rights or data exclusivity rights conferred by any regulatory authority with respect to a Licensed Product other than patents, including, without limitation, rights conferred in the United States under the Hatch-Waxman Act or the FDA Modernization Act of 1997 (including pediatric exclusivity), orphan drug exclusivity, rights conferred in Canada under the Patented Medicines (Notice of Compliance) Regulation, the data protection provisions contained in the Food and Drug Regulations (Canada) or rights similar thereto outside the United States or Canada.</w:t>
      </w:r>
    </w:p>
    <w:p>
      <w:pPr>
        <w:spacing w:after="0" w:line="60" w:lineRule="exact"/>
        <w:rPr>
          <w:sz w:val="20"/>
          <w:szCs w:val="20"/>
          <w:color w:val="auto"/>
        </w:rPr>
      </w:pPr>
    </w:p>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t>1.1.59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Regulatory Filing</w:t>
      </w:r>
      <w:r>
        <w:rPr>
          <w:rFonts w:ascii="Arial" w:cs="Arial" w:eastAsia="Arial" w:hAnsi="Arial"/>
          <w:sz w:val="17"/>
          <w:szCs w:val="17"/>
          <w:color w:val="auto"/>
        </w:rPr>
        <w:t>” means any documentation comprising or relating to or supporting any filing or application with any Regulatory Authority with respect to the UHN Planned Trial, including any documents submitted to any Regulatory Authority and all supporting data, including CTAs and INDs, and all correspondence with any Regulatory Authority with respect to the UHN Planned Trial (including minutes of any meetings, telephone conferences or discussions with any Regulatory Authority).</w:t>
      </w:r>
    </w:p>
    <w:p>
      <w:pPr>
        <w:spacing w:after="0" w:line="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shall have the meaning provided in Section 9.1.</w:t>
      </w:r>
    </w:p>
    <w:p>
      <w:pPr>
        <w:spacing w:after="0" w:line="131" w:lineRule="exact"/>
        <w:rPr>
          <w:sz w:val="20"/>
          <w:szCs w:val="20"/>
          <w:color w:val="auto"/>
        </w:rPr>
      </w:pPr>
    </w:p>
    <w:p>
      <w:pPr>
        <w:ind w:left="1020" w:right="6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Reviewed Sample Processing Data</w:t>
      </w:r>
      <w:r>
        <w:rPr>
          <w:rFonts w:ascii="Arial" w:cs="Arial" w:eastAsia="Arial" w:hAnsi="Arial"/>
          <w:sz w:val="18"/>
          <w:szCs w:val="18"/>
          <w:color w:val="auto"/>
        </w:rPr>
        <w:t>” means Sample Processing Data which UHN and/or UHN CRO have had in their possession for [***], irrespective of whether UHN Principal Investigator has reviewed such data. For greater certainty, the intent is that all Sample Processing Data is being sent by the Fabry Trial Team Institutions to UHN and UHN Principal Investigator concurrently. For greater certainty, investigator suspected adverse events are not separately identified within the Reviewed Sample Processing Data, but are reviewed in accordance with the Clinical Trial Protocol and reported to Avro in accordance with obligations as outlined in Sections 2.4.4 to 2.4.6.</w:t>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Royalties</w:t>
      </w:r>
      <w:r>
        <w:rPr>
          <w:rFonts w:ascii="Arial" w:cs="Arial" w:eastAsia="Arial" w:hAnsi="Arial"/>
          <w:sz w:val="16"/>
          <w:szCs w:val="16"/>
          <w:color w:val="auto"/>
        </w:rPr>
        <w:t>” shall have the meaning provided in Section 4.5.</w:t>
      </w:r>
    </w:p>
    <w:p>
      <w:pPr>
        <w:spacing w:after="0" w:line="131" w:lineRule="exact"/>
        <w:rPr>
          <w:sz w:val="20"/>
          <w:szCs w:val="20"/>
          <w:color w:val="auto"/>
        </w:rPr>
      </w:pPr>
    </w:p>
    <w:p>
      <w:pPr>
        <w:ind w:left="1020" w:right="160" w:hanging="1025"/>
        <w:spacing w:after="0" w:line="313" w:lineRule="auto"/>
        <w:tabs>
          <w:tab w:leader="none" w:pos="1000" w:val="left"/>
        </w:tabs>
        <w:rPr>
          <w:sz w:val="20"/>
          <w:szCs w:val="20"/>
          <w:color w:val="auto"/>
        </w:rPr>
      </w:pPr>
      <w:r>
        <w:rPr>
          <w:rFonts w:ascii="Arial" w:cs="Arial" w:eastAsia="Arial" w:hAnsi="Arial"/>
          <w:sz w:val="18"/>
          <w:szCs w:val="18"/>
          <w:b w:val="1"/>
          <w:bCs w:val="1"/>
          <w:color w:val="auto"/>
        </w:rPr>
        <w:t>1.1.63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means, on a Licensed Product-by-Licensed Product basis, the period commencing on the First Commercial Sale of the Licensed Product and continuing on a country-by-country basis as to each Licensed Product until the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70" w:right="239" w:bottom="1440" w:gutter="0" w:footer="0" w:header="0"/>
        </w:sectPr>
      </w:pPr>
    </w:p>
    <w:bookmarkStart w:id="365" w:name="page366"/>
    <w:bookmarkEnd w:id="365"/>
    <w:p>
      <w:pPr>
        <w:jc w:val="both"/>
        <w:ind w:left="102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later of (a) the expiration or termination of the last to expire Valid Claim within the Licensed Technology that covers such Licensed Product in such country, or (b) expiration of Regulatory Exclusivity for such Licensed Product in such country, or (c) ten (10) years from the date of First Commercial Sale of such Licensed Product in such country.</w:t>
      </w:r>
    </w:p>
    <w:p>
      <w:pPr>
        <w:spacing w:after="0" w:line="83" w:lineRule="exact"/>
        <w:rPr>
          <w:sz w:val="20"/>
          <w:szCs w:val="20"/>
          <w:color w:val="auto"/>
        </w:rPr>
      </w:pPr>
    </w:p>
    <w:p>
      <w:pPr>
        <w:ind w:left="1020" w:right="2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Processing Data</w:t>
      </w:r>
      <w:r>
        <w:rPr>
          <w:rFonts w:ascii="Arial" w:cs="Arial" w:eastAsia="Arial" w:hAnsi="Arial"/>
          <w:sz w:val="18"/>
          <w:szCs w:val="18"/>
          <w:color w:val="auto"/>
        </w:rPr>
        <w:t>” means all Patient Data generated from testing patient samples by or on behalf of UHN in connection with the UHN Planned Trial and pursuant to the Clinical Trial Protocol.</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Financing</w:t>
      </w:r>
      <w:r>
        <w:rPr>
          <w:rFonts w:ascii="Arial" w:cs="Arial" w:eastAsia="Arial" w:hAnsi="Arial"/>
          <w:sz w:val="16"/>
          <w:szCs w:val="16"/>
          <w:color w:val="auto"/>
        </w:rPr>
        <w:t>” means Avro’s Series A financing dated as of July 21, 2016.</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Financing</w:t>
      </w:r>
      <w:r>
        <w:rPr>
          <w:rFonts w:ascii="Arial" w:cs="Arial" w:eastAsia="Arial" w:hAnsi="Arial"/>
          <w:sz w:val="16"/>
          <w:szCs w:val="16"/>
          <w:color w:val="auto"/>
        </w:rPr>
        <w:t>” shall be Avro’s next round of financing after the Series A Financing.</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Sponsored Research Agreement</w:t>
      </w:r>
      <w:r>
        <w:rPr>
          <w:rFonts w:ascii="Arial" w:cs="Arial" w:eastAsia="Arial" w:hAnsi="Arial"/>
          <w:sz w:val="16"/>
          <w:szCs w:val="16"/>
          <w:color w:val="auto"/>
        </w:rPr>
        <w:t>” or “</w:t>
      </w:r>
      <w:r>
        <w:rPr>
          <w:rFonts w:ascii="Arial" w:cs="Arial" w:eastAsia="Arial" w:hAnsi="Arial"/>
          <w:sz w:val="16"/>
          <w:szCs w:val="16"/>
          <w:b w:val="1"/>
          <w:bCs w:val="1"/>
          <w:color w:val="auto"/>
        </w:rPr>
        <w:t>SRA</w:t>
      </w:r>
      <w:r>
        <w:rPr>
          <w:rFonts w:ascii="Arial" w:cs="Arial" w:eastAsia="Arial" w:hAnsi="Arial"/>
          <w:sz w:val="16"/>
          <w:szCs w:val="16"/>
          <w:color w:val="auto"/>
        </w:rPr>
        <w:t>” means an agreement between UHN and Avro, by which Avro provides financial</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support to conduct specific and defined research at UHN that relates to the Field of Use, and the Parties agree is intended to fall</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under this Agreement. Sponsored Research Agreements will include the research activities to be conducted, a budget for the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conduct of the research activities, the UHN investigator under whose direction or supervision the research is to be conducted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SRA Investigator</w:t>
      </w:r>
      <w:r>
        <w:rPr>
          <w:rFonts w:ascii="Arial" w:cs="Arial" w:eastAsia="Arial" w:hAnsi="Arial"/>
          <w:sz w:val="16"/>
          <w:szCs w:val="16"/>
          <w:color w:val="auto"/>
        </w:rPr>
        <w:t>”), and appropriate UHN overhead charges per UHN policies and practices (which may be subject to a reduced</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overhead rate for UHN “spin-out” companies per UHN policy and practice).</w:t>
      </w:r>
    </w:p>
    <w:p>
      <w:pPr>
        <w:spacing w:after="0" w:line="112" w:lineRule="exact"/>
        <w:rPr>
          <w:sz w:val="20"/>
          <w:szCs w:val="20"/>
          <w:color w:val="auto"/>
        </w:rPr>
      </w:pPr>
    </w:p>
    <w:p>
      <w:pPr>
        <w:ind w:left="1020" w:right="20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SRA Intellectual Property</w:t>
      </w:r>
      <w:r>
        <w:rPr>
          <w:rFonts w:ascii="Arial" w:cs="Arial" w:eastAsia="Arial" w:hAnsi="Arial"/>
          <w:sz w:val="18"/>
          <w:szCs w:val="18"/>
          <w:color w:val="auto"/>
        </w:rPr>
        <w:t>” or “</w:t>
      </w:r>
      <w:r>
        <w:rPr>
          <w:rFonts w:ascii="Arial" w:cs="Arial" w:eastAsia="Arial" w:hAnsi="Arial"/>
          <w:sz w:val="18"/>
          <w:szCs w:val="18"/>
          <w:b w:val="1"/>
          <w:bCs w:val="1"/>
          <w:color w:val="auto"/>
        </w:rPr>
        <w:t>SRA IP</w:t>
      </w:r>
      <w:r>
        <w:rPr>
          <w:rFonts w:ascii="Arial" w:cs="Arial" w:eastAsia="Arial" w:hAnsi="Arial"/>
          <w:sz w:val="18"/>
          <w:szCs w:val="18"/>
          <w:color w:val="auto"/>
        </w:rPr>
        <w:t>” means any and all inventions, improvements, discoveries, and Know-How that are created, conceived, developed or reduced to practice in connection with or in performance of an SRA by the SRA Investigator or one or more employees or agents of UHN under the direction or supervision of the SRA Investigator, and any Patent Rights, copyrights or other intellectual property rights related thereto.</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means any non-Affiliate sublicensee of the rights granted by Avro pursuant to Section 2.3.</w:t>
      </w:r>
    </w:p>
    <w:p>
      <w:pPr>
        <w:spacing w:after="0" w:line="131" w:lineRule="exact"/>
        <w:rPr>
          <w:sz w:val="20"/>
          <w:szCs w:val="20"/>
          <w:color w:val="auto"/>
        </w:rPr>
      </w:pPr>
    </w:p>
    <w:p>
      <w:pPr>
        <w:ind w:left="1020" w:right="10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Revenue</w:t>
      </w:r>
      <w:r>
        <w:rPr>
          <w:rFonts w:ascii="Arial" w:cs="Arial" w:eastAsia="Arial" w:hAnsi="Arial"/>
          <w:sz w:val="16"/>
          <w:szCs w:val="16"/>
          <w:color w:val="auto"/>
        </w:rPr>
        <w:t>” means, all consideration received by Avro or its Affiliate(s) from Sublicensees in consideration for sublicensing of Licensed Technology to such Sublicensees by Avro or its Affiliate(s), but excluding (a) amounts for research, development, or commercialization activities with respect to the Licensed Products or Licensed Technology (including, without limitation, payment for FTEs), (b) any loans, equity or debt investments in Avro or its Affiliates, (c) payments by Sublicensees for payment or reimbursement of patent filing, prosecution, defense, enforcement and maintenance and other related expenses, and</w:t>
      </w:r>
    </w:p>
    <w:p>
      <w:pPr>
        <w:spacing w:after="0" w:line="2" w:lineRule="exact"/>
        <w:rPr>
          <w:sz w:val="20"/>
          <w:szCs w:val="20"/>
          <w:color w:val="auto"/>
        </w:rPr>
      </w:pPr>
    </w:p>
    <w:p>
      <w:pPr>
        <w:jc w:val="both"/>
        <w:ind w:left="1020" w:right="240" w:hanging="1"/>
        <w:spacing w:after="0" w:line="273" w:lineRule="auto"/>
        <w:tabs>
          <w:tab w:leader="none" w:pos="127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monies received as flow through royalty payments pursuant to Section 4.5. Notwithstanding the foregoing, exclusions under any of (a) and (b) are only excluded to the extent such remuneration is a bona fide payment in respect of such matters, and is not being made in order to reallocate what is otherwise intended to be upfront payments, milestones and royalties. For clarity, a License Transfer Fee shall not be deemed to be Sublicensing Revenue.</w:t>
      </w:r>
    </w:p>
    <w:p>
      <w:pPr>
        <w:spacing w:after="0" w:line="109" w:lineRule="exact"/>
        <w:rPr>
          <w:rFonts w:ascii="Arial" w:cs="Arial" w:eastAsia="Arial" w:hAnsi="Arial"/>
          <w:sz w:val="17"/>
          <w:szCs w:val="17"/>
          <w:color w:val="auto"/>
        </w:rPr>
      </w:pPr>
    </w:p>
    <w:p>
      <w:pPr>
        <w:ind w:left="7720" w:hanging="323"/>
        <w:spacing w:after="0"/>
        <w:tabs>
          <w:tab w:leader="none" w:pos="772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3" w:right="239" w:bottom="1440" w:gutter="0" w:footer="0" w:header="0"/>
        </w:sectPr>
      </w:pPr>
    </w:p>
    <w:bookmarkStart w:id="366" w:name="page367"/>
    <w:bookmarkEnd w:id="366"/>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Fee</w:t>
      </w:r>
      <w:r>
        <w:rPr>
          <w:rFonts w:ascii="Arial" w:cs="Arial" w:eastAsia="Arial" w:hAnsi="Arial"/>
          <w:sz w:val="16"/>
          <w:szCs w:val="16"/>
          <w:color w:val="auto"/>
        </w:rPr>
        <w:t>” shall have the meaning provided in Section 4.6.</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have the meaning provided in Section 11.1.</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the world.</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 Person other than a Party or its Affiliates.</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TMPK</w:t>
      </w:r>
      <w:r>
        <w:rPr>
          <w:rFonts w:ascii="Arial" w:cs="Arial" w:eastAsia="Arial" w:hAnsi="Arial"/>
          <w:sz w:val="18"/>
          <w:szCs w:val="18"/>
          <w:color w:val="auto"/>
        </w:rPr>
        <w:t>” [***].</w:t>
      </w:r>
    </w:p>
    <w:p>
      <w:pPr>
        <w:spacing w:after="0" w:line="131" w:lineRule="exact"/>
        <w:rPr>
          <w:sz w:val="20"/>
          <w:szCs w:val="20"/>
          <w:color w:val="auto"/>
        </w:rPr>
      </w:pPr>
    </w:p>
    <w:p>
      <w:pPr>
        <w:ind w:left="1940" w:right="8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UHN CRO</w:t>
      </w:r>
      <w:r>
        <w:rPr>
          <w:rFonts w:ascii="Arial" w:cs="Arial" w:eastAsia="Arial" w:hAnsi="Arial"/>
          <w:sz w:val="18"/>
          <w:szCs w:val="18"/>
          <w:color w:val="auto"/>
        </w:rPr>
        <w:t>” means a contract research organization acting on behalf of UHN for purposes of providing management services for the UHN Planned Trial. As of the Effective Date, the UHN CRO is Ozmosis Research Inc. (“Ozmosis”).</w:t>
      </w:r>
    </w:p>
    <w:p>
      <w:pPr>
        <w:spacing w:after="0" w:line="6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UHN Indemnitees</w:t>
      </w:r>
      <w:r>
        <w:rPr>
          <w:rFonts w:ascii="Arial" w:cs="Arial" w:eastAsia="Arial" w:hAnsi="Arial"/>
          <w:sz w:val="16"/>
          <w:szCs w:val="16"/>
          <w:color w:val="auto"/>
        </w:rPr>
        <w:t>” shall have the meaning provided in Section 12.1.</w:t>
      </w:r>
    </w:p>
    <w:p>
      <w:pPr>
        <w:spacing w:after="0" w:line="131" w:lineRule="exact"/>
        <w:rPr>
          <w:sz w:val="20"/>
          <w:szCs w:val="20"/>
          <w:color w:val="auto"/>
        </w:rPr>
      </w:pPr>
    </w:p>
    <w:p>
      <w:pPr>
        <w:ind w:left="1940" w:right="60" w:hanging="1025"/>
        <w:spacing w:after="0" w:line="277" w:lineRule="auto"/>
        <w:tabs>
          <w:tab w:leader="none" w:pos="1920" w:val="left"/>
        </w:tabs>
        <w:rPr>
          <w:sz w:val="20"/>
          <w:szCs w:val="20"/>
          <w:color w:val="auto"/>
        </w:rPr>
      </w:pPr>
      <w:r>
        <w:rPr>
          <w:rFonts w:ascii="Arial" w:cs="Arial" w:eastAsia="Arial" w:hAnsi="Arial"/>
          <w:sz w:val="18"/>
          <w:szCs w:val="18"/>
          <w:b w:val="1"/>
          <w:bCs w:val="1"/>
          <w:color w:val="auto"/>
        </w:rPr>
        <w:t>1.1.78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UHN Planned Trial</w:t>
      </w:r>
      <w:r>
        <w:rPr>
          <w:rFonts w:ascii="Arial" w:cs="Arial" w:eastAsia="Arial" w:hAnsi="Arial"/>
          <w:sz w:val="17"/>
          <w:szCs w:val="17"/>
          <w:color w:val="auto"/>
        </w:rPr>
        <w:t>” is the Phase 1 Clinical Trial entitled Clinical Pilot Study of Autologous Stem Cell Transplantation of CD34+ Cells Engineered to Express Alpha-Galactosidase A in Patients with Fabry Disease and is conducted under the direction or supervision of the Principal Investigator. For purposes of this Agreement, the UHN Planned Trial is currently described in the Clinical Trial Protocol as a clinical trial that will enroll and dose six (6) patients and will consist of four phases, the screening phase, the pre-treatment phase, the treatment phase and a five year follow-up phase.</w:t>
      </w:r>
    </w:p>
    <w:p>
      <w:pPr>
        <w:spacing w:after="0" w:line="74" w:lineRule="exact"/>
        <w:rPr>
          <w:sz w:val="20"/>
          <w:szCs w:val="20"/>
          <w:color w:val="auto"/>
        </w:rPr>
      </w:pPr>
    </w:p>
    <w:p>
      <w:pPr>
        <w:ind w:left="1940" w:right="60" w:hanging="1025"/>
        <w:spacing w:after="0" w:line="290" w:lineRule="auto"/>
        <w:tabs>
          <w:tab w:leader="none" w:pos="1920" w:val="left"/>
        </w:tabs>
        <w:rPr>
          <w:sz w:val="20"/>
          <w:szCs w:val="20"/>
          <w:color w:val="auto"/>
        </w:rPr>
      </w:pPr>
      <w:r>
        <w:rPr>
          <w:rFonts w:ascii="Arial" w:cs="Arial" w:eastAsia="Arial" w:hAnsi="Arial"/>
          <w:sz w:val="18"/>
          <w:szCs w:val="18"/>
          <w:b w:val="1"/>
          <w:bCs w:val="1"/>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on a country-by-country basis, (a) a claim of an issued and unexpired patent which has not been revoked or held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that was filed and has been prosecuted in good faith and has not been (i) cancelled, withdrawn, abandoned or finally disallowed without the possibility of appeal or refiling of such application, or (ii) (A) pending for more than [***] since such claim was first presented or (B) is the result of amending another claim pending for more than [***] (either in the same application or in another application in the same jurisdiction) so as to add or delete an obvious limitation, so as to make a trivial or nonsubstantive change, or so as to change a matter of form; except that any claim that becomes invalid pursuant to (ii)(A), or (ii)(B), and later issues, shall be considered a Valid Claim from the date of issuance.</w:t>
      </w:r>
    </w:p>
    <w:p>
      <w:pPr>
        <w:spacing w:after="0" w:line="65" w:lineRule="exact"/>
        <w:rPr>
          <w:sz w:val="20"/>
          <w:szCs w:val="20"/>
          <w:color w:val="auto"/>
        </w:rPr>
      </w:pPr>
    </w:p>
    <w:p>
      <w:pPr>
        <w:ind w:left="1940" w:right="14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1.1.80</w:t>
      </w:r>
      <w:r>
        <w:rPr>
          <w:sz w:val="20"/>
          <w:szCs w:val="20"/>
          <w:color w:val="auto"/>
        </w:rPr>
        <w:tab/>
      </w:r>
      <w:r>
        <w:rPr>
          <w:rFonts w:ascii="Arial" w:cs="Arial" w:eastAsia="Arial" w:hAnsi="Arial"/>
          <w:sz w:val="18"/>
          <w:szCs w:val="18"/>
          <w:b w:val="1"/>
          <w:bCs w:val="1"/>
          <w:color w:val="auto"/>
        </w:rPr>
        <w:t>Other Defined Terms</w:t>
      </w:r>
      <w:r>
        <w:rPr>
          <w:rFonts w:ascii="Arial" w:cs="Arial" w:eastAsia="Arial" w:hAnsi="Arial"/>
          <w:sz w:val="18"/>
          <w:szCs w:val="18"/>
          <w:color w:val="auto"/>
        </w:rPr>
        <w:t>. All other defined terms in this Agreement shall have the meanings as otherwise specifically set out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body of this Agreement.</w:t>
      </w:r>
    </w:p>
    <w:p>
      <w:pPr>
        <w:spacing w:after="0" w:line="67" w:lineRule="exact"/>
        <w:rPr>
          <w:sz w:val="20"/>
          <w:szCs w:val="20"/>
          <w:color w:val="auto"/>
        </w:rPr>
      </w:pPr>
    </w:p>
    <w:p>
      <w:pPr>
        <w:ind w:left="920" w:right="120" w:hanging="904"/>
        <w:spacing w:after="0" w:line="289" w:lineRule="auto"/>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Sections and Headings</w:t>
      </w:r>
      <w:r>
        <w:rPr>
          <w:rFonts w:ascii="Arial" w:cs="Arial" w:eastAsia="Arial" w:hAnsi="Arial"/>
          <w:sz w:val="17"/>
          <w:szCs w:val="17"/>
          <w:color w:val="auto"/>
        </w:rPr>
        <w:t>. The division of this Agreement into Articles, Sections and Subsections and the insertion of headings are for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only and shall not affect the interpretation of this Agreement. Unless otherwise indicated, any reference to a particular Article, Section, clause or Schedule refers to the specified Article, Section or clause of, or Schedule to, this Agreement.</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Number</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Gender and Persons</w:t>
            </w:r>
            <w:r>
              <w:rPr>
                <w:rFonts w:ascii="Arial" w:cs="Arial" w:eastAsia="Arial" w:hAnsi="Arial"/>
                <w:sz w:val="18"/>
                <w:szCs w:val="18"/>
                <w:color w:val="auto"/>
                <w:w w:val="91"/>
              </w:rPr>
              <w:t>. In this Agreement, words importing the singular number shall include the plural and vice versa, words importing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gender shall include all genders and words importing persons shall include individuals, corporations, partnerships, associations, trusts,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unincorporated organizations, governmental bodies and other legal or business entities.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Currency</w:t>
            </w:r>
            <w:r>
              <w:rPr>
                <w:rFonts w:ascii="Arial" w:cs="Arial" w:eastAsia="Arial" w:hAnsi="Arial"/>
                <w:sz w:val="18"/>
                <w:szCs w:val="18"/>
                <w:color w:val="auto"/>
              </w:rPr>
              <w:t>. All monetary amounts in this Agreement are in Canadian funds.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Schedules</w:t>
            </w:r>
            <w:r>
              <w:rPr>
                <w:rFonts w:ascii="Arial" w:cs="Arial" w:eastAsia="Arial" w:hAnsi="Arial"/>
                <w:sz w:val="18"/>
                <w:szCs w:val="18"/>
                <w:color w:val="auto"/>
              </w:rPr>
              <w:t>. The following Schedules are annexed to and form part of this Agreement:</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“A” and Schedule “B” Fabry Know-How (as may be updated from time to time as dictated herein)</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“C” - Fabry Patents (as may be updated from time to time)</w:t>
            </w:r>
          </w:p>
        </w:tc>
      </w:tr>
      <w:tr>
        <w:trPr>
          <w:trHeight w:val="310"/>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Schedule “D” - Licensed SRA IP (as may be updated from time to time) Schedule “E”—Optioned Improvement Patents (as may be updated from</w:t>
            </w:r>
          </w:p>
        </w:tc>
      </w:tr>
      <w:tr>
        <w:trPr>
          <w:trHeight w:val="230"/>
        </w:trPr>
        <w:tc>
          <w:tcPr>
            <w:tcW w:w="58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w w:val="94"/>
              </w:rPr>
              <w:t>time to time).</w:t>
            </w:r>
          </w:p>
        </w:tc>
        <w:tc>
          <w:tcPr>
            <w:tcW w:w="9500" w:type="dxa"/>
            <w:vAlign w:val="bottom"/>
          </w:tcPr>
          <w:p>
            <w:pPr>
              <w:spacing w:after="0"/>
              <w:rPr>
                <w:sz w:val="20"/>
                <w:szCs w:val="20"/>
                <w:color w:val="auto"/>
              </w:rPr>
            </w:pP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1.6</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Accounting Principles</w:t>
            </w:r>
            <w:r>
              <w:rPr>
                <w:rFonts w:ascii="Arial" w:cs="Arial" w:eastAsia="Arial" w:hAnsi="Arial"/>
                <w:sz w:val="18"/>
                <w:szCs w:val="18"/>
                <w:color w:val="auto"/>
                <w:w w:val="92"/>
              </w:rPr>
              <w:t>. Any reference in this Agreement to “generally accepted accounting principles” refers to generally accepted accounting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principles as approved from time to time by the Canadian Institute of Chartered Accountants or any successor institute, U.S. generally accepted</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accounting principles, or International Financial Reporting Standards.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Best of Knowledge</w:t>
            </w:r>
            <w:r>
              <w:rPr>
                <w:rFonts w:ascii="Arial" w:cs="Arial" w:eastAsia="Arial" w:hAnsi="Arial"/>
                <w:sz w:val="18"/>
                <w:szCs w:val="18"/>
                <w:color w:val="auto"/>
                <w:w w:val="95"/>
              </w:rPr>
              <w:t>. “To the best of the knowledge” or “to the knowledge”, unless otherwise qualified hereunder means a statement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0"/>
              </w:rPr>
              <w:t>declaring Party’s knowledge of the actual facts or circumstances to which such phrase relates without having made any inquiries or investigations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in connection with such facts and/or circumstances.</w:t>
            </w:r>
          </w:p>
        </w:tc>
      </w:tr>
      <w:tr>
        <w:trPr>
          <w:trHeight w:val="648"/>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500" w:type="dxa"/>
            <w:vAlign w:val="bottom"/>
          </w:tcPr>
          <w:p>
            <w:pPr>
              <w:ind w:left="2400"/>
              <w:spacing w:after="0"/>
              <w:rPr>
                <w:sz w:val="20"/>
                <w:szCs w:val="20"/>
                <w:color w:val="auto"/>
              </w:rPr>
            </w:pPr>
            <w:r>
              <w:rPr>
                <w:rFonts w:ascii="Arial" w:cs="Arial" w:eastAsia="Arial" w:hAnsi="Arial"/>
                <w:sz w:val="18"/>
                <w:szCs w:val="18"/>
                <w:b w:val="1"/>
                <w:bCs w:val="1"/>
                <w:color w:val="auto"/>
              </w:rPr>
              <w:t>ARTICLE 2 - GRANT OF RIGHTS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2.1</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License Grant</w:t>
            </w:r>
            <w:r>
              <w:rPr>
                <w:rFonts w:ascii="Arial" w:cs="Arial" w:eastAsia="Arial" w:hAnsi="Arial"/>
                <w:sz w:val="18"/>
                <w:szCs w:val="18"/>
                <w:color w:val="auto"/>
              </w:rPr>
              <w:t>. UHN hereby grants to Avro and its Affiliates during the Term (collectively, the “</w:t>
            </w:r>
            <w:r>
              <w:rPr>
                <w:rFonts w:ascii="Arial" w:cs="Arial" w:eastAsia="Arial" w:hAnsi="Arial"/>
                <w:sz w:val="18"/>
                <w:szCs w:val="18"/>
                <w:b w:val="1"/>
                <w:bCs w:val="1"/>
                <w:color w:val="auto"/>
              </w:rPr>
              <w:t>License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2.1.1</w:t>
            </w:r>
          </w:p>
        </w:tc>
        <w:tc>
          <w:tcPr>
            <w:tcW w:w="9500" w:type="dxa"/>
            <w:vAlign w:val="bottom"/>
          </w:tcPr>
          <w:p>
            <w:pPr>
              <w:ind w:left="20"/>
              <w:spacing w:after="0"/>
              <w:rPr>
                <w:sz w:val="20"/>
                <w:szCs w:val="20"/>
                <w:color w:val="auto"/>
              </w:rPr>
            </w:pPr>
            <w:r>
              <w:rPr>
                <w:rFonts w:ascii="Arial" w:cs="Arial" w:eastAsia="Arial" w:hAnsi="Arial"/>
                <w:sz w:val="18"/>
                <w:szCs w:val="18"/>
                <w:color w:val="auto"/>
                <w:w w:val="94"/>
              </w:rPr>
              <w:t>an exclusive (subject to Section 2.2), royalty-bearing, transferable (as set forth in Section 16.4) license, with the further right to</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5"/>
              </w:rPr>
              <w:t>grant sublicenses subject to Section 2.3, under the Exclusively Licensed Know-How and Licensed Patents, to research, have</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89"/>
              </w:rPr>
              <w:t>researched, develop, have developed, make, have made, use, have used, sell, have sold, offer for sale, have offered for sale, import,</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have imported, export and have exported Licensed Products in the Field of Use for the Territory.</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2.1.2</w:t>
            </w:r>
          </w:p>
        </w:tc>
        <w:tc>
          <w:tcPr>
            <w:tcW w:w="9500" w:type="dxa"/>
            <w:vAlign w:val="bottom"/>
          </w:tcPr>
          <w:p>
            <w:pPr>
              <w:ind w:left="20"/>
              <w:spacing w:after="0"/>
              <w:rPr>
                <w:sz w:val="20"/>
                <w:szCs w:val="20"/>
                <w:color w:val="auto"/>
              </w:rPr>
            </w:pPr>
            <w:r>
              <w:rPr>
                <w:rFonts w:ascii="Arial" w:cs="Arial" w:eastAsia="Arial" w:hAnsi="Arial"/>
                <w:sz w:val="18"/>
                <w:szCs w:val="18"/>
                <w:color w:val="auto"/>
                <w:w w:val="96"/>
              </w:rPr>
              <w:t>a non-exclusive, royalty-bearing, transferable (as set forth in Section 16.4) license, with the further right to grant sublicenses</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2"/>
              </w:rPr>
              <w:t>subject to Section 2.3, under the Non-Exclusively Licensed Know-How, to research, have researched, develop, have developed,</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3"/>
              </w:rPr>
              <w:t>make, have made, use, have used, sell, have sold, offer for sale, have offered for sale, import, have imported, export and have</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exported Licensed Products in the Field of Use for the Territory.</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Retention of Rights</w:t>
            </w: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2.2.1</w:t>
            </w:r>
          </w:p>
        </w:tc>
        <w:tc>
          <w:tcPr>
            <w:tcW w:w="9500" w:type="dxa"/>
            <w:vAlign w:val="bottom"/>
          </w:tcPr>
          <w:p>
            <w:pPr>
              <w:ind w:left="20"/>
              <w:spacing w:after="0"/>
              <w:rPr>
                <w:sz w:val="20"/>
                <w:szCs w:val="20"/>
                <w:color w:val="auto"/>
              </w:rPr>
            </w:pPr>
            <w:r>
              <w:rPr>
                <w:rFonts w:ascii="Arial" w:cs="Arial" w:eastAsia="Arial" w:hAnsi="Arial"/>
                <w:sz w:val="18"/>
                <w:szCs w:val="18"/>
                <w:color w:val="auto"/>
                <w:w w:val="92"/>
              </w:rPr>
              <w:t>The License granted to Avro under Section 2.1 is subject to UHN’s retention of its rights to use the Licensed Technology without</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 for (a) the conduct of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UHN Planned Trial, (b) research conducted for noncommercial or academic purposes, (c) clinical trials of an academic 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noncommercial nature, and (d) the right to grant non-exclusive licenses to Third Party non-profit academic or research institutes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for the same purposes of items (a), (b) and (c), and subject to the terms and conditions outlined in Sections 3.2.1, and 3.2.2, and</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Articles 9 and 10.</w:t>
            </w:r>
          </w:p>
        </w:tc>
      </w:tr>
      <w:tr>
        <w:trPr>
          <w:trHeight w:val="310"/>
        </w:trPr>
        <w:tc>
          <w:tcPr>
            <w:tcW w:w="680" w:type="dxa"/>
            <w:vAlign w:val="bottom"/>
          </w:tcPr>
          <w:p>
            <w:pPr>
              <w:spacing w:after="0"/>
              <w:rPr>
                <w:sz w:val="24"/>
                <w:szCs w:val="24"/>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In addition, UHN is responsible for conducting the UHN Planned Trial, and will (itself or with collaborating institutions) enroll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and dose at least [***] patients in the UHN Planned Trial with a [***] follow-up phase pursuant to its retained rights and subject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Section 2.4; provided, however, that UHN shall not be deemed to be in breach of the foregoing obligation in the event that UHN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discontinues the UHN Planned Trial due to events outside of the reasonable control of UHN (i.e., actions taken by Regulatory</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Letter Agreement). In the event that UHN (i) does not enroll or dose any of the [***] patients in the UHN Planned Trial, (ii) does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not complete the [***] follow-up phase for any such patients in the UHN Planned Trial, or (iii) otherwise discontinues or winds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down the UHN Planned Trial for any reason, then UHN will promptly (and in any event within [***]) refund to Avro all monies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paid in advance by Avro to UHN pursuant to the Letter Agreement for services or activities not performed (if any), other than any</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reasonable, non-cancellable Trial Costs (as defined in the Letter Agreement) incurred by UHN for the UHN Planned Trial.</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2.2.2</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If Avro elects to proceed on its own with a Phase 1 Clinical Trial with respect to the first Licensed Product (“</w:t>
            </w:r>
            <w:r>
              <w:rPr>
                <w:rFonts w:ascii="Arial" w:cs="Arial" w:eastAsia="Arial" w:hAnsi="Arial"/>
                <w:sz w:val="18"/>
                <w:szCs w:val="18"/>
                <w:b w:val="1"/>
                <w:bCs w:val="1"/>
                <w:color w:val="auto"/>
                <w:w w:val="92"/>
              </w:rPr>
              <w:t>Avro Clinical Trial</w:t>
            </w:r>
            <w:r>
              <w:rPr>
                <w:rFonts w:ascii="Arial" w:cs="Arial" w:eastAsia="Arial" w:hAnsi="Arial"/>
                <w:sz w:val="18"/>
                <w:szCs w:val="18"/>
                <w:color w:val="auto"/>
                <w:w w:val="92"/>
              </w:rPr>
              <w: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Avro will consult with the Dr. Jeffrey Medin, and at his request, Dr. Medin will be included as an author on resulting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publication(s), and subject to restrictions on publications as outlined in Section 2.2.4. For clarity, the obligation in the preceding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sentence applies only to the first Phase 1 Clinical Study of the first Licensed Product conducted by Avro and is limited to</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Dr. Jeffrey Medin.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2.2.3</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UHN agrees to keep Avro informed of any clinical research or development conducted (or contemplated to be conducted) by or on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behalf of UHN with respect to the UHN Planned Trial involving the Licensed Technology as soon as reasonably practicable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ensure that UHN does not diminish or conflict with any licenses, options or other rights in Licensed Technology or Licensed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Products granted to Avro, and to enable Avro and its Affiliates and Sublicensees to comply with their regulatory obligations. For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certainty and clarity, clinical research or development conducted (or contemplated to be conducted) by or on behalf of UHN</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includes clinical research or development conducted pursuant to the rights retained under Section 2.2.1.</w:t>
            </w:r>
          </w:p>
        </w:tc>
      </w:tr>
      <w:tr>
        <w:trPr>
          <w:trHeight w:val="338"/>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2.2.4</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The UHN Principal Investigator, on behalf of UHN, retains the right to publish the final results of the UHN Planned Trial in a peer-</w:t>
            </w:r>
          </w:p>
        </w:tc>
      </w:tr>
    </w:tbl>
    <w:p>
      <w:pPr>
        <w:ind w:left="102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reviewed journal or publication prior to any publication of the final results of the Avro Clinical Trial in a peer-review journal or publication; provided that such right of publication priority in favor of the UHN Principal Investigator, on behalf of UHN, shall expire upon the earlier of (a) the termination or discontinuation of the UHN Planned Trial for any reason, or (b) [***] after the last dose for the last patient has been administered for the Avro Clinical Trial.</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1160" w:top="274" w:right="2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2.2.5</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Avro acknowledges and agrees that (a) its rights to the Licensed Technology further to the License are restricted in accordance with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terms and provisions of this Agreement, and (b) subject to the terms and conditions of Section 3.2 and this Section 2.2, UHN</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retains all rights to use, develop and commercially exploit the Licensed Technology outside the scope of the License.</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Sublicenses</w:t>
            </w:r>
            <w:r>
              <w:rPr>
                <w:rFonts w:ascii="Arial" w:cs="Arial" w:eastAsia="Arial" w:hAnsi="Arial"/>
                <w:sz w:val="18"/>
                <w:szCs w:val="18"/>
                <w:color w:val="auto"/>
                <w:w w:val="91"/>
              </w:rPr>
              <w:t>. Avro and any of its Affiliates shall have the right to grant sublicense(s) through multiple tiers to the licenses and rights granted to it</w:t>
            </w:r>
          </w:p>
        </w:tc>
      </w:tr>
      <w:tr>
        <w:trPr>
          <w:trHeight w:val="234"/>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under this Agreement to any Sublicensee (the “</w:t>
            </w:r>
            <w:r>
              <w:rPr>
                <w:rFonts w:ascii="Arial" w:cs="Arial" w:eastAsia="Arial" w:hAnsi="Arial"/>
                <w:sz w:val="18"/>
                <w:szCs w:val="18"/>
                <w:b w:val="1"/>
                <w:bCs w:val="1"/>
                <w:color w:val="auto"/>
              </w:rPr>
              <w:t>Sublicense</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the Sublicense shall not have any terms which are inconsistent with this Agreement, including for clarity publication rights under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Section 2.2.4;</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2.3.2</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Sublicensee(s) shall be required to make records available to UHN in accordance with the obligations outlined in Sections 4.11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4.12;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2.3.3</w:t>
            </w: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unless otherwise indemnified by Avro or its Affiliate directly, the Sublicense shall provide that the Sublicensee will directly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indemnify UHN on terms at least as favourable as those in Article 12 unless approved otherwise in writing by UHN.</w:t>
            </w:r>
          </w:p>
        </w:tc>
      </w:tr>
      <w:tr>
        <w:trPr>
          <w:trHeight w:val="310"/>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Upon termination of this Agreement for any reason, provided that a Sublicensee is not in material breach of its Sublicense,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shall grant to such Sublicensee license rights and terms equivalent to the sublicense rights and terms which Avro previously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granted to such Sublicensee.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Know-How Transfer and Right of Reference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2.4.1</w:t>
            </w: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UHN shall, at Avro’s sole cost and expense, provide Avro with access to all of the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Non-Exclusively Licensed Know-How as same arises, and as soon as reasonably practicable after the Effective Date with respect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to any then-existing Exclusively Licensed Know-How and Non-Exclusively Licensed Know-How in UHN’s and/or UHN’s CRO’s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possession or control, in conjunction with the exercise by the Avro of its rights under the License. The Parties will (a) work</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collaboratively together to facilitate the process for transferring the Exclusively Licensed Know-How and Non-Exclusively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Licensed Know-How and (b) use reasonable best efforts to meet the proposed timelines as set out in Schedule “A” and any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amendment to the timelines shall be agreed to as between the Parties, each acting reasonably. The Parties will use reasonable best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efforts to transfer all other Exclusively Licensed Know-How and Non-Exclusively Licensed Know-How in accordance with this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Section 2.4 or as otherwise reasonably agreed by the Parties. Details regarding transfer of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Non-Exclusively Licensed Know-How in the possession of the Fabry Trial Team shall be governed by Fabry Trial Team</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Agreements. For the avoidance of doubt, the licenses with respect to the Exclusively Licensed Know-How and Non-Exclusively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Licensed Know-How in the possession of the Fabry Trial Team shall be governed by this Agreement (including Section 2.1).</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2.4.2</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Subject to UHN’s retention of rights further to Section 2.2, UHN hereby grants Avro an exclusive right of reference in the Field of</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to any CTAs and other Regulatory Filings owned or controlled by UHN as of the Effective Date or during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the Term for Licensed Products to enable Avro to obtain Regulatory Approval of Licensed Products in the Territory or otherwise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any purpose in conjunction with the exercise by Avro of the License and its rights under this Agreement. Upon Avro’s written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request, UHN shall deliver to any Regulatory Authority an original letter authorizing Avro to reference and incorporate any such</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CTAs or other Regulatory Filings owned or controlled by UHN; provided that, such letter shall be reasonably acceptable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and shall be signed by the appropriate representative of UHN so that it is received by the applicable Regulatory Authority as soon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as reasonably practicable (but in no event later than [***] after Avro’s written request). UHN shall provide Avro with a copy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such letter as transmitted to such Regulatory Authority no later than [***] after such transmission and provide to Avro proof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delivery of such letter. In the case of Indiana University acting as a contract manufacturer on behalf of UHN, to the extent UHN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0"/>
              </w:rPr>
              <w:t>has such rights as set forth in its agreements with Indiana University, UHN hereby grants to Avro an exclusive right of reference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the DMF of Indiana University for Licensed Products to enable Avro to obtain Regulatory Approval of Licensed Products in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Territory or otherwise for any purpose in conjunction with the exercise by Avro of the License and its rights under this Agreement</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(taking into account that the DMF may contain confidential information of Indiana University that may not be shared with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2.4.3</w:t>
            </w: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UHN shall, at Avro’s sole cost and expense, provide Avro with access to copies of all Regulatory Filings created for, submitted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or received from an applicable Regulatory Authority relating to the Licensed Products and all data contained therein, and any</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9"/>
              </w:rPr>
              <w:t>amendments, supplements, correspondence or further submissions (including adverse events and product complaints) to any of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foregoing, as well as the contents of any minutes from meetings (whether in person or by audio conference or videoconference)</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with Regulatory Authorities, in each case relating to the Licensed Products.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2.4.4</w:t>
            </w: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each patient in the UHN Planned Trial who goes off-study after having been subject to treatment, UHN shall provide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at Avro’s sole cost and expense, all Patient Data relating to said patient as soon as reasonably practicable after such information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becomes available to UHN and/or UHN CRO after the date upon which such patient goes off-study, including all related Patient</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Data and the reason such patient went off-study. Details regarding transfer of off study Patient Data from the Fabry Trial Team to</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UHN and/or UHN CRO shall be governed by the Fabry Trial Team Agreements.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2.4.5</w:t>
            </w: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For each patient in the UHN Planned Trial, UHN and/or UHN CRO shall provide to Avro, at Avro’s sole cost and expense, all</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Patient Data relating to said patient as soon as reasonably practicable upon such Patient Data becoming available to UHN and/or</w:t>
            </w:r>
          </w:p>
        </w:tc>
      </w:tr>
    </w:tbl>
    <w:p>
      <w:pPr>
        <w:ind w:left="1020"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UHN CRO. Similarly, with respect to Sample Processing Data, provision of Reviewed Sample Processing Data by UHN and/or UHN CRO to Avro within [***] of data becoming Reviewed Sample Processing Data shall be considered as soon as reasonably practicable. In the event that any adverse event is determined to be a serious and unexpected adverse reaction event relating to the treatment (“SUSAR”) in accordance with the process as outlined in the Clinical Trial Protocol, UHN shall provide such information to Avro within [***] of the decision to report such SUSAR to the relevant regulatory authority (or such other time period as the Parties may agree). Promptly following the disclosure of</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73" w:right="23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a SUSAR to Avro, at Avro’s request, the UNH CRO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information that is reasonably requested by Avro to Avro or its designee(s), in each case for patient care purposes or to enable Avro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or its Affiliates or Sublicensees to comply with any applicable laws, rules or regulations, and the UHN CRO shall discuss and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answer all reasonable questions from Avro or its designee(s) relating thereto. Details regarding transfer of Clinical Trial Data,</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7"/>
              </w:rPr>
              <w:t>Sample Processing Data, and SUSAR data from the Fabry Trial Team to UHN shall be governed by the Fabry Trial Team</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Agreements. Similarly, to the extent Avro or an Affiliate or Sublicensee is conducting a clinical trial (including a Phase I Clinical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Trial or a Pivotal Trial) relating to Fabry disease with the same vector in accordance with the Clinical Trial Protocol while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UHN Planned Trial is ongoing, and in the event that any adverse event is determined to be a SUSAR in accordance with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process as outlined in the Clinical Trial Protocol, Avro shall provide such information to UHN within [***] of the decision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report such SUSAR to the relevant regulatory authority (or such other time period as the Parties may agree). Promptly following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the disclosure of a SUSAR to UHN, at UHN’s request, Avro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information that is reasonably requested by UHN to UHN, in each case for patient care purposes or to enable UHN to comply with</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any applicable laws, rules or regulations, and Avro shall discuss and answer all reasonable questions from UHN relating thereto.</w:t>
            </w:r>
          </w:p>
        </w:tc>
      </w:tr>
      <w:tr>
        <w:trPr>
          <w:trHeight w:val="319"/>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2.4.6</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At Avro’s request, UHN and/or UHN CRO and Avro shall work jointly with an external contractor, at Avro’s sole cost and expense,</w:t>
            </w:r>
          </w:p>
        </w:tc>
      </w:tr>
      <w:tr>
        <w:trPr>
          <w:trHeight w:val="220"/>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to prepare monthly reports to provide to Avro for Clinical Trial Data (“</w:t>
            </w:r>
            <w:r>
              <w:rPr>
                <w:rFonts w:ascii="Arial" w:cs="Arial" w:eastAsia="Arial" w:hAnsi="Arial"/>
                <w:sz w:val="18"/>
                <w:szCs w:val="18"/>
                <w:b w:val="1"/>
                <w:bCs w:val="1"/>
                <w:color w:val="auto"/>
                <w:w w:val="94"/>
              </w:rPr>
              <w:t>Monthly Clinical Trial Report</w:t>
            </w:r>
            <w:r>
              <w:rPr>
                <w:rFonts w:ascii="Arial" w:cs="Arial" w:eastAsia="Arial" w:hAnsi="Arial"/>
                <w:sz w:val="18"/>
                <w:szCs w:val="18"/>
                <w:color w:val="auto"/>
                <w:w w:val="94"/>
              </w:rPr>
              <w:t>”). UHN and/or UHN CRO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shall provide such Monthly Clinical Trial Report to Avro within [***] after the end of each calendar month. The Parties shall work</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together to ensure such Monthly Clinical Trial Report is in a form acceptable to Avro. Subject to the approval of the requisite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Research Ethics Board, UHN shall ensure that all informed consent form(s) under which any Patient Data will be obtained permit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 UHN to provide such Patient Data to Avro and its Affiliates and Sublicensees, and (b) Avro and its Affiliates and Sublicensees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to use such Patient Data in accordance with the terms of this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2.4.7</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 accordance with applicable laws and in a manner consistent with good clinical practice, UHN shall maintain, and shall cause its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investigators and collaborating institutions (including the Fabry Trial Team) to maintain, complete and accurate records relating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the CTA, Regulatory Filings and the Patient Data to be provided to Avro. UHN, its investigators and collaborating institutions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(including the Fabry Trial Team), as applicable, shall retain such records relating to CTA and Regulatory Filings for a period of at</w:t>
            </w:r>
          </w:p>
        </w:tc>
      </w:tr>
    </w:tbl>
    <w:p>
      <w:pPr>
        <w:ind w:left="1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least [***] after the date of delivery of such information or reports to Avro (the “</w:t>
      </w:r>
      <w:r>
        <w:rPr>
          <w:rFonts w:ascii="Arial" w:cs="Arial" w:eastAsia="Arial" w:hAnsi="Arial"/>
          <w:sz w:val="17"/>
          <w:szCs w:val="17"/>
          <w:b w:val="1"/>
          <w:bCs w:val="1"/>
          <w:color w:val="auto"/>
        </w:rPr>
        <w:t>Data Retention Period</w:t>
      </w:r>
      <w:r>
        <w:rPr>
          <w:rFonts w:ascii="Arial" w:cs="Arial" w:eastAsia="Arial" w:hAnsi="Arial"/>
          <w:sz w:val="17"/>
          <w:szCs w:val="17"/>
          <w:color w:val="auto"/>
        </w:rPr>
        <w:t>”). During the Data</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Retention Period, Avro shall have the right, at its sole expense, during normal business hours, to provide a qualified person</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to inspect such records of UHN, and its investigators and collaborating institutions (including the Fabry Trial Team),</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applicable, for the purposes of verifying the accuracy of any information or reports delivered to Avro hereunder and UHN’s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compliance with the terms hereof; provided that, Avro shall give UHN and/or its investigators and collaborating institutions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(including the Fabry Trial Team), as applicable, reasonable prior written notice (which shall be at least [***]) prior to Auditor</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conducting any such audit. UHN may require Avro to enter into an additional,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60" w:top="273" w:right="2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customary nondisclosure agreement(s) prior to undertaking any such inspection as required by law or UHN policy or collaborating</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institution policy (as applicable). Any and all books, records, reports and other documents of UHN that are inspected by Auditor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pursuant to this Section 2.4.7 shall be deemed UHN Confidential Information. The Parties will comply with all applicable federal,</w:t>
            </w:r>
          </w:p>
        </w:tc>
      </w:tr>
      <w:tr>
        <w:trPr>
          <w:trHeight w:val="212"/>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state and provincial privacy legislation including (as applicable) the Personal Information Protection and Electronic Documents</w:t>
            </w:r>
          </w:p>
        </w:tc>
      </w:tr>
      <w:tr>
        <w:trPr>
          <w:trHeight w:val="220"/>
        </w:trPr>
        <w:tc>
          <w:tcPr>
            <w:tcW w:w="68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Act, S.C. 2000, c. 5 (“</w:t>
            </w:r>
            <w:r>
              <w:rPr>
                <w:rFonts w:ascii="Arial" w:cs="Arial" w:eastAsia="Arial" w:hAnsi="Arial"/>
                <w:sz w:val="18"/>
                <w:szCs w:val="18"/>
                <w:b w:val="1"/>
                <w:bCs w:val="1"/>
                <w:color w:val="auto"/>
                <w:w w:val="96"/>
              </w:rPr>
              <w:t>PIPEDA</w:t>
            </w:r>
            <w:r>
              <w:rPr>
                <w:rFonts w:ascii="Arial" w:cs="Arial" w:eastAsia="Arial" w:hAnsi="Arial"/>
                <w:sz w:val="18"/>
                <w:szCs w:val="18"/>
                <w:color w:val="auto"/>
                <w:w w:val="96"/>
              </w:rPr>
              <w:t>”) and the Personal Health Information Protection Act, 2004, S.O. 2004, c. 3 (“</w:t>
            </w:r>
            <w:r>
              <w:rPr>
                <w:rFonts w:ascii="Arial" w:cs="Arial" w:eastAsia="Arial" w:hAnsi="Arial"/>
                <w:sz w:val="18"/>
                <w:szCs w:val="18"/>
                <w:b w:val="1"/>
                <w:bCs w:val="1"/>
                <w:color w:val="auto"/>
                <w:w w:val="96"/>
              </w:rPr>
              <w:t>PHIPA</w:t>
            </w:r>
            <w:r>
              <w:rPr>
                <w:rFonts w:ascii="Arial" w:cs="Arial" w:eastAsia="Arial" w:hAnsi="Arial"/>
                <w:sz w:val="18"/>
                <w:szCs w:val="18"/>
                <w:color w:val="auto"/>
                <w:w w:val="96"/>
              </w:rPr>
              <w:t>”).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conduct of such audits, Auditor may be given access to personal information in order to validate case report forms through source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documentation. Auditor shall not copy documents containing personal information or take notes of personal information.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event that personal information about a UHN Planned Trial (or other clinical trial) subject is transferred to Avro and its employees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or agents, Avro and its employees and agents shall only use the information for purposes authorized in writing by UHN or required</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by law; and shall appropriately protect the information against loss, theft, unauthorized access, copying, or modification; not</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publish the information in a form that could reasonably permit identification of the individual; not contact or attempt to contact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individual; and notify UHN and/or others as may be directed, immediately in writing upon becoming aware of any breach of this</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Section 2.4. Avro shall ensure that their employees and agents comply with the terms and conditions of this Section 2.4.</w:t>
            </w:r>
          </w:p>
        </w:tc>
      </w:tr>
      <w:tr>
        <w:trPr>
          <w:trHeight w:val="310"/>
        </w:trPr>
        <w:tc>
          <w:tcPr>
            <w:tcW w:w="68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report from the audit shall be deemed Avro Confidential Information. Avro may exercise the rights under this Section 2.4.7</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only once during any Calendar Year. During the Data Retention Period, UHN shall, to the extent practicable, cause its investigators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and collaborating institutions to comply with the terms of this Section 2.4.7. If such audit reveals that UHN or its investigators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collaborating institutions, as applicable, failed to provide information or data that should have been provided to Avro hereunder,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that any element of the information or reports delivered to Avro hereunder were incomplete or inaccurate, UHN promptly shall</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provide such missing information or data to Avro and/or complete and correct such information or reports and provide corrected</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information or reports to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2.4.8</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UHN and Avro will use reasonable best efforts to execute the Fabry Trial Team Agreements in a form mutually agreed by UHN</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and Avro within [***] after the Effective Date. Each Party acknowledges that delays by one or more Fabry Trial Team</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Institution(s) is outside of the control of each of the Parties. The Parties further acknowledge that after using reasonable best efforts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to present a draft Fabry Trial Team Agreement to the Fabry Trial Team Institution(s), the Parties can only act reasonably in</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considering any revisions requested by the Fabry Trial Team Institution(s).</w:t>
            </w:r>
          </w:p>
        </w:tc>
      </w:tr>
      <w:tr>
        <w:trPr>
          <w:trHeight w:val="338"/>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2.4.9</w:t>
            </w: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UHN will ensure clinical trial site agreements with any investigator or collaborating institution (including the Fabry Trial Team)</w:t>
            </w:r>
          </w:p>
        </w:tc>
      </w:tr>
    </w:tbl>
    <w:p>
      <w:pPr>
        <w:ind w:left="1020"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UHN Planned Trial are consistent with UHN’s obligations, and, subject to the terms of any executed Fabry Trial Team Agreement(s), will not diminish or conflict with any licenses, options or other rights in Licensed Technology or Licensed Products granted to Avro, under this Article 2, including the License granted under Section 2.1 and the obligations outlined in this Section 2.4.</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74" w:right="23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2.4.10</w:t>
            </w: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Notwithstanding anything herein to the contrary, all costs or expenses to be incurred by Avro, and the design and content of the</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2"/>
              </w:rPr>
              <w:t>related deliverables to be delivered to Avro, pursuant to this Section 2.4 must be pre-approved by Avro in writing, and will be paid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pursuant to Section 4.4. For clarity, the costs or expenses to be incurred by Avro pursuant to this Section 2.4 shall be limited to</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reasonable, documented costs and expenses incurred by third parties only.</w:t>
            </w:r>
          </w:p>
        </w:tc>
      </w:tr>
      <w:tr>
        <w:trPr>
          <w:trHeight w:val="648"/>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780" w:type="dxa"/>
            <w:vAlign w:val="bottom"/>
          </w:tcPr>
          <w:p>
            <w:pPr>
              <w:ind w:left="260"/>
              <w:spacing w:after="0"/>
              <w:rPr>
                <w:sz w:val="20"/>
                <w:szCs w:val="20"/>
                <w:color w:val="auto"/>
              </w:rPr>
            </w:pPr>
            <w:r>
              <w:rPr>
                <w:rFonts w:ascii="Arial" w:cs="Arial" w:eastAsia="Arial" w:hAnsi="Arial"/>
                <w:sz w:val="18"/>
                <w:szCs w:val="18"/>
                <w:b w:val="1"/>
                <w:bCs w:val="1"/>
                <w:color w:val="auto"/>
              </w:rPr>
              <w:t>ARTICLE 3 - SRA IP &amp; FURTHER OPTIONS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3.1</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SRA &amp; Related Intellectual Property</w:t>
            </w:r>
            <w:r>
              <w:rPr>
                <w:rFonts w:ascii="Arial" w:cs="Arial" w:eastAsia="Arial" w:hAnsi="Arial"/>
                <w:sz w:val="18"/>
                <w:szCs w:val="18"/>
                <w:color w:val="auto"/>
                <w:w w:val="90"/>
              </w:rPr>
              <w:t>. The Parties contemplate the execution of one or more Sponsored Research Agreement(s). Each SRA will</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3"/>
              </w:rPr>
              <w:t>include and incorporate appropriate provisions in respect of Avro rights and entitlements to SRA IP, including any agreement of the Parties to</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6"/>
              </w:rPr>
              <w:t>incorporate any such SRA IP (in whole or in part) into this Agreement as Licensed SRA IP. In such an event, the Parties shall execute all</w:t>
            </w:r>
          </w:p>
        </w:tc>
      </w:tr>
      <w:tr>
        <w:trPr>
          <w:trHeight w:val="230"/>
        </w:trPr>
        <w:tc>
          <w:tcPr>
            <w:tcW w:w="580" w:type="dxa"/>
            <w:vAlign w:val="bottom"/>
          </w:tcPr>
          <w:p>
            <w:pPr>
              <w:spacing w:after="0"/>
              <w:rPr>
                <w:sz w:val="20"/>
                <w:szCs w:val="20"/>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appropriate documentation to record such inclusion as Licensed SRA IP and shall further update Schedule “D” as required.</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3.2</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rPr>
              <w:t>Option Related to Improvements and Improved Therapies</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3.2.1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3"/>
              </w:rPr>
              <w:t>Improvements Option</w:t>
            </w:r>
            <w:r>
              <w:rPr>
                <w:rFonts w:ascii="Arial" w:cs="Arial" w:eastAsia="Arial" w:hAnsi="Arial"/>
                <w:sz w:val="18"/>
                <w:szCs w:val="18"/>
                <w:color w:val="auto"/>
                <w:w w:val="93"/>
              </w:rPr>
              <w:t>. During the Option Term, and subject to any Third Party rights of (i) University of Wisconsin that exist as</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of the Effective Date or that may arise during the Option Term, or (ii) that may arise as a result of UHN’s exercise of its retained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4"/>
              </w:rPr>
              <w:t>rights pursuant to Section 2.2.1, UHN hereby grants to Avro and its Affiliates an exclusive option to obtain an exclusive license</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89"/>
              </w:rPr>
              <w:t>under any or all of UHN’s interests in the Improvement Patents to research, have researched, develop, have developed, make, have</w:t>
            </w:r>
          </w:p>
        </w:tc>
      </w:tr>
    </w:tbl>
    <w:p>
      <w:pPr>
        <w:ind w:left="194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use, have used, sell, have sold, offer for sale, have offered for sale, import, have imported, export and have exported Licensed Products in the Field of Use for the Territory (the “</w:t>
      </w:r>
      <w:r>
        <w:rPr>
          <w:rFonts w:ascii="Arial" w:cs="Arial" w:eastAsia="Arial" w:hAnsi="Arial"/>
          <w:sz w:val="16"/>
          <w:szCs w:val="16"/>
          <w:b w:val="1"/>
          <w:bCs w:val="1"/>
          <w:color w:val="auto"/>
        </w:rPr>
        <w:t>Option</w:t>
      </w:r>
      <w:r>
        <w:rPr>
          <w:rFonts w:ascii="Arial" w:cs="Arial" w:eastAsia="Arial" w:hAnsi="Arial"/>
          <w:sz w:val="16"/>
          <w:szCs w:val="16"/>
          <w:color w:val="auto"/>
        </w:rPr>
        <w:t>”). From time to time during the Option Term, or upon Avro’s written request during the Option Term, UHN shall (a) promptly inform Avro of the preparation or filing of any Improvements Patents, (b) provide to Avro a summary of all Improvements created, conceived, developed or reduced to practice during the Option Term that are incorporated into said Improvements Patents, and (c) afford Avro a reasonable opportunity during business hours to speak with UHN personnel (including the Principal Investigator) regarding the Improvements Patents in order to permit Avro to determine whether to exercise the Option. Within [***] of Avro’s receipt of information from UHN regarding an Improvement Patent(s), Avro may (in its sole discretion) provide Notice to UHN of its intention to exercise the Option with respect to such Improvements Patent(s), such that such Improvements Patents become Optioned Improvements Patents. On UHN’s receipt of such Notice, the Parties shall promptly (and in any event prior to the expiration of the Option Term) execute an amendment to this Agreement to include such Improvements Patents as Optioned Improvements Patents on the existing terms and conditions set forth in this Agreement (which includes, without limitation, the reimbursement of UHN patent costs and expenses). For clarity, Avro will have the right to exercise the Option from time to time during the Option Term as and when notified of such Improvements Patents in accordance with the terms of this Section 3.2.1. If UHN does not receive a Notice during the time period specified above from Avro of its intent to exercise the Option with respect to such disclosed Improvement Patents, the option with respect to such disclosed Improvement Patents shall lapse, and the license to any Improvements Know-How associated with such Improvement Patents, shall terminate and UHN will be free to dispose of the disclosed Improvement Patents in its sole and absolute discretion without any further notice or accounting to Avro.</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3.2.2</w:t>
            </w:r>
          </w:p>
        </w:tc>
        <w:tc>
          <w:tcPr>
            <w:tcW w:w="928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Improved Therapies Option. </w:t>
            </w:r>
            <w:r>
              <w:rPr>
                <w:rFonts w:ascii="Arial" w:cs="Arial" w:eastAsia="Arial" w:hAnsi="Arial"/>
                <w:sz w:val="18"/>
                <w:szCs w:val="18"/>
                <w:color w:val="auto"/>
                <w:w w:val="92"/>
              </w:rPr>
              <w:t>During the Option Term, UHN hereby also grants to Avro and its Affiliates an exclusive option to</w:t>
            </w:r>
          </w:p>
        </w:tc>
      </w:tr>
      <w:tr>
        <w:trPr>
          <w:trHeight w:val="20"/>
        </w:trPr>
        <w:tc>
          <w:tcPr>
            <w:tcW w:w="10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negotiate any or all of the following licenses and rights (the “</w:t>
            </w:r>
            <w:r>
              <w:rPr>
                <w:rFonts w:ascii="Arial" w:cs="Arial" w:eastAsia="Arial" w:hAnsi="Arial"/>
                <w:sz w:val="18"/>
                <w:szCs w:val="18"/>
                <w:b w:val="1"/>
                <w:bCs w:val="1"/>
                <w:color w:val="auto"/>
              </w:rPr>
              <w:t>Improved Therapies Option</w:t>
            </w:r>
            <w:r>
              <w:rPr>
                <w:rFonts w:ascii="Arial" w:cs="Arial" w:eastAsia="Arial" w:hAnsi="Arial"/>
                <w:sz w:val="18"/>
                <w:szCs w:val="18"/>
                <w:color w:val="auto"/>
              </w:rPr>
              <w:t>”):</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20" w:right="20"/>
        <w:spacing w:after="0" w:line="297" w:lineRule="auto"/>
        <w:rPr>
          <w:sz w:val="20"/>
          <w:szCs w:val="20"/>
          <w:color w:val="auto"/>
        </w:rPr>
      </w:pPr>
      <w:r>
        <w:rPr>
          <w:rFonts w:ascii="Arial" w:cs="Arial" w:eastAsia="Arial" w:hAnsi="Arial"/>
          <w:sz w:val="16"/>
          <w:szCs w:val="16"/>
          <w:color w:val="auto"/>
        </w:rPr>
        <w:t>(a) subject to any Third Party rights of (i) University of Wisconsin that exist as of the Effective Date or that may arise during the Option Term or (ii) that may arise as a result of UHN’s exercise of its retained rights pursuant to Section 2.2.1, an exclusive license under UHN’s interest in any or all of the Improved Therapies Patents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50" w:lineRule="exact"/>
        <w:rPr>
          <w:sz w:val="20"/>
          <w:szCs w:val="20"/>
          <w:color w:val="auto"/>
        </w:rPr>
      </w:pPr>
    </w:p>
    <w:p>
      <w:pPr>
        <w:ind w:left="1020" w:right="80"/>
        <w:spacing w:after="0" w:line="255" w:lineRule="auto"/>
        <w:rPr>
          <w:sz w:val="20"/>
          <w:szCs w:val="20"/>
          <w:color w:val="auto"/>
        </w:rPr>
      </w:pPr>
      <w:r>
        <w:rPr>
          <w:rFonts w:ascii="Arial" w:cs="Arial" w:eastAsia="Arial" w:hAnsi="Arial"/>
          <w:sz w:val="18"/>
          <w:szCs w:val="18"/>
          <w:color w:val="auto"/>
        </w:rPr>
        <w:t>(b) subject to any Third Party rights (i) of University of Wisconsin that exist as of the Effective Date or that may arise during the Option Term or (ii) that may otherwise arise as a result of UHN’s exercise of its retained rights pursuant to Section 2.2, a non-exclusive license under UHN’s interest in any or all of the Improved Therapies Know-How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85" w:lineRule="exact"/>
        <w:rPr>
          <w:sz w:val="20"/>
          <w:szCs w:val="20"/>
          <w:color w:val="auto"/>
        </w:rPr>
      </w:pPr>
    </w:p>
    <w:p>
      <w:pPr>
        <w:ind w:left="1020" w:right="60"/>
        <w:spacing w:after="0" w:line="268" w:lineRule="auto"/>
        <w:rPr>
          <w:sz w:val="20"/>
          <w:szCs w:val="20"/>
          <w:color w:val="auto"/>
        </w:rPr>
      </w:pPr>
      <w:r>
        <w:rPr>
          <w:rFonts w:ascii="Arial" w:cs="Arial" w:eastAsia="Arial" w:hAnsi="Arial"/>
          <w:sz w:val="17"/>
          <w:szCs w:val="17"/>
          <w:color w:val="auto"/>
        </w:rPr>
        <w:t>From time to time during the Option Term, or upon Avro’s written request during the Option Term, UHN shall (A) promptly inform Avro of the preparation or filing of any Improved Therapies Patents, (B) provide to Avro a summary of all Improvements created, conceived, developed or reduced to practice prior to the Effective Date or during the Option Term that are incorporated into said Improved Therapies Patents and (C) afford Avro a reasonable opportunity during business hours to speak with UHN personnel (including the Principal Investigator) regarding the Improved Therapies Patents and Improved Therapies Know-How in order to permit Avro to determine whether to exercise the Improved Therapies Option. Within [***] of receipt of information from UHN informing Avro of said Improved Therapies Patent(s), Avro may (in its sole discretion) provide Notice to UHN of its intention to exercise any or all of Improved Therapies Option regarding said Improved Therapies Patent(s). On UHN’s receipt of such Notice, the Parties shall negotiate in good faith to enter into a license agreement on terms and conditions to be agreed to by the Parties, including financial terms at least as favourable to UHN as those of this Agreement (which includes, without limitation, the reimbursement of UHN patent costs and expenses). For clarity, Avro will have the right to exercise the Improved Therapies Option within [***] of such disclosure to Avro when any Improved Therapies are disclosed by UHN to Avro in accordance with the terms herein.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00"/>
          </w:cols>
          <w:pgMar w:left="1160" w:top="257" w:right="239" w:bottom="1440" w:gutter="0" w:footer="0" w:header="0"/>
        </w:sectPr>
      </w:pPr>
    </w:p>
    <w:bookmarkStart w:id="375" w:name="page376"/>
    <w:bookmarkEnd w:id="375"/>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w:t>
      </w:r>
      <w:r>
        <w:rPr>
          <w:sz w:val="20"/>
          <w:szCs w:val="20"/>
          <w:color w:val="auto"/>
        </w:rPr>
        <w:tab/>
      </w:r>
      <w:r>
        <w:rPr>
          <w:rFonts w:ascii="Arial" w:cs="Arial" w:eastAsia="Arial" w:hAnsi="Arial"/>
          <w:sz w:val="16"/>
          <w:szCs w:val="16"/>
          <w:b w:val="1"/>
          <w:bCs w:val="1"/>
          <w:u w:val="single" w:color="auto"/>
          <w:color w:val="auto"/>
        </w:rPr>
        <w:t>Residual Rights</w:t>
      </w:r>
      <w:r>
        <w:rPr>
          <w:rFonts w:ascii="Arial" w:cs="Arial" w:eastAsia="Arial" w:hAnsi="Arial"/>
          <w:sz w:val="16"/>
          <w:szCs w:val="16"/>
          <w:color w:val="auto"/>
        </w:rPr>
        <w:t>. In the event that:</w:t>
      </w:r>
    </w:p>
    <w:p>
      <w:pPr>
        <w:spacing w:after="0" w:line="121" w:lineRule="exact"/>
        <w:rPr>
          <w:sz w:val="20"/>
          <w:szCs w:val="20"/>
          <w:color w:val="auto"/>
        </w:rPr>
      </w:pPr>
    </w:p>
    <w:p>
      <w:pPr>
        <w:ind w:left="1940" w:right="300" w:firstLine="8"/>
        <w:spacing w:after="0" w:line="277" w:lineRule="auto"/>
        <w:tabs>
          <w:tab w:leader="none" w:pos="218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UHN does not receive the aforementioned Notice from Avro in respect of the Improved Therapies Option during the Option Term, or</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Parties do not execute a license with respect to the Improved Therapies Option, or</w:t>
      </w:r>
    </w:p>
    <w:p>
      <w:pPr>
        <w:spacing w:after="0" w:line="117" w:lineRule="exact"/>
        <w:rPr>
          <w:rFonts w:ascii="Arial" w:cs="Arial" w:eastAsia="Arial" w:hAnsi="Arial"/>
          <w:sz w:val="18"/>
          <w:szCs w:val="18"/>
          <w:color w:val="auto"/>
        </w:rPr>
      </w:pPr>
    </w:p>
    <w:p>
      <w:pPr>
        <w:ind w:left="1940" w:firstLine="8"/>
        <w:spacing w:after="0" w:line="277" w:lineRule="auto"/>
        <w:tabs>
          <w:tab w:leader="none" w:pos="218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Parties do enter into a license with respect to the Improved Therapies Option, but such license is terminated and the rights to exploit the Improved Therapies Patents is subsequently returned to UHN,</w:t>
      </w:r>
    </w:p>
    <w:p>
      <w:pPr>
        <w:spacing w:after="0" w:line="62"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UHN will then have the right to license the Improved Therapies Patents for the purpose of research, development and commercialization of any products or services thereunder in the Field of Use in its sole discretion and without any further notice or accounting to Avro.</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800" w:type="dxa"/>
            <w:vAlign w:val="bottom"/>
          </w:tcPr>
          <w:p>
            <w:pPr>
              <w:ind w:left="3820"/>
              <w:spacing w:after="0"/>
              <w:rPr>
                <w:sz w:val="20"/>
                <w:szCs w:val="20"/>
                <w:color w:val="auto"/>
              </w:rPr>
            </w:pPr>
            <w:r>
              <w:rPr>
                <w:rFonts w:ascii="Arial" w:cs="Arial" w:eastAsia="Arial" w:hAnsi="Arial"/>
                <w:sz w:val="18"/>
                <w:szCs w:val="18"/>
                <w:b w:val="1"/>
                <w:bCs w:val="1"/>
                <w:color w:val="auto"/>
              </w:rPr>
              <w:t>ARTICLE 4 - CONSIDERATION</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4.1</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Payments of funds to UHN shall be made to “University Health Network” and sent to the following address:</w:t>
            </w:r>
          </w:p>
        </w:tc>
      </w:tr>
      <w:tr>
        <w:trPr>
          <w:trHeight w:val="310"/>
        </w:trPr>
        <w:tc>
          <w:tcPr>
            <w:tcW w:w="580" w:type="dxa"/>
            <w:vAlign w:val="bottom"/>
          </w:tcPr>
          <w:p>
            <w:pPr>
              <w:spacing w:after="0"/>
              <w:rPr>
                <w:sz w:val="24"/>
                <w:szCs w:val="24"/>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University Health Network</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Technology Development &amp; Commercialization</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College Street - Suite 150</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Heritage Building - MaRS Centre</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Toronto, Ontario, Canada, M5G 1L7</w:t>
            </w:r>
          </w:p>
        </w:tc>
      </w:tr>
      <w:tr>
        <w:trPr>
          <w:trHeight w:val="230"/>
        </w:trPr>
        <w:tc>
          <w:tcPr>
            <w:tcW w:w="580" w:type="dxa"/>
            <w:vAlign w:val="bottom"/>
          </w:tcPr>
          <w:p>
            <w:pPr>
              <w:spacing w:after="0"/>
              <w:rPr>
                <w:sz w:val="20"/>
                <w:szCs w:val="20"/>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Attention: tdc@uhnresearch.ca</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License Maintenance/Upfront Fee</w:t>
            </w:r>
            <w:r>
              <w:rPr>
                <w:rFonts w:ascii="Arial" w:cs="Arial" w:eastAsia="Arial" w:hAnsi="Arial"/>
                <w:sz w:val="18"/>
                <w:szCs w:val="18"/>
                <w:color w:val="auto"/>
                <w:w w:val="93"/>
              </w:rPr>
              <w:t>. Upon execution of this Agreement, and on each anniversary of the Effective Date during the Term, Avro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shall pay UHN (a) a non-refundable and non-creditable (towards any other consideration owing pursuant to this Agreement with the exception of</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Section 4.6) license fee payment of [***] until the first sale of a Licensed Product in [***], and (b) a non-refundable, non-creditable, one-time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upfront fee of seventy five thousand Canadian dollars (C$75,000) upon the execution of this Agreement. UHN will maintain [***] of these funds</w:t>
            </w:r>
          </w:p>
        </w:tc>
      </w:tr>
      <w:tr>
        <w:trPr>
          <w:trHeight w:val="212"/>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in a separate UHN account, to be maintained in support of UHN’s obligations pursuant to the accompanying letter agreement to be executed</w:t>
            </w:r>
          </w:p>
        </w:tc>
      </w:tr>
      <w:tr>
        <w:trPr>
          <w:trHeight w:val="234"/>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concurrently with this Agreement (the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2"/>
              </w:rPr>
              <w:t>Reimbursement of Past Patent Costs</w:t>
            </w:r>
            <w:r>
              <w:rPr>
                <w:rFonts w:ascii="Arial" w:cs="Arial" w:eastAsia="Arial" w:hAnsi="Arial"/>
                <w:sz w:val="18"/>
                <w:szCs w:val="18"/>
                <w:color w:val="auto"/>
                <w:w w:val="92"/>
              </w:rPr>
              <w:t>. Avro shall reimburse UHN for all previously unreimbursed patent expenses incurred prior to and up to</w:t>
            </w:r>
          </w:p>
        </w:tc>
      </w:tr>
      <w:tr>
        <w:trPr>
          <w:trHeight w:val="220"/>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the Effective Date in respect of the filing, maintenance and prosecution of the Fabry Patents (the “</w:t>
            </w:r>
            <w:r>
              <w:rPr>
                <w:rFonts w:ascii="Arial" w:cs="Arial" w:eastAsia="Arial" w:hAnsi="Arial"/>
                <w:sz w:val="18"/>
                <w:szCs w:val="18"/>
                <w:b w:val="1"/>
                <w:bCs w:val="1"/>
                <w:color w:val="auto"/>
                <w:w w:val="91"/>
              </w:rPr>
              <w:t>Patent Expenses</w:t>
            </w:r>
            <w:r>
              <w:rPr>
                <w:rFonts w:ascii="Arial" w:cs="Arial" w:eastAsia="Arial" w:hAnsi="Arial"/>
                <w:sz w:val="18"/>
                <w:szCs w:val="18"/>
                <w:color w:val="auto"/>
                <w:w w:val="91"/>
              </w:rPr>
              <w:t>”). For information purposes</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only, such costs are estimated to be [***]. All past patent costs are due and payable upon execution of this Agreement.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4"/>
              </w:rPr>
              <w:t>Reimbursement of Addition Costs and Expenses</w:t>
            </w:r>
            <w:r>
              <w:rPr>
                <w:rFonts w:ascii="Arial" w:cs="Arial" w:eastAsia="Arial" w:hAnsi="Arial"/>
                <w:sz w:val="18"/>
                <w:szCs w:val="18"/>
                <w:color w:val="auto"/>
                <w:w w:val="94"/>
              </w:rPr>
              <w:t>. For any third party out-of-pocket costs and expenses that are pre-approved by Avro in</w:t>
            </w:r>
          </w:p>
        </w:tc>
      </w:tr>
    </w:tbl>
    <w:p>
      <w:pPr>
        <w:jc w:val="both"/>
        <w:ind w:left="920" w:right="240"/>
        <w:spacing w:after="0" w:line="255" w:lineRule="auto"/>
        <w:rPr>
          <w:sz w:val="20"/>
          <w:szCs w:val="20"/>
          <w:color w:val="auto"/>
        </w:rPr>
      </w:pPr>
      <w:r>
        <w:rPr>
          <w:rFonts w:ascii="Arial" w:cs="Arial" w:eastAsia="Arial" w:hAnsi="Arial"/>
          <w:sz w:val="18"/>
          <w:szCs w:val="18"/>
          <w:color w:val="auto"/>
        </w:rPr>
        <w:t>writing in accordance with Section 2.4.10, within [***] after [***], the incurring party will invoice Avro for any amounts owed by Avro under Section 2.4 that are not otherwise accounted for in this Section 4. Avro will pay any undisputed amounts within [***] of receipt of the invoice, and any disputed amounts owed by a Party will be paid within [***] of resolution of the dispute.</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4.5</w:t>
            </w: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4.5.1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 During the Royalty Term, Avro shall, on a country-by-country and Licensed Product-by-Licensed Product basis, pay to</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 xml:space="preserve">UHN a running royalty in the amount of (a) (i) </w:t>
            </w:r>
            <w:r>
              <w:rPr>
                <w:rFonts w:ascii="Arial" w:cs="Arial" w:eastAsia="Arial" w:hAnsi="Arial"/>
                <w:sz w:val="18"/>
                <w:szCs w:val="18"/>
                <w:b w:val="1"/>
                <w:bCs w:val="1"/>
                <w:color w:val="auto"/>
                <w:w w:val="93"/>
              </w:rPr>
              <w:t>[***] percent ([***]%)</w:t>
            </w:r>
            <w:r>
              <w:rPr>
                <w:rFonts w:ascii="Arial" w:cs="Arial" w:eastAsia="Arial" w:hAnsi="Arial"/>
                <w:sz w:val="18"/>
                <w:szCs w:val="18"/>
                <w:color w:val="auto"/>
                <w:w w:val="93"/>
              </w:rPr>
              <w:t xml:space="preserve"> of Net Revenues for annual sales of such Licensed Product</w:t>
            </w:r>
          </w:p>
        </w:tc>
      </w:tr>
      <w:tr>
        <w:trPr>
          <w:trHeight w:val="234"/>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6"/>
              </w:rPr>
              <w:t xml:space="preserve">up to [***], (ii) </w:t>
            </w:r>
            <w:r>
              <w:rPr>
                <w:rFonts w:ascii="Arial" w:cs="Arial" w:eastAsia="Arial" w:hAnsi="Arial"/>
                <w:sz w:val="18"/>
                <w:szCs w:val="18"/>
                <w:b w:val="1"/>
                <w:bCs w:val="1"/>
                <w:color w:val="auto"/>
                <w:w w:val="96"/>
              </w:rPr>
              <w:t>[***] percent ([***]%)</w:t>
            </w:r>
            <w:r>
              <w:rPr>
                <w:rFonts w:ascii="Arial" w:cs="Arial" w:eastAsia="Arial" w:hAnsi="Arial"/>
                <w:sz w:val="18"/>
                <w:szCs w:val="18"/>
                <w:color w:val="auto"/>
                <w:w w:val="96"/>
              </w:rPr>
              <w:t xml:space="preserve"> of Net Revenues for annual sales of such Licensed Product between [***] up to [***], (iii)</w:t>
            </w:r>
          </w:p>
        </w:tc>
      </w:tr>
    </w:tbl>
    <w:p>
      <w:pPr>
        <w:ind w:left="1940" w:right="440" w:hanging="1"/>
        <w:spacing w:after="0" w:line="281" w:lineRule="auto"/>
        <w:tabs>
          <w:tab w:leader="none" w:pos="2375"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percent ([***]%) </w:t>
      </w:r>
      <w:r>
        <w:rPr>
          <w:rFonts w:ascii="Arial" w:cs="Arial" w:eastAsia="Arial" w:hAnsi="Arial"/>
          <w:sz w:val="16"/>
          <w:szCs w:val="16"/>
          <w:color w:val="auto"/>
        </w:rPr>
        <w:t>of Net Revenues for annual sales of such Licensed Product between [***] up to [***], and (iv)</w:t>
      </w:r>
      <w:r>
        <w:rPr>
          <w:rFonts w:ascii="Arial" w:cs="Arial" w:eastAsia="Arial" w:hAnsi="Arial"/>
          <w:sz w:val="16"/>
          <w:szCs w:val="16"/>
          <w:b w:val="1"/>
          <w:bCs w:val="1"/>
          <w:color w:val="auto"/>
        </w:rPr>
        <w:t xml:space="preserve"> [***] percent ([***]%) </w:t>
      </w:r>
      <w:r>
        <w:rPr>
          <w:rFonts w:ascii="Arial" w:cs="Arial" w:eastAsia="Arial" w:hAnsi="Arial"/>
          <w:sz w:val="16"/>
          <w:szCs w:val="16"/>
          <w:color w:val="auto"/>
        </w:rPr>
        <w:t>of Net Revenues for annual sales of such Licensed Product in excess of [***], during the period in which</w:t>
      </w:r>
    </w:p>
    <w:p>
      <w:pPr>
        <w:spacing w:after="0" w:line="1" w:lineRule="exact"/>
        <w:rPr>
          <w:rFonts w:ascii="Arial" w:cs="Arial" w:eastAsia="Arial" w:hAnsi="Arial"/>
          <w:sz w:val="16"/>
          <w:szCs w:val="16"/>
          <w:b w:val="1"/>
          <w:bCs w:val="1"/>
          <w:color w:val="auto"/>
        </w:rPr>
      </w:pPr>
    </w:p>
    <w:p>
      <w:pPr>
        <w:ind w:left="1940" w:right="3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(A) such sale would but for the licenses granted herein infringe any Valid Claims contained in the Licensed Technology in such country, or (B) [***].</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4.5.2</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 During the Royalty Term, Avro shall, on a country-by-country basis and Licensed Product-by-Licensed Product basis, in</w:t>
            </w: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4"/>
              </w:rPr>
              <w:t xml:space="preserve">respect of countries in which [***], pay UHN a running royalty in the amount of </w:t>
            </w:r>
            <w:r>
              <w:rPr>
                <w:rFonts w:ascii="Arial" w:cs="Arial" w:eastAsia="Arial" w:hAnsi="Arial"/>
                <w:sz w:val="18"/>
                <w:szCs w:val="18"/>
                <w:b w:val="1"/>
                <w:bCs w:val="1"/>
                <w:color w:val="auto"/>
                <w:w w:val="94"/>
              </w:rPr>
              <w:t>[***] percent ([***]%)</w:t>
            </w:r>
            <w:r>
              <w:rPr>
                <w:rFonts w:ascii="Arial" w:cs="Arial" w:eastAsia="Arial" w:hAnsi="Arial"/>
                <w:sz w:val="18"/>
                <w:szCs w:val="18"/>
                <w:color w:val="auto"/>
                <w:w w:val="94"/>
              </w:rPr>
              <w:t xml:space="preserve"> of Net Revenues for such</w:t>
            </w:r>
          </w:p>
        </w:tc>
      </w:tr>
      <w:tr>
        <w:trPr>
          <w:trHeight w:val="230"/>
        </w:trPr>
        <w:tc>
          <w:tcPr>
            <w:tcW w:w="10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Licensed Product sold in [***].</w:t>
            </w:r>
          </w:p>
        </w:tc>
      </w:tr>
    </w:tbl>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paid pursuant to this Section 4.5 shall be referred to as “</w:t>
      </w: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Upon expiration of the Royalty Term with respect to a Licensed Product in a country, the license grant shall become fully paid-up, royalty-free, perpetual and irrevocable for such Licensed Product in such country.</w:t>
      </w:r>
    </w:p>
    <w:p>
      <w:pPr>
        <w:spacing w:after="0" w:line="62"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To the extent that Avro or any of its Affiliates or Sublicenses obtains licenses to third party patent rights or other intellectual property in order to practice the Patent Rights in Licensed Technology or to research, develop, manufacture or commercialize any Licensed Products and the aggregate royalty burden payable on a Licensed Product is greater than [***] percent ([***]%) (i.e., [***] percent ([***]%) of the total Net Revenues of Licensed Product payable to UHN and any other Third Party), Avro and its Affiliates or Sublicensees may deduct from any royalty due to UHN hereunder [***] percent ([***]%) of the then applicable aggregate royalty burden over said [***] percent ([***]%) (the “</w:t>
      </w:r>
      <w:r>
        <w:rPr>
          <w:rFonts w:ascii="Arial" w:cs="Arial" w:eastAsia="Arial" w:hAnsi="Arial"/>
          <w:sz w:val="17"/>
          <w:szCs w:val="17"/>
          <w:b w:val="1"/>
          <w:bCs w:val="1"/>
          <w:color w:val="auto"/>
        </w:rPr>
        <w:t>Deductible</w:t>
      </w:r>
      <w:r>
        <w:rPr>
          <w:rFonts w:ascii="Arial" w:cs="Arial" w:eastAsia="Arial" w:hAnsi="Arial"/>
          <w:sz w:val="17"/>
          <w:szCs w:val="17"/>
          <w:color w:val="auto"/>
        </w:rPr>
        <w:t xml:space="preserve"> </w:t>
      </w:r>
      <w:r>
        <w:rPr>
          <w:rFonts w:ascii="Arial" w:cs="Arial" w:eastAsia="Arial" w:hAnsi="Arial"/>
          <w:sz w:val="17"/>
          <w:szCs w:val="17"/>
          <w:b w:val="1"/>
          <w:bCs w:val="1"/>
          <w:color w:val="auto"/>
        </w:rPr>
        <w:t>Third Party Royalties</w:t>
      </w:r>
      <w:r>
        <w:rPr>
          <w:rFonts w:ascii="Arial" w:cs="Arial" w:eastAsia="Arial" w:hAnsi="Arial"/>
          <w:sz w:val="17"/>
          <w:szCs w:val="17"/>
          <w:color w:val="auto"/>
        </w:rPr>
        <w:t>”) up to maximum reduction of [***] percent ([***]%) of the running Royalties owed UHN in any Quarterly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(the “</w:t>
      </w:r>
      <w:r>
        <w:rPr>
          <w:rFonts w:ascii="Arial" w:cs="Arial" w:eastAsia="Arial" w:hAnsi="Arial"/>
          <w:sz w:val="17"/>
          <w:szCs w:val="17"/>
          <w:b w:val="1"/>
          <w:bCs w:val="1"/>
          <w:color w:val="auto"/>
        </w:rPr>
        <w:t>Maximum Royalty Reduction</w:t>
      </w:r>
      <w:r>
        <w:rPr>
          <w:rFonts w:ascii="Arial" w:cs="Arial" w:eastAsia="Arial" w:hAnsi="Arial"/>
          <w:sz w:val="17"/>
          <w:szCs w:val="17"/>
          <w:color w:val="auto"/>
        </w:rPr>
        <w:t>”), with any Deductible Third Party Royalties that exceed the Maximum Royalty Reduction in any Quarterly Period carried over into immediately succeeding Quarterly Period(s) until exhausted, however in no event shall the UHN Royalties owed in any such succeeding Quarterly Period(s) be reduced by greater than the Maximum Royalty Reduction.</w:t>
      </w:r>
    </w:p>
    <w:p>
      <w:pPr>
        <w:spacing w:after="0" w:line="74"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the manufacture, use or sale of any Licensed Product or is covered by more than one of patent rights within the Licensed Technology, multiple royalties shall not be due.</w:t>
      </w:r>
    </w:p>
    <w:p>
      <w:pPr>
        <w:spacing w:after="0" w:line="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Sublicensing Fee</w:t>
      </w:r>
      <w:r>
        <w:rPr>
          <w:rFonts w:ascii="Arial" w:cs="Arial" w:eastAsia="Arial" w:hAnsi="Arial"/>
          <w:sz w:val="15"/>
          <w:szCs w:val="15"/>
          <w:color w:val="auto"/>
        </w:rPr>
        <w:t>.</w:t>
      </w:r>
    </w:p>
    <w:p>
      <w:pPr>
        <w:spacing w:after="0" w:line="117"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color w:val="auto"/>
        </w:rPr>
        <w:t xml:space="preserve">In further partial consideration of the License, Avro shall pay to UHN </w:t>
      </w:r>
      <w:r>
        <w:rPr>
          <w:rFonts w:ascii="Arial" w:cs="Arial" w:eastAsia="Arial" w:hAnsi="Arial"/>
          <w:sz w:val="18"/>
          <w:szCs w:val="18"/>
          <w:b w:val="1"/>
          <w:bCs w:val="1"/>
          <w:color w:val="auto"/>
        </w:rPr>
        <w:t>[***] percent ([***]%)</w:t>
      </w:r>
      <w:r>
        <w:rPr>
          <w:rFonts w:ascii="Arial" w:cs="Arial" w:eastAsia="Arial" w:hAnsi="Arial"/>
          <w:sz w:val="18"/>
          <w:szCs w:val="18"/>
          <w:color w:val="auto"/>
        </w:rPr>
        <w:t xml:space="preserve"> of all Sublicensing Revenue (the “</w:t>
      </w:r>
      <w:r>
        <w:rPr>
          <w:rFonts w:ascii="Arial" w:cs="Arial" w:eastAsia="Arial" w:hAnsi="Arial"/>
          <w:sz w:val="18"/>
          <w:szCs w:val="18"/>
          <w:b w:val="1"/>
          <w:bCs w:val="1"/>
          <w:color w:val="auto"/>
        </w:rPr>
        <w:t>Sublicensing</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Any amounts paid to UHN further to Section 4.2 (License Maintenance/Upfront Fee) and Article 5 (Milestones) shall be creditable by</w:t>
      </w:r>
      <w:r>
        <w:rPr>
          <w:rFonts w:ascii="Arial" w:cs="Arial" w:eastAsia="Arial" w:hAnsi="Arial"/>
          <w:sz w:val="18"/>
          <w:szCs w:val="18"/>
          <w:b w:val="1"/>
          <w:bCs w:val="1"/>
          <w:color w:val="auto"/>
        </w:rPr>
        <w:t xml:space="preserve"> </w:t>
      </w:r>
      <w:r>
        <w:rPr>
          <w:rFonts w:ascii="Arial" w:cs="Arial" w:eastAsia="Arial" w:hAnsi="Arial"/>
          <w:sz w:val="18"/>
          <w:szCs w:val="18"/>
          <w:color w:val="auto"/>
        </w:rPr>
        <w:t>Avro against amounts due to UHN further to this Section 4.6; however, the payments further to Section 4.2 and Article 5 shall not act as a cap on the payments owed further to this Section 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To the extent that patent rights, other intellectual property rights or other rights or obligations other than Licensed Technology are licensed,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sublicensed or granted by Avro in addition to the Licensed Technology for which the Sublicensing Revenue is attributable, that portion of the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1"/>
              </w:rPr>
              <w:t>consideration received by Avro and subject to this Section 4.6 shall be equitably apportioned between the Licensed Technology and those other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rights and obligations, and such apportionment shall be reasonable and in accordance with customary standards in the industry. Avro shall</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promptly deliver to UHN a written report setting forth such apportionment. In the event UHN disagrees with the determination made by Avro,</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UHN shall so notify Avro within [***] of receipt of Avro’s report and the Parties shall meet to discuss and resolve such disagreement in good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9"/>
              </w:rPr>
              <w:t>faith. If the Parties are unable to agree in good faith as to such fair market values within [***] then (a) the matter shall be submitted in</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accordance with the dispute resolution process set forth in Article 14, and (b) UHN shall not be entitled to terminate this Agreement until a final</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determination has been made pursuant to Section 14.3.</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4.7</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Royalty Payments</w:t>
            </w:r>
            <w:r>
              <w:rPr>
                <w:rFonts w:ascii="Arial" w:cs="Arial" w:eastAsia="Arial" w:hAnsi="Arial"/>
                <w:sz w:val="18"/>
                <w:szCs w:val="18"/>
                <w:color w:val="auto"/>
                <w:w w:val="90"/>
              </w:rPr>
              <w:t>. The Royalties described in Section 4.5 shall accrue as of the date of receipt of Gross Revenue (either by Avro, its Affiliate or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Sublicensee, as appropriate) and the Sublicensing Fee described in Section 4.6 shall accrue as of the date of receipt of Sublicensing Revenues by</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Avro, and all amounts owing pursuant to Sections 4.5 and 4.6 shall be paid by Avro within [***] after the end of each Quarterly Period in which</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said revenue/fee accrues.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4.8</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Interest</w:t>
            </w:r>
            <w:r>
              <w:rPr>
                <w:rFonts w:ascii="Arial" w:cs="Arial" w:eastAsia="Arial" w:hAnsi="Arial"/>
                <w:sz w:val="18"/>
                <w:szCs w:val="18"/>
                <w:color w:val="auto"/>
                <w:w w:val="90"/>
              </w:rPr>
              <w:t>. All undisputed monies payable to UHN and not paid when due bear interest at the prime rate of interest quoted by the Bank of Canada,</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plus [***] percent ([***]%) per annum until the date paid to UHN. UHN will be entitled to that interest in addition to any other rights or</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remedies available to it in respect of any payment default.</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4.9</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4"/>
              </w:rPr>
              <w:t>Withholdings</w:t>
            </w:r>
            <w:r>
              <w:rPr>
                <w:rFonts w:ascii="Arial" w:cs="Arial" w:eastAsia="Arial" w:hAnsi="Arial"/>
                <w:sz w:val="18"/>
                <w:szCs w:val="18"/>
                <w:color w:val="auto"/>
                <w:w w:val="94"/>
              </w:rPr>
              <w:t>. In the event that Avro is required by any law to withhold and/or make payments to tax authorities in respect of any payments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payable by Avro to UHN under this Agreement, the liability of Avro under this Agreement shall be to that extent satisfied, and such amounts</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shall be deemed to have been paid to UHN on their due dates, provided that Avro shall provide UHN with acceptable evidence of such payments.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After the First Commercial Sale of a Licensed Product, Avro shall prepare a report (the “</w:t>
            </w: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at the end of each</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Quarterly Period, setting out the Gross Revenue, the Net Revenue (including an itemized statement of any permitted discounts, refunds and taxes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deducted), the Sublicensing Revenue, and the number of Licensed Products sold, along with calculations of any Royalties and Sublicensing Fee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that are payable to UHN. Royalty Reports shall be due within [***] of the end of the relevant Quarterly Period. If no payments are due for any</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Quarterly Period, then the Royalty Report shall so state.</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6"/>
              </w:rPr>
              <w:t>Complete Records</w:t>
            </w:r>
            <w:r>
              <w:rPr>
                <w:rFonts w:ascii="Arial" w:cs="Arial" w:eastAsia="Arial" w:hAnsi="Arial"/>
                <w:sz w:val="18"/>
                <w:szCs w:val="18"/>
                <w:color w:val="auto"/>
                <w:w w:val="96"/>
              </w:rPr>
              <w:t>. Avro shall keep true and accurate records and books of account (in accordance with generally accepted accounting</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principles) containing all data reasonably required for the computing and verification of Gross Revenues, Net Revenues, Sublicensing Revenues</w:t>
            </w:r>
          </w:p>
        </w:tc>
      </w:tr>
    </w:tbl>
    <w:p>
      <w:pPr>
        <w:ind w:left="92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Royalties and Sublicensing Fee. Avro shall contractually require all Avro Affiliates and Sublicensees to keep same and provide a copy of same to Avro for purposes of inspection pursuant to Section 4.12. Such records shall be maintained and accessible to UHN for at least [***] from the date of the payment to which such records are relevant.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Inspection of Records</w:t>
            </w:r>
            <w:r>
              <w:rPr>
                <w:rFonts w:ascii="Arial" w:cs="Arial" w:eastAsia="Arial" w:hAnsi="Arial"/>
                <w:sz w:val="18"/>
                <w:szCs w:val="18"/>
                <w:color w:val="auto"/>
                <w:w w:val="91"/>
              </w:rPr>
              <w:t>. The records specified in this Agreement shall be available for inspection by UHN or their duly appointed auditor, but not</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more than once per Calendar Year, upon reasonable written notice and during normal business hours at the principal place of business of Avro,</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for the sole purpose of verifying payments owed under this Agreement. The costs of any such inspection shall be borne by UHN unless the report</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of an auditor shows that the Royalty Report was understated by more than [***] percent ([***]%) in respect of the period under review, in which</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case UHN’s reasonable out of pocket costs of the examination shall be paid by Avro. Avro may require such auditor to enter into a commercially</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reasonable confidentiality agreement with Avro prior to being provided with any such records.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2"/>
              </w:rPr>
              <w:t>Discrepancy in Records</w:t>
            </w:r>
            <w:r>
              <w:rPr>
                <w:rFonts w:ascii="Arial" w:cs="Arial" w:eastAsia="Arial" w:hAnsi="Arial"/>
                <w:sz w:val="18"/>
                <w:szCs w:val="18"/>
                <w:color w:val="auto"/>
                <w:w w:val="92"/>
              </w:rPr>
              <w:t>. In the event that the records inspection conducted under Section 4.12 reveals any underpayment of royalties due to</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UHN, Avro will promptly pay UHN the full amount of that underpayment together with interest thereon at the rate of interest referred to in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Section 4.8. In the event that the records inspection conducted under Section 4.12 reveals any overpayment of royalties by Avro, the overpaid</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amount will be credited against future amounts payable to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4.14</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Confidentiality</w:t>
            </w:r>
            <w:r>
              <w:rPr>
                <w:rFonts w:ascii="Arial" w:cs="Arial" w:eastAsia="Arial" w:hAnsi="Arial"/>
                <w:sz w:val="18"/>
                <w:szCs w:val="18"/>
                <w:color w:val="auto"/>
                <w:w w:val="91"/>
              </w:rPr>
              <w:t>. The reports and records provided by Avro and its Affiliates and Sublicensees hereunder further to Sections 4.10, 4.11 and 4.12</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shall be regarded as Avro’s (or its Affiliates’ or Sublicensees’, as applicable) Confidential Information and UHN hereby covenants that it shall</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not use or disclose any information included in such reports for any purpose other than determining whether Avro, its Affiliates and Sublicensees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have complied with their obligations under this Agreement. UHN further agrees that, until such time as such information is no longer confidential</w:t>
            </w:r>
          </w:p>
        </w:tc>
      </w:tr>
    </w:tbl>
    <w:p>
      <w:pPr>
        <w:ind w:left="920" w:right="6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no fault of UHN,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 In addition, any summary of the audit report and analysis, and the Royalty Payments amounts received by UHN (both in total, and particularized on a country-by-country basis) shall be considered Confidential Information of Avro for purposes of this Section 4.14.</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Philanthropic Commitment</w:t>
      </w:r>
      <w:r>
        <w:rPr>
          <w:rFonts w:ascii="Arial" w:cs="Arial" w:eastAsia="Arial" w:hAnsi="Arial"/>
          <w:sz w:val="16"/>
          <w:szCs w:val="16"/>
          <w:color w:val="auto"/>
        </w:rPr>
        <w:t>. Avro will donate funds equivalent to</w:t>
      </w:r>
      <w:r>
        <w:rPr>
          <w:rFonts w:ascii="Arial" w:cs="Arial" w:eastAsia="Arial" w:hAnsi="Arial"/>
          <w:sz w:val="16"/>
          <w:szCs w:val="16"/>
          <w:b w:val="1"/>
          <w:bCs w:val="1"/>
          <w:color w:val="auto"/>
        </w:rPr>
        <w:t xml:space="preserve"> [***] ([***]%) </w:t>
      </w:r>
      <w:r>
        <w:rPr>
          <w:rFonts w:ascii="Arial" w:cs="Arial" w:eastAsia="Arial" w:hAnsi="Arial"/>
          <w:sz w:val="16"/>
          <w:szCs w:val="16"/>
          <w:color w:val="auto"/>
        </w:rPr>
        <w:t>of the (a) Royalties payable to UHN under Section 4.5 and</w:t>
      </w:r>
    </w:p>
    <w:p>
      <w:pPr>
        <w:spacing w:after="0" w:line="27" w:lineRule="exact"/>
        <w:rPr>
          <w:sz w:val="20"/>
          <w:szCs w:val="20"/>
          <w:color w:val="auto"/>
        </w:rPr>
      </w:pPr>
    </w:p>
    <w:p>
      <w:pPr>
        <w:ind w:left="1160" w:hanging="247"/>
        <w:spacing w:after="0"/>
        <w:tabs>
          <w:tab w:leader="none" w:pos="11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regulatory milestone payments payable to UHN under Section 5.8 to organizations for the benefit of the Canadian Fabry community;</w:t>
      </w:r>
    </w:p>
    <w:p>
      <w:pPr>
        <w:spacing w:after="0" w:line="20" w:lineRule="exact"/>
        <w:rPr>
          <w:rFonts w:ascii="Arial" w:cs="Arial" w:eastAsia="Arial" w:hAnsi="Arial"/>
          <w:sz w:val="17"/>
          <w:szCs w:val="17"/>
          <w:color w:val="auto"/>
        </w:rPr>
      </w:pPr>
    </w:p>
    <w:p>
      <w:pPr>
        <w:jc w:val="both"/>
        <w:ind w:left="920" w:right="420"/>
        <w:spacing w:after="0" w:line="255" w:lineRule="auto"/>
        <w:rPr>
          <w:rFonts w:ascii="Arial" w:cs="Arial" w:eastAsia="Arial" w:hAnsi="Arial"/>
          <w:sz w:val="17"/>
          <w:szCs w:val="17"/>
          <w:color w:val="auto"/>
        </w:rPr>
      </w:pPr>
      <w:r>
        <w:rPr>
          <w:rFonts w:ascii="Arial" w:cs="Arial" w:eastAsia="Arial" w:hAnsi="Arial"/>
          <w:sz w:val="18"/>
          <w:szCs w:val="18"/>
          <w:color w:val="auto"/>
        </w:rPr>
        <w:t>provided, that, in no event shall such donated amounts exceed [***] in any calendar year. UHN shall direct how such funds will be donated, subject to its consultation with Avro. Upon request by UHN, Avro shall provide all documentation and engage in such actions as reasonably requested by UHN to document and/or memorialize and/or verify any such donation.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20" w:type="dxa"/>
            <w:vAlign w:val="bottom"/>
          </w:tcPr>
          <w:p>
            <w:pPr>
              <w:ind w:left="2980"/>
              <w:spacing w:after="0"/>
              <w:rPr>
                <w:sz w:val="20"/>
                <w:szCs w:val="20"/>
                <w:color w:val="auto"/>
              </w:rPr>
            </w:pPr>
            <w:r>
              <w:rPr>
                <w:rFonts w:ascii="Arial" w:cs="Arial" w:eastAsia="Arial" w:hAnsi="Arial"/>
                <w:sz w:val="18"/>
                <w:szCs w:val="18"/>
                <w:b w:val="1"/>
                <w:bCs w:val="1"/>
                <w:color w:val="auto"/>
              </w:rPr>
              <w:t>ARTICLE 5 - MILESTONES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5.1</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Performance Milestones to Maintain License</w:t>
            </w:r>
            <w:r>
              <w:rPr>
                <w:rFonts w:ascii="Arial" w:cs="Arial" w:eastAsia="Arial" w:hAnsi="Arial"/>
                <w:sz w:val="18"/>
                <w:szCs w:val="18"/>
                <w:color w:val="auto"/>
                <w:w w:val="91"/>
              </w:rPr>
              <w:t>. Avro, itself or through its Affiliates or Sublicensees, shall be responsible for achieving the</w:t>
            </w:r>
          </w:p>
        </w:tc>
      </w:tr>
      <w:tr>
        <w:trPr>
          <w:trHeight w:val="230"/>
        </w:trPr>
        <w:tc>
          <w:tcPr>
            <w:tcW w:w="5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following performance milestones in the time periods as noted, for purposes of maintaining the License:</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5.1.1</w:t>
            </w:r>
          </w:p>
        </w:tc>
        <w:tc>
          <w:tcPr>
            <w:tcW w:w="9320" w:type="dxa"/>
            <w:vAlign w:val="bottom"/>
          </w:tcPr>
          <w:p>
            <w:pPr>
              <w:ind w:left="34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5.1.2</w:t>
            </w:r>
          </w:p>
        </w:tc>
        <w:tc>
          <w:tcPr>
            <w:tcW w:w="9320" w:type="dxa"/>
            <w:vAlign w:val="bottom"/>
          </w:tcPr>
          <w:p>
            <w:pPr>
              <w:ind w:left="3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The Parties acknowledge and agree that the Phase 1 Clinical Trial in Section 5.1.1 above may be conducted by UHN (including the UHN</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Planned Trial) or another university or academic institution for purposes of satisfying this performance milestone.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Extension of Performance Milestone</w:t>
            </w:r>
            <w:r>
              <w:rPr>
                <w:rFonts w:ascii="Arial" w:cs="Arial" w:eastAsia="Arial" w:hAnsi="Arial"/>
                <w:sz w:val="18"/>
                <w:szCs w:val="18"/>
                <w:color w:val="auto"/>
                <w:w w:val="91"/>
              </w:rPr>
              <w:t>. The Parties may agree to extend: (a) the timelines for the performance of the Section 5.1 milestones, or</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 the Negotiation Period (as defined below in Section 5.3). Any such agreement to extend such timelines shall be in writing.</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Failure to Fulfill Performance Milestone</w:t>
            </w:r>
            <w:r>
              <w:rPr>
                <w:rFonts w:ascii="Arial" w:cs="Arial" w:eastAsia="Arial" w:hAnsi="Arial"/>
                <w:sz w:val="18"/>
                <w:szCs w:val="18"/>
                <w:color w:val="auto"/>
                <w:w w:val="93"/>
              </w:rPr>
              <w:t>(</w:t>
            </w:r>
            <w:r>
              <w:rPr>
                <w:rFonts w:ascii="Arial" w:cs="Arial" w:eastAsia="Arial" w:hAnsi="Arial"/>
                <w:sz w:val="18"/>
                <w:szCs w:val="18"/>
                <w:b w:val="1"/>
                <w:bCs w:val="1"/>
                <w:color w:val="auto"/>
                <w:w w:val="93"/>
              </w:rPr>
              <w:t>s</w:t>
            </w:r>
            <w:r>
              <w:rPr>
                <w:rFonts w:ascii="Arial" w:cs="Arial" w:eastAsia="Arial" w:hAnsi="Arial"/>
                <w:sz w:val="18"/>
                <w:szCs w:val="18"/>
                <w:color w:val="auto"/>
                <w:w w:val="93"/>
              </w:rPr>
              <w:t>). In the event that Avro is unable to satisfy one or more of the Section 5.1 milestone(s) within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timeline(s) as noted (or within the timeline(s) as extended pursuant to Section 5.2 or Section 5.4) on the following basis: (a) for reasons beyond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Avro’s reasonable control (including reasons relating to regulatory requirements or events or UHN’s failure to [***]), and (b) despite Avro having</w:t>
            </w:r>
          </w:p>
        </w:tc>
      </w:tr>
      <w:tr>
        <w:trPr>
          <w:trHeight w:val="212"/>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used, and continuing to use (during any Negotiation Period as outlined herein) commercially reasonable efforts to develop at least one Licensed</w:t>
            </w:r>
          </w:p>
        </w:tc>
      </w:tr>
      <w:tr>
        <w:trPr>
          <w:trHeight w:val="220"/>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Product, then UHN and Avro shall negotiate in good faith for up to a period of [***] (“</w:t>
            </w:r>
            <w:r>
              <w:rPr>
                <w:rFonts w:ascii="Arial" w:cs="Arial" w:eastAsia="Arial" w:hAnsi="Arial"/>
                <w:sz w:val="18"/>
                <w:szCs w:val="18"/>
                <w:b w:val="1"/>
                <w:bCs w:val="1"/>
                <w:color w:val="auto"/>
                <w:w w:val="96"/>
              </w:rPr>
              <w:t>Negotiation Period</w:t>
            </w:r>
            <w:r>
              <w:rPr>
                <w:rFonts w:ascii="Arial" w:cs="Arial" w:eastAsia="Arial" w:hAnsi="Arial"/>
                <w:sz w:val="18"/>
                <w:szCs w:val="18"/>
                <w:color w:val="auto"/>
                <w:w w:val="96"/>
              </w:rPr>
              <w:t>”) to reach agreement on revised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timelines and/or revised milestones, during which Negotiation Period UHN shall not terminate this Agreement. Absent either of: (i) an extension,</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or revision to the Section 5.1 milestones (such extension or revision not to be unreasonably withheld, conditioned or delayed), or (ii) Avro</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otherwise fulfilling the Section 5.1 milestone(s) within the Negotiation Period, UHN may terminate this Agreement for material breach pursuant</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to Section 11.3.3 within its sole and absolute discretion.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Regulatory Authority Generated Delay</w:t>
            </w:r>
            <w:r>
              <w:rPr>
                <w:rFonts w:ascii="Arial" w:cs="Arial" w:eastAsia="Arial" w:hAnsi="Arial"/>
                <w:sz w:val="18"/>
                <w:szCs w:val="18"/>
                <w:color w:val="auto"/>
                <w:w w:val="92"/>
              </w:rPr>
              <w:t>. If Avro is unable to meet any milestone timeline as noted in Section 5.1.1 or Section 5.1.2 as a result</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of the relevant Regulatory Authority requesting additional information or data or other Regulatory Authority delay, UHN and Avro shall</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4"/>
              </w:rPr>
              <w:t>negotiate in good faith, and acting reasonably, to agree upon the amount of time required to fulfill such request, and the relevant Section 5.1</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milestone shall be extended by such amount of time.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Licensed Product Development Milestone Payments</w:t>
            </w:r>
            <w:r>
              <w:rPr>
                <w:rFonts w:ascii="Arial" w:cs="Arial" w:eastAsia="Arial" w:hAnsi="Arial"/>
                <w:sz w:val="18"/>
                <w:szCs w:val="18"/>
                <w:color w:val="auto"/>
                <w:w w:val="95"/>
              </w:rPr>
              <w:t>. UHN shall be paid the following one-time milestone payments for a first Licensed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9"/>
              </w:rPr>
              <w:t>Product to reach such milestone (irrespective of indication and/or therapeutic area). Avro shall promptly provide Notice to UHN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fulfillment of a milestone (whether fulfilled by Avro or its Affiliate or Sublicensee), and each noted milestone payment shall be due and payable</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by Avro within [***] from the date that such milestone is met, subject to the payment deferral terms of Section 5.7:</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5.5.1</w:t>
            </w:r>
          </w:p>
        </w:tc>
        <w:tc>
          <w:tcPr>
            <w:tcW w:w="956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5.5.2</w:t>
            </w:r>
          </w:p>
        </w:tc>
        <w:tc>
          <w:tcPr>
            <w:tcW w:w="95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5.6</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60" w:type="dxa"/>
            <w:vAlign w:val="bottom"/>
          </w:tcPr>
          <w:p>
            <w:pPr>
              <w:spacing w:after="0"/>
              <w:rPr>
                <w:sz w:val="24"/>
                <w:szCs w:val="24"/>
                <w:color w:val="auto"/>
              </w:rPr>
            </w:pP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Payment Deferral</w:t>
            </w:r>
            <w:r>
              <w:rPr>
                <w:rFonts w:ascii="Arial" w:cs="Arial" w:eastAsia="Arial" w:hAnsi="Arial"/>
                <w:sz w:val="18"/>
                <w:szCs w:val="18"/>
                <w:color w:val="auto"/>
                <w:w w:val="92"/>
              </w:rPr>
              <w:t>. In respect of reimbursable patent costs (pursuant to Section 4.3), and milestone payments owed further to Section 5.5, (but</w:t>
            </w:r>
          </w:p>
        </w:tc>
      </w:tr>
    </w:tbl>
    <w:p>
      <w:pPr>
        <w:ind w:left="920" w:right="4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for such patent costs directly reimbursable by Avro and such milestones which have been achieved by Avro, and not by any acquirer or Sublicensee who achieves such milestone or is responsible for any such patent cost reimbursement), payment shall remain due as indicated in the</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80" w:name="page381"/>
    <w:bookmarkEnd w:id="380"/>
    <w:p>
      <w:pPr>
        <w:ind w:left="9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aforementioned section(s), but the Parties agree that any amount due and payable that exceeds [***] percent ([***]%) of the total amounts (i.e. gross total) of any investment raise(s) and financing(s) (e.g. any of seed financing, Series A Financing, Series B Financing or other series of financing) up to such date for which the relevant milestone and/or patent costs are due shall be deferred to the next investment raise/financing. As such, any outstanding amounts shall become payable upon the next investment raise, again subject to [***] percent ([***]%) cap of the total amount (i.e. gross total) of such investment raise/financing until such time as all unpaid amounts are paid in full. All unpaid amounts will collect interest as further set out in Section 4.8. All unpaid and deferred amounts owed pursuant to this Section 5.7 will become immediately payable upon the earlier to occur of: (a) closing of a merger or acquisition of Avro, (b) sale of substantially all of Avro’s assets (including this Agreement) relating to the Licensed Products to a non-Affiliated Third Party during the term of this Agreement, (c) Avro granting an exclusive sublicense under the Licensed Technology to a Third Party for purposes of commercializing Licensed Products, or (d) upon an initial public offering (IPO) of Avro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5.8</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Regulatory Approval Milestone Payments</w:t>
            </w:r>
            <w:r>
              <w:rPr>
                <w:rFonts w:ascii="Arial" w:cs="Arial" w:eastAsia="Arial" w:hAnsi="Arial"/>
                <w:sz w:val="18"/>
                <w:szCs w:val="18"/>
                <w:color w:val="auto"/>
                <w:w w:val="91"/>
              </w:rPr>
              <w:t>. UHN shall be paid the following milestone payments in respect of each Licensed Product(s). Avro</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shall promptly provide Notice to UHN of the fulfillment of a milestone (whether such milestone is achieved by Avro or its Affiliate or</w:t>
            </w:r>
          </w:p>
        </w:tc>
      </w:tr>
      <w:tr>
        <w:trPr>
          <w:trHeight w:val="230"/>
        </w:trPr>
        <w:tc>
          <w:tcPr>
            <w:tcW w:w="580" w:type="dxa"/>
            <w:vAlign w:val="bottom"/>
          </w:tcPr>
          <w:p>
            <w:pPr>
              <w:spacing w:after="0"/>
              <w:rPr>
                <w:sz w:val="20"/>
                <w:szCs w:val="20"/>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Sublicensee). Each noted milestone payment is payable by Avro within [***] from the date that such milestone is met: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5.8.1</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5.8.2</w:t>
            </w:r>
          </w:p>
        </w:tc>
        <w:tc>
          <w:tcPr>
            <w:tcW w:w="952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5.8.3</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5.9</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2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520" w:type="dxa"/>
            <w:vAlign w:val="bottom"/>
          </w:tcPr>
          <w:p>
            <w:pPr>
              <w:ind w:left="1060"/>
              <w:spacing w:after="0"/>
              <w:rPr>
                <w:sz w:val="20"/>
                <w:szCs w:val="20"/>
                <w:color w:val="auto"/>
              </w:rPr>
            </w:pPr>
            <w:r>
              <w:rPr>
                <w:rFonts w:ascii="Arial" w:cs="Arial" w:eastAsia="Arial" w:hAnsi="Arial"/>
                <w:sz w:val="18"/>
                <w:szCs w:val="18"/>
                <w:b w:val="1"/>
                <w:bCs w:val="1"/>
                <w:color w:val="auto"/>
              </w:rPr>
              <w:t>ARTICLE 6 - REPRESENTATIONS, WARRANTIES AND LIABILITY</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Reps &amp; Warranties</w:t>
            </w:r>
            <w:r>
              <w:rPr>
                <w:rFonts w:ascii="Arial" w:cs="Arial" w:eastAsia="Arial" w:hAnsi="Arial"/>
                <w:sz w:val="18"/>
                <w:szCs w:val="18"/>
                <w:color w:val="auto"/>
              </w:rPr>
              <w:t>. UHN represents, warrants and covenants to Avro that: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6.1.1</w:t>
            </w:r>
          </w:p>
        </w:tc>
        <w:tc>
          <w:tcPr>
            <w:tcW w:w="9520" w:type="dxa"/>
            <w:vAlign w:val="bottom"/>
          </w:tcPr>
          <w:p>
            <w:pPr>
              <w:ind w:left="80"/>
              <w:spacing w:after="0"/>
              <w:rPr>
                <w:sz w:val="20"/>
                <w:szCs w:val="20"/>
                <w:color w:val="auto"/>
              </w:rPr>
            </w:pPr>
            <w:r>
              <w:rPr>
                <w:rFonts w:ascii="Arial" w:cs="Arial" w:eastAsia="Arial" w:hAnsi="Arial"/>
                <w:sz w:val="18"/>
                <w:szCs w:val="18"/>
                <w:color w:val="auto"/>
                <w:w w:val="95"/>
              </w:rPr>
              <w:t>it is duly incorporated and organized and validly existing under the laws of Ontario, and has all requisite corporate power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6.1.2</w:t>
            </w:r>
          </w:p>
        </w:tc>
        <w:tc>
          <w:tcPr>
            <w:tcW w:w="9520" w:type="dxa"/>
            <w:vAlign w:val="bottom"/>
          </w:tcPr>
          <w:p>
            <w:pPr>
              <w:ind w:left="8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delivery of this Agreement and perform its obligations hereunder;</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6.1.3</w:t>
            </w:r>
          </w:p>
        </w:tc>
        <w:tc>
          <w:tcPr>
            <w:tcW w:w="9520" w:type="dxa"/>
            <w:vAlign w:val="bottom"/>
          </w:tcPr>
          <w:p>
            <w:pPr>
              <w:ind w:left="80"/>
              <w:spacing w:after="0"/>
              <w:rPr>
                <w:sz w:val="20"/>
                <w:szCs w:val="20"/>
                <w:color w:val="auto"/>
              </w:rPr>
            </w:pPr>
            <w:r>
              <w:rPr>
                <w:rFonts w:ascii="Arial" w:cs="Arial" w:eastAsia="Arial" w:hAnsi="Arial"/>
                <w:sz w:val="18"/>
                <w:szCs w:val="18"/>
                <w:color w:val="auto"/>
                <w:w w:val="92"/>
              </w:rPr>
              <w:t>the execution and delivery of this Agreement by UHN and the performance of its obligations under the Agreement shall not result</w:t>
            </w:r>
          </w:p>
        </w:tc>
      </w:tr>
    </w:tbl>
    <w:p>
      <w:pPr>
        <w:ind w:left="1940" w:right="40"/>
        <w:spacing w:after="0" w:line="261" w:lineRule="auto"/>
        <w:rPr>
          <w:sz w:val="20"/>
          <w:szCs w:val="20"/>
          <w:color w:val="auto"/>
        </w:rPr>
      </w:pPr>
      <w:r>
        <w:rPr>
          <w:rFonts w:ascii="Arial" w:cs="Arial" w:eastAsia="Arial" w:hAnsi="Arial"/>
          <w:sz w:val="18"/>
          <w:szCs w:val="18"/>
          <w:color w:val="auto"/>
        </w:rPr>
        <w:t>in either a breach or violation of any of the provisions of, or constitute a default under, or conflict with or cause the acceleration of, any obligation of UHN under:</w:t>
      </w:r>
    </w:p>
    <w:p>
      <w:pPr>
        <w:spacing w:after="0" w:line="7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 any agreement to which UHN is a party or is otherwise bound by;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3" w:right="23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 any judgment, decree, order or award of any court, governmental body or arbitrator having jurisdiction over UHN;</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any license, permit, approval, consent or authorization held by UHN; or</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(d) any applicable law, statute, ordinance, regulation or rule;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6.1.4</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as on the Effective Date, UHN is the sole owner of all right, title and interest in and to the Licensed Patents then listed in Schedules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6.1.5</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UHN will disclose all Improved Therapies that exist as of the Effective Date and of which UHN has knowledge, within [***]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the Effective Date.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Reps &amp; Warranties</w:t>
            </w:r>
            <w:r>
              <w:rPr>
                <w:rFonts w:ascii="Arial" w:cs="Arial" w:eastAsia="Arial" w:hAnsi="Arial"/>
                <w:sz w:val="18"/>
                <w:szCs w:val="18"/>
                <w:color w:val="auto"/>
              </w:rPr>
              <w:t>. Avro represents and warrants to UHN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6.2.1</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it is duly incorporated and organized and validly existing under the laws of the State of Delaware and has all the requisite corporate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power and 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6.2.2</w:t>
            </w: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delivery of the Agreement and the performance of its obligations hereunder and to cause all necessary meetings of directors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shareholders of Avro to be held for such purposes;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6.2.3</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execution and delivery of this Agreement by Avro and the performance of its obligations hereunder shall not result in either a</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breach or violation of any of the provisions of, or constitute a default under, or conflict with or cause the acceleration of, any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obligation of Avro under: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200" w:hanging="252"/>
        <w:spacing w:after="0"/>
        <w:tabs>
          <w:tab w:leader="none" w:pos="2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agreement to which Avro is a party or is otherwise bound by;</w:t>
      </w:r>
    </w:p>
    <w:p>
      <w:pPr>
        <w:spacing w:after="0" w:line="117" w:lineRule="exact"/>
        <w:rPr>
          <w:rFonts w:ascii="Arial" w:cs="Arial" w:eastAsia="Arial" w:hAnsi="Arial"/>
          <w:sz w:val="18"/>
          <w:szCs w:val="18"/>
          <w:color w:val="auto"/>
        </w:rPr>
      </w:pPr>
    </w:p>
    <w:p>
      <w:pPr>
        <w:ind w:left="1940" w:right="680" w:firstLine="8"/>
        <w:spacing w:after="0" w:line="277" w:lineRule="auto"/>
        <w:tabs>
          <w:tab w:leader="none" w:pos="21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of the terms and provisions of the organizing documents or bylaws, or resolutions of the board of directors (or any committee thereof), of Avro;</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judgment, decree, order or award of any court, governmental body or arbitrator having jurisdiction over Avro;</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license, permit, approval, consent or authorization held by Avro; and</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applicable law, statute, ordinance, regulation or rule.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6.3</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Limitations of Liability</w:t>
            </w:r>
            <w:r>
              <w:rPr>
                <w:rFonts w:ascii="Arial" w:cs="Arial" w:eastAsia="Arial" w:hAnsi="Arial"/>
                <w:sz w:val="18"/>
                <w:szCs w:val="18"/>
                <w:color w:val="auto"/>
              </w:rPr>
              <w:t>. EXCEPT AS OTHERWISE EXPRESSLY SET OUT IN THIS AGREEMENT:</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6.3.1</w:t>
            </w:r>
          </w:p>
        </w:tc>
        <w:tc>
          <w:tcPr>
            <w:tcW w:w="9260" w:type="dxa"/>
            <w:vAlign w:val="bottom"/>
          </w:tcPr>
          <w:p>
            <w:pPr>
              <w:ind w:left="340"/>
              <w:spacing w:after="0"/>
              <w:rPr>
                <w:sz w:val="20"/>
                <w:szCs w:val="20"/>
                <w:color w:val="auto"/>
              </w:rPr>
            </w:pPr>
            <w:r>
              <w:rPr>
                <w:rFonts w:ascii="Arial" w:cs="Arial" w:eastAsia="Arial" w:hAnsi="Arial"/>
                <w:sz w:val="18"/>
                <w:szCs w:val="18"/>
                <w:color w:val="auto"/>
                <w:w w:val="96"/>
              </w:rPr>
              <w:t>EACH PARTY EXPRESSLY DISCLAIMS ANY AND ALL IMPLIED OR EXPRESS WARRANTIES AND MAKES NO</w:t>
            </w:r>
          </w:p>
        </w:tc>
      </w:tr>
    </w:tbl>
    <w:p>
      <w:pPr>
        <w:ind w:left="1940" w:right="160"/>
        <w:spacing w:after="0" w:line="255" w:lineRule="auto"/>
        <w:rPr>
          <w:sz w:val="20"/>
          <w:szCs w:val="20"/>
          <w:color w:val="auto"/>
        </w:rPr>
      </w:pPr>
      <w:r>
        <w:rPr>
          <w:rFonts w:ascii="Arial" w:cs="Arial" w:eastAsia="Arial" w:hAnsi="Arial"/>
          <w:sz w:val="18"/>
          <w:szCs w:val="18"/>
          <w:color w:val="auto"/>
        </w:rPr>
        <w:t>EXPRESS OR IMPLIED WARRANTIES OF ANY KIND, INCLUDING WARRANTIES OF MERCHANTABILITY, SAFETY OR FITNESS FOR ANY PARTICULAR PURPOSE OF THE LICENSED TECHNOLOGY, OR THAT THE LICENSED TECHNOLOGY CAN BE EXPLOITED TO GENERATE REVENUES;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6.3.2</w:t>
            </w:r>
          </w:p>
        </w:tc>
        <w:tc>
          <w:tcPr>
            <w:tcW w:w="9780" w:type="dxa"/>
            <w:vAlign w:val="bottom"/>
          </w:tcPr>
          <w:p>
            <w:pPr>
              <w:ind w:left="340"/>
              <w:spacing w:after="0"/>
              <w:rPr>
                <w:sz w:val="20"/>
                <w:szCs w:val="20"/>
                <w:color w:val="auto"/>
              </w:rPr>
            </w:pPr>
            <w:r>
              <w:rPr>
                <w:rFonts w:ascii="Arial" w:cs="Arial" w:eastAsia="Arial" w:hAnsi="Arial"/>
                <w:sz w:val="18"/>
                <w:szCs w:val="18"/>
                <w:color w:val="auto"/>
              </w:rPr>
              <w:t>UHN DOES NOT WARRANT OR REPRESENT THAT ISSUED PATENTS ARE VALID, OR PENDING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7"/>
              </w:rPr>
              <w:t>APPLICATIONS WILL ISSUE, OR WHEN ISSUED WILL BE VALID, OR THAT THE PRACTICE OR EXPLOITATION OF</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ANY LICENSED TECHNOLOGY PROVIDED PURSUANT TO THIS AGREEMENT, DOES NOT, OR WILL NOT,</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CONSTITUTE INFRINGEMENT OF RIGHTS OF THIRD PARTIES;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6.3.3</w:t>
            </w:r>
          </w:p>
        </w:tc>
        <w:tc>
          <w:tcPr>
            <w:tcW w:w="9780" w:type="dxa"/>
            <w:vAlign w:val="bottom"/>
          </w:tcPr>
          <w:p>
            <w:pPr>
              <w:ind w:left="340"/>
              <w:spacing w:after="0"/>
              <w:rPr>
                <w:sz w:val="20"/>
                <w:szCs w:val="20"/>
                <w:color w:val="auto"/>
              </w:rPr>
            </w:pPr>
            <w:r>
              <w:rPr>
                <w:rFonts w:ascii="Arial" w:cs="Arial" w:eastAsia="Arial" w:hAnsi="Arial"/>
                <w:sz w:val="18"/>
                <w:szCs w:val="18"/>
                <w:color w:val="auto"/>
              </w:rPr>
              <w:t>NEITHER PARTY SHALL BE LIABLE TO THE OTHER PARTY FOR ANY INDIRECT, SPECIAL, CONSEQUENTIAL,</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EXEMPLARY OR PUNITIVE DAMAGE OR LOSS OF BUSINESS OR LOSS OF PROFITS SUFFERED BY SUCH OTHER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9"/>
              </w:rPr>
              <w:t>PARTY RESULTING FROM THE USE OR OTHER EXPLOITATION OF THE LICENSED TECHNOLOGY, INCLUDING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WITHOUT LIMITATION THE SALE OF ANY LICENSED PRODUCTS. FURTHERMORE, UHN MAKES NO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REPRESENTATION THAT THE LICENSED TECHNOLOGY IS FREE FROM DEFECT OR LIABILITY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INTELLECTUAL PROPERTY INFRINGEMENT.</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1660"/>
              <w:spacing w:after="0"/>
              <w:rPr>
                <w:sz w:val="20"/>
                <w:szCs w:val="20"/>
                <w:color w:val="auto"/>
              </w:rPr>
            </w:pPr>
            <w:r>
              <w:rPr>
                <w:rFonts w:ascii="Arial" w:cs="Arial" w:eastAsia="Arial" w:hAnsi="Arial"/>
                <w:sz w:val="18"/>
                <w:szCs w:val="18"/>
                <w:b w:val="1"/>
                <w:bCs w:val="1"/>
                <w:color w:val="auto"/>
              </w:rPr>
              <w:t>ARTICLE 7 - FURTHER COVENANTS AND OBLIGATIONS</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Covenants/Obligations</w:t>
            </w:r>
            <w:r>
              <w:rPr>
                <w:rFonts w:ascii="Arial" w:cs="Arial" w:eastAsia="Arial" w:hAnsi="Arial"/>
                <w:sz w:val="18"/>
                <w:szCs w:val="18"/>
                <w:color w:val="auto"/>
              </w:rPr>
              <w:t>. Avro covenants and agrees for the benefit of UHN that it shall:</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7.1.1</w:t>
            </w: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use reasonable efforts to provide Notice to UHN in the event that the Principal Investigator becomes a shareholder of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7.1.2</w:t>
            </w:r>
          </w:p>
        </w:tc>
        <w:tc>
          <w:tcPr>
            <w:tcW w:w="9780" w:type="dxa"/>
            <w:vAlign w:val="bottom"/>
          </w:tcPr>
          <w:p>
            <w:pPr>
              <w:ind w:left="340"/>
              <w:spacing w:after="0"/>
              <w:rPr>
                <w:sz w:val="20"/>
                <w:szCs w:val="20"/>
                <w:color w:val="auto"/>
              </w:rPr>
            </w:pPr>
            <w:r>
              <w:rPr>
                <w:rFonts w:ascii="Arial" w:cs="Arial" w:eastAsia="Arial" w:hAnsi="Arial"/>
                <w:sz w:val="18"/>
                <w:szCs w:val="18"/>
                <w:color w:val="auto"/>
                <w:w w:val="95"/>
              </w:rPr>
              <w:t>not engage the Principal Investigator or other UHN employees for the conduct of research activities utilizing UHN resources</w:t>
            </w:r>
          </w:p>
        </w:tc>
      </w:tr>
      <w:tr>
        <w:trPr>
          <w:trHeight w:val="212"/>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and/or facilities absent a Sponsored Research Agreement or such other appropriate agreement, or otherwise the written consent of</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8"/>
              </w:rPr>
              <w:t xml:space="preserve">UHN; provided, for clarity, that this Section </w:t>
            </w:r>
            <w:r>
              <w:rPr>
                <w:rFonts w:ascii="Arial" w:cs="Arial" w:eastAsia="Arial" w:hAnsi="Arial"/>
                <w:sz w:val="18"/>
                <w:szCs w:val="18"/>
                <w:b w:val="1"/>
                <w:bCs w:val="1"/>
                <w:color w:val="auto"/>
                <w:w w:val="98"/>
              </w:rPr>
              <w:t>7</w:t>
            </w:r>
            <w:r>
              <w:rPr>
                <w:rFonts w:ascii="Arial" w:cs="Arial" w:eastAsia="Arial" w:hAnsi="Arial"/>
                <w:sz w:val="18"/>
                <w:szCs w:val="18"/>
                <w:color w:val="auto"/>
                <w:w w:val="98"/>
              </w:rPr>
              <w:t>.</w:t>
            </w:r>
            <w:r>
              <w:rPr>
                <w:rFonts w:ascii="Arial" w:cs="Arial" w:eastAsia="Arial" w:hAnsi="Arial"/>
                <w:sz w:val="18"/>
                <w:szCs w:val="18"/>
                <w:b w:val="1"/>
                <w:bCs w:val="1"/>
                <w:color w:val="auto"/>
                <w:w w:val="98"/>
              </w:rPr>
              <w:t>1</w:t>
            </w:r>
            <w:r>
              <w:rPr>
                <w:rFonts w:ascii="Arial" w:cs="Arial" w:eastAsia="Arial" w:hAnsi="Arial"/>
                <w:sz w:val="18"/>
                <w:szCs w:val="18"/>
                <w:color w:val="auto"/>
                <w:w w:val="98"/>
              </w:rPr>
              <w:t>.</w:t>
            </w:r>
            <w:r>
              <w:rPr>
                <w:rFonts w:ascii="Arial" w:cs="Arial" w:eastAsia="Arial" w:hAnsi="Arial"/>
                <w:sz w:val="18"/>
                <w:szCs w:val="18"/>
                <w:b w:val="1"/>
                <w:bCs w:val="1"/>
                <w:color w:val="auto"/>
                <w:w w:val="98"/>
              </w:rPr>
              <w:t>2</w:t>
            </w:r>
            <w:r>
              <w:rPr>
                <w:rFonts w:ascii="Arial" w:cs="Arial" w:eastAsia="Arial" w:hAnsi="Arial"/>
                <w:sz w:val="18"/>
                <w:szCs w:val="18"/>
                <w:color w:val="auto"/>
                <w:w w:val="98"/>
              </w:rPr>
              <w:t xml:space="preserve"> shall apply to the Principal Investigator in his appointment and scientific</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at UHN only (and not with respect to any other university, hospital, facility, institution or entity);</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7.1.3</w:t>
            </w:r>
          </w:p>
        </w:tc>
        <w:tc>
          <w:tcPr>
            <w:tcW w:w="9780" w:type="dxa"/>
            <w:vAlign w:val="bottom"/>
          </w:tcPr>
          <w:p>
            <w:pPr>
              <w:ind w:left="340"/>
              <w:spacing w:after="0"/>
              <w:rPr>
                <w:sz w:val="20"/>
                <w:szCs w:val="20"/>
                <w:color w:val="auto"/>
              </w:rPr>
            </w:pPr>
            <w:r>
              <w:rPr>
                <w:rFonts w:ascii="Arial" w:cs="Arial" w:eastAsia="Arial" w:hAnsi="Arial"/>
                <w:sz w:val="18"/>
                <w:szCs w:val="18"/>
                <w:color w:val="auto"/>
                <w:w w:val="94"/>
              </w:rPr>
              <w:t>use commercially reasonable efforts to exercise the License granted herein and otherwise exploit the Licensed Technology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accordance with the terms of this Agreement, and with all applicable laws, statutes, ordinances, regulations, guidelines and rules,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including all applicable statutes and regulations and applicable guidelines set forth by the Canadian Institutes of Health Research</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(CIHR), National Institutes of Health (NIH) or other governmental agencies where applicable;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7.1.4</w:t>
            </w: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ensure that all of its employees, representatives, agents, consultants, Sublicensee(s), Affiliate(s) and any other Third Parties having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access to the subject matter of this Agreement are aware of any and all confidentiality obligations, and are legally bound by similar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obligations;</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7.1.5</w:t>
            </w: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cause to be applied to Licensed Product(s) (as appropriate) any markings required by applicable government statutes and laws to</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continued validity and enforcement of proprietary rights in Licensed Technology (as applicable);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7.1.6</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ensure that the terms and conditions of any Sublicense are consistent with the terms and conditions of this Agreement;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7.1.7</w:t>
            </w: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in addition to any diligence requirements or obligations of this Agreement, use commercially reasonable efforts to develop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commercialize one or more Licensed Products.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Covenants</w:t>
            </w:r>
            <w:r>
              <w:rPr>
                <w:rFonts w:ascii="Arial" w:cs="Arial" w:eastAsia="Arial" w:hAnsi="Arial"/>
                <w:sz w:val="18"/>
                <w:szCs w:val="18"/>
                <w:color w:val="auto"/>
              </w:rPr>
              <w:t>. UHN covenants and agrees for the benefit of Avro that it shall:</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ensure that all employees, staff members, students, and any other UHN agents or representatives having access to the subject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matter of this Agreement are aware of any and all obligations under this Agreement, including confidentiality obligations, and have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agreed to be legally bound by them;</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7.2.2</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use reasonable best efforts to conduct and enroll and dose at least [***] patients in the UHN Planned Trial with a [***] follow-up</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phase; provided, however, that UHN shall not be deemed to be in breach of the foregoing obligation in the event that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discontinues the UHN Planned Trial due to events outside of the reasonable control of UHN (i.e., actions taken by Regulatory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Letter Agreement);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7.2.3</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not grant any rights in the Licensed Technology to any Person that would conflict with the rights granted to Avro hereunder.</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1120"/>
              <w:spacing w:after="0"/>
              <w:rPr>
                <w:sz w:val="20"/>
                <w:szCs w:val="20"/>
                <w:color w:val="auto"/>
              </w:rPr>
            </w:pPr>
            <w:r>
              <w:rPr>
                <w:rFonts w:ascii="Arial" w:cs="Arial" w:eastAsia="Arial" w:hAnsi="Arial"/>
                <w:sz w:val="18"/>
                <w:szCs w:val="18"/>
                <w:b w:val="1"/>
                <w:bCs w:val="1"/>
                <w:color w:val="auto"/>
              </w:rPr>
              <w:t>ARTICLE 8 - MANAGEMENT OF INTELLECTUAL PROPERTY RIGHTS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8.1</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Responsibility for Patent Rights</w:t>
            </w:r>
            <w:r>
              <w:rPr>
                <w:rFonts w:ascii="Arial" w:cs="Arial" w:eastAsia="Arial" w:hAnsi="Arial"/>
                <w:sz w:val="18"/>
                <w:szCs w:val="18"/>
                <w:color w:val="auto"/>
                <w:w w:val="91"/>
              </w:rPr>
              <w:t>. Avro will assume responsibility for the preparing, filing, prosecuting, maintaining and defending in all agency</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proceedings (e.g., reissues, reexaminations, oppositions and interferences), using patent counsel reasonably acceptable to UHN, patent rights</w:t>
            </w:r>
          </w:p>
        </w:tc>
      </w:tr>
    </w:tbl>
    <w:p>
      <w:pPr>
        <w:ind w:left="920"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Licensed Technology to the extent such patent rights are relevant to the Field of Use, or Avro is otherwise deemed to be responsible for prosecution in accordance with the terms of a Sponsored Research Agreement (“</w:t>
      </w:r>
      <w:r>
        <w:rPr>
          <w:rFonts w:ascii="Arial" w:cs="Arial" w:eastAsia="Arial" w:hAnsi="Arial"/>
          <w:sz w:val="17"/>
          <w:szCs w:val="17"/>
          <w:b w:val="1"/>
          <w:bCs w:val="1"/>
          <w:color w:val="auto"/>
        </w:rPr>
        <w:t>Field Patent Rights</w:t>
      </w:r>
      <w:r>
        <w:rPr>
          <w:rFonts w:ascii="Arial" w:cs="Arial" w:eastAsia="Arial" w:hAnsi="Arial"/>
          <w:sz w:val="17"/>
          <w:szCs w:val="17"/>
          <w:color w:val="auto"/>
        </w:rPr>
        <w:t>”) during the Term. Avro shall copy UHN on all patent prosecution documents and give UHN reasonable opportunities to advise Avro on such filing, prosecution and maintenance. In the event Avro desires to abandon any patent or patent application within the Field Patent Rights, Avro shall provide UHN with reasonable prior written notice of such intended abandonment or decline of responsibility. If UHN elects to continue such patent or patent application, the Parties shall consult and Avro may elect to retain responsibility therefor. Otherwise, the right to prepare, file, prosecute, maintain and defend the relevant Field Patent Rights, at UHN’s expense, shall revert to UHN. In such event, such UHN paid-for rights shall be removed from the definition of Licensed Patents under this Agreement and the licenses granted to Avro and its Affiliates as to such rights shall terminate. UHN retains its rights to prepare, file, prosecute, and maintain, and defend in all agency proceedings (e.g. reissues, reexaminations, oppositions and interferences), at UHN’s expense, patent rights within the Licensed Technology that are relevant outside the Field of Use (“</w:t>
      </w:r>
      <w:r>
        <w:rPr>
          <w:rFonts w:ascii="Arial" w:cs="Arial" w:eastAsia="Arial" w:hAnsi="Arial"/>
          <w:sz w:val="17"/>
          <w:szCs w:val="17"/>
          <w:b w:val="1"/>
          <w:bCs w:val="1"/>
          <w:color w:val="auto"/>
        </w:rPr>
        <w:t>UHN Patent Rights</w:t>
      </w:r>
      <w:r>
        <w:rPr>
          <w:rFonts w:ascii="Arial" w:cs="Arial" w:eastAsia="Arial" w:hAnsi="Arial"/>
          <w:sz w:val="17"/>
          <w:szCs w:val="17"/>
          <w:color w:val="auto"/>
        </w:rPr>
        <w:t>”). To the extent that patent rights are relevant both inside and outside the Field of Use, during the Option Term the Parties shall work cooperatively to make decisions with respect to preparing, filing, prosecuting, maintaining and defending such patent rights in all agency proceedings such that neither Party’s rights are jeopardized.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Patent Extensions and Orange Book Listings</w:t>
            </w:r>
            <w:r>
              <w:rPr>
                <w:rFonts w:ascii="Arial" w:cs="Arial" w:eastAsia="Arial" w:hAnsi="Arial"/>
                <w:sz w:val="18"/>
                <w:szCs w:val="18"/>
                <w:color w:val="auto"/>
                <w:w w:val="92"/>
              </w:rPr>
              <w:t>. If elections with respect to obtaining patent term extensions (including, without limitation, any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available pediatric extensions) or supplemental protection certificates or their equivalents in any country with respect to Field Patent Rights are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available, Avro shall have the sole and exclusive right to make any such elections based on Licensed Products. With respect to data exclusivity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periods (such as those periods listed in the FDA’s Orange Book (including, without limitation, any available pediatric extensions) or periods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under national implementations of Article 10.1(a)(iii) of Directive 2001/EC/83 or orphan exclusivity periods, and all equivalents in any country),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Avro shall have the sole and exclusive right to seek and maintain all such data exclusivity periods available for the Licensed Products. With</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respect to all of the rights and activities identified in this Section 8.2, UHN hereby appoints Avro as its agent for such purposes with the authority</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to act on UHN’s behalf with respect to the Field Patent Rights in a manner consistent with this Agreement.</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Notification of Infringement</w:t>
            </w:r>
            <w:r>
              <w:rPr>
                <w:rFonts w:ascii="Arial" w:cs="Arial" w:eastAsia="Arial" w:hAnsi="Arial"/>
                <w:sz w:val="18"/>
                <w:szCs w:val="18"/>
                <w:color w:val="auto"/>
                <w:w w:val="91"/>
              </w:rPr>
              <w:t>. Each Party agrees to provide written notice to the other Party promptly after becoming aware of any infringement</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of the Field Patent Rights or UHN Patent Rights by a Third Party and of any available evidence thereof.</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Right to Prosecute Infringements</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8.4.1</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Avro Right to Prosecute</w:t>
            </w:r>
            <w:r>
              <w:rPr>
                <w:rFonts w:ascii="Arial" w:cs="Arial" w:eastAsia="Arial" w:hAnsi="Arial"/>
                <w:sz w:val="18"/>
                <w:szCs w:val="18"/>
                <w:color w:val="auto"/>
                <w:w w:val="93"/>
              </w:rPr>
              <w:t>. As between the Parties, Avro shall have the first and exclusive right, but not the obligation, under its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own control and at its own expense, to prosecute any Third Party infringement of the Field Patent Rights and/or UHN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Rights, subject to Sections 8.5 and 8.6. The total cost of any such infringement action commenced or defended solely by Avro shall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be borne by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8.4.2</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UHN Right to Prosecute</w:t>
            </w:r>
            <w:r>
              <w:rPr>
                <w:rFonts w:ascii="Arial" w:cs="Arial" w:eastAsia="Arial" w:hAnsi="Arial"/>
                <w:sz w:val="18"/>
                <w:szCs w:val="18"/>
                <w:color w:val="auto"/>
                <w:w w:val="93"/>
              </w:rPr>
              <w:t>. If within [***] after having been notified of any alleged infringement that is material and competitive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marketplace Avro is unsuccessful in persuading the alleged infringer to desist and shall not have brought and shall not be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diligently prosecuting an infringement action, then UHN shall have the right, but shall not be obligated, under its own control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at its own expense, to prosecute any infringement of the Field Patent Rights and/or UHN Patent Rights.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8.5</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Declaratory Judgment Actions</w:t>
            </w:r>
            <w:r>
              <w:rPr>
                <w:rFonts w:ascii="Arial" w:cs="Arial" w:eastAsia="Arial" w:hAnsi="Arial"/>
                <w:sz w:val="18"/>
                <w:szCs w:val="18"/>
                <w:color w:val="auto"/>
                <w:w w:val="93"/>
              </w:rPr>
              <w:t>. If a declaratory judgment action is brought naming UHN or Avro or any of its Affiliates or Sublicensees as a</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defendant and alleging invalidity, unenforceability or non-infringement of any Field Patent Rights and/or UHN Patent Rights, Avro or UHN, as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the case may be, shall promptly notify the other Party in writing. With regards to the Field Patent Rights, or to the extent litigation of the UHN</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7"/>
              </w:rPr>
              <w:t>Patent Rights remain under UHN’s control, Avro may elect, upon written notice to UHN within [***] after receiving or giving notice of the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commencement of such action, to take over the sole control of such action at its own expense. If Avro does not defend any such action, then</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UHN shall have the right, but shall not be obligated, to defend such action at UHN’s expense.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8.6</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Recovery</w:t>
            </w:r>
            <w:r>
              <w:rPr>
                <w:rFonts w:ascii="Arial" w:cs="Arial" w:eastAsia="Arial" w:hAnsi="Arial"/>
                <w:sz w:val="18"/>
                <w:szCs w:val="18"/>
                <w:color w:val="auto"/>
                <w:w w:val="91"/>
              </w:rPr>
              <w:t>. In the event that either Party exercises the rights conferred in this Article 8 and recovers any damages or other sums in such action,</w:t>
            </w:r>
          </w:p>
        </w:tc>
      </w:tr>
    </w:tbl>
    <w:p>
      <w:pPr>
        <w:ind w:left="920" w:righ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damages or other sums recovered shall first be applied to all out-of-pocket costs and expenses incurred by the Parties in connection therewith (including, without limitation, attorneys fees). If such recovery is insufficient to cover all such costs and expenses of both Parties, [***]. If after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9"/>
              </w:rPr>
              <w:t>such reimbursement any funds shall remain from such damages or other sums recovered, such funds shall be retained by the Party that controlled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the action or proceeding under this Article 8; provided, however, that (a) if Avro is the Party that controlled such action or proceeding,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remaining recovery received by Avro shall be shared [***] allocated to Avro, [***]) allocated to UHN, and (b) if UHN is the Party that</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controlled such action or proceeding, the remaining recovery received by UHN shall be shared [***] allocated to UHN, [***] allocated to Avro.</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8.7</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7"/>
              </w:rPr>
              <w:t>Cooperation</w:t>
            </w:r>
            <w:r>
              <w:rPr>
                <w:rFonts w:ascii="Arial" w:cs="Arial" w:eastAsia="Arial" w:hAnsi="Arial"/>
                <w:sz w:val="18"/>
                <w:szCs w:val="18"/>
                <w:color w:val="auto"/>
                <w:w w:val="97"/>
              </w:rPr>
              <w:t>. Each Party agrees to cooperate in any action under this Article 8 which is controlled by the other Party, including, without</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9"/>
              </w:rPr>
              <w:t>limitation, joining such action as a party plaintiff if necessary or desirable for initiation or continuation of such action; provided that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controlling Party reimburses the cooperating Party promptly for any reasonable costs and expenses incurred by the cooperating Party in</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connection with providing such assistance.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8.8</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8"/>
              </w:rPr>
              <w:t>Patent Certifications</w:t>
            </w:r>
            <w:r>
              <w:rPr>
                <w:rFonts w:ascii="Arial" w:cs="Arial" w:eastAsia="Arial" w:hAnsi="Arial"/>
                <w:sz w:val="18"/>
                <w:szCs w:val="18"/>
                <w:color w:val="auto"/>
                <w:w w:val="98"/>
              </w:rPr>
              <w:t>. UHN shall notify and provide Avro with copies of any allegations of alleged patent invalidity, unenforceability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non-infringement of a Patent Right pursuant to a Paragraph IV Patent Certification by a Third Party filing an Abbreviated New Drug Application,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an application under §505(b)(2) or any other similar patent certification by a third party, and any foreign equivalent thereof. Such notification and</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copies shall be provided to Avro within [***] after UHN receives such certification.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8.9</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4"/>
              </w:rPr>
              <w:t>Patent Challenges</w:t>
            </w:r>
            <w:r>
              <w:rPr>
                <w:rFonts w:ascii="Arial" w:cs="Arial" w:eastAsia="Arial" w:hAnsi="Arial"/>
                <w:sz w:val="18"/>
                <w:szCs w:val="18"/>
                <w:color w:val="auto"/>
                <w:w w:val="94"/>
              </w:rPr>
              <w:t>. UHN will have the right to terminate this Agreement in full upon [***] prior written notice to Avro in the event that Avro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any of its Affiliates or Sublicensees (to the extent related to rights granted to a Sublicensee under this Agreement) institutes any claim in a legal</w:t>
            </w:r>
          </w:p>
        </w:tc>
      </w:tr>
      <w:tr>
        <w:trPr>
          <w:trHeight w:val="212"/>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or administrative proceeding challenging the validity of any Licensed Patents (except as a defense against a claim, action or proceeding asserted</w:t>
            </w:r>
          </w:p>
        </w:tc>
      </w:tr>
      <w:tr>
        <w:trPr>
          <w:trHeight w:val="220"/>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5"/>
              </w:rPr>
              <w:t>by UHN against Avro or its Affiliates or Sublicensees) (a “</w:t>
            </w:r>
            <w:r>
              <w:rPr>
                <w:rFonts w:ascii="Arial" w:cs="Arial" w:eastAsia="Arial" w:hAnsi="Arial"/>
                <w:sz w:val="18"/>
                <w:szCs w:val="18"/>
                <w:b w:val="1"/>
                <w:bCs w:val="1"/>
                <w:color w:val="auto"/>
                <w:w w:val="95"/>
              </w:rPr>
              <w:t>Patent Challenge</w:t>
            </w:r>
            <w:r>
              <w:rPr>
                <w:rFonts w:ascii="Arial" w:cs="Arial" w:eastAsia="Arial" w:hAnsi="Arial"/>
                <w:sz w:val="18"/>
                <w:szCs w:val="18"/>
                <w:color w:val="auto"/>
                <w:w w:val="95"/>
              </w:rPr>
              <w:t>”)</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provided, with respect to any such Patent Challenge by any</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Sublicensee of Avro, UHN will not have the right to terminate this Agreement under this Section 8.9 if Avro (a) causes such Patent Challenge to</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be terminated or dismissed or (b) if permitted in accordance with applicable Law, terminates such Sublicensee’s sublicense to the Licensed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Patents being challenged by the Sublicensee, in each case ((a) and (b)) within [***] of UHN’s notice to Avro under this Section 8.9.</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7"/>
              </w:rPr>
              <w:t>Notwithstanding the foregoing, UHN’s termination right under this Section 8.9 will not apply to any Affiliate of Avro that first becomes an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3"/>
              </w:rPr>
              <w:t>Affiliate of Avro after the Effective Date of this Agreement in connection with a License Transfer, where such Affiliate of Avro was undertaking</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activities in connection with a Patent Challenge prior to such License Transfer.</w:t>
            </w:r>
          </w:p>
        </w:tc>
      </w:tr>
      <w:tr>
        <w:trPr>
          <w:trHeight w:val="648"/>
        </w:trPr>
        <w:tc>
          <w:tcPr>
            <w:tcW w:w="580" w:type="dxa"/>
            <w:vAlign w:val="bottom"/>
          </w:tcPr>
          <w:p>
            <w:pPr>
              <w:spacing w:after="0"/>
              <w:rPr>
                <w:sz w:val="24"/>
                <w:szCs w:val="24"/>
                <w:color w:val="auto"/>
              </w:rPr>
            </w:pPr>
          </w:p>
        </w:tc>
        <w:tc>
          <w:tcPr>
            <w:tcW w:w="10840" w:type="dxa"/>
            <w:vAlign w:val="bottom"/>
          </w:tcPr>
          <w:p>
            <w:pPr>
              <w:ind w:left="3200"/>
              <w:spacing w:after="0"/>
              <w:rPr>
                <w:sz w:val="20"/>
                <w:szCs w:val="20"/>
                <w:color w:val="auto"/>
              </w:rPr>
            </w:pPr>
            <w:r>
              <w:rPr>
                <w:rFonts w:ascii="Arial" w:cs="Arial" w:eastAsia="Arial" w:hAnsi="Arial"/>
                <w:sz w:val="18"/>
                <w:szCs w:val="18"/>
                <w:b w:val="1"/>
                <w:bCs w:val="1"/>
                <w:color w:val="auto"/>
              </w:rPr>
              <w:t>ARTICLE 9 - CONFIDENTIAL INFORMATION</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9.1</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5"/>
              </w:rPr>
              <w:t>Confidentiality</w:t>
            </w:r>
            <w:r>
              <w:rPr>
                <w:rFonts w:ascii="Arial" w:cs="Arial" w:eastAsia="Arial" w:hAnsi="Arial"/>
                <w:sz w:val="18"/>
                <w:szCs w:val="18"/>
                <w:color w:val="auto"/>
                <w:w w:val="95"/>
              </w:rPr>
              <w:t>. The Receiving Party shall take all reasonable measures, and at least the same measures as it takes in respect of its own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3"/>
              </w:rPr>
              <w:t>Confidential Information of a similar nature, to keep confidential the Confidential Information of the Disclosing Party. The Receiving Party may</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disclose such Confidential Information to those of its directors, officers, employees, subcontractors, consultants and agents (collectively,</w:t>
            </w:r>
          </w:p>
        </w:tc>
      </w:tr>
    </w:tbl>
    <w:p>
      <w:pPr>
        <w:ind w:left="920"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Representatives</w:t>
      </w:r>
      <w:r>
        <w:rPr>
          <w:rFonts w:ascii="Arial" w:cs="Arial" w:eastAsia="Arial" w:hAnsi="Arial"/>
          <w:sz w:val="18"/>
          <w:szCs w:val="18"/>
          <w:color w:val="auto"/>
        </w:rPr>
        <w:t>”) having a need to know such information in connection with exercising the Receiving Party’s rights and/or fulfilling the Receiving Party’s obligations under this Agreement. With respect to Avro, Representatives also include Affiliates and proposed and actual Sublicensee(s). The Receiving Party will ensure that any of its Representatives having access to the Confidential Information of the Disclosing Party</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are under a legal obligation to maintain such Confidential Information in confidence and are duly informed of this obligation. The Receiving</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Party will neither use nor disclose to any other party any of the Confidential Information of the Disclosing Party except as expressly permitted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under this Agreement. The terms of this Agreement are the Confidential Information of both Parties. During the Term, information relating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Licensed Product(s) in the Field of Use is the Confidential Information of Avro. The confidentiality provisions as outlined in this Article 9 shall</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survive expiration or earlier termination of this Agreement for a period of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Equitable Relief / Disputes</w:t>
            </w:r>
            <w:r>
              <w:rPr>
                <w:rFonts w:ascii="Arial" w:cs="Arial" w:eastAsia="Arial" w:hAnsi="Arial"/>
                <w:sz w:val="18"/>
                <w:szCs w:val="18"/>
                <w:color w:val="auto"/>
                <w:w w:val="93"/>
              </w:rPr>
              <w:t>. The Parties acknowledge that a breach of this Article 9 by either Party or any of its Representatives may cause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irreparable harm and that, notwithstanding any other term or provision of this Agreement, the non-breaching Party may be entitled to equitable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relief, including injunction and specific performance, as a remedy for any such breach. Such remedies shall not be deemed to be the exclusive</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remedies but shall be in addition to all other remedies available at law or equity.</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0"/>
              </w:rPr>
              <w:t>Disclosure to Advisors</w:t>
            </w:r>
            <w:r>
              <w:rPr>
                <w:rFonts w:ascii="Arial" w:cs="Arial" w:eastAsia="Arial" w:hAnsi="Arial"/>
                <w:sz w:val="18"/>
                <w:szCs w:val="18"/>
                <w:color w:val="auto"/>
                <w:w w:val="90"/>
              </w:rPr>
              <w:t>. Notwithstanding the confidentiality obligations of this Agreement, each Party shall be permitted to disclose the terms of</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this Agreement without the prior written consent of the other Party to those of its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Other Permitted Disclosures</w:t>
            </w:r>
            <w:r>
              <w:rPr>
                <w:rFonts w:ascii="Arial" w:cs="Arial" w:eastAsia="Arial" w:hAnsi="Arial"/>
                <w:sz w:val="18"/>
                <w:szCs w:val="18"/>
                <w:color w:val="auto"/>
                <w:w w:val="95"/>
              </w:rPr>
              <w:t>. Notwithstanding the confidentiality obligations of this Agreement, the Receiving Party shall be permitted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disclose the Confidential Information of the Disclosing Party or any other information associated with the Agreement, without the prior written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consent of the Disclosing Party, (a) to the extent required to be disclosed by law (including access to information laws, securities laws,</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regulations and listing requirements in Canada, United States and other jurisdictions) or an order of a court, tribunal, or government agency,</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provided that to the extent legally permissible the Receiving Party (i) gives to the Disclosing Party prompt written notice of the required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disclosure of any Confidential Information in order to allow the Disclosing Party reasonable opportunity to seek a confidentiality order or the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like, and (ii) cooperates with efforts of the Disclosing Party (at the Disclosing Party’s expense) in connection therewith; and (b) as required to be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disclosed in connection with the filing with, or approval, certification or endorsement from, any governmental body or medical protocol, in each</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case for a Licensed Product(s), provided that the information disclosed pursuant to this clause (b) is not the inventive subject matter of an</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unpublished patent application.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9.5</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Press Releases</w:t>
            </w:r>
            <w:r>
              <w:rPr>
                <w:rFonts w:ascii="Arial" w:cs="Arial" w:eastAsia="Arial" w:hAnsi="Arial"/>
                <w:sz w:val="18"/>
                <w:szCs w:val="18"/>
                <w:color w:val="auto"/>
                <w:w w:val="95"/>
              </w:rPr>
              <w:t>. Avro or its Affiliates may prepare and disclose via press release any Patient Data for the UHN Planned Trial (a) after an</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0"/>
              </w:rPr>
              <w:t>academic publication, interim report, abstract or presentation of data/results from the UHN Planned Trial has been made or authorized by Dr. Jeff</w:t>
            </w:r>
          </w:p>
        </w:tc>
      </w:tr>
    </w:tbl>
    <w:p>
      <w:pPr>
        <w:ind w:left="9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Medin or any other clinical trial site (“</w:t>
      </w:r>
      <w:r>
        <w:rPr>
          <w:rFonts w:ascii="Arial" w:cs="Arial" w:eastAsia="Arial" w:hAnsi="Arial"/>
          <w:sz w:val="18"/>
          <w:szCs w:val="18"/>
          <w:b w:val="1"/>
          <w:bCs w:val="1"/>
          <w:color w:val="auto"/>
        </w:rPr>
        <w:t>Interim Disclosure</w:t>
      </w:r>
      <w:r>
        <w:rPr>
          <w:rFonts w:ascii="Arial" w:cs="Arial" w:eastAsia="Arial" w:hAnsi="Arial"/>
          <w:sz w:val="18"/>
          <w:szCs w:val="18"/>
          <w:color w:val="auto"/>
        </w:rPr>
        <w:t>”) (such publication or presentation subject to Sections 10.1 and 10.2) but restricted as follows: (i) the UHN Planned Trial data and results referred to or otherwise discussed in the press release shall be limited to published data/results and (ii) the UHN Principal Investigator shall be granted a reasonable opportunity to review and comment on the accuracy of technical and scientific data and conclusions relating to same prior to publication of the press release; or (b) as required by applicable laws, rules or regulations (including a press release corresponding to any securities disclosure, such as pursuant to a Form 8-K), including by the rules or regulations of the United States Securities and Exchange Commission or similar regulatory agency in a country other than the United States or of any stock exchange or listing entity. The intention of Dr. Jeff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87" w:name="page388"/>
    <w:bookmarkEnd w:id="387"/>
    <w:p>
      <w:pPr>
        <w:ind w:left="92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Medin as of the Effective Date is to publish or present interim data, in one or more forums, as is reasonable in light of the data generated during the UHN Planned Trial. For clarity, the restrictions set forth in this paragraph apply only to the UHN Planned Trial.</w:t>
      </w:r>
    </w:p>
    <w:p>
      <w:pPr>
        <w:spacing w:after="0" w:line="38" w:lineRule="exact"/>
        <w:rPr>
          <w:sz w:val="20"/>
          <w:szCs w:val="20"/>
          <w:color w:val="auto"/>
        </w:rPr>
      </w:pPr>
    </w:p>
    <w:p>
      <w:pPr>
        <w:ind w:left="920" w:right="260"/>
        <w:spacing w:after="0" w:line="312" w:lineRule="auto"/>
        <w:rPr>
          <w:sz w:val="20"/>
          <w:szCs w:val="20"/>
          <w:color w:val="auto"/>
        </w:rPr>
      </w:pPr>
      <w:r>
        <w:rPr>
          <w:rFonts w:ascii="Arial" w:cs="Arial" w:eastAsia="Arial" w:hAnsi="Arial"/>
          <w:sz w:val="16"/>
          <w:szCs w:val="16"/>
          <w:color w:val="auto"/>
        </w:rPr>
        <w:t>Subject to Section 10.2.1, Avro or its Affiliates may prepare and disclose via any press release, publication or presentation any data, results or reports relating to the Licensed Products (including with respect to the Licensed Technology) in Avro’s sole discretion without prior review and/or approval by UHN or Dr. Jeff Medin, other than the Patient Data for the UHN Planned Trial which is addressed by the paragraph above.</w:t>
      </w:r>
    </w:p>
    <w:p>
      <w:pPr>
        <w:spacing w:after="0" w:line="3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Other than as agreed to by the Parties, UHN shall only issue press releases with respect to the Licensed Technology in accordance with Sections 10.1 and 10.2.2.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40"/>
              <w:spacing w:after="0"/>
              <w:rPr>
                <w:sz w:val="20"/>
                <w:szCs w:val="20"/>
                <w:color w:val="auto"/>
              </w:rPr>
            </w:pPr>
            <w:r>
              <w:rPr>
                <w:rFonts w:ascii="Arial" w:cs="Arial" w:eastAsia="Arial" w:hAnsi="Arial"/>
                <w:sz w:val="18"/>
                <w:szCs w:val="18"/>
                <w:b w:val="1"/>
                <w:bCs w:val="1"/>
                <w:color w:val="auto"/>
              </w:rPr>
              <w:t>ARTICLE 10 - PUBLICATION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4"/>
              </w:rPr>
              <w:t>Publications</w:t>
            </w:r>
            <w:r>
              <w:rPr>
                <w:rFonts w:ascii="Arial" w:cs="Arial" w:eastAsia="Arial" w:hAnsi="Arial"/>
                <w:sz w:val="18"/>
                <w:szCs w:val="18"/>
                <w:color w:val="auto"/>
                <w:w w:val="94"/>
              </w:rPr>
              <w:t>. Avro recognizes that, under UHN policies further to its obligations and responsibilities as an academic and teaching/research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hospital affiliated with the University of Toronto, the results of research conducted at UHN (including ongoing research of the Principal</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Investigator with respect to the Licensed Technology) and research conducted jointly with other institutions (the UHN Planned Trial) must be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publishable, and as such agrees that the Principal Investigator or the researchers employed by UHN who are engaged in any such research, as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well as their collaborators, shall be permitted to present at symposia, national, or regional professional meetings, and to publish in journals,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theses or dissertations, or otherwise, the methods and results of such research. Avro shall be furnished a copy of any proposed (a) publication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(including publication in conjunction with collaborators under the UHN Planned Trial) at least [***] before submission of such proposed</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publication, and (b) public oral presentation/seminar at least [***] before delivery of such presentation/seminar. During that time, Avro shall have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the right to (i) review the material for Confidential Information provided by Avro and (ii) assess the patentability of any invention described in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5"/>
              </w:rPr>
              <w:t>the material. If Avro decides that a patent application should be filed, the publication or presentation may, at Avro’s request, be delayed an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9"/>
              </w:rPr>
              <w:t>additional [***]. At Avro’s request, Confidential Information provided by Avro shall be deleted. Publications submitted by UHN to Avro</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pursuant to this Section 10.1 shall remain confidential, and may only be made the subject of a press release by Avro or its Affiliates (A) after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date of the first publication or disclosure, or (B) as permitted pursuant to Section 9.5.</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 of Names / Additional Permitted Disclosures</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10.2.1</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Avro and its Affiliates and Sublicensees shall not use the name of “University Health Network” or any variation, adaptation, or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abbreviation thereof, or of any of its trustees, officers, faculty, students, employees, clinical staff or agents, or any trademark owned</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by UHN, or any terms of this Agreement in any promotional material or other public announcement or disclosure without the prior</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6"/>
              </w:rPr>
              <w:t>written consent of UHN. The foregoing notwithstanding, without the consent of UHN, Avro may indicate that it is licensed by</w:t>
            </w:r>
          </w:p>
        </w:tc>
      </w:tr>
    </w:tbl>
    <w:p>
      <w:pPr>
        <w:ind w:left="1940" w:right="160"/>
        <w:spacing w:after="0" w:line="255" w:lineRule="auto"/>
        <w:rPr>
          <w:sz w:val="20"/>
          <w:szCs w:val="20"/>
          <w:color w:val="auto"/>
        </w:rPr>
      </w:pPr>
      <w:r>
        <w:rPr>
          <w:rFonts w:ascii="Arial" w:cs="Arial" w:eastAsia="Arial" w:hAnsi="Arial"/>
          <w:sz w:val="18"/>
          <w:szCs w:val="18"/>
          <w:color w:val="auto"/>
        </w:rPr>
        <w:t>UHN under the Licensed Technology and identify the inventors (including the Principal Investigator), their affiliation with UHN, and their relationship to Avro, and further, Avro may comply with disclosure requirements of all applicable laws relating to its business, including, without limitation, United States and state securities laws.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3" w:right="2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10.2.2</w:t>
            </w: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UHN shall not use the name of Avro or its Affiliates or Sublicensees or any variation, adaptation, or abbreviation thereof, or of any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of their respective Representatives, or any trademark owned by Avro or its Affiliates or Sublicensees, or any terms of this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Agreement in any promotional material or other public announcement or disclosure without the prior written consent of Avro or its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Affiliates or Sublicensees (as applicable). Notwithstanding any term or provision of this Agreement (including any obligation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Confidentiality), without the consent of Avro, UHN may indicate that it has licensed the Licensed Technology to Avro and identify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the inventors (including the Principal Investigator), his affiliation with UHN, his relationship (if any) to Avro, and the achievement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of clinical, regulatory or commercialization milestones hereunder and, to the extent required by applicable law, sums of monies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7"/>
              </w:rPr>
              <w:t>received by UHN; and further, UHN may comply with disclosure requirements of all applicable laws relating to its business,</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including, without limitation, Provincial and Federal access to information laws.</w:t>
            </w:r>
          </w:p>
        </w:tc>
      </w:tr>
      <w:tr>
        <w:trPr>
          <w:trHeight w:val="648"/>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760" w:type="dxa"/>
            <w:vAlign w:val="bottom"/>
          </w:tcPr>
          <w:p>
            <w:pPr>
              <w:ind w:left="2420"/>
              <w:spacing w:after="0"/>
              <w:rPr>
                <w:sz w:val="20"/>
                <w:szCs w:val="20"/>
                <w:color w:val="auto"/>
              </w:rPr>
            </w:pPr>
            <w:r>
              <w:rPr>
                <w:rFonts w:ascii="Arial" w:cs="Arial" w:eastAsia="Arial" w:hAnsi="Arial"/>
                <w:sz w:val="18"/>
                <w:szCs w:val="18"/>
                <w:b w:val="1"/>
                <w:bCs w:val="1"/>
                <w:color w:val="auto"/>
              </w:rPr>
              <w:t>ARTICLE 11 - TERM &amp; TERMINATION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Term</w:t>
            </w:r>
            <w:r>
              <w:rPr>
                <w:rFonts w:ascii="Arial" w:cs="Arial" w:eastAsia="Arial" w:hAnsi="Arial"/>
                <w:sz w:val="18"/>
                <w:szCs w:val="18"/>
                <w:color w:val="auto"/>
                <w:w w:val="91"/>
              </w:rPr>
              <w:t>. Unless terminated pursuant to Sections 11.2, the term of this Agreement shall commence on the Effective Date and shall remain in effect</w:t>
            </w:r>
          </w:p>
        </w:tc>
      </w:tr>
      <w:tr>
        <w:trPr>
          <w:trHeight w:val="212"/>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until the expiration of the Royalty Term for all Licensed Products, unless earlier terminated in accordance with the provisions of this Agreement</w:t>
            </w:r>
          </w:p>
        </w:tc>
      </w:tr>
      <w:tr>
        <w:trPr>
          <w:trHeight w:val="234"/>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or otherwise mutually agreed (the “</w:t>
            </w:r>
            <w:r>
              <w:rPr>
                <w:rFonts w:ascii="Arial" w:cs="Arial" w:eastAsia="Arial" w:hAnsi="Arial"/>
                <w:sz w:val="18"/>
                <w:szCs w:val="18"/>
                <w:b w:val="1"/>
                <w:bCs w:val="1"/>
                <w:color w:val="auto"/>
              </w:rPr>
              <w:t>Term</w:t>
            </w:r>
            <w:r>
              <w:rPr>
                <w:rFonts w:ascii="Arial" w:cs="Arial" w:eastAsia="Arial" w:hAnsi="Arial"/>
                <w:sz w:val="18"/>
                <w:szCs w:val="18"/>
                <w:color w:val="auto"/>
              </w:rPr>
              <w: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Voluntary Termination by Avro</w:t>
            </w:r>
            <w:r>
              <w:rPr>
                <w:rFonts w:ascii="Arial" w:cs="Arial" w:eastAsia="Arial" w:hAnsi="Arial"/>
                <w:sz w:val="18"/>
                <w:szCs w:val="18"/>
                <w:color w:val="auto"/>
                <w:w w:val="93"/>
              </w:rPr>
              <w:t>. Avro shall have the right to terminate this Agreement, for any reason, upon at least [***] prior written notice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to UHN, such notice to state the date at least [***] in the future upon which termination is to be effective.</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11.3</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 for Default</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11.3.1</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0"/>
              </w:rPr>
              <w:t>Nonpayment and Insurance</w:t>
            </w:r>
            <w:r>
              <w:rPr>
                <w:rFonts w:ascii="Arial" w:cs="Arial" w:eastAsia="Arial" w:hAnsi="Arial"/>
                <w:sz w:val="18"/>
                <w:szCs w:val="18"/>
                <w:color w:val="auto"/>
                <w:w w:val="90"/>
              </w:rPr>
              <w:t>. In the event Avro fails to pay any undisputed amounts due and payable to UHN hereunder, and fails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to make such payments within [***] after receiving written notice of such failure, or in the event that Avro fails to have or maintain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insurance as outlined in Section 13.6, UHN may terminate this Agreement upon written notice to Avro, subject to completion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the dispute resolution process set forth in Section 14.1 and Section 14.2 and a final determination pursuant to mandatory arbitration</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under Section 14.3 and unless otherwise cured further to said process as outlined therein.</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11.3.2</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3"/>
              </w:rPr>
              <w:t>Material Breach by UHN</w:t>
            </w:r>
            <w:r>
              <w:rPr>
                <w:rFonts w:ascii="Arial" w:cs="Arial" w:eastAsia="Arial" w:hAnsi="Arial"/>
                <w:sz w:val="18"/>
                <w:szCs w:val="18"/>
                <w:color w:val="auto"/>
                <w:w w:val="93"/>
              </w:rPr>
              <w:t>. In the event UHN commits a material breach of its obligations under this Agreement, and fails to cure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that breach within [***] after receiving written notice thereof, Avro may terminate this Agreement immediately upon written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notice to UHN, subject to completion of the dispute resolution process set forth in Section 14.1 and Section 14.2 unless otherwise</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cured further to said process as outlined therein.</w:t>
            </w:r>
          </w:p>
        </w:tc>
      </w:tr>
      <w:tr>
        <w:trPr>
          <w:trHeight w:val="338"/>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11.3.3</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1"/>
              </w:rPr>
              <w:t>Material Breach by Avro</w:t>
            </w:r>
            <w:r>
              <w:rPr>
                <w:rFonts w:ascii="Arial" w:cs="Arial" w:eastAsia="Arial" w:hAnsi="Arial"/>
                <w:sz w:val="18"/>
                <w:szCs w:val="18"/>
                <w:color w:val="auto"/>
                <w:w w:val="91"/>
              </w:rPr>
              <w:t>. In the event Avro commits a material breach of its obligations under this Agreement, except for breach</w:t>
            </w:r>
          </w:p>
        </w:tc>
      </w:tr>
    </w:tbl>
    <w:p>
      <w:pPr>
        <w:ind w:left="194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Section 11.3.1, and fails to cure that breach within [***] after receiving written notice thereof, UHN may terminate this Agreement immediately upon written notice to Avro, subject to completion of the dispute resolution process set forth in Section 14.1 and Section 14.2 unless otherwise cured further to said process as outlined therein.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11.3.4</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Sections 2.1, 2.4, 6.1, 7.2.2, or 7.2.3 or Article 9</w:t>
            </w:r>
            <w:r>
              <w:rPr>
                <w:rFonts w:ascii="Arial" w:cs="Arial" w:eastAsia="Arial" w:hAnsi="Arial"/>
                <w:sz w:val="18"/>
                <w:szCs w:val="18"/>
                <w:color w:val="auto"/>
                <w:w w:val="95"/>
              </w:rPr>
              <w:t>. Notwithstanding any other</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1"/>
              </w:rPr>
              <w:t>provisions of this Agreement and in addition to the deductions otherwise permitted under this Agreement, (a) if Avro has the right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to terminate this Agreement under Sections 2.1, 2.4, 6.1, 7.2.2, or 7.2.3 or Article 9 as a result of an uncured breach which has a</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demonstrable material impact on Avro (including expiration of all applicable cure periods thereunder and final determination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6"/>
              </w:rPr>
              <w:t>pursuant to mandatory arbitration under Section 14.3), in lieu of exercising such termination right, Avro may elect by written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notice to UHN before the end of such applicable cure period to have this Agreement continue in full force and effect and instead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have, starting immediately after the end of such applicable cure period, each of the following will be reduced by [***] percent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4"/>
              </w:rPr>
              <w:t>([***]%): any future milestone payments payable under Sections 5.5 or 5.8, any Royalties under Section 4.5, any Sublicensing</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Revenue sharing under Section 4.6 and any License Transfer Fee attributable to this Agreement (but not the IL-12 Agreement)</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under Section 16.4.2.</w:t>
            </w:r>
          </w:p>
        </w:tc>
      </w:tr>
      <w:tr>
        <w:trPr>
          <w:trHeight w:val="323"/>
        </w:trPr>
        <w:tc>
          <w:tcPr>
            <w:tcW w:w="6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11.3.5</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Letter Agreement</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Supply Agreement or Purchase Order</w:t>
            </w:r>
            <w:r>
              <w:rPr>
                <w:rFonts w:ascii="Arial" w:cs="Arial" w:eastAsia="Arial" w:hAnsi="Arial"/>
                <w:sz w:val="18"/>
                <w:szCs w:val="18"/>
                <w:color w:val="auto"/>
                <w:w w:val="95"/>
              </w:rPr>
              <w:t>(</w:t>
            </w:r>
            <w:r>
              <w:rPr>
                <w:rFonts w:ascii="Arial" w:cs="Arial" w:eastAsia="Arial" w:hAnsi="Arial"/>
                <w:sz w:val="18"/>
                <w:szCs w:val="18"/>
                <w:b w:val="1"/>
                <w:bCs w:val="1"/>
                <w:color w:val="auto"/>
                <w:w w:val="95"/>
              </w:rPr>
              <w:t>s</w:t>
            </w:r>
            <w:r>
              <w:rPr>
                <w:rFonts w:ascii="Arial" w:cs="Arial" w:eastAsia="Arial" w:hAnsi="Arial"/>
                <w:sz w:val="18"/>
                <w:szCs w:val="18"/>
                <w:color w:val="auto"/>
                <w:w w:val="95"/>
              </w:rPr>
              <w:t>). If UHN or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Principal Investigator breaches any obligations pursuant to the Letter Agreement, Supply Agreement or Purchase Order(s), and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said breach has a demonstrable material impact on Avro, and is not cured within [***] of notification of said breach, each of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8"/>
              </w:rPr>
              <w:t>following will be reduced by [***] percent ([***]%): any future milestone payments payable under Sections 5.5 or 5.8, any</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89"/>
              </w:rPr>
              <w:t>Royalties under Section 4.5, any Sublicensing Revenue sharing under Section 4.6 and any License Transfer Fee attributable to this</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Agreement (but not the IL-12 Agreement) under Section 16.4.2.</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11.4</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Bankruptcy</w:t>
            </w:r>
            <w:r>
              <w:rPr>
                <w:rFonts w:ascii="Arial" w:cs="Arial" w:eastAsia="Arial" w:hAnsi="Arial"/>
                <w:sz w:val="18"/>
                <w:szCs w:val="18"/>
                <w:color w:val="auto"/>
                <w:w w:val="95"/>
              </w:rPr>
              <w:t>. UHN may terminate this Agreement upon written notice to Avro if Avro becomes insolvent, is adjudged bankrupt, applies for</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judicial or extrajudicial settlement with its creditors, makes an assignment for the benefit of its creditors, voluntarily files for bankruptcy or has a</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receiver or trustee (or the like) in bankruptcy appointed by reason of its insolvency, or in the event an involuntary bankruptcy action is filed</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against Avro and not dismissed within [***], or if Avro becomes the subject of liquidation or dissolution proceedings or otherwise discontinues</w:t>
            </w:r>
          </w:p>
        </w:tc>
      </w:tr>
      <w:tr>
        <w:trPr>
          <w:trHeight w:val="230"/>
        </w:trPr>
        <w:tc>
          <w:tcPr>
            <w:tcW w:w="62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business.</w:t>
            </w:r>
          </w:p>
        </w:tc>
        <w:tc>
          <w:tcPr>
            <w:tcW w:w="9600" w:type="dxa"/>
            <w:vAlign w:val="bottom"/>
          </w:tcPr>
          <w:p>
            <w:pPr>
              <w:spacing w:after="0"/>
              <w:rPr>
                <w:sz w:val="20"/>
                <w:szCs w:val="20"/>
                <w:color w:val="auto"/>
              </w:rPr>
            </w:pP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11.5</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Disputed Termination Right</w:t>
            </w:r>
            <w:r>
              <w:rPr>
                <w:rFonts w:ascii="Arial" w:cs="Arial" w:eastAsia="Arial" w:hAnsi="Arial"/>
                <w:sz w:val="18"/>
                <w:szCs w:val="18"/>
                <w:color w:val="auto"/>
                <w:w w:val="91"/>
              </w:rPr>
              <w:t>. If the non-terminating Party disputes in good faith the right of the other Party to terminate this Agreement for any</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reason other than Avro’s right to terminate for convenience pursuant to Section 11.2, and such non-terminating Party provides the terminating</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Party written notice of such dispute within [***] after the terminating Party’s notice, as applicable, then the terminating Party will not have the</w:t>
            </w:r>
          </w:p>
        </w:tc>
      </w:tr>
    </w:tbl>
    <w:p>
      <w:pPr>
        <w:ind w:left="920" w:right="2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terminate this Agreement unless and until the Parties have followed with the dispute resolution mechanism as outlined in Section 14.1 and Section 14.2 and, as required, final determination pursuant to mandatory arbitration under Section 14.3, after which time the terminating Party has the right to terminate this Agreement in accordance with the terms and conditions set forth herein. It is understood and agreed that</w:t>
      </w:r>
    </w:p>
    <w:p>
      <w:pPr>
        <w:spacing w:after="0" w:line="2" w:lineRule="exact"/>
        <w:rPr>
          <w:sz w:val="20"/>
          <w:szCs w:val="20"/>
          <w:color w:val="auto"/>
        </w:rPr>
      </w:pPr>
    </w:p>
    <w:p>
      <w:pPr>
        <w:ind w:left="920" w:right="40"/>
        <w:spacing w:after="0" w:line="261" w:lineRule="auto"/>
        <w:rPr>
          <w:sz w:val="20"/>
          <w:szCs w:val="20"/>
          <w:color w:val="auto"/>
        </w:rPr>
      </w:pPr>
      <w:r>
        <w:rPr>
          <w:rFonts w:ascii="Arial" w:cs="Arial" w:eastAsia="Arial" w:hAnsi="Arial"/>
          <w:sz w:val="18"/>
          <w:szCs w:val="18"/>
          <w:color w:val="auto"/>
        </w:rPr>
        <w:t>(a) during the pendency of such dispute, all of the terms and conditions of this Agreement will remain in effect, and (b) the non-terminating Party will have the right to cure such breach that is the subject matter of the dispute.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Effects of Early Termination</w:t>
            </w:r>
            <w:r>
              <w:rPr>
                <w:rFonts w:ascii="Arial" w:cs="Arial" w:eastAsia="Arial" w:hAnsi="Arial"/>
                <w:sz w:val="18"/>
                <w:szCs w:val="18"/>
                <w:color w:val="auto"/>
              </w:rPr>
              <w:t>. In the event of the termination of this Agreement:</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11.6.1</w:t>
            </w: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the License will be terminated, all rights to the Licensed Technology shall revert to UHN, and Avro shall cease and desist any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further use or exploitation of, and otherwise cease to derive any benefit from, the Licensed Technology, and within [***] either</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destroy or return to UHN, further to UHN’s instructions all of UHN’s property, including all Licensed Technology;</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11.6.2</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each Receiving Party shall return to the Disclosing Party or destroy (as directed by a Disclosing Party) all copies of said Disclosing</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Party’s Confidential Information in a manner consistent with any applicable laws and regulations;</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11.6.3</w:t>
            </w:r>
          </w:p>
        </w:tc>
        <w:tc>
          <w:tcPr>
            <w:tcW w:w="9780" w:type="dxa"/>
            <w:vAlign w:val="bottom"/>
          </w:tcPr>
          <w:p>
            <w:pPr>
              <w:ind w:left="300"/>
              <w:spacing w:after="0"/>
              <w:rPr>
                <w:sz w:val="20"/>
                <w:szCs w:val="20"/>
                <w:color w:val="auto"/>
              </w:rPr>
            </w:pPr>
            <w:r>
              <w:rPr>
                <w:rFonts w:ascii="Arial" w:cs="Arial" w:eastAsia="Arial" w:hAnsi="Arial"/>
                <w:sz w:val="18"/>
                <w:szCs w:val="18"/>
                <w:color w:val="auto"/>
              </w:rPr>
              <w:t>Avro shall within [***] of the date of such termination, pay UHN all current amounts then owed to UHN pursuant to this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2"/>
              </w:rPr>
              <w:t>Agreement. For purposes of certainty and clarity, no term or provision of this Agreement shall be construed to waive the payment</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any monies to UHN accrued at the date of said termination, or arising thereafter;</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11.6.4</w:t>
            </w: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the Parties shall take all necessary steps in a prudent business manner to wind-down any ongoing activities and to effect the orderly</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termination of this Agreement; and</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11.6.5</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Avro and its Affiliates and Sublicensees may complete and sell any work-in-progress and inventory of Licensed Products that exist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4"/>
              </w:rPr>
              <w:t>as of the effective date of termination, provided that (a) Avro pays UHN the applicable running royalty or other amounts due 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such sales of Licensed Products in accordance with the terms and conditions of this Agreement, and (b) Avro and its Affiliates and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Sublicensees shall complete and sell all work-in-progress and inventory of Licensed Products within [***] after the effective date</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termination.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620"/>
              <w:spacing w:after="0"/>
              <w:rPr>
                <w:sz w:val="20"/>
                <w:szCs w:val="20"/>
                <w:color w:val="auto"/>
              </w:rPr>
            </w:pPr>
            <w:r>
              <w:rPr>
                <w:rFonts w:ascii="Arial" w:cs="Arial" w:eastAsia="Arial" w:hAnsi="Arial"/>
                <w:sz w:val="18"/>
                <w:szCs w:val="18"/>
                <w:b w:val="1"/>
                <w:bCs w:val="1"/>
                <w:color w:val="auto"/>
              </w:rPr>
              <w:t>ARTICLE 12 - INDEMNIFICATION</w:t>
            </w:r>
          </w:p>
        </w:tc>
      </w:tr>
      <w:tr>
        <w:trPr>
          <w:trHeight w:val="441"/>
        </w:trPr>
        <w:tc>
          <w:tcPr>
            <w:tcW w:w="62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Indemnification</w:t>
            </w:r>
            <w:r>
              <w:rPr>
                <w:rFonts w:ascii="Arial" w:cs="Arial" w:eastAsia="Arial" w:hAnsi="Arial"/>
                <w:sz w:val="18"/>
                <w:szCs w:val="18"/>
                <w:color w:val="auto"/>
                <w:w w:val="93"/>
              </w:rPr>
              <w:t>. Notwithstanding Section 6.3, Avro agrees to indemnify, save harmless, and defend UHN and its directors, officers, 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staff, employees, clinical staff, research trainees, students, and agents (collectively, “</w:t>
            </w:r>
            <w:r>
              <w:rPr>
                <w:rFonts w:ascii="Arial" w:cs="Arial" w:eastAsia="Arial" w:hAnsi="Arial"/>
                <w:sz w:val="18"/>
                <w:szCs w:val="18"/>
                <w:b w:val="1"/>
                <w:bCs w:val="1"/>
                <w:color w:val="auto"/>
                <w:w w:val="91"/>
              </w:rPr>
              <w:t>UHN Indemnitees</w:t>
            </w:r>
            <w:r>
              <w:rPr>
                <w:rFonts w:ascii="Arial" w:cs="Arial" w:eastAsia="Arial" w:hAnsi="Arial"/>
                <w:sz w:val="18"/>
                <w:szCs w:val="18"/>
                <w:color w:val="auto"/>
                <w:w w:val="91"/>
              </w:rPr>
              <w:t>”), against any and all Third Party claims,</w:t>
            </w:r>
          </w:p>
        </w:tc>
      </w:tr>
      <w:tr>
        <w:trPr>
          <w:trHeight w:val="220"/>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3"/>
              </w:rPr>
              <w:t>suits, losses, damages, costs, fees, and expenses (including reasonable legal expenses) (collectively, “</w:t>
            </w:r>
            <w:r>
              <w:rPr>
                <w:rFonts w:ascii="Arial" w:cs="Arial" w:eastAsia="Arial" w:hAnsi="Arial"/>
                <w:sz w:val="18"/>
                <w:szCs w:val="18"/>
                <w:b w:val="1"/>
                <w:bCs w:val="1"/>
                <w:color w:val="auto"/>
                <w:w w:val="93"/>
              </w:rPr>
              <w:t>Claims</w:t>
            </w:r>
            <w:r>
              <w:rPr>
                <w:rFonts w:ascii="Arial" w:cs="Arial" w:eastAsia="Arial" w:hAnsi="Arial"/>
                <w:sz w:val="18"/>
                <w:szCs w:val="18"/>
                <w:color w:val="auto"/>
                <w:w w:val="93"/>
              </w:rPr>
              <w:t>”), arising out of (a) any liability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claims with respect to any Licensed Product(s), (b) any Third Party intellectual property infringement or alleged infringement claims with respect</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to Licensed Product(s), and (c) any damages, losses, or liabilities whatsoever with respect to death or injury to any person and damage to any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property arising from this Agreement and the License, including, without limitation, the manufacture, design, distribution, and offer for sale of</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Licensed Product(s) or otherwise arising from any exploitation of the Licensed Technology, except in each case to the extent caused by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negligence or willful misconduct of UHN Indemnitees or a breach of this Agreement by UHN.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940"/>
              <w:spacing w:after="0"/>
              <w:rPr>
                <w:sz w:val="20"/>
                <w:szCs w:val="20"/>
                <w:color w:val="auto"/>
              </w:rPr>
            </w:pPr>
            <w:r>
              <w:rPr>
                <w:rFonts w:ascii="Arial" w:cs="Arial" w:eastAsia="Arial" w:hAnsi="Arial"/>
                <w:sz w:val="18"/>
                <w:szCs w:val="18"/>
                <w:b w:val="1"/>
                <w:bCs w:val="1"/>
                <w:color w:val="auto"/>
              </w:rPr>
              <w:t>ARTICLE 13 - INSURANCE</w:t>
            </w:r>
          </w:p>
        </w:tc>
      </w:tr>
      <w:tr>
        <w:trPr>
          <w:trHeight w:val="459"/>
        </w:trPr>
        <w:tc>
          <w:tcPr>
            <w:tcW w:w="62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Avro Insurance</w:t>
            </w:r>
            <w:r>
              <w:rPr>
                <w:rFonts w:ascii="Arial" w:cs="Arial" w:eastAsia="Arial" w:hAnsi="Arial"/>
                <w:sz w:val="18"/>
                <w:szCs w:val="18"/>
                <w:color w:val="auto"/>
                <w:w w:val="92"/>
              </w:rPr>
              <w:t>. No later than [***] prior to the earlier of the (a) first use by Avro of Licensed Technology in humans, or (b) first sale by Avro of</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Product(s), Avro (at its expense) shall obtain and maintain (as appropriate) general liability, product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liability and clinical trial liability insurance (the “</w:t>
            </w:r>
            <w:r>
              <w:rPr>
                <w:rFonts w:ascii="Arial" w:cs="Arial" w:eastAsia="Arial" w:hAnsi="Arial"/>
                <w:sz w:val="18"/>
                <w:szCs w:val="18"/>
                <w:b w:val="1"/>
                <w:bCs w:val="1"/>
                <w:color w:val="auto"/>
                <w:w w:val="95"/>
              </w:rPr>
              <w:t>Avro Insurance</w:t>
            </w:r>
            <w:r>
              <w:rPr>
                <w:rFonts w:ascii="Arial" w:cs="Arial" w:eastAsia="Arial" w:hAnsi="Arial"/>
                <w:sz w:val="18"/>
                <w:szCs w:val="18"/>
                <w:color w:val="auto"/>
                <w:w w:val="95"/>
              </w:rPr>
              <w:t>”) of a minimum of [***] per occurrence and [***] annual aggregate, naming</w:t>
            </w:r>
          </w:p>
        </w:tc>
      </w:tr>
      <w:tr>
        <w:trPr>
          <w:trHeight w:val="220"/>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UHN as an additional insured. Avro shall provide to UHN a “</w:t>
            </w:r>
            <w:r>
              <w:rPr>
                <w:rFonts w:ascii="Arial" w:cs="Arial" w:eastAsia="Arial" w:hAnsi="Arial"/>
                <w:sz w:val="18"/>
                <w:szCs w:val="18"/>
                <w:b w:val="1"/>
                <w:bCs w:val="1"/>
                <w:color w:val="auto"/>
                <w:w w:val="94"/>
              </w:rPr>
              <w:t>Certificate of Insurance</w:t>
            </w:r>
            <w:r>
              <w:rPr>
                <w:rFonts w:ascii="Arial" w:cs="Arial" w:eastAsia="Arial" w:hAnsi="Arial"/>
                <w:sz w:val="18"/>
                <w:szCs w:val="18"/>
                <w:color w:val="auto"/>
                <w:w w:val="94"/>
              </w:rPr>
              <w:t>” evidencing compliance with this provision within [***]</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prior to such first use. Avro shall, at its own expense, obtain and maintain the Avro Insurance from the initial date required by this Section 13.1</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for the Term and for a period of [***] thereafter. In the alternative, Avro may self-insure subject to prior approval of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3"/>
              </w:rPr>
              <w:t>Sublicensee Insurance</w:t>
            </w:r>
            <w:r>
              <w:rPr>
                <w:rFonts w:ascii="Arial" w:cs="Arial" w:eastAsia="Arial" w:hAnsi="Arial"/>
                <w:sz w:val="18"/>
                <w:szCs w:val="18"/>
                <w:color w:val="auto"/>
                <w:w w:val="93"/>
              </w:rPr>
              <w:t>. Unless said activities are otherwise covered by Avro Insurance, any Sublicense shall require Sublicensee(s), at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Sublicensee(s) expense, to obtain and maintain liability insurance at a level commensurate with the Avro Insurance, naming Avro and UHN as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additional insured; provided however, that if the Sublicensee is a substantial multi-national entity which has a policy of self-insuring, then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Sublicensee may self-insure. Sublicense agreements shall require Sublicensee(s) to provide to Avro and to UHN a Certificate of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evidencing compliance with this provision prior to the earlier of the first use of the Licensed Technology in humans or first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Product(s) under any Sublicense. In no event shall the Sublicensee(s) use the Licensed Technology in humans or engage in the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Product(s) under this or any Sublicense agreement prior to the delivery to UHN of the Certificate of Insurance or an indication of self-insurance,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as applicable. The Sublicense shall provide that Sublicensee(s) (at no expense to UHN) shall obtain and maintain from the initial date required by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this Section 13.2 until the end of the term of the Sublicense and an additional period of [***] thereafter, a policy of appropriate liability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(or self-insurance, if applicable) at a level commensurate with the Avro Insurance. In the event that Sublicensee does not have the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coverage required by this Section 13.2, Avro shall terminate said Sublicense or otherwise ensure subject to UHN prior approval, that the activities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 said Sublicensee are insured by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Qualified Insurance</w:t>
            </w:r>
            <w:r>
              <w:rPr>
                <w:rFonts w:ascii="Arial" w:cs="Arial" w:eastAsia="Arial" w:hAnsi="Arial"/>
                <w:sz w:val="18"/>
                <w:szCs w:val="18"/>
                <w:color w:val="auto"/>
                <w:w w:val="91"/>
              </w:rPr>
              <w:t>. All insurance policies required in accordance with this Article 13 shall be obtained from an insurance company qualified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offer protection in the jurisdictions where Licensed Technology is to be exploited or Licensed Product(s) are offered for sale.</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13.4</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Avro shall provide [***] written notice to UHN by registered or certified mail in the event of any modification, cancellation or</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termination of such insurance policy.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13.5</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5"/>
              </w:rPr>
              <w:t>Copy of Policy</w:t>
            </w:r>
            <w:r>
              <w:rPr>
                <w:rFonts w:ascii="Arial" w:cs="Arial" w:eastAsia="Arial" w:hAnsi="Arial"/>
                <w:sz w:val="18"/>
                <w:szCs w:val="18"/>
                <w:color w:val="auto"/>
                <w:w w:val="95"/>
              </w:rPr>
              <w:t>. Avro shall, on written request, provide UHN with a copy of the insurance policy in force at the time of the request and this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provision shall survive the termination of this Agreement for a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13.6</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7"/>
              </w:rPr>
              <w:t>Incomplete Insurance</w:t>
            </w:r>
            <w:r>
              <w:rPr>
                <w:rFonts w:ascii="Arial" w:cs="Arial" w:eastAsia="Arial" w:hAnsi="Arial"/>
                <w:sz w:val="18"/>
                <w:szCs w:val="18"/>
                <w:color w:val="auto"/>
                <w:w w:val="97"/>
              </w:rPr>
              <w:t>. In the event Avro does not have the insurance coverage required by this Article 13, or if any portion of the Avro</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Insurance or other required coverage is cancelled and not immediately replaced, Avro shall promptly inform UHN and UHN shall be free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terminate this Agreement upon notice to Avro in accordance with Section 11.3.1.</w:t>
            </w:r>
          </w:p>
        </w:tc>
      </w:tr>
      <w:tr>
        <w:trPr>
          <w:trHeight w:val="648"/>
        </w:trPr>
        <w:tc>
          <w:tcPr>
            <w:tcW w:w="620" w:type="dxa"/>
            <w:vAlign w:val="bottom"/>
          </w:tcPr>
          <w:p>
            <w:pPr>
              <w:spacing w:after="0"/>
              <w:rPr>
                <w:sz w:val="24"/>
                <w:szCs w:val="24"/>
                <w:color w:val="auto"/>
              </w:rPr>
            </w:pPr>
          </w:p>
        </w:tc>
        <w:tc>
          <w:tcPr>
            <w:tcW w:w="10800" w:type="dxa"/>
            <w:vAlign w:val="bottom"/>
          </w:tcPr>
          <w:p>
            <w:pPr>
              <w:ind w:left="3480"/>
              <w:spacing w:after="0"/>
              <w:rPr>
                <w:sz w:val="20"/>
                <w:szCs w:val="20"/>
                <w:color w:val="auto"/>
              </w:rPr>
            </w:pPr>
            <w:r>
              <w:rPr>
                <w:rFonts w:ascii="Arial" w:cs="Arial" w:eastAsia="Arial" w:hAnsi="Arial"/>
                <w:sz w:val="18"/>
                <w:szCs w:val="18"/>
                <w:b w:val="1"/>
                <w:bCs w:val="1"/>
                <w:color w:val="auto"/>
              </w:rPr>
              <w:t>ARTICLE 14 - DISPUTE RESOLUTION</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14.1</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6"/>
              </w:rPr>
              <w:t>Good Faith Efforts</w:t>
            </w:r>
            <w:r>
              <w:rPr>
                <w:rFonts w:ascii="Arial" w:cs="Arial" w:eastAsia="Arial" w:hAnsi="Arial"/>
                <w:sz w:val="18"/>
                <w:szCs w:val="18"/>
                <w:color w:val="auto"/>
                <w:w w:val="96"/>
              </w:rPr>
              <w:t>. Except as otherwise stated in this Agreement, the Parties agree to use good faith efforts to resolve amicably among</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themselves any dispute arising out of or relating to this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Referral for Resolution</w:t>
            </w:r>
            <w:r>
              <w:rPr>
                <w:rFonts w:ascii="Arial" w:cs="Arial" w:eastAsia="Arial" w:hAnsi="Arial"/>
                <w:sz w:val="18"/>
                <w:szCs w:val="18"/>
                <w:color w:val="auto"/>
                <w:w w:val="95"/>
              </w:rPr>
              <w:t>. If the Parties are unable to resolve the dispute under Section 14.1 within [***] of written notice of one Party to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other Party of such dispute, the dispute shall be referred to the Executive Vice President, Research of UHN (or designate) and the CEO (or</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designate) of Avro for their discussion and resolution for an additional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14.3</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As mandated by Sections 4.6, 11.3.1, 11.3.2, 11.3.3 or 11.5, if a dispute is not resolved pursuant to Section 14.2, and mandatory arbitration is</w:t>
            </w:r>
          </w:p>
        </w:tc>
      </w:tr>
      <w:tr>
        <w:trPr>
          <w:trHeight w:val="212"/>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thereafter dictated, such dispute shall be finally settled under mandatory arbitration (such decision to be final and non-appealable) pursuant to the</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Rules of Arbitration of the International Chamber of Commerce (“</w:t>
            </w:r>
            <w:r>
              <w:rPr>
                <w:rFonts w:ascii="Arial" w:cs="Arial" w:eastAsia="Arial" w:hAnsi="Arial"/>
                <w:sz w:val="18"/>
                <w:szCs w:val="18"/>
                <w:b w:val="1"/>
                <w:bCs w:val="1"/>
                <w:color w:val="auto"/>
                <w:w w:val="92"/>
              </w:rPr>
              <w:t>ICC</w:t>
            </w:r>
            <w:r>
              <w:rPr>
                <w:rFonts w:ascii="Arial" w:cs="Arial" w:eastAsia="Arial" w:hAnsi="Arial"/>
                <w:sz w:val="18"/>
                <w:szCs w:val="18"/>
                <w:color w:val="auto"/>
                <w:w w:val="92"/>
              </w:rPr>
              <w:t>”). The legal place of arbitration shall be Toronto and the official language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of the arbitration shall be English. The arbitration will be heard and determined by three (3) arbitrators who are retired judges or attorneys with at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least ten (10) years of relevant experience in the pharmaceutical and biotechnology industry, each of whom will be impartial and independent.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Each Party will appoint one (1) arbitrator and the third (3rd) arbitrator will be selected by the two (2) Party-appointed arbitrators, or, failing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agreement within [***] following appointment of the second arbitrator, by the ICC. The arbitration award so given will be a final and binding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determination of the dispute, will be fully enforceable in any court of competent jurisdiction, and will not include any damages expressly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prohibited under Section 6.3.3. Fees, costs and expenses of arbitration are to be divided by the Parties in the following manner: UHN will pay for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the arbitrator it chooses, Avro will pay for the arbitrator it chooses, and the Parties will share payment for the third arbitrator. Except in 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proceeding to enforce the results of the arbitration or as otherwise required by Law, neither Party nor any arbitrator may disclose the existence,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content or results of any arbitration hereunder without the prior written consent of both Parties.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Interim Protection</w:t>
            </w:r>
            <w:r>
              <w:rPr>
                <w:rFonts w:ascii="Arial" w:cs="Arial" w:eastAsia="Arial" w:hAnsi="Arial"/>
                <w:sz w:val="18"/>
                <w:szCs w:val="18"/>
                <w:color w:val="auto"/>
                <w:w w:val="95"/>
              </w:rPr>
              <w:t>. This Article 14 shall not prevent a Party from applying to a court of competent jurisdiction for equitable relief or interim</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protection such as, by way of example, an interim injunction for breaches of confidentiality pursuant to Article 9.</w:t>
            </w:r>
          </w:p>
        </w:tc>
      </w:tr>
      <w:tr>
        <w:trPr>
          <w:trHeight w:val="648"/>
        </w:trPr>
        <w:tc>
          <w:tcPr>
            <w:tcW w:w="620" w:type="dxa"/>
            <w:vAlign w:val="bottom"/>
          </w:tcPr>
          <w:p>
            <w:pPr>
              <w:spacing w:after="0"/>
              <w:rPr>
                <w:sz w:val="24"/>
                <w:szCs w:val="24"/>
                <w:color w:val="auto"/>
              </w:rPr>
            </w:pPr>
          </w:p>
        </w:tc>
        <w:tc>
          <w:tcPr>
            <w:tcW w:w="10780" w:type="dxa"/>
            <w:vAlign w:val="bottom"/>
          </w:tcPr>
          <w:p>
            <w:pPr>
              <w:ind w:left="4140"/>
              <w:spacing w:after="0"/>
              <w:rPr>
                <w:sz w:val="20"/>
                <w:szCs w:val="20"/>
                <w:color w:val="auto"/>
              </w:rPr>
            </w:pPr>
            <w:r>
              <w:rPr>
                <w:rFonts w:ascii="Arial" w:cs="Arial" w:eastAsia="Arial" w:hAnsi="Arial"/>
                <w:sz w:val="18"/>
                <w:szCs w:val="18"/>
                <w:b w:val="1"/>
                <w:bCs w:val="1"/>
                <w:color w:val="auto"/>
              </w:rPr>
              <w:t>ARTICLE 15 - NOTICE</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15.1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3"/>
              </w:rPr>
              <w:t>Notice</w:t>
            </w:r>
            <w:r>
              <w:rPr>
                <w:rFonts w:ascii="Arial" w:cs="Arial" w:eastAsia="Arial" w:hAnsi="Arial"/>
                <w:sz w:val="18"/>
                <w:szCs w:val="18"/>
                <w:color w:val="auto"/>
                <w:w w:val="93"/>
              </w:rPr>
              <w:t>. All notices which are required or permitted to be given hereunder (“</w:t>
            </w:r>
            <w:r>
              <w:rPr>
                <w:rFonts w:ascii="Arial" w:cs="Arial" w:eastAsia="Arial" w:hAnsi="Arial"/>
                <w:sz w:val="18"/>
                <w:szCs w:val="18"/>
                <w:b w:val="1"/>
                <w:bCs w:val="1"/>
                <w:color w:val="auto"/>
                <w:w w:val="93"/>
              </w:rPr>
              <w:t>Notices</w:t>
            </w:r>
            <w:r>
              <w:rPr>
                <w:rFonts w:ascii="Arial" w:cs="Arial" w:eastAsia="Arial" w:hAnsi="Arial"/>
                <w:sz w:val="18"/>
                <w:szCs w:val="18"/>
                <w:color w:val="auto"/>
                <w:w w:val="93"/>
              </w:rPr>
              <w:t>”) including judicial payment notices must be in writing. All</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such Notices must be sent as follows:</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 UHN: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Technology Development &amp; Commercialization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UHN Health Network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College Street - Suite 150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Heritage Building - MaRS Centre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Toronto, Ontario, Canada M5G 1L7</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Avro: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AvroBio,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9" w:right="23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or to such other address as a Party may designate by Notice given in accordance with this Article 15. Any such Notice may be delivered by hand</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or by overnight courier and will be deemed to have been delivered on the date of delivery.</w:t>
            </w:r>
          </w:p>
        </w:tc>
      </w:tr>
      <w:tr>
        <w:trPr>
          <w:trHeight w:val="648"/>
        </w:trPr>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500" w:type="dxa"/>
            <w:vAlign w:val="bottom"/>
          </w:tcPr>
          <w:p>
            <w:pPr>
              <w:ind w:left="2780"/>
              <w:spacing w:after="0"/>
              <w:rPr>
                <w:sz w:val="20"/>
                <w:szCs w:val="20"/>
                <w:color w:val="auto"/>
              </w:rPr>
            </w:pPr>
            <w:r>
              <w:rPr>
                <w:rFonts w:ascii="Arial" w:cs="Arial" w:eastAsia="Arial" w:hAnsi="Arial"/>
                <w:sz w:val="18"/>
                <w:szCs w:val="18"/>
                <w:b w:val="1"/>
                <w:bCs w:val="1"/>
                <w:color w:val="auto"/>
              </w:rPr>
              <w:t>ARTICLE 16 - GENERAL</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16.1</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Entire Agreement</w:t>
            </w:r>
            <w:r>
              <w:rPr>
                <w:rFonts w:ascii="Arial" w:cs="Arial" w:eastAsia="Arial" w:hAnsi="Arial"/>
                <w:sz w:val="18"/>
                <w:szCs w:val="18"/>
                <w:color w:val="auto"/>
                <w:w w:val="96"/>
              </w:rPr>
              <w:t>. The Parties acknowledge that this Agreement its Schedules, any SRAs, the Material Transfer Agreement, the Letter</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Agreement and any other related document required to effect the contemplated transactions, shall be the entire agreement and understanding of</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the Parties as to the subject matter of this Agreement, and supersedes all prior discussions, agreements and writings in respect of the subject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matter of this Agreement, including, without limitation the Option Agreement. For the avoidance of doubt, this Agreement does not amend,</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7"/>
              </w:rPr>
              <w:t>restate, supplement or otherwise modify any of the terms or conditions of any other agreement between the Parties, including the IL-12</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Agreement. The IL-12 Agreement shall remain in full force and effect in accordance with its terms and conditions.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16.2</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88"/>
              </w:rPr>
              <w:t>General Assurances</w:t>
            </w:r>
            <w:r>
              <w:rPr>
                <w:rFonts w:ascii="Arial" w:cs="Arial" w:eastAsia="Arial" w:hAnsi="Arial"/>
                <w:sz w:val="18"/>
                <w:szCs w:val="18"/>
                <w:color w:val="auto"/>
                <w:w w:val="88"/>
              </w:rPr>
              <w:t>. The Parties agree to do all such things and to execute such instruments and documents as may be necessary or desirable in</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order to carry out the provisions and intent of this Agreement.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16.3</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Inure to Benefit</w:t>
            </w:r>
            <w:r>
              <w:rPr>
                <w:rFonts w:ascii="Arial" w:cs="Arial" w:eastAsia="Arial" w:hAnsi="Arial"/>
                <w:sz w:val="18"/>
                <w:szCs w:val="18"/>
                <w:color w:val="auto"/>
                <w:w w:val="95"/>
              </w:rPr>
              <w:t>. This Agreement shall inure to the benefit of and be binding upon the respective Parties and, where the context admits or</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requires, their respective permitted successors or assigns.</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16.4</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w w:val="88"/>
              </w:rPr>
              <w:t>Assignment</w:t>
            </w:r>
            <w:r>
              <w:rPr>
                <w:rFonts w:ascii="Arial" w:cs="Arial" w:eastAsia="Arial" w:hAnsi="Arial"/>
                <w:sz w:val="18"/>
                <w:szCs w:val="18"/>
                <w:color w:val="auto"/>
                <w:w w:val="88"/>
              </w:rPr>
              <w:t>.</w:t>
            </w:r>
          </w:p>
        </w:tc>
        <w:tc>
          <w:tcPr>
            <w:tcW w:w="9500" w:type="dxa"/>
            <w:vAlign w:val="bottom"/>
          </w:tcPr>
          <w:p>
            <w:pPr>
              <w:spacing w:after="0"/>
              <w:rPr>
                <w:sz w:val="24"/>
                <w:szCs w:val="24"/>
                <w:color w:val="auto"/>
              </w:rPr>
            </w:pPr>
          </w:p>
        </w:tc>
      </w:tr>
      <w:tr>
        <w:trPr>
          <w:trHeight w:val="323"/>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16.4.1</w:t>
            </w:r>
          </w:p>
        </w:tc>
        <w:tc>
          <w:tcPr>
            <w:tcW w:w="9500" w:type="dxa"/>
            <w:vAlign w:val="bottom"/>
          </w:tcPr>
          <w:p>
            <w:pPr>
              <w:ind w:left="40"/>
              <w:spacing w:after="0"/>
              <w:rPr>
                <w:sz w:val="20"/>
                <w:szCs w:val="20"/>
                <w:color w:val="auto"/>
              </w:rPr>
            </w:pPr>
            <w:r>
              <w:rPr>
                <w:rFonts w:ascii="Arial" w:cs="Arial" w:eastAsia="Arial" w:hAnsi="Arial"/>
                <w:sz w:val="18"/>
                <w:szCs w:val="18"/>
                <w:color w:val="auto"/>
                <w:w w:val="96"/>
              </w:rPr>
              <w:t>Avro may assign its rights and obligations under this Agreement to (a) an Affiliate or (b) a Third Party in connection with the</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merger, consolidation, reorganization, or sale of all or substantially all of its assets or that portion of its business to which this</w:t>
            </w:r>
          </w:p>
        </w:tc>
      </w:tr>
      <w:tr>
        <w:trPr>
          <w:trHeight w:val="230"/>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Agreement relates.</w:t>
            </w:r>
          </w:p>
        </w:tc>
      </w:tr>
      <w:tr>
        <w:trPr>
          <w:trHeight w:val="319"/>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16.4.2</w:t>
            </w:r>
          </w:p>
        </w:tc>
        <w:tc>
          <w:tcPr>
            <w:tcW w:w="9500" w:type="dxa"/>
            <w:vAlign w:val="bottom"/>
          </w:tcPr>
          <w:p>
            <w:pPr>
              <w:ind w:left="40"/>
              <w:spacing w:after="0"/>
              <w:rPr>
                <w:sz w:val="20"/>
                <w:szCs w:val="20"/>
                <w:color w:val="auto"/>
              </w:rPr>
            </w:pPr>
            <w:r>
              <w:rPr>
                <w:rFonts w:ascii="Arial" w:cs="Arial" w:eastAsia="Arial" w:hAnsi="Arial"/>
                <w:sz w:val="18"/>
                <w:szCs w:val="18"/>
                <w:color w:val="auto"/>
                <w:w w:val="92"/>
              </w:rPr>
              <w:t>In the event of (a) a merger or acquisition of Avro by a Third Party during the Term or (b) a sale of all or substantially all of Avro’s</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assets (including this Agreement) relating to the Licensed Products to a Third Party during the Term (respectively a “</w:t>
            </w:r>
            <w:r>
              <w:rPr>
                <w:rFonts w:ascii="Arial" w:cs="Arial" w:eastAsia="Arial" w:hAnsi="Arial"/>
                <w:sz w:val="18"/>
                <w:szCs w:val="18"/>
                <w:b w:val="1"/>
                <w:bCs w:val="1"/>
                <w:color w:val="auto"/>
                <w:w w:val="95"/>
              </w:rPr>
              <w:t>License</w:t>
            </w:r>
          </w:p>
        </w:tc>
      </w:tr>
      <w:tr>
        <w:trPr>
          <w:trHeight w:val="220"/>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b w:val="1"/>
                <w:bCs w:val="1"/>
                <w:color w:val="auto"/>
                <w:w w:val="97"/>
              </w:rPr>
              <w:t>Transfer</w:t>
            </w:r>
            <w:r>
              <w:rPr>
                <w:rFonts w:ascii="Arial" w:cs="Arial" w:eastAsia="Arial" w:hAnsi="Arial"/>
                <w:sz w:val="18"/>
                <w:szCs w:val="18"/>
                <w:color w:val="auto"/>
                <w:w w:val="97"/>
              </w:rPr>
              <w:t>”), a “</w:t>
            </w:r>
            <w:r>
              <w:rPr>
                <w:rFonts w:ascii="Arial" w:cs="Arial" w:eastAsia="Arial" w:hAnsi="Arial"/>
                <w:sz w:val="18"/>
                <w:szCs w:val="18"/>
                <w:b w:val="1"/>
                <w:bCs w:val="1"/>
                <w:color w:val="auto"/>
                <w:w w:val="97"/>
              </w:rPr>
              <w:t>License Transfer Fee</w:t>
            </w:r>
            <w:r>
              <w:rPr>
                <w:rFonts w:ascii="Arial" w:cs="Arial" w:eastAsia="Arial" w:hAnsi="Arial"/>
                <w:sz w:val="18"/>
                <w:szCs w:val="18"/>
                <w:color w:val="auto"/>
                <w:w w:val="97"/>
              </w:rPr>
              <w:t>” shall be payable to UHN equal to [***] percent ([***]%) of proceeds from the License</w:t>
            </w:r>
          </w:p>
        </w:tc>
      </w:tr>
      <w:tr>
        <w:trPr>
          <w:trHeight w:val="230"/>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88"/>
              </w:rPr>
              <w:t>Transfer, subject to a total cap of License Transfer Fees as between this Agreement and any License Transfer Fee payable under the</w:t>
            </w:r>
          </w:p>
        </w:tc>
      </w:tr>
    </w:tbl>
    <w:p>
      <w:pPr>
        <w:ind w:left="1940" w:right="1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IL-12 Agreement of [***]. For certainty and clarity, a License Transfer shall exclude any equity or debt financing (other than, for clarity, in connection with a sale of all or substantially of Avro’s assets (including this Agreement) relating to the Licensed Products to a Third Party), any initial public offering, or any transaction involving Avro or its Affiliates in which the stockholders of Avro or its Affiliates immediately preceding such transaction retain fifty percent (50%) or more of the outstanding shares, or fifty percent (50%) or more of the outstanding voting power, respectively, of the ultimate company or entity resulting from such transaction immediately after consummation thereof.</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16.4.3</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The License Transfer Fee payable in respect of the License Transfer will be due within [***] of the closing of the License Transfer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(or actual receipt of consideration in the event of scheduled payments for the License Transfer), and will be payable in the same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type of consideration (e.g., cash, securities, etc.) received by Avro or its stockholders. The License Transfer Fee shall only apply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with respect to the first License Transfer and not with respect to any subsequent License Transfers. Notwithstanding the foregoing,</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(sub)licenses, licenses to manufacture, or licenses for distribution relating to Licensed Products or Licensed Technology, or sales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assets, (sub)licenses, licenses to manufacture, licenses for distribution or other transactions relating to other products, etc. shall not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be deemed a License Transfer hereunder. The License Transfer Fee shall be in addition to any distributions due to UHN as a</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shareholder in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16.5</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No Joint Venture</w:t>
            </w:r>
            <w:r>
              <w:rPr>
                <w:rFonts w:ascii="Arial" w:cs="Arial" w:eastAsia="Arial" w:hAnsi="Arial"/>
                <w:sz w:val="18"/>
                <w:szCs w:val="18"/>
                <w:color w:val="auto"/>
                <w:w w:val="90"/>
              </w:rPr>
              <w:t>. Each Party is and will remain at all times independent of each other. The Parties are not and shall not be considered to be joint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venturers, partners or agents of each other and neither of them shall have the power to bind or obligate the other except as set forth in this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Agreement. The Parties mutually covenant and agree that neither shall they, in any way, incur any contractual or other obligation in the name of</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the other, nor shall they have liability for any debts incurred by the other. No representation will be made or acts taken by any of the Parties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which could establish any apparent relationship of agency, joint venture, partnership or employment.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16.6</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Waiver</w:t>
            </w:r>
            <w:r>
              <w:rPr>
                <w:rFonts w:ascii="Arial" w:cs="Arial" w:eastAsia="Arial" w:hAnsi="Arial"/>
                <w:sz w:val="18"/>
                <w:szCs w:val="18"/>
                <w:color w:val="auto"/>
                <w:w w:val="92"/>
              </w:rPr>
              <w:t>. No amendment, supplement or waiver of any provision of this Agreement shall be binding on any Party unless consented to in writing</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by such Party. No waiver of any provision of this Agreement shall constitute a waiver of any other provision, nor shall any waiver constitute a</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continuing waiver unless otherwise expressly provided. Further, no failure or delay by any Party in exercising any right or remedy shall operate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as a waiver of such right or remedy, nor shall any single or partial exercise or waiver of any right or remedy preclude its further exercise or the</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exercise of any other right or remedy.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16.7</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Joint Preparation</w:t>
            </w:r>
            <w:r>
              <w:rPr>
                <w:rFonts w:ascii="Arial" w:cs="Arial" w:eastAsia="Arial" w:hAnsi="Arial"/>
                <w:sz w:val="18"/>
                <w:szCs w:val="18"/>
                <w:color w:val="auto"/>
                <w:w w:val="90"/>
              </w:rPr>
              <w:t>. This Agreement shall be deemed to be jointly prepared by the Parties, and any ambiguity herein shall not be construed for or</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against any single Party.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16.8</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Governing Law</w:t>
            </w:r>
            <w:r>
              <w:rPr>
                <w:rFonts w:ascii="Arial" w:cs="Arial" w:eastAsia="Arial" w:hAnsi="Arial"/>
                <w:sz w:val="18"/>
                <w:szCs w:val="18"/>
                <w:color w:val="auto"/>
                <w:w w:val="91"/>
              </w:rPr>
              <w:t>. This Agreement shall be governed by the laws of the Province of Ontario and the laws of Canada applicable therein, and shall</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be treated as an Ontario contract. Subject to Article 14, the Parties irrevocably and unconditionally submit to the exclusive jurisdiction the courts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of Ontario and all courts competent to hear appeals therefrom in connection with any matters arising under this Agreement, except for disputes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under Sections 4.6,11.3.1,11.3.2,11.3.3 or 11.5, each of which shall be addressed pursuant to Section 14.3.</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16.9</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Severability of Provisions</w:t>
            </w:r>
            <w:r>
              <w:rPr>
                <w:rFonts w:ascii="Arial" w:cs="Arial" w:eastAsia="Arial" w:hAnsi="Arial"/>
                <w:sz w:val="18"/>
                <w:szCs w:val="18"/>
                <w:color w:val="auto"/>
                <w:w w:val="96"/>
              </w:rPr>
              <w:t>. In the event that any provisions of this Agreement is determined to be invalid or unenforceable by a court of</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competent jurisdiction in any jurisdiction, the remainder of this Agreement shall remain in full force and effect without said provision in said</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jurisdiction and such determination shall not affect the validity or enforceability of such provision or this Agreement in any other jurisdiction.</w:t>
            </w:r>
          </w:p>
        </w:tc>
      </w:tr>
    </w:tbl>
    <w:p>
      <w:pPr>
        <w:ind w:left="920" w:right="7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shall in good faith negotiate a substitute clause for any provision declared invalid or unenforceable, which shall most nearly approximate the intent of the Parties in entering this Agreement.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395" w:name="page396"/>
    <w:bookmarkEnd w:id="395"/>
    <w:p>
      <w:pPr>
        <w:ind w:left="920" w:right="60" w:hanging="904"/>
        <w:spacing w:after="0" w:line="256" w:lineRule="auto"/>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16.10</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In the event that any one of the Parties is prevented from fulfilling any of its obligations herein by acts of God, war, terrorism,</w:t>
      </w:r>
      <w:r>
        <w:rPr>
          <w:rFonts w:ascii="Arial" w:cs="Arial" w:eastAsia="Arial" w:hAnsi="Arial"/>
          <w:sz w:val="18"/>
          <w:szCs w:val="18"/>
          <w:b w:val="1"/>
          <w:bCs w:val="1"/>
          <w:color w:val="auto"/>
        </w:rPr>
        <w:t xml:space="preserve"> </w:t>
      </w:r>
      <w:r>
        <w:rPr>
          <w:rFonts w:ascii="Arial" w:cs="Arial" w:eastAsia="Arial" w:hAnsi="Arial"/>
          <w:sz w:val="18"/>
          <w:szCs w:val="18"/>
          <w:color w:val="auto"/>
        </w:rPr>
        <w:t>strikes, riots, storms, fires, governmental orders or restrictions or any other cause beyond its control, the payment of royalties or milestones or other required payments, or the applicable pro rata portion thereof, shall be suspended during the full period of any such prevention, but payment of Royalties, Sublicensing Fee(s), milestones or other required payments which have accrued for payment prior to, during or after such cause shall not be excused. UHN will have the right to immediately terminate this Agreement in the event that Avro is unable to fulfill its obligations further to this Section 16.10 for a period of [***].</w:t>
      </w:r>
    </w:p>
    <w:p>
      <w:pPr>
        <w:spacing w:after="0" w:line="93" w:lineRule="exact"/>
        <w:rPr>
          <w:sz w:val="20"/>
          <w:szCs w:val="20"/>
          <w:color w:val="auto"/>
        </w:rPr>
      </w:pPr>
    </w:p>
    <w:p>
      <w:pPr>
        <w:ind w:left="920" w:right="60" w:hanging="904"/>
        <w:spacing w:after="0" w:line="274" w:lineRule="auto"/>
        <w:tabs>
          <w:tab w:leader="none" w:pos="90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 The termination or expiration of this Agreement shall not relieve the Parties of any obligations accruing prior to such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(including any payments accrued and delayed pursuant to Section 5.7), and any such expiration or termination shall be without prejudice to the rights of either Party against the other Party. Sections 2.3 (last sentence), 4.3, 4.11, 4.12, 4.13, 4.14, 6.3, 11.4, 11.5, 11.6, 12.1, 13.1, and 13.2 and Articles 1,9, 10, 14, 15 and 16 (excluding Section 16.4.2 and 16.4.3 if License Transfer occurs after expiration or termination) shall remain in force and effect after the expiration or earlier termination of this Agreement until such time as specifically noted in a particular Section or Article, or the Parties mutually agree to the release of the obligation (in whole or in part) contained therein.</w:t>
      </w:r>
    </w:p>
    <w:p>
      <w:pPr>
        <w:spacing w:after="0" w:line="79" w:lineRule="exact"/>
        <w:rPr>
          <w:sz w:val="20"/>
          <w:szCs w:val="20"/>
          <w:color w:val="auto"/>
        </w:rPr>
      </w:pPr>
    </w:p>
    <w:p>
      <w:pPr>
        <w:ind w:left="920" w:right="160" w:hanging="904"/>
        <w:spacing w:after="0" w:line="281" w:lineRule="auto"/>
        <w:tabs>
          <w:tab w:leader="none" w:pos="90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counterparts each of which shall be deemed an original but all of which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 Transmission by facsimile, email or other form of electronic transmission of an executed counterpart of this Agreement shall be deemed to constitute due and sufficient delivery of such counterpart. Alternatively, the Agreement may be exchanged and executed by facsimile or other form of electronic transmission as a single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396" w:name="page397"/>
    <w:bookmarkEnd w:id="3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executing this Agreement so as to be effective on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UNIVERSITY HEALTH NETWORK</w:t>
            </w:r>
          </w:p>
        </w:tc>
        <w:tc>
          <w:tcPr>
            <w:tcW w:w="6460" w:type="dxa"/>
            <w:vAlign w:val="bottom"/>
            <w:gridSpan w:val="3"/>
          </w:tcPr>
          <w:p>
            <w:pPr>
              <w:ind w:left="11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tc>
      </w:tr>
      <w:tr>
        <w:trPr>
          <w:trHeight w:val="419"/>
        </w:trPr>
        <w:tc>
          <w:tcPr>
            <w:tcW w:w="4960" w:type="dxa"/>
            <w:vAlign w:val="bottom"/>
            <w:gridSpan w:val="3"/>
          </w:tcPr>
          <w:p>
            <w:pPr>
              <w:spacing w:after="0"/>
              <w:rPr>
                <w:sz w:val="20"/>
                <w:szCs w:val="20"/>
                <w:color w:val="auto"/>
              </w:rPr>
            </w:pPr>
            <w:r>
              <w:rPr>
                <w:rFonts w:ascii="Arial" w:cs="Arial" w:eastAsia="Arial" w:hAnsi="Arial"/>
                <w:sz w:val="18"/>
                <w:szCs w:val="18"/>
                <w:color w:val="auto"/>
              </w:rPr>
              <w:t>Per: /s/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Per: /s/ Geoff MacKay</w:t>
            </w:r>
          </w:p>
        </w:tc>
      </w:tr>
      <w:tr>
        <w:trPr>
          <w:trHeight w:val="20"/>
        </w:trPr>
        <w:tc>
          <w:tcPr>
            <w:tcW w:w="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Name: Dr.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Name: Geoff MacKay</w:t>
            </w: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Title: Executive Vice President Science and Research</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Title: President and Chief Executive Officer</w:t>
            </w:r>
          </w:p>
        </w:tc>
      </w:tr>
      <w:tr>
        <w:trPr>
          <w:trHeight w:val="378"/>
        </w:trPr>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20" w:type="dxa"/>
            <w:vAlign w:val="bottom"/>
            <w:gridSpan w:val="2"/>
          </w:tcPr>
          <w:p>
            <w:pPr>
              <w:ind w:left="1920"/>
              <w:spacing w:after="0"/>
              <w:rPr>
                <w:sz w:val="20"/>
                <w:szCs w:val="20"/>
                <w:color w:val="auto"/>
              </w:rPr>
            </w:pPr>
            <w:r>
              <w:rPr>
                <w:rFonts w:ascii="Arial" w:cs="Arial" w:eastAsia="Arial" w:hAnsi="Arial"/>
                <w:sz w:val="18"/>
                <w:szCs w:val="18"/>
                <w:color w:val="auto"/>
                <w:w w:val="94"/>
              </w:rPr>
              <w:t>*** Confidential Treatment Requested ***</w:t>
            </w:r>
          </w:p>
        </w:tc>
      </w:tr>
    </w:tbl>
    <w:p>
      <w:pPr>
        <w:sectPr>
          <w:pgSz w:w="11900" w:h="16838" w:orient="portrait"/>
          <w:cols w:equalWidth="0" w:num="1">
            <w:col w:w="11420"/>
          </w:cols>
          <w:pgMar w:left="240" w:top="274" w:right="239" w:bottom="1440" w:gutter="0" w:footer="0" w:header="0"/>
        </w:sectPr>
      </w:pPr>
    </w:p>
    <w:bookmarkStart w:id="397" w:name="page398"/>
    <w:bookmarkEnd w:id="3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0" w:type="dxa"/>
            <w:vAlign w:val="bottom"/>
          </w:tcPr>
          <w:p>
            <w:pPr>
              <w:jc w:val="right"/>
              <w:ind w:right="5110"/>
              <w:spacing w:after="0"/>
              <w:rPr>
                <w:sz w:val="20"/>
                <w:szCs w:val="20"/>
                <w:color w:val="auto"/>
              </w:rPr>
            </w:pPr>
            <w:r>
              <w:rPr>
                <w:rFonts w:ascii="Arial" w:cs="Arial" w:eastAsia="Arial" w:hAnsi="Arial"/>
                <w:sz w:val="18"/>
                <w:szCs w:val="18"/>
                <w:b w:val="1"/>
                <w:bCs w:val="1"/>
                <w:color w:val="auto"/>
              </w:rPr>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432"/>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ind w:right="4910"/>
              <w:spacing w:after="0"/>
              <w:rPr>
                <w:sz w:val="20"/>
                <w:szCs w:val="20"/>
                <w:color w:val="auto"/>
              </w:rPr>
            </w:pPr>
            <w:r>
              <w:rPr>
                <w:rFonts w:ascii="Arial" w:cs="Arial" w:eastAsia="Arial" w:hAnsi="Arial"/>
                <w:sz w:val="18"/>
                <w:szCs w:val="18"/>
                <w:b w:val="1"/>
                <w:bCs w:val="1"/>
                <w:color w:val="auto"/>
              </w:rPr>
              <w:t>Fabry Know-How</w:t>
            </w:r>
          </w:p>
        </w:tc>
      </w:tr>
      <w:tr>
        <w:trPr>
          <w:trHeight w:val="445"/>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365"/>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69" w:right="239" w:bottom="1440" w:gutter="0" w:footer="0" w:header="0"/>
        </w:sectPr>
      </w:pPr>
    </w:p>
    <w:bookmarkStart w:id="398" w:name="page399"/>
    <w:bookmarkEnd w:id="3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spacing w:after="0"/>
              <w:rPr>
                <w:sz w:val="20"/>
                <w:szCs w:val="20"/>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418"/>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365"/>
        </w:trPr>
        <w:tc>
          <w:tcPr>
            <w:tcW w:w="1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74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73"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Fabry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1" w:name="page402"/>
    <w:bookmarkEnd w:id="401"/>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Licensed SRA IP</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70" w:right="239" w:bottom="1440" w:gutter="0" w:footer="0" w:header="0"/>
        </w:sectPr>
      </w:pPr>
    </w:p>
    <w:bookmarkStart w:id="402" w:name="page403"/>
    <w:bookmarkEnd w:id="40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Optioned Improvement Patent</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69"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w:t>
      </w:r>
      <w:r>
        <w:rPr>
          <w:rFonts w:ascii="Arial" w:cs="Arial" w:eastAsia="Arial" w:hAnsi="Arial"/>
          <w:sz w:val="18"/>
          <w:szCs w:val="18"/>
          <w:b w:val="1"/>
          <w:bCs w:val="1"/>
          <w:color w:val="auto"/>
        </w:rPr>
        <w:t>August 31, 2017</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BioMarin Pharmaceutical Inc</w:t>
      </w:r>
      <w:r>
        <w:rPr>
          <w:rFonts w:ascii="Arial" w:cs="Arial" w:eastAsia="Arial" w:hAnsi="Arial"/>
          <w:sz w:val="18"/>
          <w:szCs w:val="18"/>
          <w:color w:val="auto"/>
        </w:rPr>
        <w:t>., a Delaware corporation located at 770 Lindaro Street, San Rafael, CA 94901 (“</w:t>
      </w:r>
      <w:r>
        <w:rPr>
          <w:rFonts w:ascii="Arial" w:cs="Arial" w:eastAsia="Arial" w:hAnsi="Arial"/>
          <w:sz w:val="18"/>
          <w:szCs w:val="18"/>
          <w:b w:val="1"/>
          <w:bCs w:val="1"/>
          <w:color w:val="auto"/>
        </w:rPr>
        <w:t>BioMarin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BioMarin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BioMarin owns and/or controls certain patents and know-how pertaining to a fusion of a portion of the insulin-like growth factor 2 protein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GILT Tag</w:t>
      </w:r>
      <w:r>
        <w:rPr>
          <w:rFonts w:ascii="Arial" w:cs="Arial" w:eastAsia="Arial" w:hAnsi="Arial"/>
          <w:sz w:val="18"/>
          <w:szCs w:val="18"/>
          <w:color w:val="auto"/>
        </w:rPr>
        <w:t>”) with acid alpha-glucosidase and its use in the treatment of Pompe disease.</w:t>
      </w:r>
    </w:p>
    <w:p>
      <w:pPr>
        <w:spacing w:after="0" w:line="5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AVROBIO desires to obtain an exclusive license under such patents and know-how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BioMarin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BioMarin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16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1.1 “Affiliate” </w:t>
      </w:r>
      <w:r>
        <w:rPr>
          <w:rFonts w:ascii="Arial" w:cs="Arial" w:eastAsia="Arial" w:hAnsi="Arial"/>
          <w:sz w:val="16"/>
          <w:szCs w:val="16"/>
          <w:color w:val="auto"/>
        </w:rPr>
        <w:t>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 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ectPr>
          <w:pgSz w:w="11900" w:h="16838" w:orient="portrait"/>
          <w:cols w:equalWidth="0" w:num="1">
            <w:col w:w="11420"/>
          </w:cols>
          <w:pgMar w:left="240" w:top="121" w:right="239" w:bottom="1440" w:gutter="0" w:footer="0" w:header="0"/>
        </w:sectPr>
      </w:pPr>
    </w:p>
    <w:bookmarkStart w:id="404" w:name="page405"/>
    <w:bookmarkEnd w:id="40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 </w:t>
      </w:r>
      <w:r>
        <w:rPr>
          <w:rFonts w:ascii="Arial" w:cs="Arial" w:eastAsia="Arial" w:hAnsi="Arial"/>
          <w:sz w:val="18"/>
          <w:szCs w:val="18"/>
          <w:color w:val="auto"/>
        </w:rPr>
        <w:t>means [***].</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1.4 “Change of Control</w:t>
      </w:r>
      <w:r>
        <w:rPr>
          <w:rFonts w:ascii="Arial" w:cs="Arial" w:eastAsia="Arial" w:hAnsi="Arial"/>
          <w:sz w:val="18"/>
          <w:szCs w:val="18"/>
          <w:color w:val="auto"/>
        </w:rPr>
        <w:t>” means with respect to AVROBIO: (a) a merger, reorganization or consolidation involving AVROBIO in which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AVROBIO outstanding immediately prior thereto cease to represent at least fifty percent (50%) of the combined voting power of the surviving entity immediately after such merger, reorganization or consolidation; (b) a Third Party, or group of Third Parties acting in concert, acquire, directly or indirectly, other than in connection with a bona fide financing of AVROBIO, more than fifty percent (50%) of the voting equity securities or management control of AVROBIO; or (c) AVROBIO conveys, transfers, licenses (on an exclusive and worldwide basis) and/or leases all or substantially all of its assets to a Third Party.</w:t>
      </w:r>
    </w:p>
    <w:p>
      <w:pPr>
        <w:spacing w:after="0" w:line="80"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1.5 “Commercialization” </w:t>
      </w:r>
      <w:r>
        <w:rPr>
          <w:rFonts w:ascii="Arial" w:cs="Arial" w:eastAsia="Arial" w:hAnsi="Arial"/>
          <w:sz w:val="16"/>
          <w:szCs w:val="16"/>
          <w:color w:val="auto"/>
        </w:rPr>
        <w:t>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 xml:space="preserve">1.6 “Commercially Reasonable Efforts” </w:t>
      </w:r>
      <w:r>
        <w:rPr>
          <w:rFonts w:ascii="Arial" w:cs="Arial" w:eastAsia="Arial" w:hAnsi="Arial"/>
          <w:sz w:val="17"/>
          <w:szCs w:val="17"/>
          <w:color w:val="auto"/>
        </w:rPr>
        <w:t>means, with respect to AVROBIO’s obligations under this Agreement to Develop and Commercialize a</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the carrying out of such obligations using good faith efforts equivalent to those efforts and resources [***].</w:t>
      </w:r>
    </w:p>
    <w:p>
      <w:pPr>
        <w:spacing w:after="0" w:line="30"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1.7 “Controlled” </w:t>
      </w:r>
      <w:r>
        <w:rPr>
          <w:rFonts w:ascii="Arial" w:cs="Arial" w:eastAsia="Arial" w:hAnsi="Arial"/>
          <w:sz w:val="18"/>
          <w:szCs w:val="18"/>
          <w:color w:val="auto"/>
        </w:rPr>
        <w:t>means, with respect to any Know-How, Patent Right, or other intellectual property right, that the applicable Party owns or has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 xml:space="preserve">1.8 “Development” </w:t>
      </w:r>
      <w:r>
        <w:rPr>
          <w:rFonts w:ascii="Arial" w:cs="Arial" w:eastAsia="Arial" w:hAnsi="Arial"/>
          <w:sz w:val="16"/>
          <w:szCs w:val="16"/>
          <w:color w:val="auto"/>
        </w:rPr>
        <w:t>means non-clinical and clinical drug discovery, research and/or development activities that relate to (a) obtaining, maintaining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expanding Regulatory Approval(s) of Licensed Product or (b) developing the ability to manufacture clinical and commercial quantities of Licensed Product,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6"/>
          <w:szCs w:val="16"/>
          <w:b w:val="1"/>
          <w:bCs w:val="1"/>
          <w:color w:val="auto"/>
        </w:rPr>
        <w:t>“Develop”</w:t>
      </w:r>
      <w:r>
        <w:rPr>
          <w:rFonts w:ascii="Arial" w:cs="Arial" w:eastAsia="Arial" w:hAnsi="Arial"/>
          <w:sz w:val="16"/>
          <w:szCs w:val="16"/>
          <w:color w:val="auto"/>
        </w:rPr>
        <w:t xml:space="preserve"> means to engage in Development.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“Dollars” </w:t>
      </w:r>
      <w:r>
        <w:rPr>
          <w:rFonts w:ascii="Arial" w:cs="Arial" w:eastAsia="Arial" w:hAnsi="Arial"/>
          <w:sz w:val="18"/>
          <w:szCs w:val="18"/>
          <w:color w:val="auto"/>
        </w:rPr>
        <w:t>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ERT</w:t>
      </w:r>
      <w:r>
        <w:rPr>
          <w:rFonts w:ascii="Arial" w:cs="Arial" w:eastAsia="Arial" w:hAnsi="Arial"/>
          <w:sz w:val="18"/>
          <w:szCs w:val="18"/>
          <w:color w:val="auto"/>
        </w:rPr>
        <w:t>” means enzyme replacement therapy.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5" w:name="page406"/>
    <w:bookmarkEnd w:id="40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“FDA” </w:t>
      </w:r>
      <w:r>
        <w:rPr>
          <w:rFonts w:ascii="Arial" w:cs="Arial" w:eastAsia="Arial" w:hAnsi="Arial"/>
          <w:sz w:val="18"/>
          <w:szCs w:val="18"/>
          <w:color w:val="auto"/>
        </w:rPr>
        <w:t>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“Field” </w:t>
      </w:r>
      <w:r>
        <w:rPr>
          <w:rFonts w:ascii="Arial" w:cs="Arial" w:eastAsia="Arial" w:hAnsi="Arial"/>
          <w:sz w:val="16"/>
          <w:szCs w:val="16"/>
          <w:color w:val="auto"/>
        </w:rPr>
        <w:t>means Retroviridae-based gene therapy for the treatment, modification or prevention of Pompe disease (glycogen storage disease type II).</w:t>
      </w:r>
    </w:p>
    <w:p>
      <w:pPr>
        <w:spacing w:after="0" w:line="14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1.13 “First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unreimbursed Licensed Product for use in clinical trials or for compassionate use.</w:t>
      </w:r>
    </w:p>
    <w:p>
      <w:pPr>
        <w:spacing w:after="0" w:line="68"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1.14 “IND” </w:t>
      </w:r>
      <w:r>
        <w:rPr>
          <w:rFonts w:ascii="Arial" w:cs="Arial" w:eastAsia="Arial" w:hAnsi="Arial"/>
          <w:sz w:val="18"/>
          <w:szCs w:val="18"/>
          <w:color w:val="auto"/>
        </w:rPr>
        <w:t>means an Investigational New Drug application filed with the FDA and sufficient to satisfy the requirements of 21 CFR 312.20,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filing with any relevant Regulatory Authority in any other jurisdiction.</w:t>
      </w:r>
    </w:p>
    <w:p>
      <w:pPr>
        <w:spacing w:after="0" w:line="5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 xml:space="preserve">1.15 “Know-How” </w:t>
      </w:r>
      <w:r>
        <w:rPr>
          <w:rFonts w:ascii="Arial" w:cs="Arial" w:eastAsia="Arial" w:hAnsi="Arial"/>
          <w:sz w:val="17"/>
          <w:szCs w:val="17"/>
          <w:color w:val="auto"/>
        </w:rPr>
        <w:t>means any non-public, documented or otherwise recorded or memorialized knowledge, experience, know-how,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 For clarity, Know-How excludes Patent Rights claiming or otherwise covering any of the foregoing.</w:t>
      </w:r>
    </w:p>
    <w:p>
      <w:pPr>
        <w:spacing w:after="0" w:line="5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1.16 “Licensed Know-How” </w:t>
      </w:r>
      <w:r>
        <w:rPr>
          <w:rFonts w:ascii="Arial" w:cs="Arial" w:eastAsia="Arial" w:hAnsi="Arial"/>
          <w:sz w:val="18"/>
          <w:szCs w:val="18"/>
          <w:color w:val="auto"/>
        </w:rPr>
        <w:t>means Know-How Controlled by BioMarin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Develop and/or Commercialize Licensed Products in the Field, solely to the extent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54"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Licensed Patent Rights</w:t>
      </w:r>
      <w:r>
        <w:rPr>
          <w:rFonts w:ascii="Arial" w:cs="Arial" w:eastAsia="Arial" w:hAnsi="Arial"/>
          <w:sz w:val="17"/>
          <w:szCs w:val="17"/>
          <w:color w:val="auto"/>
        </w:rPr>
        <w:t>” means: (a) any of the Patent Rights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and (b) any divisional, continuation, or continuation-in-part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only to the extent directed to subject matter specifically described in a patent or patent application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claiming priority to such listed patents and patent applications; any reissue, reexamination, substitution, renewal and/or extension of any of the foregoing patents and patent applications; and any foreign counterpart patent or patent application of any of the foregoing.</w:t>
      </w:r>
    </w:p>
    <w:p>
      <w:pPr>
        <w:spacing w:after="0" w:line="57"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the composition, formulation, delivery, manufacture, use, sale, or importation of which: (a) is claimed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covered by a Valid Claim of the Licensed Patent Rights in any country in which it is made, used or sold; or (b) uses Licensed Know-How.</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“Licensed Technology” </w:t>
      </w:r>
      <w:r>
        <w:rPr>
          <w:rFonts w:ascii="Arial" w:cs="Arial" w:eastAsia="Arial" w:hAnsi="Arial"/>
          <w:sz w:val="18"/>
          <w:szCs w:val="18"/>
          <w:color w:val="auto"/>
        </w:rPr>
        <w:t>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“Major European Country” </w:t>
      </w:r>
      <w:r>
        <w:rPr>
          <w:rFonts w:ascii="Arial" w:cs="Arial" w:eastAsia="Arial" w:hAnsi="Arial"/>
          <w:sz w:val="18"/>
          <w:szCs w:val="18"/>
          <w:color w:val="auto"/>
        </w:rPr>
        <w:t>means any of the following countries: [***].</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1.21 “Net Sales” </w:t>
      </w:r>
      <w:r>
        <w:rPr>
          <w:rFonts w:ascii="Arial" w:cs="Arial" w:eastAsia="Arial" w:hAnsi="Arial"/>
          <w:sz w:val="18"/>
          <w:szCs w:val="18"/>
          <w:color w:val="auto"/>
        </w:rPr>
        <w:t>shall mean the amount invoiced or otherwise accrued by AVROBIO, its Affiliates or sublicensees for commercial sales of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Third Party purchasers (but excluding sales to AVROBIO’s sublicensees for resale) less the following deductions, to the extent applicable to such sales of the Licensed Product for: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6" w:name="page407"/>
    <w:bookmarkEnd w:id="406"/>
    <w:p>
      <w:pPr>
        <w:ind w:left="1140" w:hanging="219"/>
        <w:spacing w:after="0"/>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Sales shall be determined in accordance with United States Generally Accepted Accounting Principles. Transfers of free Licensed Products solely for research or clinical testing purposes shall be excluded from the computation of Net Sales.</w:t>
      </w:r>
    </w:p>
    <w:p>
      <w:pPr>
        <w:spacing w:after="0" w:line="5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1.22 “Patent Rights” </w:t>
      </w:r>
      <w:r>
        <w:rPr>
          <w:rFonts w:ascii="Arial" w:cs="Arial" w:eastAsia="Arial" w:hAnsi="Arial"/>
          <w:sz w:val="18"/>
          <w:szCs w:val="18"/>
          <w:color w:val="auto"/>
        </w:rPr>
        <w:t>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1.23 “Phase I Clinical Trial” </w:t>
      </w:r>
      <w:r>
        <w:rPr>
          <w:rFonts w:ascii="Arial" w:cs="Arial" w:eastAsia="Arial" w:hAnsi="Arial"/>
          <w:sz w:val="18"/>
          <w:szCs w:val="18"/>
          <w:color w:val="auto"/>
        </w:rPr>
        <w:t>shall mean a human clinical trial of a Licensed Product that is designed to satisfy the requirements of 21 CFR 312.21(a),</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whether such human clinical trial also satisfies the requirements of 21 CFR. 312.21(b) or any other requirements, or a similar clinical study prescribed by the Regulatory Authorities in a country other than the United States.</w:t>
      </w:r>
    </w:p>
    <w:p>
      <w:pPr>
        <w:spacing w:after="0" w:line="6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1.24 “Pivotal Trial” </w:t>
      </w:r>
      <w:r>
        <w:rPr>
          <w:rFonts w:ascii="Arial" w:cs="Arial" w:eastAsia="Arial" w:hAnsi="Arial"/>
          <w:sz w:val="18"/>
          <w:szCs w:val="18"/>
          <w:color w:val="auto"/>
        </w:rPr>
        <w:t>means a clinical study in humans of the efficacy and safety of a Licensed Product that is prospectively designed to demonstrate</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statistical significance that such product is effective and safe for use in a particular indication in a manner sufficient to file for Marketing Approval of such product and would satisfy the requirements of 21 CFR 312.21(c), or a similar clinical study prescribed by the Regulatory Authorities in a country other than the United States.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“Preferred Stock” </w:t>
      </w:r>
      <w:r>
        <w:rPr>
          <w:rFonts w:ascii="Arial" w:cs="Arial" w:eastAsia="Arial" w:hAnsi="Arial"/>
          <w:sz w:val="18"/>
          <w:szCs w:val="18"/>
          <w:color w:val="auto"/>
        </w:rPr>
        <w:t>means shares of the series of preferred stock issued in the Preferred Stock Financing.</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1.26 “Preferred Stock Financing” </w:t>
      </w:r>
      <w:r>
        <w:rPr>
          <w:rFonts w:ascii="Arial" w:cs="Arial" w:eastAsia="Arial" w:hAnsi="Arial"/>
          <w:sz w:val="18"/>
          <w:szCs w:val="18"/>
          <w:color w:val="auto"/>
        </w:rPr>
        <w:t>means AVROBIO’s first issuance and sale of shares of a newly-authorized series of preferred stock (e.g.,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after the date of this Agreement to venture capital funds or other institutional investors in an equity financing with gross proceeds to the Company from sales occurring after the date of this Agreement of not less than [***].</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“Preferred Stock Financing Deadline” </w:t>
      </w:r>
      <w:r>
        <w:rPr>
          <w:rFonts w:ascii="Arial" w:cs="Arial" w:eastAsia="Arial" w:hAnsi="Arial"/>
          <w:sz w:val="18"/>
          <w:szCs w:val="18"/>
          <w:color w:val="auto"/>
        </w:rPr>
        <w:t>means [***].</w:t>
      </w:r>
    </w:p>
    <w:p>
      <w:pPr>
        <w:spacing w:after="0" w:line="11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1.28 “Preferred Stock Issuance Price” </w:t>
      </w:r>
      <w:r>
        <w:rPr>
          <w:rFonts w:ascii="Arial" w:cs="Arial" w:eastAsia="Arial" w:hAnsi="Arial"/>
          <w:sz w:val="18"/>
          <w:szCs w:val="18"/>
          <w:color w:val="auto"/>
        </w:rPr>
        <w:t>means the lowest price per share paid by purchasers of the Preferred Stock as of the date of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to BioMarin (as adjusted for stock splits, combinations and the like occurring after such purchase but before the issuance of Preferred Stock to BioMarin).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07" w:name="page408"/>
    <w:bookmarkEnd w:id="407"/>
    <w:p>
      <w:pPr>
        <w:ind w:right="3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“Regulatory Approvals” </w:t>
      </w:r>
      <w:r>
        <w:rPr>
          <w:rFonts w:ascii="Arial" w:cs="Arial" w:eastAsia="Arial" w:hAnsi="Arial"/>
          <w:sz w:val="18"/>
          <w:szCs w:val="18"/>
          <w:color w:val="auto"/>
        </w:rPr>
        <w:t>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1.30 “Regulatory Authority” </w:t>
      </w:r>
      <w:r>
        <w:rPr>
          <w:rFonts w:ascii="Arial" w:cs="Arial" w:eastAsia="Arial" w:hAnsi="Arial"/>
          <w:sz w:val="18"/>
          <w:szCs w:val="18"/>
          <w:color w:val="auto"/>
        </w:rPr>
        <w:t>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6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1.31 “Regulatory Exclusivity” </w:t>
      </w:r>
      <w:r>
        <w:rPr>
          <w:rFonts w:ascii="Arial" w:cs="Arial" w:eastAsia="Arial" w:hAnsi="Arial"/>
          <w:sz w:val="18"/>
          <w:szCs w:val="18"/>
          <w:color w:val="auto"/>
        </w:rPr>
        <w:t>means market exclusivity granted by a Regulatory Authority designed to prevent the entry of generic product(s) onto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including without limitation new use or indication exclusivity, new formulation exclusivity, orphan drug exclusivity, pediatric exclusivity and any exclusivity applicable to biologic products, or any equivalent of the foregoing.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“Royalty Term” </w:t>
      </w:r>
      <w:r>
        <w:rPr>
          <w:rFonts w:ascii="Arial" w:cs="Arial" w:eastAsia="Arial" w:hAnsi="Arial"/>
          <w:sz w:val="18"/>
          <w:szCs w:val="18"/>
          <w:color w:val="auto"/>
        </w:rPr>
        <w:t>has the meaning assigned to it in Section 4.3.3.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“Term” </w:t>
      </w:r>
      <w:r>
        <w:rPr>
          <w:rFonts w:ascii="Arial" w:cs="Arial" w:eastAsia="Arial" w:hAnsi="Arial"/>
          <w:sz w:val="18"/>
          <w:szCs w:val="18"/>
          <w:color w:val="auto"/>
        </w:rPr>
        <w:t>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“Territory” </w:t>
      </w:r>
      <w:r>
        <w:rPr>
          <w:rFonts w:ascii="Arial" w:cs="Arial" w:eastAsia="Arial" w:hAnsi="Arial"/>
          <w:sz w:val="18"/>
          <w:szCs w:val="18"/>
          <w:color w:val="auto"/>
        </w:rPr>
        <w:t>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“Third Party” </w:t>
      </w:r>
      <w:r>
        <w:rPr>
          <w:rFonts w:ascii="Arial" w:cs="Arial" w:eastAsia="Arial" w:hAnsi="Arial"/>
          <w:sz w:val="18"/>
          <w:szCs w:val="18"/>
          <w:color w:val="auto"/>
        </w:rPr>
        <w:t>means any party other than BioMarin, AVROBIO, or their respective Affiliates.</w:t>
      </w:r>
    </w:p>
    <w:p>
      <w:pPr>
        <w:spacing w:after="0" w:line="11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1.37 “Valid Claim” </w:t>
      </w:r>
      <w:r>
        <w:rPr>
          <w:rFonts w:ascii="Arial" w:cs="Arial" w:eastAsia="Arial" w:hAnsi="Arial"/>
          <w:sz w:val="18"/>
          <w:szCs w:val="18"/>
          <w:color w:val="auto"/>
        </w:rPr>
        <w:t>means either (a) a claim of an issued and unexpired patent or a supplementary protection certificate, which has not been held</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w:t>
      </w:r>
    </w:p>
    <w:p>
      <w:pPr>
        <w:spacing w:after="0" w:line="333"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2.1 License Grant</w:t>
      </w:r>
      <w:r>
        <w:rPr>
          <w:rFonts w:ascii="Arial" w:cs="Arial" w:eastAsia="Arial" w:hAnsi="Arial"/>
          <w:sz w:val="17"/>
          <w:szCs w:val="17"/>
          <w:color w:val="auto"/>
        </w:rPr>
        <w:t>. Subject to the terms and conditions of this Agreement, BioMarin hereby grants to AVROBIO an exclusive, royalty-bearing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Licensed Patent Rights and Licensed Know-How to research, have researched, develop, have developed, make, have made, use, have used, sell, have sold, offer for sale, have offered for sale, import, have imported, export and have exported Licensed Products in the Field in the Territory, including the right to grant sublicenses through multiple tiers, subject to any limitations on sublicensing expressly set forth in this Agreement (the </w:t>
      </w:r>
      <w:r>
        <w:rPr>
          <w:rFonts w:ascii="Arial" w:cs="Arial" w:eastAsia="Arial" w:hAnsi="Arial"/>
          <w:sz w:val="17"/>
          <w:szCs w:val="17"/>
          <w:b w:val="1"/>
          <w:bCs w:val="1"/>
          <w:color w:val="auto"/>
        </w:rPr>
        <w:t>“License”</w:t>
      </w:r>
      <w:r>
        <w:rPr>
          <w:rFonts w:ascii="Arial" w:cs="Arial" w:eastAsia="Arial" w:hAnsi="Arial"/>
          <w:sz w:val="17"/>
          <w:szCs w:val="17"/>
          <w:color w:val="auto"/>
        </w:rPr>
        <w:t>). For clarity, AVROBIO shall have no license rights either outside the Field or with respect to products other than Licensed Products.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08" w:name="page409"/>
    <w:bookmarkEnd w:id="40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Reservation of Rights; Restrictive Covenants.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2.2.1 AVROBIO hereby covenants that it shall not, nor shall it cause or permit any Affiliate or sublicensee to, use or practice, directly or indirectly, any Licensed Technology for any purposes other than those expressly permitted by this Agreement. BioMarin retains the sole right to practice the Licensed Technology with respect to any and all purposes and areas of use outside the Field and with respect to the Development and/or Commercialization of any product or service other than Licensed Products.</w:t>
      </w:r>
    </w:p>
    <w:p>
      <w:pPr>
        <w:spacing w:after="0" w:line="79"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2.2.2 No implied licenses are granted under this Agreement, and each Party reserves all rights to all of its technology except for the rights expressly granted herein.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p>
    <w:p>
      <w:pPr>
        <w:spacing w:after="0" w:line="113"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to its Affiliates and Third Parties,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sublicenses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2.3.2 Each sublicense agreement shall include (a) diligence obligations consistent with efforts that will allow AVROBIO to meet relevant obligations set forth in Section 3 below; (b) a direct indemnity by the sublicensee in favor of BioMarin similar in scope to that set forth in Section 9; and (c) a provision making BioMarin an express third party beneficiary of such sublicense agreement with respect to such indemnification provisions.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AVROBIO will provide BioMarin with a copy of each sublicense agreement within [***] of execution of such agreement, [***].</w:t>
      </w:r>
    </w:p>
    <w:p>
      <w:pPr>
        <w:spacing w:after="0" w:line="113"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2.4 Technology Transfer</w:t>
      </w:r>
      <w:r>
        <w:rPr>
          <w:rFonts w:ascii="Arial" w:cs="Arial" w:eastAsia="Arial" w:hAnsi="Arial"/>
          <w:sz w:val="17"/>
          <w:szCs w:val="17"/>
          <w:color w:val="auto"/>
        </w:rPr>
        <w:t>. BioMarin will provide to AVROBIO, [***], copies of the Licensed Know-How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B</w:t>
      </w:r>
      <w:r>
        <w:rPr>
          <w:rFonts w:ascii="Arial" w:cs="Arial" w:eastAsia="Arial" w:hAnsi="Arial"/>
          <w:sz w:val="17"/>
          <w:szCs w:val="17"/>
          <w:color w:val="auto"/>
        </w:rPr>
        <w:t>, which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provided to AVROBIO within [***] of the Effective Date to the extent practicable, and in any event within [***] after the Effective Date. In addition, [***]. For purposes hereof, MAA means (a) a Biologics License Application as defined in the United States Federal Food, Drug and Cosmetics Act, as amended, and the regulations promulgated thereunder, or (b) a Marketing Authorization Application in the European Union.</w:t>
      </w:r>
    </w:p>
    <w:p>
      <w:pPr>
        <w:spacing w:after="0" w:line="5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2.5 Other Technology</w:t>
      </w:r>
      <w:r>
        <w:rPr>
          <w:rFonts w:ascii="Arial" w:cs="Arial" w:eastAsia="Arial" w:hAnsi="Arial"/>
          <w:sz w:val="18"/>
          <w:szCs w:val="18"/>
          <w:color w:val="auto"/>
        </w:rPr>
        <w:t>. AVROBIO shall be solely responsible for obtaining, at its sole expense, any agreements with Third Parties required in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AVROBIO to conduct the Development and Commercialization of Licensed Products in the Field in the Territory. AVROBIO’s right to credit any costs and expenses that it incurs under or as a result of such Third Party agreements against amounts due under this Agreement shall be solely as set forth in Section 4.3.2.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09" w:name="page410"/>
    <w:bookmarkEnd w:id="409"/>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3.1 Responsibilities</w:t>
      </w:r>
      <w:r>
        <w:rPr>
          <w:rFonts w:ascii="Arial" w:cs="Arial" w:eastAsia="Arial" w:hAnsi="Arial"/>
          <w:sz w:val="18"/>
          <w:szCs w:val="18"/>
          <w:color w:val="auto"/>
        </w:rPr>
        <w:t>. Subject to the terms and conditions of this Agreement (including without limitation this Section 3), AVROBIO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3.2 Communication</w:t>
      </w:r>
      <w:r>
        <w:rPr>
          <w:rFonts w:ascii="Arial" w:cs="Arial" w:eastAsia="Arial" w:hAnsi="Arial"/>
          <w:sz w:val="18"/>
          <w:szCs w:val="18"/>
          <w:color w:val="auto"/>
        </w:rPr>
        <w:t>. Each Party will appoint one of its employees to serve as a liaison and alliance manager hereunder (</w:t>
      </w:r>
      <w:r>
        <w:rPr>
          <w:rFonts w:ascii="Arial" w:cs="Arial" w:eastAsia="Arial" w:hAnsi="Arial"/>
          <w:sz w:val="18"/>
          <w:szCs w:val="18"/>
          <w:b w:val="1"/>
          <w:bCs w:val="1"/>
          <w:color w:val="auto"/>
        </w:rPr>
        <w:t>“Alliance Manager”</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overseeing communications between the Parties relevant to this Agreement, including without limitation communications regarding: (a) the transfer of the Licensed Know-How to AVROBIO as contemplated in Section 2.4 above, (b) patent matters, and (c) AVROBIO’s diligence obligations. The initial Alliance Manager for AVROBIO shall be [***] and for BioMarin shall be [***]. Each Party may replace its Alliance Manager at any time by notice in writing to the other Party.</w:t>
      </w:r>
    </w:p>
    <w:p>
      <w:pPr>
        <w:spacing w:after="0" w:line="7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3.3 Diligence</w:t>
      </w:r>
      <w:r>
        <w:rPr>
          <w:rFonts w:ascii="Arial" w:cs="Arial" w:eastAsia="Arial" w:hAnsi="Arial"/>
          <w:sz w:val="17"/>
          <w:szCs w:val="17"/>
          <w:color w:val="auto"/>
        </w:rPr>
        <w:t>. AVROBIO will use Commercially Reasonable Efforts to Develop and Commercialize one or more Licensed Products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and in the Major European Countries. In addition, and without limiting the generality of the foregoing, AVROBIO shall initiate an IND-enabling pharmacology/toxicology study of a Licensed Product within [***] of the Effective Date. In the event that BioMarin believes AVROBIO is in material breach of its obligation to use Commercially Reasonable Efforts under this Section 3.3, then BioMarin may so notify AVROBIO in writing, which notice shall provide available details regarding the basis for its belief and specifying that such notice (a “</w:t>
      </w:r>
      <w:r>
        <w:rPr>
          <w:rFonts w:ascii="Arial" w:cs="Arial" w:eastAsia="Arial" w:hAnsi="Arial"/>
          <w:sz w:val="17"/>
          <w:szCs w:val="17"/>
          <w:b w:val="1"/>
          <w:bCs w:val="1"/>
          <w:color w:val="auto"/>
        </w:rPr>
        <w:t>Diligence Breach Notice</w:t>
      </w:r>
      <w:r>
        <w:rPr>
          <w:rFonts w:ascii="Arial" w:cs="Arial" w:eastAsia="Arial" w:hAnsi="Arial"/>
          <w:sz w:val="17"/>
          <w:szCs w:val="17"/>
          <w:color w:val="auto"/>
        </w:rPr>
        <w:t>”) is being provided by BioMarin pursuant to this Section 3.3. If a Diligence Breach Notice is provided to AVROBIO, AVROBIO may, within a further period of [***] after receipt of such notice, provide a written report to BioMarin to justify why AVROBIO believes it is not in such material breach of such diligence obligation. If no such report is provided by AVROBIO by the end of such time period, BioMarin shall be permitted to terminate this Agreement pursuant to Section 8.2. If AVROBIO provides a response, the Parties shall then conduct an initial meeting within [***] after delivery of such a written report from AVROBIO to discuss in good faith the concerns raised by BioMarin and shall conduct such additional meetings as are reasonably necessary to reach agreement as to whether or not AVROBIO is in material breach of its obligations under this Section 3.3 for an additional [***] after such initial meeting. If after such [***] period following the initial meeting, the Parties cannot reach agreement then, upon request of either Party, the matter shall be referred to the dispute resolution procedure outlined under Section 11.3, which procedure shall be required to: (a) determine whether there was, in fact, a material breach by AVROBIO of its diligence obligation, and (b) if it is determined that there was an uncured material breach, specify what additional efforts AVROBIO must undertake to cure such breach, and the time period during which such efforts must be commenced and completed (which time period shall be commercially reasonable). If such procedure determines that there was a material</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0" w:name="page411"/>
    <w:bookmarkEnd w:id="4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the diligence obligation hereunder, and AVROBIO does not commence or complete the cure efforts specified by the arbitration result (in response to the clause (b) requirement above) by the required relevant dates, then BioMarin may terminate the Agreement pursuant to Section 8.2. All efforts of AVROBIO’s Affiliates, Third Party contractors and sublicensees will be considered efforts of AVROBIO for the purpose of determining AVROBIO’s compliance with its obligations under this Section 3.3.</w:t>
      </w:r>
    </w:p>
    <w:p>
      <w:pPr>
        <w:spacing w:after="0" w:line="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3.4 Reports</w:t>
      </w:r>
      <w:r>
        <w:rPr>
          <w:rFonts w:ascii="Arial" w:cs="Arial" w:eastAsia="Arial" w:hAnsi="Arial"/>
          <w:sz w:val="17"/>
          <w:szCs w:val="17"/>
          <w:color w:val="auto"/>
        </w:rPr>
        <w:t>. AVROBIO will keep BioMarin reasonably informed regarding the progress and results of AVROBIO’s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and those of its Affiliates, sublicensees, and Third Party contractors as set forth below. [***] each year, no later than [***], AVROBIO shall provide BioMarin with a written report that summarizes, in reasonable detail, the Development and Commercialization activities performed by AVROBIO and its Affiliates, sublicensees, and Third Party contractors with respect to Licensed Products during the preceding [***] period, as well as AVROBIO’s expected future Development and Commercialization timeline for Licensed Products.</w:t>
      </w:r>
    </w:p>
    <w:p>
      <w:pPr>
        <w:spacing w:after="0" w:line="317"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4.1 Initial License Fee</w:t>
      </w:r>
      <w:r>
        <w:rPr>
          <w:rFonts w:ascii="Arial" w:cs="Arial" w:eastAsia="Arial" w:hAnsi="Arial"/>
          <w:sz w:val="17"/>
          <w:szCs w:val="17"/>
          <w:color w:val="auto"/>
        </w:rPr>
        <w:t>. As initial consideration for the grant of rights set forth herein, AVROBIO will (a) pay to BioMarin a non-creditable, non-refundable initial license fee of five hundred thousand Dollars ($500,000), payable within [***] of the Effective Date, and (b) on or before the Preferred Stock Financing Deadline, issue to BioMarin that number of shares of Preferred Stock equal to five hundred thousand Dollars ($500,000) divided by the Preferred Stock Issuance Price, rounded to the nearest whole share, for no additional cash but otherwise on the same terms and conditions at which such shares of Preferred Stock were sold by AVROBIO to the other investor(s) in the Preferred Stock Financing. As a condition to its receipt of any Preferred Stock, BioMarin will enter into AVROBIO’s investor rights agreement, voting agreement, and right of first refusal and co-sale agreement, or other similar agreements, all on the same terms and conditions as the other investor(s) in the Preferred Stock Financing. [***]. Notwithstanding clause (b) above, in the event AVROBIO completes a Change of Control prior to the closing of the Preferred Stock Financing, then AVROBIO will pay to BioMarin a non-creditable, non-refundable payment of [***], in cash, payable within [***] of the date on which such Change of Control becomes effective and will not have the right to issue shares of Preferred Stock to BioMarin as set forth in clause (b) above. Unless a Change of Control has occurred prior to such time. AVROBIO shall notify BioMarin of the completion of the Preferred Stock Financing within [***] after such completion and shall notify BioMarin of any failure to complete the Preferred Stock Financing no later than [***] following the Preferred Stock Financing Deadline. In the event AVROBIO does not complete the Preferred Stock Financing by the Preferred Stock Financing Deadline and has not completed a Change of Control, then AVROBIO shall pay to BioMarin a non-creditable, non-refundable license fee of [***] within [***] of the Preferred Stock Financing Deadline in lieu of the obligation to issue Preferred Stock set forth in clause (b) above.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11" w:name="page412"/>
    <w:bookmarkEnd w:id="4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Milestone Payments.</w:t>
      </w:r>
    </w:p>
    <w:p>
      <w:pPr>
        <w:spacing w:after="0" w:line="11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4.2.1 Development Milestones</w:t>
      </w:r>
      <w:r>
        <w:rPr>
          <w:rFonts w:ascii="Arial" w:cs="Arial" w:eastAsia="Arial" w:hAnsi="Arial"/>
          <w:sz w:val="16"/>
          <w:szCs w:val="16"/>
          <w:color w:val="auto"/>
        </w:rPr>
        <w:t>. AVROBIO will pay to BioMarin the following non-creditable, non-refundable milestone payments within [***]</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first achievement of the corresponding events described in the table below by the first Licensed Product being Developed by or on behalf of AVROBIO, its Affiliates or sublicensees to achieve such event. For clarity, each Development Milestone payment below shall be made only once, upon the first attainment of the applicable milestone event by any Licensed Product being Developed by or on behalf of AVROBIO, its Affiliates or sublicensees.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060" w:type="dxa"/>
            <w:vAlign w:val="bottom"/>
          </w:tcPr>
          <w:p>
            <w:pPr>
              <w:jc w:val="right"/>
              <w:ind w:right="201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w:t>
            </w:r>
          </w:p>
        </w:tc>
        <w:tc>
          <w:tcPr>
            <w:tcW w:w="3840" w:type="dxa"/>
            <w:vAlign w:val="bottom"/>
          </w:tcPr>
          <w:p>
            <w:pPr>
              <w:jc w:val="center"/>
              <w:ind w:left="199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1.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2.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3.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4.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Royalties</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During the applicable Royalty Term, AVROBIO will pay to BioMarin a royalty of [***] on Net Sales by AVROBIO, its Affiliates and sublicensees of those Licensed Products the composition, formulation, delivery, manufacture, use, sale, or importation of which is claimed or otherwise covered by a Valid Claim of the Licensed Patent Rights in at least one country in which it is made, used or sold.</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4.3.2 [***]</w:t>
      </w:r>
    </w:p>
    <w:p>
      <w:pPr>
        <w:spacing w:after="0" w:line="113"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b w:val="1"/>
          <w:bCs w:val="1"/>
          <w:color w:val="auto"/>
        </w:rPr>
        <w:t>Royalty Term</w:t>
      </w:r>
      <w:r>
        <w:rPr>
          <w:rFonts w:ascii="Arial" w:cs="Arial" w:eastAsia="Arial" w:hAnsi="Arial"/>
          <w:sz w:val="18"/>
          <w:szCs w:val="18"/>
          <w:color w:val="auto"/>
        </w:rPr>
        <w:t>. AVROBIO’s royalty payment obligations under this Section 4.3 will expire, with respect to a particular Licensed Product sold in a given country (on a Licensed Product-by-Licensed Product and country-by-country basis), upon the expiration of the period (the “</w:t>
      </w:r>
      <w:r>
        <w:rPr>
          <w:rFonts w:ascii="Arial" w:cs="Arial" w:eastAsia="Arial" w:hAnsi="Arial"/>
          <w:sz w:val="18"/>
          <w:szCs w:val="18"/>
          <w:b w:val="1"/>
          <w:bCs w:val="1"/>
          <w:color w:val="auto"/>
        </w:rPr>
        <w:t>Royalty Term</w:t>
      </w:r>
      <w:r>
        <w:rPr>
          <w:rFonts w:ascii="Arial" w:cs="Arial" w:eastAsia="Arial" w:hAnsi="Arial"/>
          <w:sz w:val="18"/>
          <w:szCs w:val="18"/>
          <w:color w:val="auto"/>
        </w:rPr>
        <w:t>” for such Licensed Product in such country) commencing upon First Commercial Sale of the applicable Licensed Product in such country and ending upon the latest of: [***].</w:t>
      </w:r>
    </w:p>
    <w:p>
      <w:pPr>
        <w:spacing w:after="0" w:line="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each [***], AVROBIO shall provide a royalty-report showing, on a Licensed Product-by-Licensed Product and country-by-country basis:</w:t>
      </w:r>
    </w:p>
    <w:p>
      <w:pPr>
        <w:spacing w:after="0" w:line="72" w:lineRule="exact"/>
        <w:rPr>
          <w:sz w:val="20"/>
          <w:szCs w:val="20"/>
          <w:color w:val="auto"/>
        </w:rPr>
      </w:pPr>
    </w:p>
    <w:p>
      <w:pPr>
        <w:ind w:left="460" w:right="220" w:firstLine="881"/>
        <w:spacing w:after="0" w:line="277" w:lineRule="auto"/>
        <w:tabs>
          <w:tab w:leader="none" w:pos="158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gross sales of Licensed Products sold by AVROBIO, its Affiliates and sublicensees during such [***] reporting period (on a Licensed Product by Licensed Product and country by country basis);</w:t>
      </w:r>
    </w:p>
    <w:p>
      <w:pPr>
        <w:spacing w:after="0" w:line="62" w:lineRule="exact"/>
        <w:rPr>
          <w:rFonts w:ascii="Arial" w:cs="Arial" w:eastAsia="Arial" w:hAnsi="Arial"/>
          <w:sz w:val="18"/>
          <w:szCs w:val="18"/>
          <w:color w:val="auto"/>
        </w:rPr>
      </w:pPr>
    </w:p>
    <w:p>
      <w:pPr>
        <w:jc w:val="both"/>
        <w:ind w:left="460" w:right="460" w:firstLine="881"/>
        <w:spacing w:after="0" w:line="342" w:lineRule="auto"/>
        <w:tabs>
          <w:tab w:leader="none" w:pos="159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 itemized calculation of the Net Sales (showing all deductions taken pursuant to Section 1.20) of each Licensed Product sold by AVROBIO, its Affiliates and sublicensees during such [***] reporting period, along with cumulative Net Sales for the then-current calendar year;</w:t>
      </w:r>
    </w:p>
    <w:p>
      <w:pPr>
        <w:spacing w:after="0" w:line="56" w:lineRule="exact"/>
        <w:rPr>
          <w:rFonts w:ascii="Arial" w:cs="Arial" w:eastAsia="Arial" w:hAnsi="Arial"/>
          <w:sz w:val="16"/>
          <w:szCs w:val="16"/>
          <w:color w:val="auto"/>
        </w:rPr>
      </w:pPr>
    </w:p>
    <w:p>
      <w:pPr>
        <w:ind w:left="8640" w:hanging="323"/>
        <w:spacing w:after="0"/>
        <w:tabs>
          <w:tab w:leader="none" w:pos="864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12" w:name="page413"/>
    <w:bookmarkEnd w:id="412"/>
    <w:p>
      <w:pPr>
        <w:ind w:left="1580" w:hanging="239"/>
        <w:spacing w:after="0"/>
        <w:tabs>
          <w:tab w:leader="none" w:pos="15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royalties payable in United States Dollars which shall have accrued hereunder with respect to such Net Sales;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Withholding Taxes (as defined in Section 4.9), if any, required by applicable law to be deducted with respect to such royalties; and</w:t>
      </w:r>
    </w:p>
    <w:p>
      <w:pPr>
        <w:spacing w:after="0" w:line="128" w:lineRule="exact"/>
        <w:rPr>
          <w:rFonts w:ascii="Arial" w:cs="Arial" w:eastAsia="Arial" w:hAnsi="Arial"/>
          <w:sz w:val="17"/>
          <w:szCs w:val="17"/>
          <w:color w:val="auto"/>
        </w:rPr>
      </w:pPr>
    </w:p>
    <w:p>
      <w:pPr>
        <w:ind w:left="460" w:right="280" w:firstLine="881"/>
        <w:spacing w:after="0" w:line="277" w:lineRule="auto"/>
        <w:tabs>
          <w:tab w:leader="none" w:pos="158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AVROBIO shall pay to BioMarin the royalties for each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4.5 Currency Exchange</w:t>
      </w:r>
      <w:r>
        <w:rPr>
          <w:rFonts w:ascii="Arial" w:cs="Arial" w:eastAsia="Arial" w:hAnsi="Arial"/>
          <w:sz w:val="18"/>
          <w:szCs w:val="18"/>
          <w:color w:val="auto"/>
        </w:rPr>
        <w:t>. In the case of Net Sales outside the United States, the rate of exchange to be used in computing the amount of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in United States Dollars shall be the closing exchange rate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(U.S., Eastern Edition) on the last business day of the applicable [***] for which the payment is made.</w:t>
      </w:r>
    </w:p>
    <w:p>
      <w:pPr>
        <w:spacing w:after="0" w:line="6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4.6 Records; Audit, Records and Audits</w:t>
      </w:r>
      <w:r>
        <w:rPr>
          <w:rFonts w:ascii="Arial" w:cs="Arial" w:eastAsia="Arial" w:hAnsi="Arial"/>
          <w:sz w:val="16"/>
          <w:szCs w:val="16"/>
          <w:color w:val="auto"/>
        </w:rPr>
        <w:t>. AVROBIO shall keep, and shall require its Affiliates and (sub)licensees to keep (all in accordance with U.S.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BioMarin and not more than once in each calendar year, AVROBIO and its Affiliates shall permit an independent certified public accounting firm of nationally recognized standing selected by BioMarin and reasonably acceptable to AVROBIO, at BioMarin’s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BioMarin shall provide AVROBIO with a copy of the accounting firm’s written report within [***] of completion of such report. If such accounting firm correctly concludes that an underpayment was made, then AVROBIO shall pay the amount due within [***] of the date BioMarin delivers to AVROBIO such accounting firm’s written report so correctly concluding. BioMarin shall bear the full cost of such audit, unless such audit correctly discloses that the additional payment payable by AVROBIO for the audited period is more than [***] percent ([***]%) of the amount otherwise paid for that audited period, in which case AVROBIO shall pay the fees and expenses charged by the accounting firm. AVROBIO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BioMarin in advance of each audit of any such (sub)licensee with respect to Licensed Product sales. AVROBIO will provide BioMarin with a summary of the results received from the audit and, if BioMarin so requests, a copy of the audit report, with respect to relevant Licensed Product sales.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13" w:name="page414"/>
    <w:bookmarkEnd w:id="413"/>
    <w:p>
      <w:pPr>
        <w:jc w:val="both"/>
        <w:ind w:right="2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4.8 Payment Terms; Interest.</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4.8.1 Payments under this Agreement shall be made in U.S. Dollars by wire transfer of immediately available funds to an account at a commercial bank designated by BioMarin,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for reimbursement of patent expenses that are based on invoices shall be made within [***] from AVROBIO’s receipt of such invoice.</w:t>
      </w:r>
    </w:p>
    <w:p>
      <w:pPr>
        <w:spacing w:after="0" w:line="8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4.8.2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 percent ([***]%), or the highest rate allowed by law, whichever is lower. The interest calculation shall be based on the Actual/360 computation method. Such interest shall be due and payable on the tender of the underlying principal payment.</w:t>
      </w:r>
    </w:p>
    <w:p>
      <w:pPr>
        <w:spacing w:after="0" w:line="4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BioMarin will be responsible for any income or other taxes owed by BioMarin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BioMarin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and AVROBIO may deduct from any amounts that AVROBIO is required to pay hereunder to BioMarin an amount equal to any such Withholding Taxes required by AVROBIO to be withheld and paid to the proper tax authority. BioMarin will provide AVROBIO any information available to BioMarin that is necessary to determine the Withholding Taxes. Such Withholding Taxes will be paid to the proper taxing authority for BioMarin’s account and evidence of such payment will be secured and sent to BioMarin within [***] of such payment. The Parties will use reasonable efforts to do such lawful acts and sign such lawful deeds and documents as either Party may reasonably request from the other Party to enable BioMarin and AVROBIO or its Affiliates or sublicensees to take advantage of any applicable legal provision or any double taxation treaties with the object of paying the sums due to BioMarin hereunder without, or to minimize the amount of, such withholding or deduction of any Withholding Taxes.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14" w:name="page415"/>
    <w:bookmarkEnd w:id="414"/>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5.1.1 In accordance with this Section 5.1.1, unless the Parties otherwise agree in writing for a given Licensed Patent Right, BioMarin will have lead responsibility for the preparation, filing, prosecution, defense and maintenance (“</w:t>
      </w:r>
      <w:r>
        <w:rPr>
          <w:rFonts w:ascii="Arial" w:cs="Arial" w:eastAsia="Arial" w:hAnsi="Arial"/>
          <w:sz w:val="16"/>
          <w:szCs w:val="16"/>
          <w:b w:val="1"/>
          <w:bCs w:val="1"/>
          <w:color w:val="auto"/>
        </w:rPr>
        <w:t>Prosecution”</w:t>
      </w:r>
      <w:r>
        <w:rPr>
          <w:rFonts w:ascii="Arial" w:cs="Arial" w:eastAsia="Arial" w:hAnsi="Arial"/>
          <w:sz w:val="16"/>
          <w:szCs w:val="16"/>
          <w:color w:val="auto"/>
        </w:rPr>
        <w:t>) in the Territory of the Licensed Patent Rights. BioMarin shall be responsible for all costs and expenses with respect to such activities, except to the extent that any such activities are undertaken after the Effective Date at the express request of AVROBIO and in cooperation with AVROBIO as further provided in Section 5.1.2 below. BioMarin will perform such activities either itself or through patent counsel of its choice. BioMarin will provide AVROBIO with copies of all official correspondence received from patent offices with respect to any claims of Licensed Patent Rights submitted pursuant to Section 5.1.2, and with any proposed substantive responses thereto sufficiently in advance for AVROBIO to provide comments and suggestions on such proposed responses, which comments and suggestions shall be considered by BioMarin in good faith. At AVROBIO’s request, BioMarin will provide AVROBIO with an update of the filing, prosecution and maintenance status for each Licensed Patent Right; provided that BioMarin shall not be obligated to provide such updates more than [***] times per year. In the event that BioMarin elects not to pursue or continue the Prosecution of any Licensed Patent Right in any country, BioMarin shall provide AVROBIO with notice of this decision at least [***] prior to any pending lapse or abandonment thereof and provide AVROBIO with an opportunity to assume responsibility for such Prosecution, at AVROBIO’s sole expense. In the event that AVROBIO elects in writing to assume responsibility for such Prosecution, AVROBIO shall have the right, at AVROBIO’s sole expense, to transfer the responsibility for such Prosecution of such patent applications and patents to patent counsel selected by it, and BioMarin shall cooperate with AVROBIO as reasonably requested to facilitate transfer of the control of such Prosecution to AVROBIO. For clarity, all filings with respect to Licensed Patent Rights shall at all times continue to be pursued in the name of BioMarin or its designee.</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Promptly following the Effective Date, [***].</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Enforcement.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in the Field, such Party shall promptly notify the other Party and shall provide such other Party with available evidence of such infringement. AVROBIO shall have the first right, but not the obligation, at its sole expense, to bring suit or other appropriate legal action against any actual or suspected infringement, in the Field, of any Licensed Patent Rights impacting the Development or Commercialization of Licensed Products in the Field, in the Territory. BioMarin shall have the right to participate and be represented in any such suit by its own counsel at its own expense. No settlement of any such action or defense which restricts the scope, or adversely affects the enforceability, of any such Licensed Patent Right may be entered into by AVROBIO without the prior written consent of BioMarin. If AVROBIO does not take such action within [***] after written notice from BioMarin of such infringement, then on written request by BioMarin, and with AVROBIO’s prior written consent (not to be unreasonably withheld) BioMarin shall have the right but not the obligation, at its own expense, to bring suit or other appropriate legal action against such infringement. BioMarin shall have the sole right but not the obligation, at its own expense, to bring suit or other appropriate legal action against infringement of the Licensed Patents outside the Field. Notwithstanding the foregoing, with respect to the Licensed Patent Rights listed in Part 2 of Schedule A, Section 5.2.2 shall apply.</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5" w:name="page416"/>
    <w:bookmarkEnd w:id="415"/>
    <w:p>
      <w:pPr>
        <w:ind w:right="1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5.2.2 </w:t>
      </w:r>
      <w:r>
        <w:rPr>
          <w:rFonts w:ascii="Arial" w:cs="Arial" w:eastAsia="Arial" w:hAnsi="Arial"/>
          <w:sz w:val="16"/>
          <w:szCs w:val="16"/>
          <w:b w:val="1"/>
          <w:bCs w:val="1"/>
          <w:color w:val="auto"/>
        </w:rPr>
        <w:t>Part 2 Patents.</w:t>
      </w:r>
      <w:r>
        <w:rPr>
          <w:rFonts w:ascii="Arial" w:cs="Arial" w:eastAsia="Arial" w:hAnsi="Arial"/>
          <w:sz w:val="16"/>
          <w:szCs w:val="16"/>
          <w:color w:val="auto"/>
        </w:rPr>
        <w:t xml:space="preserve"> BioMarin shall have the first right, but not the obligation, at its sole expense, to bring suit or other appropriate legal action against any actual or suspected infringement, in the Field, of any Licensed Patent Rights included in Part 2 of Schedule A impacting the Development or Commercialization of Licensed Products in the Field, in the Territory. AVROBIO shall have the right to participate and be represented in any such suit by its own counsel at its own expense. No settlement of any such action or defense which could reasonably be expected to have a material adverse effect on AVROBIO’s exclusive rights under this Agreement regarding the Development or Commercialization of Licensed Products in the Field in the Territory may be entered into by BioMarin without the prior written consent of AVROBIO, which consent shall not be unreasonably withheld, conditioned or delayed. If BioMarin does not take such action within [***] after written notice from AVROBIO of such infringement, then on written request by AVROBIO, and with BioMarin’s prior written consent (not to be unreasonably withheld) AVROBIO shall have the right but not the obligation, at its own expense, to bring suit or other appropriate legal action against such infringement; provided that BioMarin will have the right to participate in and control any such litigation with respect to invalidity defenses and counterclaims at AVROBIO’s expense, and to otherwise participate and be represented in any such suit, using its own counsel at BioMarin’s expense, provided that BioMarin shall use all reasonable efforts to control the expenses to be borne by AVROBIO.</w:t>
      </w:r>
    </w:p>
    <w:p>
      <w:pPr>
        <w:spacing w:after="0" w:line="164"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b w:val="1"/>
          <w:bCs w:val="1"/>
          <w:color w:val="auto"/>
        </w:rPr>
        <w:t>Cooperation</w:t>
      </w:r>
      <w:r>
        <w:rPr>
          <w:rFonts w:ascii="Arial" w:cs="Arial" w:eastAsia="Arial" w:hAnsi="Arial"/>
          <w:sz w:val="16"/>
          <w:szCs w:val="16"/>
          <w:color w:val="auto"/>
        </w:rPr>
        <w:t>. Each Party shall, at the other Party’s expense, execute all papers and perform such other acts as may be reasonably required to bring and/or maintain any infringement suit brought by the other Party in accordance with Section 5.2.1 or Section 5.2.2 above (including joining as a party to such actions or proceedings if required by applicable law). In the event BioMarin is joined as a party to an action initiated by AVROBIO pursuant to Section 5.2, AVROBIO shall indemnify and secure BioMarin as to any costs (including internal costs), damages and expenses to the extent incurred as a direct result of BioMarin’s joinder. In addition, the Parties shall cooperate with each other in obtaining patent term restoration or supplemental protection certificates or their equivalents in any country where applicable to Licensed Products. In the event that elections with respect to obtaining such patent term restoration, supplemental protection certificates or their equivalents are to be made, the Parties shall agree upon such elections.</w:t>
      </w:r>
    </w:p>
    <w:p>
      <w:pPr>
        <w:spacing w:after="0" w:line="162"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Any net amounts of recovery(remaining after payment of costs and expenses as above shall be allocated [***].</w:t>
      </w:r>
    </w:p>
    <w:p>
      <w:pPr>
        <w:spacing w:after="0" w:line="17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BioMarin thereof in writing, and AVROBIO shall indemnify BioMarin with respect to any such claims as required in Section 9.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that if any such settlement would admit or concede that any material aspect of the Licensed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6" w:name="page417"/>
    <w:bookmarkEnd w:id="416"/>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are invalid or unenforceable, or would shorten the life of any of the Licensed Patent Rights or narrow their scope, or require BioMarin to pay any amounts, the aspects of such settlement directly involving such admission or concession or payment shall require the prior written consent of BioMarin. AVROBIO will keep BioMarin reasonably informed of all material developments in connection with any such claim, suit, or proceeding.</w:t>
      </w:r>
    </w:p>
    <w:p>
      <w:pPr>
        <w:spacing w:after="0" w:line="53"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b w:val="1"/>
          <w:bCs w:val="1"/>
          <w:color w:val="auto"/>
        </w:rPr>
        <w:t>5.4 Patent Marking</w:t>
      </w:r>
      <w:r>
        <w:rPr>
          <w:rFonts w:ascii="Arial" w:cs="Arial" w:eastAsia="Arial" w:hAnsi="Arial"/>
          <w:sz w:val="17"/>
          <w:szCs w:val="17"/>
          <w:color w:val="auto"/>
        </w:rPr>
        <w:t>. AVROBIO shall, and shall require its Affiliates and sublicensees to, mark Licensed Products sold by it hereunder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patent numbers or indicia to the extent permitted by applicable law and regulations, in those countries in which such markings or such notices impact recoveries of damages or equitable remedies available with respect to infringements of Patent Rights.</w:t>
      </w:r>
    </w:p>
    <w:p>
      <w:pPr>
        <w:spacing w:after="0" w:line="307"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6.1 BioMarin Warranties. </w:t>
      </w:r>
      <w:r>
        <w:rPr>
          <w:rFonts w:ascii="Arial" w:cs="Arial" w:eastAsia="Arial" w:hAnsi="Arial"/>
          <w:sz w:val="18"/>
          <w:szCs w:val="18"/>
          <w:color w:val="auto"/>
        </w:rPr>
        <w:t>BioMarin hereby warrants and represents to AVROBIO, as of the Effective Date, that: (i) BioMarin owns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the Licensed Technology and has the right to grant the licenses under the Licensed Technology as set forth in this Agreement; (ii) BioMarin has not entered into any agreement, arrangement or understanding regarding the use of the Licensed Technology in the Field in the Territory that would prevent BioMarin from granting the license to AVROBIO as set forth in Section 2.1 of this Agreement; (iii) during the Term of this Agreement, BioMarin shall not grant a license under the Licensed Technology to any Third Party in the Field in the Territory; (iv) none of the Licensed Technology has been misappropriated from any Third Party; and [***].</w:t>
      </w:r>
    </w:p>
    <w:p>
      <w:pPr>
        <w:spacing w:after="0" w:line="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HEREIN,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NOR GRANTS ANY OTHER WARRANTIES, EXPRESS OR IMPLIED, EITHER IN FACT OR BY OPERATION OF LAW, BY STATUTE OR OTHERWISE, AND BIOMARIN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336"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7.1 Definition</w:t>
      </w:r>
      <w:r>
        <w:rPr>
          <w:rFonts w:ascii="Arial" w:cs="Arial" w:eastAsia="Arial" w:hAnsi="Arial"/>
          <w:sz w:val="17"/>
          <w:szCs w:val="17"/>
          <w:color w:val="auto"/>
        </w:rPr>
        <w:t>. During the Term, a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with respect to information disclosed by such Party) may disclose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communicate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with respect to information disclosed to such Party by the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17" w:name="page418"/>
    <w:bookmarkEnd w:id="41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is hereby deemed to include any information disclosed by such Party to the other Party pursuant to that certain confidentiality agreement between the Parties dated as of March 1, 2017 (the “</w:t>
      </w:r>
      <w:r>
        <w:rPr>
          <w:rFonts w:ascii="Arial" w:cs="Arial" w:eastAsia="Arial" w:hAnsi="Arial"/>
          <w:sz w:val="18"/>
          <w:szCs w:val="18"/>
          <w:b w:val="1"/>
          <w:bCs w:val="1"/>
          <w:color w:val="auto"/>
        </w:rPr>
        <w:t>Prior CDA</w:t>
      </w:r>
      <w:r>
        <w:rPr>
          <w:rFonts w:ascii="Arial" w:cs="Arial" w:eastAsia="Arial" w:hAnsi="Arial"/>
          <w:sz w:val="18"/>
          <w:szCs w:val="18"/>
          <w:color w:val="auto"/>
        </w:rPr>
        <w:t>”). For clarity, the Licensed Technology is the Confidential Information of BioMarin, subject to the exceptions set forth in Section 7.2.</w:t>
      </w:r>
    </w:p>
    <w:p>
      <w:pPr>
        <w:spacing w:after="0" w:line="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900" w:firstLine="443"/>
        <w:spacing w:after="0" w:line="277" w:lineRule="auto"/>
        <w:tabs>
          <w:tab w:leader="none" w:pos="114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4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not to disclose such information to others and has the lawful right to disclose it;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4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18" w:name="page419"/>
    <w:bookmarkEnd w:id="418"/>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 Authorized Disclosure</w:t>
      </w:r>
      <w:r>
        <w:rPr>
          <w:rFonts w:ascii="Arial" w:cs="Arial" w:eastAsia="Arial" w:hAnsi="Arial"/>
          <w:sz w:val="16"/>
          <w:szCs w:val="16"/>
          <w:color w:val="auto"/>
        </w:rPr>
        <w:t>. A Receiving Party may disclose specific Confidential Information of the Disclosing Party to the extent that such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jc w:val="both"/>
        <w:ind w:right="72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7.5 Use of Name</w:t>
      </w:r>
      <w:r>
        <w:rPr>
          <w:rFonts w:ascii="Arial" w:cs="Arial" w:eastAsia="Arial" w:hAnsi="Arial"/>
          <w:sz w:val="16"/>
          <w:szCs w:val="16"/>
          <w:color w:val="auto"/>
        </w:rPr>
        <w:t>. Neither Party may make public use of the other Party’s name except (a) in connection with the activities contemplated hereby as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in this Section 7, (b) as required by applicable law, subject to this Section 7, and (c) otherwise as agreed in writing by such other Party.</w:t>
      </w:r>
    </w:p>
    <w:p>
      <w:pPr>
        <w:spacing w:after="0" w:line="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7.6 Terms of Agreement to be Maintained in Confidence</w:t>
      </w:r>
      <w:r>
        <w:rPr>
          <w:rFonts w:ascii="Arial" w:cs="Arial" w:eastAsia="Arial" w:hAnsi="Arial"/>
          <w:sz w:val="17"/>
          <w:szCs w:val="17"/>
          <w:color w:val="auto"/>
        </w:rPr>
        <w:t>. The Parties agree that the terms of this Agreement are confidential and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by either Party to any Third Party (except to a Party’s professional advisor, in accordance with Section 7.4.4) without prior written permission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a Party may disclose such terms in confidence as provided in Section 7.4.5.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9" w:name="page420"/>
    <w:bookmarkEnd w:id="419"/>
    <w:p>
      <w:pPr>
        <w:ind w:right="6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Press Release</w:t>
      </w:r>
      <w:r>
        <w:rPr>
          <w:rFonts w:ascii="Arial" w:cs="Arial" w:eastAsia="Arial" w:hAnsi="Arial"/>
          <w:sz w:val="18"/>
          <w:szCs w:val="18"/>
          <w:color w:val="auto"/>
        </w:rPr>
        <w:t>. Neither Party shall issue any press release or other public announcement relating to the existence of this Agreement 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without obtaining the other Party’s written approval. For clarity, subject to AVROBIO’s compliance with its obligations regarding Confidential Information of BioMarin hereunder and with Sections 7.5 and 7.6, and as long as specific reference to [***] is not made unless and until use of [***] by AVROBIO has been disclosed in scientific publications or presentations made by AVROBIO in the normal course of business, nothing in this Agreement shall be deemed to prohibit AVROBIO from making customary public disclosures regarding the Licensed Product development program in the Field to be conducted by AVROBIO hereunder. For further clarity, AVROBIO may make disclosures regarding this Agreement to its current and prospective investors as permitted under Section 7.4.5 and as permitted in Section 7.5.</w:t>
      </w:r>
    </w:p>
    <w:p>
      <w:pPr>
        <w:spacing w:after="0" w:line="81" w:lineRule="exact"/>
        <w:rPr>
          <w:sz w:val="20"/>
          <w:szCs w:val="20"/>
          <w:color w:val="auto"/>
        </w:rPr>
      </w:pPr>
    </w:p>
    <w:p>
      <w:pPr>
        <w:ind w:left="180" w:hanging="172"/>
        <w:spacing w:after="0"/>
        <w:tabs>
          <w:tab w:leader="none" w:pos="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38"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8.2.2 If such Material Breach is not cured within [***] ([***] for Material Breach of any payment obligation or obligation to issue Preferred Stock)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 AVROBIO may terminate this Agreement at will upon [***] prior written notice to BioMarin.</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8.3.2 BioMarin may terminate this Agreement in its entirety upon written notice to AVROBIO in the event of (i) any challenge or opposition to the validity, patentability, enforceability, scope and/or non-infringement of any of the Licensed Patent Rights, or any actions otherwise opposing any of such Licensed Patent Rights, if brought by AVROBIO, its Affiliates or sublicensees anywhere in the Territory, or (ii) any assistance with respect to any of the foregoing actions which any of AVROBIO, its Affiliates or sublicensees knowingly provides to a Third Party anywhere in the Territory (except as required under a court order or subpoena).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0" w:name="page421"/>
    <w:bookmarkEnd w:id="420"/>
    <w:p>
      <w:pPr>
        <w:ind w:right="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8.3.3 BioMarin may terminate this Agreement at will immediately, by providing written notice to AVROBIO upon the filing or institution of bankruptcy, reorganization, liquidation or receivership proceedings, or upon an assignment of a substantial portion of the assets for the benefit of creditors, by or against AVROBIO;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involuntary bankruptcy proceeding such right to terminate shall only become effective if AVROBIO consents to the involuntary bankruptcy or such proceeding is not dismissed within [***] after the filing thereof.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w:t>
      </w:r>
      <w:r>
        <w:rPr>
          <w:rFonts w:ascii="Arial" w:cs="Arial" w:eastAsia="Arial" w:hAnsi="Arial"/>
          <w:sz w:val="16"/>
          <w:szCs w:val="16"/>
          <w:color w:val="auto"/>
        </w:rPr>
        <w:t>. Upon termination of this Agreement by a Party for Material Breach pursuant to Section 8.2, or by a Party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8.3,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All rights and licenses granted by BioMarin to AVROBIO under this Agreement will terminate immediately.</w:t>
      </w:r>
    </w:p>
    <w:p>
      <w:pPr>
        <w:spacing w:after="0" w:line="117" w:lineRule="exact"/>
        <w:rPr>
          <w:rFonts w:ascii="Arial" w:cs="Arial" w:eastAsia="Arial" w:hAnsi="Arial"/>
          <w:sz w:val="18"/>
          <w:szCs w:val="18"/>
          <w:color w:val="auto"/>
        </w:rPr>
      </w:pPr>
    </w:p>
    <w:p>
      <w:pPr>
        <w:ind w:left="920" w:right="40" w:firstLine="421"/>
        <w:spacing w:after="0" w:line="259" w:lineRule="auto"/>
        <w:tabs>
          <w:tab w:leader="none" w:pos="15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AVROBIO and its Affiliates shall discontinue making any representations regarding its or their status as a licensee(s) of BioMarin and with respect to Licensed Products, and shall cause any sublicensees (except as set forth in clause (c) below) to do the same. AVROBIO and its Affiliates shall cease conducting any activities with respect to the Development and Commercialization of the Licensed Products, and shall cause any sublicensees to do the same.</w:t>
      </w:r>
    </w:p>
    <w:p>
      <w:pPr>
        <w:spacing w:after="0" w:line="78" w:lineRule="exact"/>
        <w:rPr>
          <w:rFonts w:ascii="Arial" w:cs="Arial" w:eastAsia="Arial" w:hAnsi="Arial"/>
          <w:sz w:val="18"/>
          <w:szCs w:val="18"/>
          <w:color w:val="auto"/>
        </w:rPr>
      </w:pPr>
    </w:p>
    <w:p>
      <w:pPr>
        <w:ind w:left="920" w:right="160" w:firstLine="421"/>
        <w:spacing w:after="0" w:line="279" w:lineRule="auto"/>
        <w:tabs>
          <w:tab w:leader="none" w:pos="158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Subject to BioMarin’s written consent, such consent to not be unreasonably withheld, a sublicense granted by AVROBIO or any of its Affiliates to a sublicensee shall survive termination of this Agreement, provided that such subicensee agrees in writing within [***] of termination of this Agreement to fully perform what would otherwise be AVROBIO’s obligations to BioMarin under this Agreement, including without limitation an agreement to cure any then-existing breaches of this Agreement by AVROBIO.</w:t>
      </w:r>
    </w:p>
    <w:p>
      <w:pPr>
        <w:spacing w:after="0" w:line="6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21" w:name="page422"/>
    <w:bookmarkEnd w:id="42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 provided that such Confidential Information shall remain subject to the terms of Section 7.</w:t>
      </w:r>
    </w:p>
    <w:p>
      <w:pPr>
        <w:spacing w:after="0" w:line="7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 such expiration or termination. The provisions of Sections [***] will survive any termination or expiration of this Agreement.</w:t>
      </w:r>
    </w:p>
    <w:p>
      <w:pPr>
        <w:spacing w:after="0" w:line="310"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9.1 Indemnification by BioMarin. BioMarin will indemnify AVROBIO, its Affiliates, and their respective directors, officers, employees and agents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“AVROBIO Indemnitees”</w:t>
      </w:r>
      <w:r>
        <w:rPr>
          <w:rFonts w:ascii="Arial" w:cs="Arial" w:eastAsia="Arial" w:hAnsi="Arial"/>
          <w:sz w:val="16"/>
          <w:szCs w:val="16"/>
          <w:color w:val="auto"/>
        </w:rPr>
        <w:t>), and defend and hold each of them harmless, from and against any and all liabilities, expenses and/or losses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attorneys’ fees, court costs, witness fees, damages, judgments, fines and amounts paid in settlement) (“</w:t>
      </w:r>
      <w:r>
        <w:rPr>
          <w:rFonts w:ascii="Arial" w:cs="Arial" w:eastAsia="Arial" w:hAnsi="Arial"/>
          <w:sz w:val="16"/>
          <w:szCs w:val="16"/>
          <w:b w:val="1"/>
          <w:bCs w:val="1"/>
          <w:color w:val="auto"/>
        </w:rPr>
        <w:t>Losses</w:t>
      </w:r>
      <w:r>
        <w:rPr>
          <w:rFonts w:ascii="Arial" w:cs="Arial" w:eastAsia="Arial" w:hAnsi="Arial"/>
          <w:sz w:val="16"/>
          <w:szCs w:val="16"/>
          <w:color w:val="auto"/>
        </w:rPr>
        <w:t>”) based on or suffered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any Third Party suits, claims, actions, and demands (“</w:t>
      </w:r>
      <w:r>
        <w:rPr>
          <w:rFonts w:ascii="Arial" w:cs="Arial" w:eastAsia="Arial" w:hAnsi="Arial"/>
          <w:sz w:val="17"/>
          <w:szCs w:val="17"/>
          <w:b w:val="1"/>
          <w:bCs w:val="1"/>
          <w:color w:val="auto"/>
        </w:rPr>
        <w:t>Claims”</w:t>
      </w:r>
      <w:r>
        <w:rPr>
          <w:rFonts w:ascii="Arial" w:cs="Arial" w:eastAsia="Arial" w:hAnsi="Arial"/>
          <w:sz w:val="17"/>
          <w:szCs w:val="17"/>
          <w:color w:val="auto"/>
        </w:rPr>
        <w:t>) against any such AVROBIO Indemnitee to the extent arising from or occurring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result of or in connection with [***].</w:t>
      </w:r>
    </w:p>
    <w:p>
      <w:pPr>
        <w:spacing w:after="0" w:line="9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Indemnification by AVROBIO</w:t>
      </w:r>
      <w:r>
        <w:rPr>
          <w:rFonts w:ascii="Arial" w:cs="Arial" w:eastAsia="Arial" w:hAnsi="Arial"/>
          <w:sz w:val="17"/>
          <w:szCs w:val="17"/>
          <w:color w:val="auto"/>
        </w:rPr>
        <w:t>. AVROBIO will indemnify BioMarin, its Affiliates, and their respective directors, officers, employees, and agents (“</w:t>
      </w:r>
      <w:r>
        <w:rPr>
          <w:rFonts w:ascii="Arial" w:cs="Arial" w:eastAsia="Arial" w:hAnsi="Arial"/>
          <w:sz w:val="17"/>
          <w:szCs w:val="17"/>
          <w:b w:val="1"/>
          <w:bCs w:val="1"/>
          <w:color w:val="auto"/>
        </w:rPr>
        <w:t>BioMarin Indemnitees</w:t>
      </w:r>
      <w:r>
        <w:rPr>
          <w:rFonts w:ascii="Arial" w:cs="Arial" w:eastAsia="Arial" w:hAnsi="Arial"/>
          <w:sz w:val="17"/>
          <w:szCs w:val="17"/>
          <w:color w:val="auto"/>
        </w:rPr>
        <w:t>”), and defend and hold each of them harmless, from and against any and all Losses based on or suffered in connection with any Claims against any such BioMarin Indemnitee to the extent arising from or occurring as a result of or in connection with: [***].</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9.3.1 </w:t>
      </w:r>
      <w:r>
        <w:rPr>
          <w:rFonts w:ascii="Arial" w:cs="Arial" w:eastAsia="Arial" w:hAnsi="Arial"/>
          <w:sz w:val="17"/>
          <w:szCs w:val="17"/>
          <w:b w:val="1"/>
          <w:bCs w:val="1"/>
          <w:color w:val="auto"/>
        </w:rPr>
        <w:t>Notice of Claim</w:t>
      </w:r>
      <w:r>
        <w:rPr>
          <w:rFonts w:ascii="Arial" w:cs="Arial" w:eastAsia="Arial" w:hAnsi="Arial"/>
          <w:sz w:val="17"/>
          <w:szCs w:val="17"/>
          <w:color w:val="auto"/>
        </w:rPr>
        <w:t>. Each of AVROBIO and BioMarin, as applicable (the “</w:t>
      </w:r>
      <w:r>
        <w:rPr>
          <w:rFonts w:ascii="Arial" w:cs="Arial" w:eastAsia="Arial" w:hAnsi="Arial"/>
          <w:sz w:val="17"/>
          <w:szCs w:val="17"/>
          <w:b w:val="1"/>
          <w:bCs w:val="1"/>
          <w:color w:val="auto"/>
        </w:rPr>
        <w:t>Indemnitee</w:t>
      </w:r>
      <w:r>
        <w:rPr>
          <w:rFonts w:ascii="Arial" w:cs="Arial" w:eastAsia="Arial" w:hAnsi="Arial"/>
          <w:sz w:val="17"/>
          <w:szCs w:val="17"/>
          <w:color w:val="auto"/>
        </w:rPr>
        <w:t>”) will give the other Party (the “</w:t>
      </w:r>
      <w:r>
        <w:rPr>
          <w:rFonts w:ascii="Arial" w:cs="Arial" w:eastAsia="Arial" w:hAnsi="Arial"/>
          <w:sz w:val="17"/>
          <w:szCs w:val="17"/>
          <w:b w:val="1"/>
          <w:bCs w:val="1"/>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Claims or discovery of fact upon which an Indemnitee intends to base a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indemnification under Section 9.1 or 9.2,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give such prompt written notice will not relieve the Indemnifying Party of its indemnification obligation under this Agreement except and only to the extent that the Indemnifying Party is actually prejudiced as a result of such failure. In no event will the Indemnifying Party be liable for any Losses that result from any delay in providing such notice. Each Indemnification Claim Notice must contain a description of the Claim and the nature and amount of such Loss (but only to the extent that the nature and amount of such Loss are known at such time). The Indemnitee will furnish promptly to the Indemnifying Party copies of all papers and official documents received by it or any of its fellow Indemnitees, as applicable, in respect of any Losses.</w:t>
      </w:r>
    </w:p>
    <w:p>
      <w:pPr>
        <w:spacing w:after="0" w:line="6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b w:val="1"/>
          <w:bCs w:val="1"/>
          <w:color w:val="auto"/>
        </w:rPr>
        <w:t>Control of Defense</w:t>
      </w:r>
      <w:r>
        <w:rPr>
          <w:rFonts w:ascii="Arial" w:cs="Arial" w:eastAsia="Arial" w:hAnsi="Arial"/>
          <w:sz w:val="18"/>
          <w:szCs w:val="18"/>
          <w:color w:val="auto"/>
        </w:rPr>
        <w:t>. Within [***] after the Indemnifying Party’s receipt of an Indemnification Claim Notice pursuant to Section 9.3.1, the Indemnifying Party shall assume the defense of the Claim(s) referenced in such notice and provide written confirmation to</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22" w:name="page423"/>
    <w:bookmarkEnd w:id="422"/>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Party and any other of its fellow Indemnitees. Upon assuming the defense of a Claim, the Indemnifying Party shall appoint lead counsel in the defense of the Claim; provided that such lead counsel shall be reasonably acceptable to the other Party. Upon the Indemnifying Party’s assumption of the defense of a Claim, the Indemnitees will immediately deliver to the Indemnifying Party all original notices and documents (including court papers) received by such Indemnitees in connection with the Claim. The Indemnifying Party will keep the other Party regularly informed with respect to the status of its defense of any such Claim, and will respond promptly to the other Party’s questions with respect to such (including, where requested by the Indemnitee, providing copies of related court filings).</w:t>
      </w:r>
    </w:p>
    <w:p>
      <w:pPr>
        <w:spacing w:after="0" w:line="81"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9.3.3 </w:t>
      </w: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Without limiting Section 9.3.2 above, any Indemnitee will be entitled to participate in, but not control, the defense of such Claim and to employ counsel of its choice for such purpose; provided, that such employment will be at the Indemnitee’s own expense unless the employment thereof has been specifically authorized by the Indemnifying Party in writing.</w:t>
      </w:r>
    </w:p>
    <w:p>
      <w:pPr>
        <w:spacing w:after="0" w:line="6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(a) relating solely to the payment of money damages in connection with a Claim and (b) that will not (i) result in the Indemnitee’s becoming subject to injunctive or other relief, (ii) require an admission of fault by a Indemnitee, or (iii) otherwise adversely affect the business of the Indemnitee in any manner, and (c) that includes a complete release of the Indemnitee, the Indemnifying Party will have the sole right to enter into a settlement on such terms as AVROBIO, in its sole discretion, will deem appropriate. The Indemnifying Party will pay all Losses resulting from such settlement pursuant to the terms of such settlement, including any conditions set by the court adjudicating such Claim. With respect to all other Losses in connection with Claims, the Indemnifying Party will have authority to consent to the entry of any judgment, enter into any settlement or otherwise dispose of such Loss provided it obtains the prior written consent of the other Party and all relevant Indemnitees (which consent will be at the other Party’s and such other Indemnitees’ sole and absolute discretion).</w:t>
      </w:r>
    </w:p>
    <w:p>
      <w:pPr>
        <w:spacing w:after="0" w:line="6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Each Indemnitee will cooperate in the defense of any Claim by the Indemnifying Party under this Section 9 and will furnish such records, information and testimony, provide such witnesses and attend such conferences, discovery proceedings, hearings, trials and appeals as may be reasonably requested by the Indemnifying Party in connection with such defense. Such cooperation will include access during normal business hours afforded to counsel selected by the Indemnifying Party under Section 9.3.2 to, and reasonable retention by the Indemnitee, as required under applicable law, of records and information that are reasonably relevant to such Claim, and making a reasonably limited number of employees and agents available on a mutually convenient basis to provide additional information and explanation of any material provided hereunder. The Indemnifying Party will reimburse the Indemnitee for all its reasonable out-of-pocket expenses in connection therewith.</w:t>
      </w:r>
    </w:p>
    <w:p>
      <w:pPr>
        <w:spacing w:after="0" w:line="64" w:lineRule="exact"/>
        <w:rPr>
          <w:sz w:val="20"/>
          <w:szCs w:val="20"/>
          <w:color w:val="auto"/>
        </w:rPr>
      </w:pPr>
    </w:p>
    <w:p>
      <w:pPr>
        <w:ind w:right="620"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any costs and expenses, including fees and disbursements of counsel, incurred by an Indemnitee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will be reimbursed on a [***] by the Indemnifying Party without prejudice to the Indemnifying Party’s right to contest the Indemnitee’s right to indemnification and subject to refund in the event the Indemnifying Party is ultimately held not to be obligated to indemnify the Indemnitee.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23" w:name="page424"/>
    <w:bookmarkEnd w:id="423"/>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7"/>
          <w:szCs w:val="17"/>
          <w:b w:val="1"/>
          <w:bCs w:val="1"/>
          <w:color w:val="auto"/>
        </w:rPr>
        <w:t>Insurance</w:t>
      </w:r>
      <w:r>
        <w:rPr>
          <w:rFonts w:ascii="Arial" w:cs="Arial" w:eastAsia="Arial" w:hAnsi="Arial"/>
          <w:sz w:val="17"/>
          <w:szCs w:val="17"/>
          <w:color w:val="auto"/>
        </w:rPr>
        <w:t>.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upon commencement of clinical trials of Licensed Product(s), such coverage will include a minimum per occurrence limit of [***] and upon commercialization of Licensed Products such coverage will include a minimum per occurrence limit of [***]. Such liability insurance shall insure against all types of liability, including personal injury, physical injury or property damage arising out of such AVROBIO’s activities hereunder. Such policy shall include BioMarin as an additional insured and shall include a waiver of subrogation. At least [***] prior to initiation of any clinical trial of a Licensed Product, Provider shall provide to BioMarin certificates of insurance evidencing the above required insurance. This Section 9.5 shall not create any limitation on AVROBIO’s liability under this Agreement, including with respect to its indemnification obligations under this Section 9.</w:t>
      </w:r>
    </w:p>
    <w:p>
      <w:pPr>
        <w:spacing w:after="0" w:line="201"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p>
    <w:p>
      <w:pPr>
        <w:spacing w:after="0" w:line="121" w:lineRule="exact"/>
        <w:rPr>
          <w:sz w:val="20"/>
          <w:szCs w:val="20"/>
          <w:color w:val="auto"/>
        </w:rPr>
      </w:pPr>
    </w:p>
    <w:p>
      <w:pPr>
        <w:ind w:right="720" w:firstLine="456"/>
        <w:spacing w:after="0" w:line="264" w:lineRule="auto"/>
        <w:rPr>
          <w:sz w:val="20"/>
          <w:szCs w:val="20"/>
          <w:color w:val="auto"/>
        </w:rPr>
      </w:pPr>
      <w:r>
        <w:rPr>
          <w:rFonts w:ascii="Arial" w:cs="Arial" w:eastAsia="Arial" w:hAnsi="Arial"/>
          <w:sz w:val="18"/>
          <w:szCs w:val="18"/>
          <w:color w:val="auto"/>
        </w:rPr>
        <w:t>IN NO EVENT SHALL EITHER PARTY BE LIABLE FOR ANY INDIRECT, INCIDENTAL, SPECIAL, PUNITIVE, EXEMPLARY OR CONSEQUENTIAL DAMAGES, WHETHER BASED UPON A CLAIM OR ACTION OF CONTRACT, WARRANTY, NEGLIGENCE, STRICT LIABILITY OR OTHER TORT, OR OTHERWISE, ARISING OUT OF THE AGREEMENT; [***].</w:t>
      </w:r>
    </w:p>
    <w:p>
      <w:pPr>
        <w:spacing w:after="0" w:line="204"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 xml:space="preserve">11.1 Assignment. </w:t>
      </w:r>
      <w:r>
        <w:rPr>
          <w:rFonts w:ascii="Arial" w:cs="Arial" w:eastAsia="Arial" w:hAnsi="Arial"/>
          <w:sz w:val="17"/>
          <w:szCs w:val="17"/>
          <w:color w:val="auto"/>
        </w:rPr>
        <w:t>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ab initio and of no force or effect.</w:t>
      </w:r>
    </w:p>
    <w:p>
      <w:pPr>
        <w:spacing w:after="0" w:line="6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11.2 Severability. </w:t>
      </w:r>
      <w:r>
        <w:rPr>
          <w:rFonts w:ascii="Arial" w:cs="Arial" w:eastAsia="Arial" w:hAnsi="Arial"/>
          <w:sz w:val="16"/>
          <w:szCs w:val="16"/>
          <w:color w:val="auto"/>
        </w:rPr>
        <w:t>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4" w:name="page425"/>
    <w:bookmarkEnd w:id="42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 and reasonably acceptable to the Parties herein.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11.3.2 In the event of any Dispute, a Party may notify the other Party in writing of such Dispute, and such Dispute will be promptly referred to</w:t>
      </w:r>
    </w:p>
    <w:p>
      <w:pPr>
        <w:spacing w:after="0" w:line="46" w:lineRule="exact"/>
        <w:rPr>
          <w:sz w:val="20"/>
          <w:szCs w:val="20"/>
          <w:color w:val="auto"/>
        </w:rPr>
      </w:pPr>
    </w:p>
    <w:p>
      <w:pPr>
        <w:ind w:right="40" w:firstLine="8"/>
        <w:spacing w:after="0" w:line="255" w:lineRule="auto"/>
        <w:tabs>
          <w:tab w:leader="none" w:pos="43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Officers</w:t>
      </w:r>
      <w:r>
        <w:rPr>
          <w:rFonts w:ascii="Arial" w:cs="Arial" w:eastAsia="Arial" w:hAnsi="Arial"/>
          <w:sz w:val="18"/>
          <w:szCs w:val="18"/>
          <w:color w:val="auto"/>
        </w:rPr>
        <w:t>”) of each of the Parties (or their respective designees) who will use their good faith efforts to resolve the Dispute within [***] after it was referred to such Senior Officers. If such Senior Officers are unable to resolve such dispute within thirty (30) days of their first meeting for such negotiations, either Party may seek to have such dispute resolved in accordance with Section 11.3.3.</w:t>
      </w:r>
    </w:p>
    <w:p>
      <w:pPr>
        <w:spacing w:after="0" w:line="82"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11.3.3 Any dispute arising under this Agreement, or other legal proceeding relating to this Agreement or the enforcement of any provision of this Agreement, if not resolved by the Senior Officers pursuant to Section 11.3.2, must be brought or otherwise commenced solely and exclusively in courts of competent jurisdiction located in the city of Wilmington, Delaware. Consistent with the preceding sentence, each of the Parties: (a) expressly and irrevocably consents and submits to the jurisdiction of the courts of competent jurisdiction in the city of Wilmington, Delaware in connection with any such legal proceeding; (b) expressly agrees that the courts of competent jurisdiction in the city of Wilmington, Delaware shall be deemed to be a convenient forum; and</w:t>
      </w:r>
    </w:p>
    <w:p>
      <w:pPr>
        <w:spacing w:after="0" w:line="2" w:lineRule="exact"/>
        <w:rPr>
          <w:sz w:val="20"/>
          <w:szCs w:val="20"/>
          <w:color w:val="auto"/>
        </w:rPr>
      </w:pPr>
    </w:p>
    <w:p>
      <w:pPr>
        <w:ind w:right="420" w:firstLine="8"/>
        <w:spacing w:after="0" w:line="254" w:lineRule="auto"/>
        <w:tabs>
          <w:tab w:leader="none" w:pos="24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expressly agrees not to assert (by way of motion, as a defense or otherwise), in any such legal proceeding commenced in the courts of competent jurisdiction in the city of Wilmington, Delaware, any claim that such Party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78"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11.4 Notices. </w:t>
      </w:r>
      <w:r>
        <w:rPr>
          <w:rFonts w:ascii="Arial" w:cs="Arial" w:eastAsia="Arial" w:hAnsi="Arial"/>
          <w:sz w:val="18"/>
          <w:szCs w:val="18"/>
          <w:color w:val="auto"/>
        </w:rPr>
        <w:t>All notices or other communications that are required or permitted hereunder will be in writing and delivered personally,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internationally-recognized overnight courier addressed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BioMarin.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BioMarin Pharmaceutical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105 Digital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Novato, CA 94949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25" w:name="page426"/>
    <w:bookmarkEnd w:id="42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16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BioMarin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18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62"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26" w:name="page427"/>
    <w:bookmarkEnd w:id="426"/>
    <w:p>
      <w:pPr>
        <w:ind w:right="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80"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142"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 .</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7" w:name="page428"/>
    <w:bookmarkEnd w:id="4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M</w:t>
      </w:r>
      <w:r>
        <w:rPr>
          <w:rFonts w:ascii="Arial" w:cs="Arial" w:eastAsia="Arial" w:hAnsi="Arial"/>
          <w:sz w:val="15"/>
          <w:szCs w:val="15"/>
          <w:b w:val="1"/>
          <w:bCs w:val="1"/>
          <w:color w:val="auto"/>
        </w:rPr>
        <w:t>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Eric Davis</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 Eric Davis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AVROBIO,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33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332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jc w:val="right"/>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9" w:name="page430"/>
    <w:bookmarkEnd w:id="4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LAIMS FOR</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31" w:name="page432"/>
    <w:bookmarkEnd w:id="431"/>
    <w:p>
      <w:pPr>
        <w:ind w:left="10480"/>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52"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460" w:right="40" w:hanging="445"/>
        <w:spacing w:after="0" w:line="266" w:lineRule="auto"/>
        <w:tabs>
          <w:tab w:leader="none" w:pos="440" w:val="left"/>
        </w:tabs>
        <w:rPr>
          <w:sz w:val="20"/>
          <w:szCs w:val="20"/>
          <w:color w:val="auto"/>
        </w:rPr>
      </w:pPr>
      <w:r>
        <w:rPr>
          <w:rFonts w:ascii="Arial" w:cs="Arial" w:eastAsia="Arial" w:hAnsi="Arial"/>
          <w:sz w:val="18"/>
          <w:szCs w:val="18"/>
          <w:color w:val="auto"/>
        </w:rPr>
        <w:t>1.1</w:t>
        <w:tab/>
        <w:t>Dr Stefan Karlsson personal id.no [***] and Maria Dahl personal id.no [***] (the “</w:t>
      </w:r>
      <w:r>
        <w:rPr>
          <w:rFonts w:ascii="Arial" w:cs="Arial" w:eastAsia="Arial" w:hAnsi="Arial"/>
          <w:sz w:val="18"/>
          <w:szCs w:val="18"/>
          <w:b w:val="1"/>
          <w:bCs w:val="1"/>
          <w:color w:val="auto"/>
        </w:rPr>
        <w:t>Original Rights Holders</w:t>
      </w:r>
      <w:r>
        <w:rPr>
          <w:rFonts w:ascii="Arial" w:cs="Arial" w:eastAsia="Arial" w:hAnsi="Arial"/>
          <w:sz w:val="18"/>
          <w:szCs w:val="18"/>
          <w:color w:val="auto"/>
        </w:rPr>
        <w:t>”) together with any and all postdocs or other researchers adhering to this Agreement in accordance with Section 10 (collectively referred to as the “</w:t>
      </w:r>
      <w:r>
        <w:rPr>
          <w:rFonts w:ascii="Arial" w:cs="Arial" w:eastAsia="Arial" w:hAnsi="Arial"/>
          <w:sz w:val="18"/>
          <w:szCs w:val="18"/>
          <w:b w:val="1"/>
          <w:bCs w:val="1"/>
          <w:color w:val="auto"/>
        </w:rPr>
        <w:t>Rights Holders</w:t>
      </w:r>
      <w:r>
        <w:rPr>
          <w:rFonts w:ascii="Arial" w:cs="Arial" w:eastAsia="Arial" w:hAnsi="Arial"/>
          <w:sz w:val="18"/>
          <w:szCs w:val="18"/>
          <w:color w:val="auto"/>
        </w:rPr>
        <w:t>”, and each being a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AVROB10, Inc., a Delaware Corporation in the USA, with an address of 400 Technology Square, 10th Floor, Cambridge, MA 02139; (“</w:t>
      </w:r>
      <w:r>
        <w:rPr>
          <w:rFonts w:ascii="Arial" w:cs="Arial" w:eastAsia="Arial" w:hAnsi="Arial"/>
          <w:sz w:val="16"/>
          <w:szCs w:val="16"/>
          <w:b w:val="1"/>
          <w:bCs w:val="1"/>
          <w:color w:val="auto"/>
        </w:rPr>
        <w:t>AVROBIO</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All of the Rights Holders, on the one hand, and AVROBIO, on the other hand, are also referred to each as a “</w:t>
      </w:r>
      <w:r>
        <w:rPr>
          <w:rFonts w:ascii="Arial" w:cs="Arial" w:eastAsia="Arial" w:hAnsi="Arial"/>
          <w:sz w:val="16"/>
          <w:szCs w:val="16"/>
          <w:b w:val="1"/>
          <w:bCs w:val="1"/>
          <w:color w:val="auto"/>
        </w:rPr>
        <w:t>Party</w:t>
      </w:r>
      <w:r>
        <w:rPr>
          <w:rFonts w:ascii="Arial" w:cs="Arial" w:eastAsia="Arial" w:hAnsi="Arial"/>
          <w:sz w:val="16"/>
          <w:szCs w:val="16"/>
          <w:color w:val="auto"/>
        </w:rPr>
        <w:t>”, and together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35" w:lineRule="exact"/>
        <w:rPr>
          <w:sz w:val="20"/>
          <w:szCs w:val="20"/>
          <w:color w:val="auto"/>
        </w:rPr>
      </w:pPr>
    </w:p>
    <w:p>
      <w:pPr>
        <w:ind w:left="460" w:right="160" w:hanging="445"/>
        <w:spacing w:after="0" w:line="257" w:lineRule="auto"/>
        <w:tabs>
          <w:tab w:leader="none" w:pos="440" w:val="left"/>
        </w:tabs>
        <w:rPr>
          <w:sz w:val="20"/>
          <w:szCs w:val="20"/>
          <w:color w:val="auto"/>
        </w:rPr>
      </w:pPr>
      <w:r>
        <w:rPr>
          <w:rFonts w:ascii="Arial" w:cs="Arial" w:eastAsia="Arial" w:hAnsi="Arial"/>
          <w:sz w:val="18"/>
          <w:szCs w:val="18"/>
          <w:color w:val="auto"/>
        </w:rPr>
        <w:t>1.4</w:t>
        <w:tab/>
        <w:t>Notwithstanding Section 1.3, an obligation or right under this Agreement (except confidentiality obligations) for a Rights Holder relating to specific Rights shall apply to a given Rights Holder only if and to the extent that the relevant Rights Holder has a legal interest in and to (in whole or in part) such Rights. Each Rights Holder is liable for his/her own obligations under this Agreement and, except to the extent expressly provided in Section 5.2 and Section 15 or otherwise mutually agreed in writing between and among the Rights Holders, no Rights Holder shall be responsible for any other Rights Holder’s obligations hereunder.</w:t>
      </w:r>
    </w:p>
    <w:p>
      <w:pPr>
        <w:spacing w:after="0" w:line="333"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When used in this Agreement, terms set out below have the following meanings: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means this exclusive license agreement.</w:t>
      </w:r>
    </w:p>
    <w:p>
      <w:pPr>
        <w:spacing w:after="0" w:line="147"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means any non-public information relating to the terms of this Agreement, the Project or the Rights, including any regulatory, scientific or other business information of a Party or its affiliates disclosed to another Party before or during the term of this Agreement.</w:t>
      </w:r>
    </w:p>
    <w:p>
      <w:pPr>
        <w:spacing w:after="0" w:line="69"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Contract Research Agreement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the contract research agreement entered into between LU and AVROBIO regarding the Project and dated January 17, 2017.</w:t>
      </w:r>
    </w:p>
    <w:p>
      <w:pPr>
        <w:spacing w:after="0" w:line="58" w:lineRule="exact"/>
        <w:rPr>
          <w:sz w:val="20"/>
          <w:szCs w:val="20"/>
          <w:color w:val="auto"/>
        </w:rPr>
      </w:pPr>
    </w:p>
    <w:p>
      <w:pPr>
        <w:sectPr>
          <w:pgSz w:w="11900" w:h="16838" w:orient="portrait"/>
          <w:cols w:equalWidth="0" w:num="2">
            <w:col w:w="2700" w:space="64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means the date when this Agreement has been duly signed by AVROBIO and each of the Original Rights Holders.</w:t>
      </w:r>
    </w:p>
    <w:p>
      <w:pPr>
        <w:spacing w:after="0" w:line="58"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Field of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any and all uses relevant to Gaucher disease.</w:t>
      </w:r>
    </w:p>
    <w:p>
      <w:pPr>
        <w:sectPr>
          <w:pgSz w:w="11900" w:h="16838" w:orient="portrait"/>
          <w:cols w:equalWidth="0" w:num="2">
            <w:col w:w="2620" w:space="720"/>
            <w:col w:w="8080"/>
          </w:cols>
          <w:pgMar w:left="240" w:top="121" w:right="239" w:bottom="1440" w:gutter="0" w:footer="0" w:header="0"/>
          <w:type w:val="continuous"/>
        </w:sectPr>
      </w:pPr>
    </w:p>
    <w:bookmarkStart w:id="432" w:name="page433"/>
    <w:bookmarkEnd w:id="432"/>
    <w:tbl>
      <w:tblPr>
        <w:tblLayout w:type="fixed"/>
        <w:tblInd w:w="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First Commercial Sale</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5"/>
              </w:rPr>
              <w:t>means the first commercial sale of a Product by AVROBIO or any of its affiliates or sublicensees to a third</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party in a commercial arm’s length transaction.</w:t>
            </w:r>
          </w:p>
        </w:tc>
      </w:tr>
      <w:tr>
        <w:trPr>
          <w:trHeight w:val="324"/>
        </w:trPr>
        <w:tc>
          <w:tcPr>
            <w:tcW w:w="2360" w:type="dxa"/>
            <w:vAlign w:val="bottom"/>
          </w:tcPr>
          <w:p>
            <w:pPr>
              <w:spacing w:after="0"/>
              <w:rPr>
                <w:sz w:val="20"/>
                <w:szCs w:val="20"/>
                <w:color w:val="auto"/>
              </w:rPr>
            </w:pPr>
            <w:r>
              <w:rPr>
                <w:rFonts w:ascii="Arial" w:cs="Arial" w:eastAsia="Arial" w:hAnsi="Arial"/>
                <w:sz w:val="18"/>
                <w:szCs w:val="18"/>
                <w:b w:val="1"/>
                <w:bCs w:val="1"/>
                <w:color w:val="auto"/>
              </w:rPr>
              <w:t>License</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has the meaning set out in Section 4.</w:t>
            </w:r>
          </w:p>
        </w:tc>
      </w:tr>
      <w:tr>
        <w:trPr>
          <w:trHeight w:val="324"/>
        </w:trPr>
        <w:tc>
          <w:tcPr>
            <w:tcW w:w="2360" w:type="dxa"/>
            <w:vAlign w:val="bottom"/>
          </w:tcPr>
          <w:p>
            <w:pPr>
              <w:spacing w:after="0"/>
              <w:rPr>
                <w:sz w:val="20"/>
                <w:szCs w:val="20"/>
                <w:color w:val="auto"/>
              </w:rPr>
            </w:pPr>
            <w:r>
              <w:rPr>
                <w:rFonts w:ascii="Arial" w:cs="Arial" w:eastAsia="Arial" w:hAnsi="Arial"/>
                <w:sz w:val="18"/>
                <w:szCs w:val="18"/>
                <w:b w:val="1"/>
                <w:bCs w:val="1"/>
                <w:color w:val="auto"/>
              </w:rPr>
              <w:t>LU</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means Lund University, registration no. 202100-3211, with address P.O. Box 117, SF.-22I 00 Lund, Sweden.</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Pivotal Trial</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9"/>
              </w:rPr>
              <w:t>means a trial in any country conducted in accordance with ICH GCP that is designed and executed to</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6"/>
              </w:rPr>
              <w:t>prospectively establish statistically significant evidence of efficacy and safety of a Product as a basis for a</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8"/>
              </w:rPr>
              <w:t>marketing authorization or that would otherwise satisfy requirements of 21 CFR 312.21(c), or its foreign</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equivalent.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means any product (a) the manufacture, use or sale of which, but for the License granted hereunder, would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1"/>
              </w:rPr>
              <w:t>infringe a valid claim of a patent right within the Rights, or (b) incorporates, practices or was developed through</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material use of the information, data and/or know-how in the Rights.</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means the fully-funded commissioned research project in Gaucher Disease, described and to be carried out</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under the Contract Research Agreement.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Results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2"/>
              </w:rPr>
              <w:t>means any ideas, inventions, discoveries, know-how, data, documentation, reports, materials, writings (except</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publications), designs, computer software, processes, principles, methods, techniques and other information,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5"/>
              </w:rPr>
              <w:t>recorded in any form, that before the Effective Date have been, or after the Effective Date are, discovered,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conceived, reduced to practice or otherwise generated through work performed under or otherwise resulting</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from the Project.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means any and all rights of the Rights Holders, whenever created and in whatever form, and regardless of as to</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whether patented/patent applied for or not, to gene therapy compositions and methods for use in the prevention,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modulation or treatment of Gaucher disease, and to any improvements thereof, including any and all rights of</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the Rights Holders to the Technology, the LU Background Information (as defined in the Contract Research</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Agreement) and to the Results.</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Technology</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2"/>
              </w:rPr>
              <w:t>means the ideas, inventions, discoveries, know-how, data, documentation, reports, materials, writings (except</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publications), designs, computer software, processes, principles, methods, techniques and other information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relating to the Gaucher Disease program al LU led by Dr. Stefan Karlsson and created, conceived or developed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by the Rights Holders (or one or some of them as applicable), including all patents, know-how, materials and</w:t>
            </w:r>
          </w:p>
        </w:tc>
      </w:tr>
      <w:tr>
        <w:trPr>
          <w:trHeight w:val="190"/>
        </w:trPr>
        <w:tc>
          <w:tcPr>
            <w:tcW w:w="2360" w:type="dxa"/>
            <w:vAlign w:val="bottom"/>
          </w:tcPr>
          <w:p>
            <w:pPr>
              <w:spacing w:after="0"/>
              <w:rPr>
                <w:sz w:val="16"/>
                <w:szCs w:val="16"/>
                <w:color w:val="auto"/>
              </w:rPr>
            </w:pPr>
          </w:p>
        </w:tc>
        <w:tc>
          <w:tcPr>
            <w:tcW w:w="8700" w:type="dxa"/>
            <w:vAlign w:val="bottom"/>
            <w:gridSpan w:val="3"/>
          </w:tcPr>
          <w:p>
            <w:pPr>
              <w:ind w:left="620"/>
              <w:spacing w:after="0" w:line="190" w:lineRule="exact"/>
              <w:rPr>
                <w:sz w:val="20"/>
                <w:szCs w:val="20"/>
                <w:color w:val="auto"/>
              </w:rPr>
            </w:pPr>
            <w:r>
              <w:rPr>
                <w:rFonts w:ascii="Arial" w:cs="Arial" w:eastAsia="Arial" w:hAnsi="Arial"/>
                <w:sz w:val="18"/>
                <w:szCs w:val="18"/>
                <w:color w:val="auto"/>
              </w:rPr>
              <w:t>other intellectual property rights, and including, without limitation, those items listed in Appendix 1.</w:t>
            </w:r>
          </w:p>
        </w:tc>
      </w:tr>
      <w:tr>
        <w:trPr>
          <w:trHeight w:val="385"/>
        </w:trPr>
        <w:tc>
          <w:tcPr>
            <w:tcW w:w="2360" w:type="dxa"/>
            <w:vAlign w:val="bottom"/>
          </w:tcPr>
          <w:p>
            <w:pPr>
              <w:spacing w:after="0"/>
              <w:rPr>
                <w:sz w:val="24"/>
                <w:szCs w:val="24"/>
                <w:color w:val="auto"/>
              </w:rPr>
            </w:pPr>
          </w:p>
        </w:tc>
        <w:tc>
          <w:tcPr>
            <w:tcW w:w="6960" w:type="dxa"/>
            <w:vAlign w:val="bottom"/>
          </w:tcPr>
          <w:p>
            <w:pPr>
              <w:ind w:left="2940"/>
              <w:spacing w:after="0"/>
              <w:rPr>
                <w:sz w:val="20"/>
                <w:szCs w:val="20"/>
                <w:color w:val="auto"/>
              </w:rPr>
            </w:pPr>
            <w:r>
              <w:rPr>
                <w:rFonts w:ascii="Arial" w:cs="Arial" w:eastAsia="Arial" w:hAnsi="Arial"/>
                <w:sz w:val="18"/>
                <w:szCs w:val="18"/>
                <w:color w:val="auto"/>
              </w:rPr>
              <w:t>2</w:t>
            </w:r>
          </w:p>
        </w:tc>
        <w:tc>
          <w:tcPr>
            <w:tcW w:w="8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360" w:type="dxa"/>
            <w:vAlign w:val="bottom"/>
          </w:tcPr>
          <w:p>
            <w:pPr>
              <w:spacing w:after="0"/>
              <w:rPr>
                <w:sz w:val="24"/>
                <w:szCs w:val="24"/>
                <w:color w:val="auto"/>
              </w:rPr>
            </w:pPr>
          </w:p>
        </w:tc>
        <w:tc>
          <w:tcPr>
            <w:tcW w:w="8700" w:type="dxa"/>
            <w:vAlign w:val="bottom"/>
            <w:gridSpan w:val="3"/>
          </w:tcPr>
          <w:p>
            <w:pPr>
              <w:ind w:left="5600"/>
              <w:spacing w:after="0"/>
              <w:rPr>
                <w:sz w:val="20"/>
                <w:szCs w:val="20"/>
                <w:color w:val="auto"/>
              </w:rPr>
            </w:pPr>
            <w:r>
              <w:rPr>
                <w:rFonts w:ascii="Arial" w:cs="Arial" w:eastAsia="Arial" w:hAnsi="Arial"/>
                <w:sz w:val="18"/>
                <w:szCs w:val="18"/>
                <w:color w:val="auto"/>
                <w:w w:val="94"/>
              </w:rPr>
              <w:t>*** Confidential Treatment Requested ***</w:t>
            </w:r>
          </w:p>
        </w:tc>
      </w:tr>
    </w:tbl>
    <w:p>
      <w:pPr>
        <w:ind w:left="5600"/>
        <w:spacing w:after="0"/>
        <w:rPr>
          <w:sz w:val="20"/>
          <w:szCs w:val="20"/>
          <w:color w:val="auto"/>
        </w:rPr>
        <w:sectPr>
          <w:pgSz w:w="11900" w:h="16838" w:orient="portrait"/>
          <w:cols w:equalWidth="0" w:num="1">
            <w:col w:w="11060"/>
          </w:cols>
          <w:pgMar w:left="60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33" w:name="page434"/>
    <w:bookmarkEnd w:id="433"/>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w:t>
      </w:r>
    </w:p>
    <w:p>
      <w:pPr>
        <w:spacing w:after="0" w:line="135"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3.1</w:t>
        <w:tab/>
        <w:t>AVROBIO has entered into the Contract Research Agreement with LU, under which AVROBIO has engaged LU for the performance of the contract research Project relating to Gaucher Disease.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Rights Holders arc active within the Project.</w:t>
      </w:r>
    </w:p>
    <w:p>
      <w:pPr>
        <w:spacing w:after="0" w:line="131"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3.3</w:t>
        <w:tab/>
        <w:t>AVROBIO’s willingness to fund the Project has been and continues to be conditioned upon having an exclusive license agreement established, for the granting by the Rights Holders of an exclusive license to AVROBIO in respect of the Rights.</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In light of the foregoing been, the Parties have entered into this Agreement.</w:t>
      </w:r>
    </w:p>
    <w:p>
      <w:pPr>
        <w:spacing w:after="0" w:line="127"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35" w:lineRule="exact"/>
        <w:rPr>
          <w:sz w:val="20"/>
          <w:szCs w:val="20"/>
          <w:color w:val="auto"/>
        </w:rPr>
      </w:pPr>
    </w:p>
    <w:p>
      <w:pPr>
        <w:jc w:val="both"/>
        <w:ind w:left="460" w:right="480" w:hanging="445"/>
        <w:spacing w:after="0" w:line="286"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Each of the Rights Holders hereby grants to AVROBIO an exclusive, worldwide, transferable, sub-licensable license under such Rights Holder’s interest in the Rights to research, have researched, develop, have developed, make, have made, use, have used, sell, have sold, offer for sale, have offered for sale, import, have imported, export and have exported Products in the Field of Use (the “</w:t>
      </w:r>
      <w:r>
        <w:rPr>
          <w:rFonts w:ascii="Arial" w:cs="Arial" w:eastAsia="Arial" w:hAnsi="Arial"/>
          <w:sz w:val="17"/>
          <w:szCs w:val="17"/>
          <w:b w:val="1"/>
          <w:bCs w:val="1"/>
          <w:color w:val="auto"/>
        </w:rPr>
        <w:t>License</w:t>
      </w:r>
      <w:r>
        <w:rPr>
          <w:rFonts w:ascii="Arial" w:cs="Arial" w:eastAsia="Arial" w:hAnsi="Arial"/>
          <w:sz w:val="17"/>
          <w:szCs w:val="17"/>
          <w:color w:val="auto"/>
        </w:rPr>
        <w:t>”).</w:t>
      </w:r>
    </w:p>
    <w:p>
      <w:pPr>
        <w:spacing w:after="0" w:line="71"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4.2</w:t>
        <w:tab/>
        <w:t>The exclusivity for AVROBIO under the License shall apply also vis-a-vis each Rights Holders, and shall be subject to the right of LU to use the Rights for non-commercial academic research and educational purposes as granted to LU under the Contract Research Agreement, but shall be subject to no other rights of any other person.</w:t>
      </w:r>
    </w:p>
    <w:p>
      <w:pPr>
        <w:spacing w:after="0" w:line="83"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5"/>
          <w:szCs w:val="15"/>
          <w:b w:val="1"/>
          <w:bCs w:val="1"/>
          <w:color w:val="auto"/>
        </w:rPr>
        <w:t>1</w:t>
      </w:r>
    </w:p>
    <w:p>
      <w:pPr>
        <w:spacing w:after="0" w:line="135" w:lineRule="exact"/>
        <w:rPr>
          <w:sz w:val="20"/>
          <w:szCs w:val="20"/>
          <w:color w:val="auto"/>
        </w:rPr>
      </w:pPr>
    </w:p>
    <w:p>
      <w:pPr>
        <w:ind w:left="460" w:right="480" w:hanging="445"/>
        <w:spacing w:after="0" w:line="277" w:lineRule="auto"/>
        <w:tabs>
          <w:tab w:leader="none" w:pos="440" w:val="left"/>
        </w:tabs>
        <w:rPr>
          <w:sz w:val="20"/>
          <w:szCs w:val="20"/>
          <w:color w:val="auto"/>
        </w:rPr>
      </w:pPr>
      <w:r>
        <w:rPr>
          <w:rFonts w:ascii="Arial" w:cs="Arial" w:eastAsia="Arial" w:hAnsi="Arial"/>
          <w:sz w:val="18"/>
          <w:szCs w:val="18"/>
          <w:color w:val="auto"/>
        </w:rPr>
        <w:t>5.1</w:t>
        <w:tab/>
        <w:t>As consideration for the License, within [***] days after the first achievement of each of the following milestone events, AVROBIO shall pay the following amounts (each one time only) to the Rights Holders:</w:t>
      </w:r>
    </w:p>
    <w:p>
      <w:pPr>
        <w:spacing w:after="0" w:line="76"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US $[***] upon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US $[***].</w:t>
      </w:r>
    </w:p>
    <w:p>
      <w:pPr>
        <w:spacing w:after="0" w:line="131"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5.2</w:t>
        <w:tab/>
        <w:t>Payment of each amount set out in Section 5.1 shall be made within [***] from the date when the event triggering the payment obligation occurred. Payment shall be made in immediately available funds to a bank account designated by Dr Stefan Karlsson on behalf of all of the Rights Holders in a written notice delivered lo all of the notice addresses for the Parties in accordance with Section 15. AVROBIO shall have no liability or responsibility when it comes to the allocation or forwarding of the amounts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center"/>
        <w:ind w:left="5660" w:right="840" w:hanging="5652"/>
        <w:spacing w:after="0" w:line="454" w:lineRule="auto"/>
        <w:tabs>
          <w:tab w:leader="none" w:pos="445" w:val="left"/>
        </w:tabs>
        <w:numPr>
          <w:ilvl w:val="0"/>
          <w:numId w:val="312"/>
        </w:numPr>
        <w:rPr>
          <w:rFonts w:ascii="Arial" w:cs="Arial" w:eastAsia="Arial" w:hAnsi="Arial"/>
          <w:sz w:val="15"/>
          <w:szCs w:val="15"/>
          <w:color w:val="auto"/>
        </w:rPr>
      </w:pPr>
      <w:r>
        <w:rPr>
          <w:rFonts w:ascii="Arial" w:cs="Arial" w:eastAsia="Arial" w:hAnsi="Arial"/>
          <w:sz w:val="18"/>
          <w:szCs w:val="18"/>
          <w:b w:val="1"/>
          <w:bCs w:val="1"/>
          <w:color w:val="auto"/>
        </w:rPr>
        <w:t>NTD</w:t>
      </w:r>
      <w:r>
        <w:rPr>
          <w:rFonts w:ascii="Arial" w:cs="Arial" w:eastAsia="Arial" w:hAnsi="Arial"/>
          <w:sz w:val="18"/>
          <w:szCs w:val="18"/>
          <w:color w:val="auto"/>
        </w:rPr>
        <w:t>: The Rights Holders need enter into a separate agreement describing how these amounts shall be distributed among the Rights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3</w:t>
      </w:r>
    </w:p>
    <w:p>
      <w:pPr>
        <w:spacing w:after="0" w:line="17" w:lineRule="exact"/>
        <w:rPr>
          <w:rFonts w:ascii="Arial" w:cs="Arial" w:eastAsia="Arial" w:hAnsi="Arial"/>
          <w:sz w:val="15"/>
          <w:szCs w:val="15"/>
          <w:color w:val="auto"/>
        </w:rPr>
      </w:pPr>
    </w:p>
    <w:p>
      <w:pPr>
        <w:ind w:left="8640" w:hanging="323"/>
        <w:spacing w:after="0"/>
        <w:tabs>
          <w:tab w:leader="none" w:pos="864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34" w:name="page435"/>
    <w:bookmarkEnd w:id="434"/>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tab/>
        <w:t>out in Section 5.1 on or to the individual Rights Holders, and AVROBIO shall have fully fulfilled all its obligations under this Agreement with respect to the payment of such amounts when such amounts or any component thereof have been paid to the account designated by such written notice to AVROBIO. Each Rights Holder agrees that he/she shall not make any claim against AVROBIO with respect to any payment that has been made by AVROBIO to the designated account in accordance with this Section 5.2.</w:t>
      </w:r>
    </w:p>
    <w:p>
      <w:pPr>
        <w:spacing w:after="0" w:line="88"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Maintenance and other Protection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Patent Filing and Maintenance</w:t>
      </w:r>
    </w:p>
    <w:p>
      <w:pPr>
        <w:spacing w:after="0" w:line="131" w:lineRule="exact"/>
        <w:rPr>
          <w:sz w:val="20"/>
          <w:szCs w:val="20"/>
          <w:color w:val="auto"/>
        </w:rPr>
      </w:pPr>
    </w:p>
    <w:p>
      <w:pPr>
        <w:ind w:left="460" w:right="60" w:hanging="452"/>
        <w:spacing w:after="0" w:line="297" w:lineRule="auto"/>
        <w:tabs>
          <w:tab w:leader="none" w:pos="4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Rights Holders have the right, but not the obligation, as shall be agreed among the Rights Holders in writing, using legal counsel of their choice and at their expense, to file, prosecute and maintain patents and patent applications and/or seek other protection for results or innovations within the Rights, provided that the Rights Holders shall always consult with AVROBIO and take reasonable consideration to the views of AVROBIO in connection with such activities, in each case prior to taking actions. The Rights Holders shall pay all licenses, recording, registration, renewal and other similar fees in connection with maintenance of patents and patent applications for results or innovations within the Rights.</w:t>
      </w:r>
    </w:p>
    <w:p>
      <w:pPr>
        <w:spacing w:after="0" w:line="6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Rights Holders in accordance with their written agreement elect not to file, prosecute, defend or maintain any patent or patent application or other potential protection for results or innovations within the Rights in any country, then the Rights Holders shall inform AVROBIO of such election and AVROBIO will have the right, but not the obligation, at its own expense and in its own name, to tils, prosecute, defend, and maintain such patent or patent application or seek other protection.</w:t>
      </w:r>
    </w:p>
    <w:p>
      <w:pPr>
        <w:spacing w:after="0" w:line="92" w:lineRule="exact"/>
        <w:rPr>
          <w:rFonts w:ascii="Arial" w:cs="Arial" w:eastAsia="Arial" w:hAnsi="Arial"/>
          <w:sz w:val="18"/>
          <w:szCs w:val="18"/>
          <w:color w:val="auto"/>
        </w:rPr>
      </w:pPr>
    </w:p>
    <w:p>
      <w:pPr>
        <w:ind w:left="460" w:right="120" w:hanging="452"/>
        <w:spacing w:after="0" w:line="271" w:lineRule="auto"/>
        <w:tabs>
          <w:tab w:leader="none" w:pos="4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a given Rights Holder no longer wishes to file, prosecute, defend or maintain in force a patent for results or innovations within the Rights in one or several countries, the relevant Rights Holder will notify AVROBIO and, upon written request of AVROBIO timely assign and transfer his/her rights in the relevant patent to AVROBIO against no additional remuneration or, if the relevant Rights Holder reasonably concludes that it is not entitled to so assign and transfer his/her rights in the relevant patent to AVROBIO, the Rights Holder will notify AVROBIO and instead offer AVROBIO to, at its own expense but in the name of the relevant Rights Holder, maintain the relevant patent, and AVROBIO may thereafter at its own expense file, prosecute, defend or maintain the relevant patent in such a country, and AVROBIO shall have the right to deduct from any payment under Section 5.1 (if and to the extent that such payment then remains outstanding and unpaid), costs and expenses (including reasonable attorneys’ fees) incurred by AVROBIO for maintaining any such patent as stipulated in this Section 6.1(c).</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Infringement by Third Parties</w:t>
      </w:r>
    </w:p>
    <w:p>
      <w:pPr>
        <w:spacing w:after="0" w:line="131" w:lineRule="exact"/>
        <w:rPr>
          <w:sz w:val="20"/>
          <w:szCs w:val="20"/>
          <w:color w:val="auto"/>
        </w:rPr>
      </w:pPr>
    </w:p>
    <w:p>
      <w:pPr>
        <w:ind w:left="460" w:right="100" w:hanging="452"/>
        <w:spacing w:after="0" w:line="308" w:lineRule="auto"/>
        <w:tabs>
          <w:tab w:leader="none" w:pos="4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during the term of this Agreement, any Party learns of any actual, alleged or threatened infringement by a third party of any Rights, such Party shall promptly notify the other Party and shall provide such other Party with available information about such alleged potential infringement.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35" w:name="page436"/>
    <w:bookmarkEnd w:id="435"/>
    <w:p>
      <w:pPr>
        <w:ind w:left="460" w:right="20" w:hanging="452"/>
        <w:spacing w:after="0" w:line="268" w:lineRule="auto"/>
        <w:tabs>
          <w:tab w:leader="none" w:pos="4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shall have the first right (but not the obligation), at its own expense and with legal counsel of its own choice, to bring suit (or take other appropriate legal action) against any actual, alleged or threatened infringement of the Rights relevant to the Field of Use. The Rights Holders shall have the right, at their own expense, to be represented in any such action by one set of counsel of the Rights Holders’ joint choice. If AVROBIO does not file any action or proceeding against such alleged infringer(s) or take other reasonable actions to resolve such infringement within a reasonable period of time not to exceed [***] after AVROBIO’s receipt of a written notice from the Rights Holders requesting AVROBIO to take action with respect to such infringement and that is issued after delivery of the relevant notices pursuant to Section 6.2(a) with respect to such infringement, and provided that the relevant infringement adversely affects the rights of the Rights Holders hereunder, then the Rights Holders shall have the right (but not the obligation), at their own expense and as mutually agreed by all relevant Rights Holders, to bring suit (or take other appropriate legal action) against such actual, alleged or threatened infringement, with legal counsel of the Rights Holders’ own choice. No Party shall be permitted to settle any such suit without the prior consent of the other Parry, such consent not to be unreasonably withheld, conditioned or delayed. If the Rights Holders lake any such action as permitted above, AVROBIO shall have the right, at its own expense, to be represented in any such action by counsel of its own choice. Any damages, monetary awards or other amounts recovered, whether by judgment or settlement, pursuant to any suit, proceeding or other legal action taken under this Section 6.2, shall be applied as follows:</w:t>
      </w:r>
    </w:p>
    <w:p>
      <w:pPr>
        <w:spacing w:after="0" w:line="93" w:lineRule="exact"/>
        <w:rPr>
          <w:rFonts w:ascii="Arial" w:cs="Arial" w:eastAsia="Arial" w:hAnsi="Arial"/>
          <w:sz w:val="17"/>
          <w:szCs w:val="17"/>
          <w:color w:val="auto"/>
        </w:rPr>
      </w:pPr>
    </w:p>
    <w:p>
      <w:pPr>
        <w:ind w:left="900" w:right="2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First, to reimburse the Parties for their respective costs and expenses (including reasonable attorneys’ fees and costs) incurred in prosecuting such enforcement action in accordance with this Section 6.2;</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Second, to [***] in reimbursement for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Third, any amounts remaining shall be allocated [***] percent to the Party bringing the action and [***]% to the other Party.</w:t>
      </w:r>
    </w:p>
    <w:p>
      <w:pPr>
        <w:spacing w:after="0" w:line="130" w:lineRule="exact"/>
        <w:rPr>
          <w:rFonts w:ascii="Arial" w:cs="Arial" w:eastAsia="Arial" w:hAnsi="Arial"/>
          <w:sz w:val="18"/>
          <w:szCs w:val="18"/>
          <w:color w:val="auto"/>
        </w:rPr>
      </w:pPr>
    </w:p>
    <w:p>
      <w:pPr>
        <w:ind w:left="460" w:right="580" w:hanging="452"/>
        <w:spacing w:after="0" w:line="264"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 Party brings any such action or proceeding hereunder, the other Party (including each Rights Holder as relevant) agrees to be joined as party plaintiff if necessary to prosecute such action or proceeding, and to give the Party bringing such action or proceeding reasonable assistance and authority to file and prosecute the suit.</w:t>
      </w:r>
    </w:p>
    <w:p>
      <w:pPr>
        <w:spacing w:after="0" w:line="87" w:lineRule="exact"/>
        <w:rPr>
          <w:sz w:val="20"/>
          <w:szCs w:val="20"/>
          <w:color w:val="auto"/>
        </w:rPr>
      </w:pPr>
    </w:p>
    <w:p>
      <w:pPr>
        <w:jc w:val="both"/>
        <w:ind w:left="460" w:right="60" w:hanging="445"/>
        <w:spacing w:after="0" w:line="312"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Patent Infringement Claims Each Party shall notify the other Party promptly in writing of any claim of, or action for, infringement of any patents of, or misappropriation of trade secret rights of, any third party which is threatened, made or brought against either Party by reason of the use of the Rights or the development, manufacture, use or sale of Products by AVROBIO, and following such notification the Parties will confer on how to respond.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36" w:name="page437"/>
    <w:bookmarkEnd w:id="436"/>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Rights</w:t>
      </w:r>
    </w:p>
    <w:p>
      <w:pPr>
        <w:spacing w:after="0" w:line="135"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Arial" w:cs="Arial" w:eastAsia="Arial" w:hAnsi="Arial"/>
          <w:sz w:val="18"/>
          <w:szCs w:val="18"/>
          <w:color w:val="auto"/>
        </w:rPr>
        <w:t>7.1</w:t>
        <w:tab/>
        <w:t>Each Rights Holder retains title to his/her interest in the Rights, including any and all intellectual property rights and know-how related thereto, save if and to the extent this Agreement expressly provides otherwise. For clarity, AVROBIO shall have and retain title and interest in and to any and all rights, results and/or know-how that is obtained or developed by A VROBIO through practice of the License or otherwise as a result of its research on and development, manufacture, sale and marketing of Products in the Field of Use. In the event that any Rights are jointly invented by AVROBIO and any Rights Holder, such Rights shall be jointly owned by the relevant Rights Holder(s) and AVROBIO and, notwithstanding Section 6.1, AVROBIO shall have the first right to file, prosecute, defend or maintain any patent or patent application claiming the relevant Rights in accordance with the principles of Section 6.1, mutatis mutandis.</w:t>
      </w:r>
    </w:p>
    <w:p>
      <w:pPr>
        <w:spacing w:after="0" w:line="91"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Each one of the Rights Holders represents and warrants to AVROBIO as follows:</w:t>
      </w:r>
    </w:p>
    <w:p>
      <w:pPr>
        <w:spacing w:after="0" w:line="131" w:lineRule="exact"/>
        <w:rPr>
          <w:sz w:val="20"/>
          <w:szCs w:val="20"/>
          <w:color w:val="auto"/>
        </w:rPr>
      </w:pPr>
    </w:p>
    <w:p>
      <w:pPr>
        <w:ind w:left="900" w:hanging="446"/>
        <w:spacing w:after="0" w:line="277"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he/she has good title to and ownership of his/her interest in the Rights, and such Rights Holder has full right and qualification to grant the licenses and rights regarding such Rights in accordance with this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he/she knows of no other person or entity other than another Rights Holder having any claim of ownership in and to the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his/her interest in the Rights is not encumbered with any lien, right of pledge, license, option right or any similar right;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such Rights Holder has the right to enter into this Agreement and grant the License hereunder;</w:t>
      </w:r>
    </w:p>
    <w:p>
      <w:pPr>
        <w:spacing w:after="0" w:line="130"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does not and will not result in a breach of or constitute a default under any material agreement, mortgage, lease, license, permit or other instrument or obligation to which he/she is a party or by which he/she or his/her properties may be bound or affected.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AVROBIO represents and warrants to the Rights Holders as follows:</w:t>
      </w:r>
    </w:p>
    <w:p>
      <w:pPr>
        <w:spacing w:after="0" w:line="131" w:lineRule="exact"/>
        <w:rPr>
          <w:sz w:val="20"/>
          <w:szCs w:val="20"/>
          <w:color w:val="auto"/>
        </w:rPr>
      </w:pPr>
    </w:p>
    <w:p>
      <w:pPr>
        <w:jc w:val="both"/>
        <w:ind w:left="460" w:right="40" w:hanging="452"/>
        <w:spacing w:after="0" w:line="264"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all necessary corporate action and do not and will not result in a breach of or constitute a default under any material agreement, mortgage, lease, license, permit or other instrument or obligation to which it is a party or by which it or its properties may be bound or affected.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37" w:name="page438"/>
    <w:bookmarkEnd w:id="437"/>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p>
    <w:p>
      <w:pPr>
        <w:spacing w:after="0" w:line="135"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9.1</w:t>
        <w:tab/>
        <w:t>Each Rights Holder will indemnify, defend and hold harmless AVROBIO, its affiliates, and its and their respective officers, directors, employees and agents (collectively, the “</w:t>
      </w:r>
      <w:r>
        <w:rPr>
          <w:rFonts w:ascii="Arial" w:cs="Arial" w:eastAsia="Arial" w:hAnsi="Arial"/>
          <w:sz w:val="18"/>
          <w:szCs w:val="18"/>
          <w:b w:val="1"/>
          <w:bCs w:val="1"/>
          <w:color w:val="auto"/>
        </w:rPr>
        <w:t>AVROBIO Indemnitees</w:t>
      </w:r>
      <w:r>
        <w:rPr>
          <w:rFonts w:ascii="Arial" w:cs="Arial" w:eastAsia="Arial" w:hAnsi="Arial"/>
          <w:sz w:val="18"/>
          <w:szCs w:val="18"/>
          <w:color w:val="auto"/>
        </w:rPr>
        <w:t>”) against any third party claims, including reasonable attorneys’ fees for defending those claims, to the extent such claims arise out of or relate to (a) such Rights Holder’s negligence or willful misconduct; or (b) such Rights Holder’s breach of this Agreement including any representation or warranty hereunder.</w:t>
      </w:r>
    </w:p>
    <w:p>
      <w:pPr>
        <w:spacing w:after="0" w:line="88"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AVROBIO will indemnify, defend and hold harmless the Rights Holders, their heirs, successors and permitted assigns (collectively, the “</w:t>
      </w:r>
      <w:r>
        <w:rPr>
          <w:rFonts w:ascii="Arial" w:cs="Arial" w:eastAsia="Arial" w:hAnsi="Arial"/>
          <w:sz w:val="17"/>
          <w:szCs w:val="17"/>
          <w:b w:val="1"/>
          <w:bCs w:val="1"/>
          <w:color w:val="auto"/>
        </w:rPr>
        <w:t>Rights Holder</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against any third party claims, including reasonable attorneys’ fees for defending those claims, to the extent such claims arise out of or</w:t>
      </w:r>
      <w:r>
        <w:rPr>
          <w:rFonts w:ascii="Arial" w:cs="Arial" w:eastAsia="Arial" w:hAnsi="Arial"/>
          <w:sz w:val="17"/>
          <w:szCs w:val="17"/>
          <w:b w:val="1"/>
          <w:bCs w:val="1"/>
          <w:color w:val="auto"/>
        </w:rPr>
        <w:t xml:space="preserve"> </w:t>
      </w:r>
      <w:r>
        <w:rPr>
          <w:rFonts w:ascii="Arial" w:cs="Arial" w:eastAsia="Arial" w:hAnsi="Arial"/>
          <w:sz w:val="17"/>
          <w:szCs w:val="17"/>
          <w:color w:val="auto"/>
        </w:rPr>
        <w:t>relate to (a) the practice of the License by AVROBIO or its affiliates (except to the extent such claims result from any Rights Holder’s breach of this Agreement, including any representation or warranty hereunder, or a Rights Holder Indemnitee’s negligence or willful misconduct); (b) AVROBIO’s negligence or willful misconduct; or (c) AVROBIO’s breach of this Agreement.</w:t>
      </w:r>
    </w:p>
    <w:p>
      <w:pPr>
        <w:spacing w:after="0" w:line="78" w:lineRule="exact"/>
        <w:rPr>
          <w:sz w:val="20"/>
          <w:szCs w:val="20"/>
          <w:color w:val="auto"/>
        </w:rPr>
      </w:pPr>
    </w:p>
    <w:p>
      <w:pPr>
        <w:ind w:left="460" w:right="80" w:hanging="445"/>
        <w:spacing w:after="0" w:line="272"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 xml:space="preserve">Each Party must notify the other Party within [***] after receipt of any claims made for which the other Party might be liable under Section 9.1 or 9.2, as applicable. The indemnifying Party will have the sole right to defend, negotiate, and settle such claims. The indemnified Party will be entitled to participate in the defense of such matter and to employ counsel at its expense to assist in such defense;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indemnifying Party will have final decision-making authority regarding all aspects of the defense of the claim. The indemnified Party will provide the indemnifying Party with such information and assistance as the indemnifying Party may reasonably request, at the expense of the indemnifying Party. Neither Party will be responsible or bound by any settlement of any claim or suit made without its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indemnified Party will not unreasonably withhold or delay such consent.</w:t>
      </w:r>
    </w:p>
    <w:p>
      <w:pPr>
        <w:spacing w:after="0" w:line="79"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the Parties; New Project Participants</w:t>
      </w:r>
    </w:p>
    <w:p>
      <w:pPr>
        <w:spacing w:after="0" w:line="135" w:lineRule="exact"/>
        <w:rPr>
          <w:sz w:val="20"/>
          <w:szCs w:val="20"/>
          <w:color w:val="auto"/>
        </w:rPr>
      </w:pPr>
    </w:p>
    <w:p>
      <w:pPr>
        <w:ind w:left="460" w:right="80" w:hanging="445"/>
        <w:spacing w:after="0" w:line="289" w:lineRule="auto"/>
        <w:rPr>
          <w:sz w:val="20"/>
          <w:szCs w:val="20"/>
          <w:color w:val="auto"/>
        </w:rPr>
      </w:pPr>
      <w:r>
        <w:rPr>
          <w:rFonts w:ascii="Arial" w:cs="Arial" w:eastAsia="Arial" w:hAnsi="Arial"/>
          <w:sz w:val="16"/>
          <w:szCs w:val="16"/>
          <w:color w:val="auto"/>
        </w:rPr>
        <w:t>10.1 In performing obligations under this Agreement, each Rights Holder shall at all times act as an independent contractor to AVROBIO. This Agreement shall not create any relationship whereby any Rights Holder shall be an agent or legal representative of AVROBIO for any purpose whatsoever and creates no relationship of employment, principal and agent, partnership or joint venture. No Rights Holder shall have any authority to bind AVROBIO or to create any express or implied obligation for AVROBIO, and shall not hold himself or herself out as having such authority. The Rights Holders shall have full responsibility for payment of, and shall pay, all compensation, social security, unemployment, withholding and other taxes and charges (including, but not limited to any value-added tax or other fees that may be imposed on the amounts payable to them by AVROBIO under this Agreement), as and when the same become due and payable, and AVROBIO shall have no obligation to pay or make available any employee benefit to any Right Holder. The Rights Holders shall indemnify AVROBIO and hold AVROBIO harmless to the extent of any obligation described in the preceding sentence imposed on AVROBIO to pay any such amounts in connection with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38" w:name="page439"/>
    <w:bookmarkEnd w:id="438"/>
    <w:p>
      <w:pPr>
        <w:ind w:left="460" w:right="2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 The Rights Holders agree that before introducing or involving any new person in the Project other than the current Rights Holders, and as a condition for such introduction or involvement, such person shall agree to be bound by this Agreement in writing and thereby agree that any results or innovations generated by such person in the course of performance of the Project will be covered by the License under the terms of this Agreement, and a copy of each such Right’s Holders agreement shall promptly be provided to AVROBIO.</w:t>
      </w:r>
    </w:p>
    <w:p>
      <w:pPr>
        <w:spacing w:after="0" w:line="88"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11.1  This Agreement shall enter into force on the Effective Date and shall remain in force until the later of;</w:t>
      </w:r>
    </w:p>
    <w:p>
      <w:pPr>
        <w:spacing w:after="0" w:line="131" w:lineRule="exact"/>
        <w:rPr>
          <w:sz w:val="20"/>
          <w:szCs w:val="20"/>
          <w:color w:val="auto"/>
        </w:rPr>
      </w:pPr>
    </w:p>
    <w:p>
      <w:pPr>
        <w:ind w:left="900" w:hanging="446"/>
        <w:spacing w:after="0"/>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twentieth (20th) anniversary of the Project end date;</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expiration of the term of any patent filed on Rights and containing one or more claims that would be infringed by the manufacture, sale or use of any Product in any part of the world;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the manufacture, use or sale of a Product is covered by a marketing exclusivity right in any part of the world, the term of such marketing exclusivity right; or</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AVROBIO or any of its sublicensees, partners or contractors at any such point in time described above still commercializes a Product, for so long as AVROBIO or any of its sublicensees, partners or contractors continues to commercialize a Product.</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11.2 Either AVROBIO on the one hand, or all Rights Holders by unanimous mutual agreement on the other hand, may terminate the Agreement immediately by giving written notice to the other Party in the following circumstances:</w:t>
      </w:r>
    </w:p>
    <w:p>
      <w:pPr>
        <w:spacing w:after="0" w:line="76" w:lineRule="exact"/>
        <w:rPr>
          <w:sz w:val="20"/>
          <w:szCs w:val="20"/>
          <w:color w:val="auto"/>
        </w:rPr>
      </w:pPr>
    </w:p>
    <w:p>
      <w:pPr>
        <w:jc w:val="both"/>
        <w:ind w:left="900" w:hanging="446"/>
        <w:spacing w:after="0" w:line="264"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AVROBIO on the one hand, or any Rights Holder on the other hand should commit a material breach of the Agreement without fully rectifying such breach within [***] after having been given written notice thereof pursuant to Section 15 including a request for such rectification, including written notice that the Agreement may otherwise be terminated;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other Party should enter into liquidation, become insolvent or enter into composition or statutory reorganization proceedings.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11.3  Provisions regarding indemnification, intellectual property, confidentiality, governing law and disputes shall survive the termination of the Agreement.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same shall apply to any other provision of the Agreement, which by its nature is intended to survive the termination 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39" w:name="page440"/>
    <w:bookmarkEnd w:id="439"/>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135" w:lineRule="exact"/>
        <w:rPr>
          <w:sz w:val="20"/>
          <w:szCs w:val="20"/>
          <w:color w:val="auto"/>
        </w:rPr>
      </w:pPr>
    </w:p>
    <w:p>
      <w:pPr>
        <w:ind w:left="460" w:right="100" w:hanging="445"/>
        <w:spacing w:after="0" w:line="257" w:lineRule="auto"/>
        <w:rPr>
          <w:sz w:val="20"/>
          <w:szCs w:val="20"/>
          <w:color w:val="auto"/>
        </w:rPr>
      </w:pPr>
      <w:r>
        <w:rPr>
          <w:rFonts w:ascii="Arial" w:cs="Arial" w:eastAsia="Arial" w:hAnsi="Arial"/>
          <w:sz w:val="18"/>
          <w:szCs w:val="18"/>
          <w:color w:val="auto"/>
        </w:rPr>
        <w:t>12.1 Each Party (including each Rights Holder) agrees not to disclose Confidential Information of the other Party received in connection with this Agreement to any third party. Each Party (including each Rights Holder) agrees not to use any such Confidential Information of the other Party for any purpose other than as set out in this Agreement without the prior written consent of the other Party in each specific case. Each Party reserves all rights in its Confidential Information, or any other information disclosed hereunder, and no rights or obligations other than those explicitly stated herein are granted or to be implied from this Agreement.</w:t>
      </w:r>
    </w:p>
    <w:p>
      <w:pPr>
        <w:spacing w:after="0" w:line="94" w:lineRule="exact"/>
        <w:rPr>
          <w:sz w:val="20"/>
          <w:szCs w:val="20"/>
          <w:color w:val="auto"/>
        </w:rPr>
      </w:pPr>
    </w:p>
    <w:p>
      <w:pPr>
        <w:ind w:left="460" w:right="80" w:hanging="445"/>
        <w:spacing w:after="0" w:line="273" w:lineRule="auto"/>
        <w:rPr>
          <w:sz w:val="20"/>
          <w:szCs w:val="20"/>
          <w:color w:val="auto"/>
        </w:rPr>
      </w:pPr>
      <w:r>
        <w:rPr>
          <w:rFonts w:ascii="Arial" w:cs="Arial" w:eastAsia="Arial" w:hAnsi="Arial"/>
          <w:sz w:val="17"/>
          <w:szCs w:val="17"/>
          <w:color w:val="auto"/>
        </w:rPr>
        <w:t>12.2 Nothing in this Section 12 shall prevent AVROBIO from using or disclosing Confidential Information of the Rights Holders as reasonably required in connection with the exercise of rights granted to it hereunder or from disclosing such Confidential Information to its affiliates and to its or its affiliates’ directors, employees, consultants, advisors and Board members and to its or its affiliates’ potential and future collaborators, licensees, sublicensees, permitted acquirers and assignees, investment bankers, investors and lenders; provided, however, that such recipients shall be bound by confidentiality provisions that are customary and reasonable in light of the circumstances of such disclosure, meaning, in no event, less than a reasonable standard of care and a confidentiality undertaking which will remain in force for at least [***] from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12.3  The obligations of confidentiality set forth herein do not apply to information that:</w:t>
      </w:r>
    </w:p>
    <w:p>
      <w:pPr>
        <w:spacing w:after="0" w:line="131" w:lineRule="exact"/>
        <w:rPr>
          <w:sz w:val="20"/>
          <w:szCs w:val="20"/>
          <w:color w:val="auto"/>
        </w:rPr>
      </w:pPr>
    </w:p>
    <w:p>
      <w:pPr>
        <w:ind w:left="900" w:right="440" w:hanging="446"/>
        <w:spacing w:after="0" w:line="308" w:lineRule="auto"/>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was in the public domain at the time of disclosure or that has come into the public domain thereafter otherwise than through a breach of this Agreement or the Contract Research Agreement by the receiving Party (including by any receiving Rights Holder) or by LU;</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receiving Party can show was already known to that Party at the time of disclosure from a source other than the disclosing Party;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is developed by the receiving Party without use or reference to the Confidential Information of the disclosing Party;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has been legitimately disclosed to the receiving Party on a non-confidential basis by a third party, and independently of, the disclosing Party.</w:t>
      </w:r>
    </w:p>
    <w:p>
      <w:pPr>
        <w:spacing w:after="0" w:line="154"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12.4 Notwithstanding any other provision hereof, it shall not be a violation of this Agreement for the receiving Party to disclose Confidential Information of the disclosing Party to the extent such disclosure is required to comply with applicable laws or governmental regulations, provided that the receiving Party provides prior written notice of such required disclosure to the disclosing Party and takes reasonable and lawful actions to avoid and/or minimize the extent of such disclosure.</w:t>
      </w:r>
    </w:p>
    <w:p>
      <w:pPr>
        <w:spacing w:after="0" w:line="92" w:lineRule="exact"/>
        <w:rPr>
          <w:sz w:val="20"/>
          <w:szCs w:val="20"/>
          <w:color w:val="auto"/>
        </w:rPr>
      </w:pPr>
    </w:p>
    <w:p>
      <w:pPr>
        <w:ind w:left="460" w:right="40" w:hanging="445"/>
        <w:spacing w:after="0" w:line="342" w:lineRule="auto"/>
        <w:rPr>
          <w:sz w:val="20"/>
          <w:szCs w:val="20"/>
          <w:color w:val="auto"/>
        </w:rPr>
      </w:pPr>
      <w:r>
        <w:rPr>
          <w:rFonts w:ascii="Arial" w:cs="Arial" w:eastAsia="Arial" w:hAnsi="Arial"/>
          <w:sz w:val="16"/>
          <w:szCs w:val="16"/>
          <w:color w:val="auto"/>
        </w:rPr>
        <w:t>12.5 The Parties note that certain publication rights have been granted to LU under the Contract Research Agreement and (he Parties acknowledge and agree that such publication rights will apply in accordance with the terms of the Contract Research Agreement, irrespective of the terms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0" w:name="page441"/>
    <w:bookmarkEnd w:id="440"/>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121" w:lineRule="exact"/>
        <w:rPr>
          <w:rFonts w:ascii="Arial" w:cs="Arial" w:eastAsia="Arial" w:hAnsi="Arial"/>
          <w:sz w:val="18"/>
          <w:szCs w:val="18"/>
          <w:b w:val="1"/>
          <w:bCs w:val="1"/>
          <w:color w:val="auto"/>
        </w:rPr>
      </w:pPr>
    </w:p>
    <w:p>
      <w:pPr>
        <w:jc w:val="both"/>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No Party (including any individual Rights Holder) may wholly or partly assign or pledge its rights and/or obligations under this Agreement to any third party without the prior written consent of the other Party which, for the Rights Holders with respect to any assignment by AVROBIO, may be provided by Dr. Stefan Karlsson, such consent to not be unreasonably withheld. Notwithstanding the foregoing, AVROBIO may, without such consent, but with notice to the Rights Holders, assign this Agreement, in whole or in part, (a) in connection with the transfer or sale of all or substantially all of its assets or the line of business to which this Agreement relates, (b) to a successor entity or acquirer in the event of a merger, consolidation or change of control, or (c) to any affiliate. Any purported assignment in violation of the preceding sentences will be void. Any permitted assignee will assume the rights and obligations of its assignor under this Agreement.</w:t>
      </w:r>
    </w:p>
    <w:p>
      <w:pPr>
        <w:spacing w:after="0" w:line="79" w:lineRule="exact"/>
        <w:rPr>
          <w:rFonts w:ascii="Arial" w:cs="Arial" w:eastAsia="Arial" w:hAnsi="Arial"/>
          <w:sz w:val="18"/>
          <w:szCs w:val="18"/>
          <w:b w:val="1"/>
          <w:bCs w:val="1"/>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14.1  Any amendments to this Agreement shall be made in writing and signed by AVROBIO and all Rights Holders.</w:t>
      </w:r>
    </w:p>
    <w:p>
      <w:pPr>
        <w:spacing w:after="0" w:line="131" w:lineRule="exact"/>
        <w:rPr>
          <w:sz w:val="20"/>
          <w:szCs w:val="20"/>
          <w:color w:val="auto"/>
        </w:rPr>
      </w:pPr>
    </w:p>
    <w:p>
      <w:pPr>
        <w:jc w:val="both"/>
        <w:ind w:left="460" w:right="40" w:hanging="445"/>
        <w:spacing w:after="0" w:line="264" w:lineRule="auto"/>
        <w:rPr>
          <w:sz w:val="20"/>
          <w:szCs w:val="20"/>
          <w:color w:val="auto"/>
        </w:rPr>
      </w:pPr>
      <w:r>
        <w:rPr>
          <w:rFonts w:ascii="Arial" w:cs="Arial" w:eastAsia="Arial" w:hAnsi="Arial"/>
          <w:sz w:val="18"/>
          <w:szCs w:val="18"/>
          <w:color w:val="auto"/>
        </w:rPr>
        <w:t>14.2 For the avoidance of any doubt, this Agreement shall not be deemed to modify the terms of any agreement that is solely between any two of the Parties hereto or of the Contract Research Agreement, including any confidentiality obligations under the Contract Research Agreement that may be applicable to the Rights Holders.</w:t>
      </w:r>
    </w:p>
    <w:p>
      <w:pPr>
        <w:spacing w:after="0" w:line="83"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60" w:right="60" w:hanging="445"/>
        <w:spacing w:after="0" w:line="302" w:lineRule="auto"/>
        <w:rPr>
          <w:sz w:val="20"/>
          <w:szCs w:val="20"/>
          <w:color w:val="auto"/>
        </w:rPr>
      </w:pPr>
      <w:r>
        <w:rPr>
          <w:rFonts w:ascii="Arial" w:cs="Arial" w:eastAsia="Arial" w:hAnsi="Arial"/>
          <w:sz w:val="16"/>
          <w:szCs w:val="16"/>
          <w:color w:val="auto"/>
        </w:rPr>
        <w:t>15.1 Any notice required or permitted to be given under this Agreement shall be in writing and shall be (a) delivered personally, (b) sent by registered mail, return receipt requested, postage prepaid, or (c) sent by a nationally-recognized courier service guaranteeing next-day or second day delivery, charges prepaid, to the notice address(es) of the other Party set forth below, or at such other address(es) as may from time to time be furnished by similar notice by the relevant Party. The effective date of any notice under this Agreement shall be the date of confirmed receipt by the receiving Party.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AVROBIO</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AVROBIO, Inc.</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02139, 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Rights Holders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Maria Dahl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Stefan Karlsson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BMC A12, Molecular Medicine and Gene Therapy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Lund University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Lund 22184 Sweden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41" w:name="page442"/>
    <w:bookmarkEnd w:id="441"/>
    <w:p>
      <w:pPr>
        <w:jc w:val="both"/>
        <w:ind w:left="460" w:right="360" w:hanging="445"/>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 For clarity, each Rights Holder agrees that any notice to the Rights Holders given in accordance with this Section 15 shall be deemed sufficient and effective, and the Rights Holders shall be responsible for determining by separate written agreement among themselves how each individual Rights Holder is to become informed of any notice given by AVROBIO hereunder.</w:t>
      </w:r>
    </w:p>
    <w:p>
      <w:pPr>
        <w:spacing w:after="0" w:line="83"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16.1  This Agreement shall be governed by and construed in accordance with the laws of Sweden, without reference to its conflict-of-laws rules.</w:t>
      </w:r>
    </w:p>
    <w:p>
      <w:pPr>
        <w:spacing w:after="0" w:line="131" w:lineRule="exact"/>
        <w:rPr>
          <w:sz w:val="20"/>
          <w:szCs w:val="20"/>
          <w:color w:val="auto"/>
        </w:rPr>
      </w:pPr>
    </w:p>
    <w:p>
      <w:pPr>
        <w:ind w:left="460" w:right="20" w:hanging="445"/>
        <w:spacing w:after="0" w:line="264" w:lineRule="auto"/>
        <w:rPr>
          <w:sz w:val="20"/>
          <w:szCs w:val="20"/>
          <w:color w:val="auto"/>
        </w:rPr>
      </w:pPr>
      <w:r>
        <w:rPr>
          <w:rFonts w:ascii="Arial" w:cs="Arial" w:eastAsia="Arial" w:hAnsi="Arial"/>
          <w:sz w:val="18"/>
          <w:szCs w:val="18"/>
          <w:color w:val="auto"/>
        </w:rPr>
        <w:t>16.2 Any dispute, controversy or claim arising out of or in connection with this Agreement, or the breach, termination or invalidity thereof, shall first be referred to mediation in accordance with the Mediation Rules of the Arbitration Institute of the Stockholm Chamber of Commerce, unless AVROBIO or all of the Rights Holders acting unanimously objects.</w:t>
      </w:r>
    </w:p>
    <w:p>
      <w:pPr>
        <w:spacing w:after="0" w:line="87" w:lineRule="exact"/>
        <w:rPr>
          <w:sz w:val="20"/>
          <w:szCs w:val="20"/>
          <w:color w:val="auto"/>
        </w:rPr>
      </w:pPr>
    </w:p>
    <w:p>
      <w:pPr>
        <w:jc w:val="both"/>
        <w:ind w:left="460" w:right="20" w:hanging="445"/>
        <w:spacing w:after="0" w:line="264" w:lineRule="auto"/>
        <w:rPr>
          <w:sz w:val="20"/>
          <w:szCs w:val="20"/>
          <w:color w:val="auto"/>
        </w:rPr>
      </w:pPr>
      <w:r>
        <w:rPr>
          <w:rFonts w:ascii="Arial" w:cs="Arial" w:eastAsia="Arial" w:hAnsi="Arial"/>
          <w:sz w:val="18"/>
          <w:szCs w:val="18"/>
          <w:color w:val="auto"/>
        </w:rPr>
        <w:t>16.3 If AVROBIO or all of the Rights Holders acting unanimously objects lo mediation or if the mediation is terminated, the dispute shall be finally resolved by arbitration in accordance with the Rules for Expedited Arbitrations of the Arbitration Institute of the Stockholm Chamber of Commerce. The seat of arbitration will be London, England.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16.4  The language to be used in the arbitral proceedings shall be English.</w:t>
      </w:r>
    </w:p>
    <w:p>
      <w:pPr>
        <w:spacing w:after="0" w:line="131" w:lineRule="exact"/>
        <w:rPr>
          <w:sz w:val="20"/>
          <w:szCs w:val="20"/>
          <w:color w:val="auto"/>
        </w:rPr>
      </w:pPr>
    </w:p>
    <w:p>
      <w:pPr>
        <w:ind w:left="460" w:right="20" w:hanging="445"/>
        <w:spacing w:after="0" w:line="302" w:lineRule="auto"/>
        <w:rPr>
          <w:sz w:val="20"/>
          <w:szCs w:val="20"/>
          <w:color w:val="auto"/>
        </w:rPr>
      </w:pPr>
      <w:r>
        <w:rPr>
          <w:rFonts w:ascii="Arial" w:cs="Arial" w:eastAsia="Arial" w:hAnsi="Arial"/>
          <w:sz w:val="16"/>
          <w:szCs w:val="16"/>
          <w:color w:val="auto"/>
        </w:rPr>
        <w:t>16.5 Each Party undertakes and agrees that all information disclosed in the course of arbitral proceedings conducted with reference to this arbitration clause, as well as any decision or award that is made or declared during the proceedings, will be kept strictly confidential. This notwithstanding, a Party shall not be prevented from disclosing such information in order to safeguard in the best possible way his rights vis-a-vis the other Party in connection with the dispute, or if such information must be disclosed pursuant to law, statute, regulation, a decision by an authority, a stock exchange contract or similar.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Place: Cambridge, MA</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Place: Lund</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Date: Jan. 30</w:t>
            </w:r>
            <w:r>
              <w:rPr>
                <w:rFonts w:ascii="Arial" w:cs="Arial" w:eastAsia="Arial" w:hAnsi="Arial"/>
                <w:sz w:val="15"/>
                <w:szCs w:val="15"/>
                <w:color w:val="auto"/>
              </w:rPr>
              <w:t>th</w:t>
            </w:r>
            <w:r>
              <w:rPr>
                <w:rFonts w:ascii="Arial" w:cs="Arial" w:eastAsia="Arial" w:hAnsi="Arial"/>
                <w:sz w:val="18"/>
                <w:szCs w:val="18"/>
                <w:color w:val="auto"/>
              </w:rPr>
              <w:t>, 2017</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Date: January 27, 2017</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AVROBIO INC.</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DR. STEFAN KARLSSON</w:t>
            </w:r>
          </w:p>
        </w:tc>
      </w:tr>
      <w:tr>
        <w:trPr>
          <w:trHeight w:val="392"/>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Geoff MacKay</w:t>
            </w:r>
          </w:p>
        </w:tc>
        <w:tc>
          <w:tcPr>
            <w:tcW w:w="4680" w:type="dxa"/>
            <w:vAlign w:val="bottom"/>
            <w:gridSpan w:val="2"/>
          </w:tcPr>
          <w:p>
            <w:pPr>
              <w:ind w:left="1000"/>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Stefan Karlsson</w:t>
            </w:r>
          </w:p>
        </w:tc>
      </w:tr>
      <w:tr>
        <w:trPr>
          <w:trHeight w:val="20"/>
        </w:trPr>
        <w:tc>
          <w:tcPr>
            <w:tcW w:w="8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Geoff MacKay</w:t>
            </w:r>
          </w:p>
        </w:tc>
        <w:tc>
          <w:tcPr>
            <w:tcW w:w="4680" w:type="dxa"/>
            <w:vAlign w:val="bottom"/>
            <w:gridSpan w:val="2"/>
          </w:tcPr>
          <w:p>
            <w:pPr>
              <w:ind w:left="1000"/>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Stefan Karlsson</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Place: Lund, Sweden</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Date: January 26, 2017</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MARIA DAHL</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92"/>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Maria Dahl</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Maria Dahl</w:t>
            </w:r>
          </w:p>
        </w:tc>
        <w:tc>
          <w:tcPr>
            <w:tcW w:w="178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43" w:name="page444"/>
    <w:bookmarkEnd w:id="4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4" w:name="page445"/>
    <w:bookmarkEnd w:id="444"/>
    <w:p>
      <w:pPr>
        <w:ind w:left="1048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CONFIDENTIAL PORTIONS OF THIS EXHIBIT WERE OMITTED AND REPLACED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 COMPLETE VERSION OF THIS EXHIBIT HAS BEEN FILED SEPARATELY WITH THE SECRETARY OF THE SECURITIES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COMMISSION PURSUANT TO AN APPLICATION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REQUESTING CONFIDENTIAL TREATMENT PURSUANT TO RULE 406 PROMULGATED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ACT OF 1933, AS AMENDED.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October 2,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GenStem Therapeutics, Inc</w:t>
      </w:r>
      <w:r>
        <w:rPr>
          <w:rFonts w:ascii="Arial" w:cs="Arial" w:eastAsia="Arial" w:hAnsi="Arial"/>
          <w:sz w:val="18"/>
          <w:szCs w:val="18"/>
          <w:color w:val="auto"/>
        </w:rPr>
        <w:t>., a Delaware corporation having an address of [***], Cardiff by the Sea, CA 92007 (“</w:t>
      </w:r>
      <w:r>
        <w:rPr>
          <w:rFonts w:ascii="Arial" w:cs="Arial" w:eastAsia="Arial" w:hAnsi="Arial"/>
          <w:sz w:val="18"/>
          <w:szCs w:val="18"/>
          <w:b w:val="1"/>
          <w:bCs w:val="1"/>
          <w:color w:val="auto"/>
        </w:rPr>
        <w:t>GenStem</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GenStem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GenStem owns and/or controls certain patents and other intellectual property pertaining to genetic modification of stem cells and gene therapy, and</w:t>
      </w:r>
      <w:r>
        <w:rPr>
          <w:rFonts w:ascii="Arial" w:cs="Arial" w:eastAsia="Arial" w:hAnsi="Arial"/>
          <w:sz w:val="18"/>
          <w:szCs w:val="18"/>
          <w:b w:val="1"/>
          <w:bCs w:val="1"/>
          <w:color w:val="auto"/>
        </w:rPr>
        <w:t xml:space="preserve"> </w:t>
      </w:r>
      <w:r>
        <w:rPr>
          <w:rFonts w:ascii="Arial" w:cs="Arial" w:eastAsia="Arial" w:hAnsi="Arial"/>
          <w:sz w:val="18"/>
          <w:szCs w:val="18"/>
          <w:color w:val="auto"/>
        </w:rPr>
        <w:t>is developing products using such intellectual property.</w:t>
      </w:r>
    </w:p>
    <w:p>
      <w:pPr>
        <w:spacing w:after="0" w:line="5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AVROBIO desires to obtain an exclusive license under GenStem’s intellectual property rights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GenStem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GenStem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5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w:t>
      </w:r>
    </w:p>
    <w:p>
      <w:pPr>
        <w:sectPr>
          <w:pgSz w:w="11900" w:h="16838" w:orient="portrait"/>
          <w:cols w:equalWidth="0" w:num="1">
            <w:col w:w="11420"/>
          </w:cols>
          <w:pgMar w:left="240" w:top="121" w:right="239" w:bottom="1440" w:gutter="0" w:footer="0" w:header="0"/>
        </w:sectPr>
      </w:pPr>
    </w:p>
    <w:bookmarkStart w:id="445" w:name="page446"/>
    <w:bookmarkEnd w:id="44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pacing w:after="0" w:line="3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means a Biologies License Application, as defined in</w:t>
      </w:r>
      <w:r>
        <w:rPr>
          <w:rFonts w:ascii="Arial" w:cs="Arial" w:eastAsia="Arial" w:hAnsi="Arial"/>
          <w:sz w:val="18"/>
          <w:szCs w:val="18"/>
          <w:b w:val="1"/>
          <w:bCs w:val="1"/>
          <w:color w:val="auto"/>
        </w:rPr>
        <w:t xml:space="preserve"> 21 C.F.R. Part 600-680, </w:t>
      </w:r>
      <w:r>
        <w:rPr>
          <w:rFonts w:ascii="Arial" w:cs="Arial" w:eastAsia="Arial" w:hAnsi="Arial"/>
          <w:sz w:val="18"/>
          <w:szCs w:val="18"/>
          <w:color w:val="auto"/>
        </w:rPr>
        <w:t>required to be filed with the FDA for approval to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sale or marketing of a biologies product in the U.S. or a similar filing in a country outside the United States.</w:t>
      </w:r>
    </w:p>
    <w:p>
      <w:pPr>
        <w:spacing w:after="0" w:line="54"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Developing or Commercializing a Licensed Product, that AVROBIO will use the</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 but the level of effort will be no less than: (a) marketing Licensed Products in quantities calculated to address anticipated market demand once marketing has begun and (b) seeking needed governmental approvals for marketing Licensed Products with diligence in supplying indicated information to, and replying to, appropriate governmental offices in the process. Commercially Reasonable Efforts shall in no case involve a shelving of the development, marketing or sale of Licensed Products or a suspension of the diligent pursuit of needed governmental approval for Licensed Products.</w:t>
      </w:r>
    </w:p>
    <w:p>
      <w:pPr>
        <w:spacing w:after="0" w:line="4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1.5 “Control” </w:t>
      </w:r>
      <w:r>
        <w:rPr>
          <w:rFonts w:ascii="Arial" w:cs="Arial" w:eastAsia="Arial" w:hAnsi="Arial"/>
          <w:sz w:val="18"/>
          <w:szCs w:val="18"/>
          <w:color w:val="auto"/>
        </w:rPr>
        <w:t>means, with respect to any Know-How, Patent Right, or other intellectual property right, that the applicable Party owns or has a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non-clinical and clinical drug discovery, research and/or development activities reasonably related to or leading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submission of information to a Regulatory Authority,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8"/>
          <w:szCs w:val="18"/>
          <w:b w:val="1"/>
          <w:bCs w:val="1"/>
          <w:color w:val="auto"/>
        </w:rPr>
        <w:t>Develop</w:t>
      </w:r>
      <w:r>
        <w:rPr>
          <w:rFonts w:ascii="Arial" w:cs="Arial" w:eastAsia="Arial" w:hAnsi="Arial"/>
          <w:sz w:val="18"/>
          <w:szCs w:val="18"/>
          <w:color w:val="auto"/>
        </w:rPr>
        <w:t>” means to engage in Development.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of Licensed Product.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46" w:name="page447"/>
    <w:bookmarkEnd w:id="44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Licensed Product for use in clinical trials or for compassionate use.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filed with the FDA and sufficient to satisfy the requirements of 21 CFR 312.20.</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non-public, documented or otherwise recorded or memorialized knowledge, experience, know-how,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w:t>
      </w:r>
    </w:p>
    <w:p>
      <w:pPr>
        <w:spacing w:after="0" w:line="7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Know-How Controlled by GenStem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research, Develop, manufacture and/or Commercialize Licensed Products in the Field. Licensed Know How to be shared with AVROBIO will include, without limitation, the items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Licensed Patent Rights</w:t>
      </w:r>
      <w:r>
        <w:rPr>
          <w:rFonts w:ascii="Arial" w:cs="Arial" w:eastAsia="Arial" w:hAnsi="Arial"/>
          <w:sz w:val="18"/>
          <w:szCs w:val="18"/>
          <w:color w:val="auto"/>
        </w:rPr>
        <w:t>” means: (a) any of the Patent Rights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and (b) any division, continuation and/or any foreign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and/or Letters Patent, and/or the equivalent thereof issuing on any of the foregoing, and/or any reissue, reexamination and/or extension thereof. Any continuation-in-part application or other patent application or patent that is directed specifically to subject matter specifically described in, at least one of the patents or patent applications described above and that has claims relevant to the Field, or that would otherwise be infringed by AVROBIO’s Development and Commercialization of Licensed Products under the terms of this Agreement shall also be included in Licensed Patent Rights to the extent such patent or patent application is Controlled by GenStem.</w:t>
      </w:r>
    </w:p>
    <w:p>
      <w:pPr>
        <w:spacing w:after="0" w:line="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that utilizes, includes or incorporates a gene encoding cystinosin, or the protein produced by such gene,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(i) the manufacture, use or sale of which would, but for the licenses granted herein, infringe a Valid Claim of the Licensed Patent Rights, (ii) that is the product described in the IND to be filed in accordance with Section 2.2.1, or (iii) that is any derivative, modification or improvement to such product described in such IND and that is to be used for the treatment of Cystinosis.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Major Country</w:t>
      </w:r>
      <w:r>
        <w:rPr>
          <w:rFonts w:ascii="Arial" w:cs="Arial" w:eastAsia="Arial" w:hAnsi="Arial"/>
          <w:sz w:val="18"/>
          <w:szCs w:val="18"/>
          <w:color w:val="auto"/>
        </w:rPr>
        <w:t>” means [***].</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amount invoiced or received by AVROBIO, its Affiliates or sublicensees for sales of a Licensed Product less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to the extent included in and not already deducted from the gross amounts invoiced or otherwise charged, and to the extent applicable solely to such sales of the Licensed Product: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60" w:firstLine="921"/>
        <w:spacing w:after="0" w:line="277" w:lineRule="auto"/>
        <w:tabs>
          <w:tab w:leader="none" w:pos="1168"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normal and customary charges for packaging, transportation, freight and insurance actually incurred and not charged to the purchaser separately for the shipping delivery of the Licensed Product;</w:t>
      </w:r>
    </w:p>
    <w:p>
      <w:pPr>
        <w:spacing w:after="0" w:line="62" w:lineRule="exact"/>
        <w:rPr>
          <w:rFonts w:ascii="Arial" w:cs="Arial" w:eastAsia="Arial" w:hAnsi="Arial"/>
          <w:sz w:val="18"/>
          <w:szCs w:val="18"/>
          <w:b w:val="1"/>
          <w:bCs w:val="1"/>
          <w:color w:val="auto"/>
        </w:rPr>
      </w:pPr>
    </w:p>
    <w:p>
      <w:pPr>
        <w:ind w:right="160" w:firstLine="921"/>
        <w:spacing w:after="0" w:line="277" w:lineRule="auto"/>
        <w:tabs>
          <w:tab w:leader="none" w:pos="1168"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sales, value added and excise taxes or customs duties or any other governmental charges imposed upon the sale of the Licensed Product and paid by the selling party, other than franchise tax or income tax of any kind;</w:t>
      </w:r>
    </w:p>
    <w:p>
      <w:pPr>
        <w:spacing w:after="0" w:line="62" w:lineRule="exact"/>
        <w:rPr>
          <w:rFonts w:ascii="Arial" w:cs="Arial" w:eastAsia="Arial" w:hAnsi="Arial"/>
          <w:sz w:val="18"/>
          <w:szCs w:val="18"/>
          <w:b w:val="1"/>
          <w:bCs w:val="1"/>
          <w:color w:val="auto"/>
        </w:rPr>
      </w:pPr>
    </w:p>
    <w:p>
      <w:pPr>
        <w:ind w:right="60" w:firstLine="921"/>
        <w:spacing w:after="0" w:line="277" w:lineRule="auto"/>
        <w:tabs>
          <w:tab w:leader="none" w:pos="1168"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reasonable and customary rebates, quantity discounts, charge-backs, allowances and premiums granted or allowed in connection with the sale of the Licensed Product;</w:t>
      </w:r>
    </w:p>
    <w:p>
      <w:pPr>
        <w:spacing w:after="0" w:line="62" w:lineRule="exact"/>
        <w:rPr>
          <w:rFonts w:ascii="Arial" w:cs="Arial" w:eastAsia="Arial" w:hAnsi="Arial"/>
          <w:sz w:val="18"/>
          <w:szCs w:val="18"/>
          <w:b w:val="1"/>
          <w:bCs w:val="1"/>
          <w:color w:val="auto"/>
        </w:rPr>
      </w:pPr>
    </w:p>
    <w:p>
      <w:pPr>
        <w:ind w:right="180" w:firstLine="921"/>
        <w:spacing w:after="0" w:line="277" w:lineRule="auto"/>
        <w:tabs>
          <w:tab w:leader="none" w:pos="1168"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credits or allowances given or made for rejection of or return of, and for uncollectible amounts on, previously sold Licensed Products or for retroactive price reductions; and</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credits and allowances to customers on account of governmental or managed care requirements on the Licensed Product.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shall be determined in accordance with GAAP. In the case of a sale of a Licensed Product between or among AVROBIO or any Affiliate or sublicensee thereof for resale by such transferee, Net Sales shall be based on [***]. Any deductions listed above which involve a payment by AVROBIO (or its Affiliate or sublicensee) shall be [***]. [***].</w:t>
      </w:r>
    </w:p>
    <w:p>
      <w:pPr>
        <w:spacing w:after="0" w:line="69"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Pivotal Trial</w:t>
      </w:r>
      <w:r>
        <w:rPr>
          <w:rFonts w:ascii="Arial" w:cs="Arial" w:eastAsia="Arial" w:hAnsi="Arial"/>
          <w:sz w:val="18"/>
          <w:szCs w:val="18"/>
          <w:color w:val="auto"/>
        </w:rPr>
        <w:t>” means a clinical trial that is designed to: (a) establish that a Licensed Product is safe and efficacious for its intended use; (b) define</w:t>
      </w:r>
      <w:r>
        <w:rPr>
          <w:rFonts w:ascii="Arial" w:cs="Arial" w:eastAsia="Arial" w:hAnsi="Arial"/>
          <w:sz w:val="18"/>
          <w:szCs w:val="18"/>
          <w:b w:val="1"/>
          <w:bCs w:val="1"/>
          <w:color w:val="auto"/>
        </w:rPr>
        <w:t xml:space="preserve"> </w:t>
      </w:r>
      <w:r>
        <w:rPr>
          <w:rFonts w:ascii="Arial" w:cs="Arial" w:eastAsia="Arial" w:hAnsi="Arial"/>
          <w:sz w:val="18"/>
          <w:szCs w:val="18"/>
          <w:color w:val="auto"/>
        </w:rPr>
        <w:t>warnings, precautions and adverse reactions that are associated with the Licensed Product in the dosage range to be prescribed; and (c) support Regulatory Approval of such Licensed Product; and that is generally consistent with 21 CFR § 312.21(c), or a similar clinical study prescribed by the Regulatory Authorities in a country other than the United States.</w:t>
      </w:r>
    </w:p>
    <w:p>
      <w:pPr>
        <w:spacing w:after="0" w:line="7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Product Label</w:t>
      </w:r>
      <w:r>
        <w:rPr>
          <w:rFonts w:ascii="Arial" w:cs="Arial" w:eastAsia="Arial" w:hAnsi="Arial"/>
          <w:sz w:val="18"/>
          <w:szCs w:val="18"/>
          <w:color w:val="auto"/>
        </w:rPr>
        <w:t>” means the United States prescribing information/package insert (USPI) for an approved pharmaceutical product as accepted but</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or the equivalent thereof approved by any other Regulatory Authority.</w:t>
      </w:r>
    </w:p>
    <w:p>
      <w:pPr>
        <w:spacing w:after="0" w:line="54"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8" w:name="page449"/>
    <w:bookmarkEnd w:id="4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assigned to it in Section 4.3.3.</w:t>
      </w:r>
    </w:p>
    <w:p>
      <w:pPr>
        <w:spacing w:after="0" w:line="117"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Series B Financing</w:t>
      </w:r>
      <w:r>
        <w:rPr>
          <w:rFonts w:ascii="Arial" w:cs="Arial" w:eastAsia="Arial" w:hAnsi="Arial"/>
          <w:sz w:val="17"/>
          <w:szCs w:val="17"/>
          <w:color w:val="auto"/>
        </w:rPr>
        <w:t>” means AVROBIO’s first issuance and sale of shares of a newly authorized series of preferred stock (e.g., Series B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after the Effective Date of this Agreement to venture capital funds and/or other institutional investors in a bona fide equity financing.</w:t>
      </w:r>
    </w:p>
    <w:p>
      <w:pPr>
        <w:spacing w:after="0" w:line="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Sublicense Income</w:t>
      </w:r>
      <w:r>
        <w:rPr>
          <w:rFonts w:ascii="Arial" w:cs="Arial" w:eastAsia="Arial" w:hAnsi="Arial"/>
          <w:sz w:val="18"/>
          <w:szCs w:val="18"/>
          <w:color w:val="auto"/>
        </w:rPr>
        <w:t>” means license issue fees, milestone payments, maintenance fees, upfront fees, technology access fees, and any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made by a Third Party sublicensee to AVROBIO or an Affiliate of AVROBIO as consideration for a sublicense granted to such Third Party under the rights to Licensed Technology granted to AVROBIO under this Agreement. Excluded from Sublicense Income are: (a) royalties received on the sale or distribution of Licensed Products; (b) payments related to equity investments in AVROBIO or its Affiliates to the extent equal to the fair market value of the equity, with any excess being part of Sublicense Income, (c) bona fide research or development funding from Third Parties for any work related to the research or development of Licensed Products that AVROBIO or any AVROBIO Affiliate is required to perform or have performed under such sublicense agreement, and (d) payments based on the cost of goods for product manufactured and supplied by AVROBIO for a Third Party under the relevant sublicense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party other than GenStem, AVROBIO, or their respective Affiliates.</w:t>
      </w:r>
    </w:p>
    <w:p>
      <w:pPr>
        <w:spacing w:after="0" w:line="117"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UCSD</w:t>
      </w:r>
      <w:r>
        <w:rPr>
          <w:rFonts w:ascii="Arial" w:cs="Arial" w:eastAsia="Arial" w:hAnsi="Arial"/>
          <w:sz w:val="18"/>
          <w:szCs w:val="18"/>
          <w:color w:val="auto"/>
        </w:rPr>
        <w:t>” means The Regents of the University of California, a California public corporation having its statewide administrative offices at 1111</w:t>
      </w:r>
      <w:r>
        <w:rPr>
          <w:rFonts w:ascii="Arial" w:cs="Arial" w:eastAsia="Arial" w:hAnsi="Arial"/>
          <w:sz w:val="18"/>
          <w:szCs w:val="18"/>
          <w:b w:val="1"/>
          <w:bCs w:val="1"/>
          <w:color w:val="auto"/>
        </w:rPr>
        <w:t xml:space="preserve"> </w:t>
      </w:r>
      <w:r>
        <w:rPr>
          <w:rFonts w:ascii="Arial" w:cs="Arial" w:eastAsia="Arial" w:hAnsi="Arial"/>
          <w:sz w:val="18"/>
          <w:szCs w:val="18"/>
          <w:color w:val="auto"/>
        </w:rPr>
        <w:t>Franklin Street, Oakland, California 94607-5200, represented by its San Diego campus.</w:t>
      </w:r>
    </w:p>
    <w:p>
      <w:pPr>
        <w:spacing w:after="0" w:line="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either (a) a claim of an issued and unexpired patent or a supplementary protection certificate, which has not been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Valid Claim shall exclude any such claim in such a pending application that has not been granted within the earlier of (i) ten (10) years following the earliest priority filing date for such claim and (ii) five (5) years from the date of issuance of the first substantive patent office action considering the patentability of such claim by the applicable patent office in such country, in each case unless and until such claim is granted in such country (at which time such claim will become a Valid Claim again).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2.1 License Grant</w:t>
      </w:r>
      <w:r>
        <w:rPr>
          <w:rFonts w:ascii="Arial" w:cs="Arial" w:eastAsia="Arial" w:hAnsi="Arial"/>
          <w:sz w:val="18"/>
          <w:szCs w:val="18"/>
          <w:color w:val="auto"/>
        </w:rPr>
        <w:t>. Subject to the terms and conditions of this Agreement, GenStem hereby grants to AVROBIO an exclusive, royalty-bearing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GenStem’s rights in the Licensed Patent Rights to research, have researched, develop, have developed, make, have made, use, have used, sell, have sold, offer for sale, have offered for sale, import, have imported, export and have exported Licensed Products in the Field in the Territory, including the right to grant sublicenses (the “</w:t>
      </w:r>
      <w:r>
        <w:rPr>
          <w:rFonts w:ascii="Arial" w:cs="Arial" w:eastAsia="Arial" w:hAnsi="Arial"/>
          <w:sz w:val="18"/>
          <w:szCs w:val="18"/>
          <w:b w:val="1"/>
          <w:bCs w:val="1"/>
          <w:color w:val="auto"/>
        </w:rPr>
        <w:t>License</w:t>
      </w:r>
      <w:r>
        <w:rPr>
          <w:rFonts w:ascii="Arial" w:cs="Arial" w:eastAsia="Arial" w:hAnsi="Arial"/>
          <w:sz w:val="18"/>
          <w:szCs w:val="18"/>
          <w:color w:val="auto"/>
        </w:rPr>
        <w:t>”). In addition, AVROBIO shall have the exclusive right in the Field to use and have used the Licensed Know-How provided to it by GenStem hereunder as reasonably required in the exercise of the rights granted above. With regards to any Licensed Patent Rights that are not owned by GenStem, notwithstanding the foregoing license grant or any other section of this Agreement, but subject to Sections 2.2.2 and 6.1, the scope of the rights granted to AVROBIO with respect to Licensed Patent Rights under the License shall be limited to the rights that GenStem has in such Licensed Patent Rights, including under the License Agreement between GenStem and UCSD effective as of June 14, 2017 (the “</w:t>
      </w:r>
      <w:r>
        <w:rPr>
          <w:rFonts w:ascii="Arial" w:cs="Arial" w:eastAsia="Arial" w:hAnsi="Arial"/>
          <w:sz w:val="18"/>
          <w:szCs w:val="18"/>
          <w:b w:val="1"/>
          <w:bCs w:val="1"/>
          <w:color w:val="auto"/>
        </w:rPr>
        <w:t>UCSD Agreement</w:t>
      </w:r>
      <w:r>
        <w:rPr>
          <w:rFonts w:ascii="Arial" w:cs="Arial" w:eastAsia="Arial" w:hAnsi="Arial"/>
          <w:sz w:val="18"/>
          <w:szCs w:val="18"/>
          <w:color w:val="auto"/>
        </w:rPr>
        <w:t>”). AVROBIO hereby agrees to comply with all obligations under the UCSD Agreement as it exists on the Effective Date that are applicable to Sublicensees (as defined in the UCSD License).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Reservation of Rights; Covenants</w:t>
      </w:r>
      <w:r>
        <w:rPr>
          <w:rFonts w:ascii="Arial" w:cs="Arial" w:eastAsia="Arial" w:hAnsi="Arial"/>
          <w:sz w:val="18"/>
          <w:szCs w:val="18"/>
          <w:color w:val="auto"/>
        </w:rPr>
        <w:t>.</w:t>
      </w:r>
    </w:p>
    <w:p>
      <w:pPr>
        <w:spacing w:after="0" w:line="121"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2.2.1 Notwithstanding the exclusive rights granted to AVROBIO in Section 2.1, GenStem shall have the right and obligation to complete the planned Phase 1/2 Trial in Cystinosis titled: “A Phase 1/2 Study to determine the safety and efficacy of transplantation with autologous CD34+ HSCs from mobilized PBSCs of patients with nephropathic cystinosis modified by ex vivo transduction using lentiviral vector”, at GenStem’s expense, provided that the Parties shall reasonably consult, cooperate and communicate regarding such efforts. For clarity, such clinical trial shall be conducted in accordance with the protocol as previously provided to AVROBIO and any amendments thereto shall require the prior written consent of AVROBIO, not to be unreasonably withheld, conditioned or delayed. GenStem will use commercially reasonable best efforts to conduct and complete the planned Phase 1/2 Trial in Cystinosis in a timely manner, with US IND filing anticipated by [***], obtainment of first patient consent anticipated by [***] and obtainment of third patient consent anticipated by [***] (each of the foregoing, the “</w:t>
      </w:r>
      <w:r>
        <w:rPr>
          <w:rFonts w:ascii="Arial" w:cs="Arial" w:eastAsia="Arial" w:hAnsi="Arial"/>
          <w:sz w:val="17"/>
          <w:szCs w:val="17"/>
          <w:b w:val="1"/>
          <w:bCs w:val="1"/>
          <w:color w:val="auto"/>
        </w:rPr>
        <w:t>Trial Dates</w:t>
      </w:r>
      <w:r>
        <w:rPr>
          <w:rFonts w:ascii="Arial" w:cs="Arial" w:eastAsia="Arial" w:hAnsi="Arial"/>
          <w:sz w:val="17"/>
          <w:szCs w:val="17"/>
          <w:color w:val="auto"/>
        </w:rPr>
        <w:t>”). GenStem will prepare and deliver to AVROBIO a final Study Report for the planned Phase 1/2 Trial as soon as practicable after trial completion. Upon written request of GenStem, AVROBIO agrees to negotiate in good faith a reasonable extension of any relevant Trial Date in order to account for unforeseen circumstances or requirements, in either case beyond the reasonable control of GenStem, including any requirements imposed by a Governmental Authority, provided that any such adjusted Trial Dates shall only be effective if mutually agreed in writing by the Parties.</w:t>
      </w:r>
    </w:p>
    <w:p>
      <w:pPr>
        <w:spacing w:after="0" w:line="72"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2.2.2 GenStem shall use all commercially reasonable efforts to maintain its rights under the UCSD Agreement with respect to Licensed Technology as in force on the Effective Date and shall promptly notify AVROBIO if it receives written notice from UCSD of any claimed breach of the UCSD Agreement. Upon termination of the UCSD Agreement for any reason, GenStem shall provide prompt written notice to AVROBIO, and upon request of AVROBIO will assign to UCSD its rights under this Agreement, provided that a) AVROBIO is not in material breach of this Agreement at such time; and b) AVROBIO is not involved in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0" w:name="page451"/>
    <w:bookmarkEnd w:id="45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litigation as an adverse party to UCSD at such time. In no case, however, will UCSD be bound by duties and obligations contained in this Agreement that extend beyond the duties and obligations of UCSD set forth in the UCSD Agreement. Upon any such assignment, AVROBIO will promptly agree in writing to be bound to UCSD by the terms of this Agreement, including but not limited to the payment obligations hereunder.</w:t>
      </w:r>
    </w:p>
    <w:p>
      <w:pPr>
        <w:spacing w:after="0" w:line="5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2.2.3 No implied licenses are granted under this Agreement, and each Party reserves all rights to all of its technology except for the rights expressly granted to AVROBIO under this Section 2.</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and any other rights granted to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its Affiliates and Third Parties, subject to the 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2.3.2 AVROBIO will provide GenStem with a copy of each sublicense agreement within [***] of execution of such agreement, which copy may be reasonably redacted except for matters relevant to a determination of AVROBIO’s compliance with its obligations and/or GenStem’s rights under this Agreement.</w:t>
      </w:r>
    </w:p>
    <w:p>
      <w:pPr>
        <w:spacing w:after="0" w:line="69"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2.4 Technology Transfer</w:t>
      </w:r>
      <w:r>
        <w:rPr>
          <w:rFonts w:ascii="Arial" w:cs="Arial" w:eastAsia="Arial" w:hAnsi="Arial"/>
          <w:sz w:val="16"/>
          <w:szCs w:val="16"/>
          <w:color w:val="auto"/>
        </w:rPr>
        <w:t>. GenStem will provide to AVROBIO, at no additional expense: (a) copies of the Licensed Know-How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which information shall be provided to AVROBIO promptly after the Effective Date, and (b) other Licensed Technology and related program information available to GenStem (including without limitation data and other reports generated by or on behalf of GenStem regarding the Phase 1/2 Trial referenced above) as reasonably requested by AVROBIO, which information shall be provided to AVROBIO promptly after any such reasonable request.</w:t>
      </w:r>
    </w:p>
    <w:p>
      <w:pPr>
        <w:spacing w:after="0" w:line="4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b w:val="1"/>
          <w:bCs w:val="1"/>
          <w:color w:val="auto"/>
        </w:rPr>
        <w:t>2.5 Regulatory Cooperation</w:t>
      </w:r>
      <w:r>
        <w:rPr>
          <w:rFonts w:ascii="Arial" w:cs="Arial" w:eastAsia="Arial" w:hAnsi="Arial"/>
          <w:sz w:val="17"/>
          <w:szCs w:val="17"/>
          <w:color w:val="auto"/>
        </w:rPr>
        <w:t>. GenStem shall keep AVROBIO reasonably informed of its regulatory activities and timelines therefor. GenStem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AVROBIO with timely notice of any material meetings or other communications with any Regulatory Authority relevant to Licensed Products, and AVROBIO shall, if permitted by law, have the right to attend all such meetings, </w:t>
      </w:r>
      <w:r>
        <w:rPr>
          <w:rFonts w:ascii="Arial" w:cs="Arial" w:eastAsia="Arial" w:hAnsi="Arial"/>
          <w:sz w:val="17"/>
          <w:szCs w:val="17"/>
          <w:u w:val="single" w:color="auto"/>
          <w:color w:val="auto"/>
        </w:rPr>
        <w:t>provided that</w:t>
      </w:r>
      <w:r>
        <w:rPr>
          <w:rFonts w:ascii="Arial" w:cs="Arial" w:eastAsia="Arial" w:hAnsi="Arial"/>
          <w:sz w:val="17"/>
          <w:szCs w:val="17"/>
          <w:color w:val="auto"/>
        </w:rPr>
        <w:t>, GenStem will not be obligated to change or delay any such scheduled meetings in order to comply with AVROBIO’s availability. GenStem shall also timely provide AVROBIO with a copy of all relevant regulatory submissions reasonably in advance of submission to the FDA or other Regulatory Authority to allow AVROBIO an opportunity for review and comment. In addition, upon reasonable request of AVROBIO, GenStem shall prepare, pursue and participate in, as applicable, additional submissions to or meetings with relevant Regulatory Authorities, provided that AVROBIO shall lead, assist and/or cooperate, at GenStem’s request and at AVROBIO’s expense, in the preparation of such submissions and conduct of such meetings.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jc w:val="both"/>
        <w:ind w:right="80" w:firstLine="456"/>
        <w:spacing w:after="0" w:line="281" w:lineRule="auto"/>
        <w:rPr>
          <w:sz w:val="20"/>
          <w:szCs w:val="20"/>
          <w:color w:val="auto"/>
        </w:rPr>
      </w:pPr>
      <w:r>
        <w:rPr>
          <w:rFonts w:ascii="Arial" w:cs="Arial" w:eastAsia="Arial" w:hAnsi="Arial"/>
          <w:sz w:val="17"/>
          <w:szCs w:val="17"/>
          <w:b w:val="1"/>
          <w:bCs w:val="1"/>
          <w:color w:val="auto"/>
        </w:rPr>
        <w:t>3.1 Responsibilities</w:t>
      </w:r>
      <w:r>
        <w:rPr>
          <w:rFonts w:ascii="Arial" w:cs="Arial" w:eastAsia="Arial" w:hAnsi="Arial"/>
          <w:sz w:val="17"/>
          <w:szCs w:val="17"/>
          <w:color w:val="auto"/>
        </w:rPr>
        <w:t>. Subject to the terms and conditions of this Agreement (including without limitation Section 2.2.1 and this Section 3), AVROBIO</w:t>
      </w:r>
      <w:r>
        <w:rPr>
          <w:rFonts w:ascii="Arial" w:cs="Arial" w:eastAsia="Arial" w:hAnsi="Arial"/>
          <w:sz w:val="17"/>
          <w:szCs w:val="17"/>
          <w:b w:val="1"/>
          <w:bCs w:val="1"/>
          <w:color w:val="auto"/>
        </w:rPr>
        <w:t xml:space="preserve"> </w:t>
      </w:r>
      <w:r>
        <w:rPr>
          <w:rFonts w:ascii="Arial" w:cs="Arial" w:eastAsia="Arial" w:hAnsi="Arial"/>
          <w:sz w:val="17"/>
          <w:szCs w:val="17"/>
          <w:color w:val="auto"/>
        </w:rPr>
        <w:t>(and/or its 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57" w:lineRule="exact"/>
        <w:rPr>
          <w:sz w:val="20"/>
          <w:szCs w:val="20"/>
          <w:color w:val="auto"/>
        </w:rPr>
      </w:pPr>
    </w:p>
    <w:p>
      <w:pPr>
        <w:jc w:val="both"/>
        <w:ind w:right="120" w:firstLine="456"/>
        <w:spacing w:after="0" w:line="287" w:lineRule="auto"/>
        <w:rPr>
          <w:sz w:val="20"/>
          <w:szCs w:val="20"/>
          <w:color w:val="auto"/>
        </w:rPr>
      </w:pPr>
      <w:r>
        <w:rPr>
          <w:rFonts w:ascii="Arial" w:cs="Arial" w:eastAsia="Arial" w:hAnsi="Arial"/>
          <w:sz w:val="16"/>
          <w:szCs w:val="16"/>
          <w:b w:val="1"/>
          <w:bCs w:val="1"/>
          <w:color w:val="auto"/>
        </w:rPr>
        <w:t>3.2 Communication</w:t>
      </w:r>
      <w:r>
        <w:rPr>
          <w:rFonts w:ascii="Arial" w:cs="Arial" w:eastAsia="Arial" w:hAnsi="Arial"/>
          <w:sz w:val="16"/>
          <w:szCs w:val="16"/>
          <w:color w:val="auto"/>
        </w:rPr>
        <w:t>. Each Party will appoint one of its employees to serve as a technical liaison and relationship manager hereunder (“</w:t>
      </w:r>
      <w:r>
        <w:rPr>
          <w:rFonts w:ascii="Arial" w:cs="Arial" w:eastAsia="Arial" w:hAnsi="Arial"/>
          <w:sz w:val="16"/>
          <w:szCs w:val="16"/>
          <w:b w:val="1"/>
          <w:bCs w:val="1"/>
          <w:color w:val="auto"/>
        </w:rPr>
        <w:t>Relationship Manager</w:t>
      </w:r>
      <w:r>
        <w:rPr>
          <w:rFonts w:ascii="Arial" w:cs="Arial" w:eastAsia="Arial" w:hAnsi="Arial"/>
          <w:sz w:val="16"/>
          <w:szCs w:val="16"/>
          <w:color w:val="auto"/>
        </w:rPr>
        <w:t>”) with responsibility for overseeing communications between the Parties relevant to this Agreement, including without limitation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(a) the conduct of the Phase 1/2 Trial referenced above, (b) the transfer of the Licensed Technology to AVROBIO as contemplated in Section 2.4 above, and (c) patent matters. The initial Relationship Manager for AVROBIO shall be Dr. Nerissa Kreher and for GenStem shall be Dr. Stephanie Cherqui.</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Each Party may replace its Relationship Manager at any time by notice in writing to the other Party. Notwithstanding the foregoing, all information regarding the Licensed Patent Rights that is to be provided to AVROBIO pursuant to Section 6.1 shall be directed to Dr. Chris Mason at AVROBIO [***].</w:t>
      </w:r>
    </w:p>
    <w:p>
      <w:pPr>
        <w:spacing w:after="0" w:line="27"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3.3 Diligence</w:t>
      </w:r>
      <w:r>
        <w:rPr>
          <w:rFonts w:ascii="Arial" w:cs="Arial" w:eastAsia="Arial" w:hAnsi="Arial"/>
          <w:sz w:val="18"/>
          <w:szCs w:val="18"/>
          <w:color w:val="auto"/>
        </w:rPr>
        <w:t>. AVROBIO will use Commercially Reasonable Efforts to Develop, and Commercialize one or more Licensed Products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in at least one Major Country. All efforts of AVROBIO’s Affiliates, Third Party contractors and sublicensees will be considered efforts of AVROBIO for the purpose of determining AVROBIO’s compliance with its obligations under this Section 3.3.</w:t>
      </w:r>
    </w:p>
    <w:p>
      <w:pPr>
        <w:spacing w:after="0" w:line="6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3.4 Progress Reports</w:t>
      </w:r>
      <w:r>
        <w:rPr>
          <w:rFonts w:ascii="Arial" w:cs="Arial" w:eastAsia="Arial" w:hAnsi="Arial"/>
          <w:sz w:val="18"/>
          <w:szCs w:val="18"/>
          <w:color w:val="auto"/>
        </w:rPr>
        <w:t>. Within [***] after the end of each calendar year, AVROBIO shall furnish GenStem with a written report on the progress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during the immediately preceding year to Develop and Commercialize Licensed Products under this Agreement, and of intended efforts for the Licensed Products for the year in which the report is submitted.</w:t>
      </w:r>
    </w:p>
    <w:p>
      <w:pPr>
        <w:spacing w:after="0" w:line="68"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3.5 Access Requirements</w:t>
      </w:r>
      <w:r>
        <w:rPr>
          <w:rFonts w:ascii="Arial" w:cs="Arial" w:eastAsia="Arial" w:hAnsi="Arial"/>
          <w:sz w:val="16"/>
          <w:szCs w:val="16"/>
          <w:color w:val="auto"/>
        </w:rPr>
        <w:t>. In addition to the obligations set forth above, to the extent required by applicable law, unless a- waiver is obtained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agency, AVROBIO shall submit an access plan to California Institute for Regenerative Medicine (“</w:t>
      </w:r>
      <w:r>
        <w:rPr>
          <w:rFonts w:ascii="Arial" w:cs="Arial" w:eastAsia="Arial" w:hAnsi="Arial"/>
          <w:sz w:val="16"/>
          <w:szCs w:val="16"/>
          <w:b w:val="1"/>
          <w:bCs w:val="1"/>
          <w:color w:val="auto"/>
        </w:rPr>
        <w:t>CIRM</w:t>
      </w:r>
      <w:r>
        <w:rPr>
          <w:rFonts w:ascii="Arial" w:cs="Arial" w:eastAsia="Arial" w:hAnsi="Arial"/>
          <w:sz w:val="16"/>
          <w:szCs w:val="16"/>
          <w:color w:val="auto"/>
        </w:rPr>
        <w:t>”) within [***] following final approval of any Licensed Product by the FDA. The plan must afford access to Licensed Products to Californians who have no other means to purchase the Licensed Product in a manner consistent with CIRM regulations (see Title 17, California Code of Regulations, Section 100607). Further, to the extent required by applicable law, unless a waiver is obtained from the appropriate agency, AVROBIO acknowledges that CIRM may request that AVROBIO enter into a license agreement with respect to Licensed Product in any field of use or territory with a responsible applicant or applicants, upon terms that are reasonable under the circumstances in accordance with CIRM regulations (see Title 17, California Code of Regulations, Section 100610).</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License Fees.</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4.1.1 As initial consideration for the grant of rights set forth herein, AVROBIO will pay to GenStem a non-creditable, non-refundable initial license fee of One Million U.S Dollars (US$1,000,000), payable within [***] of the Effective Date.</w:t>
      </w:r>
    </w:p>
    <w:p>
      <w:pPr>
        <w:spacing w:after="0" w:line="6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4.1.2 As an additional license fee, AVROBIO will pay to GenStem a non-creditable, non-refundable additional license fee of [***] within [***] of receiving written notice from GenStem of treatment of the first patient with Licensed Product in the Phase 1/2 Trial to be conducted by GenStem pursuant to Section 2.2.1, provided that, if such milestone is achieved prior to the closing of AVROBIO’s Series B Financing, AVROBIO shall have the right to delay payment until the earlier of the closing of such Series B Financing and April 1, 2018.</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Milestone Payments.</w:t>
      </w:r>
    </w:p>
    <w:p>
      <w:pPr>
        <w:spacing w:after="0" w:line="117"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color w:val="auto"/>
        </w:rPr>
        <w:t>Development Milestones</w:t>
      </w:r>
      <w:r>
        <w:rPr>
          <w:rFonts w:ascii="Arial" w:cs="Arial" w:eastAsia="Arial" w:hAnsi="Arial"/>
          <w:sz w:val="17"/>
          <w:szCs w:val="17"/>
          <w:color w:val="auto"/>
        </w:rPr>
        <w:t>. AVROBIO will pay to GenStem the following non-creditable, non-refundable milestone payments within [***] following the first achievement of the corresponding events described in the table below by the first Licensed Product being Developed, either directly or indirectly, by or on behalf of AVROBIO, its Affiliates or sublicensees to achieve such event. For clarity, each Development Milestone payment below shall be made only once, upon the first attainment of the applicable milestone event by any such Licensed Product.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ILESTONE</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VENT</w:t>
            </w:r>
          </w:p>
        </w:tc>
        <w:tc>
          <w:tcPr>
            <w:tcW w:w="68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ILESTONE</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AYMENT</w:t>
            </w:r>
          </w:p>
        </w:tc>
      </w:tr>
      <w:tr>
        <w:trPr>
          <w:trHeight w:val="318"/>
        </w:trPr>
        <w:tc>
          <w:tcPr>
            <w:tcW w:w="1220" w:type="dxa"/>
            <w:vAlign w:val="bottom"/>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Notwithstanding the foregoing, the [***] and [***] milestone payments specified above shall be reduced by [***]% if at the time of achievement [***]. In addition, notwithstanding the foregoing, in the event that [***] (a) [***] and Milestone Payment 1 above has not been paid at such time, then such amount shall instead be payable within [***] irrespective of whether or not [***], and (b) [***] and Milestone Payment 2 above has not been paid at such time, then such amount shall instead be payable within [***] irrespective of whether or not [***].</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Royalties.</w:t>
      </w:r>
    </w:p>
    <w:p>
      <w:pPr>
        <w:spacing w:after="0" w:line="117" w:lineRule="exact"/>
        <w:rPr>
          <w:sz w:val="20"/>
          <w:szCs w:val="20"/>
          <w:color w:val="auto"/>
        </w:rPr>
      </w:pPr>
    </w:p>
    <w:p>
      <w:pPr>
        <w:ind w:right="4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With respect to all Licensed Products in the aggregate that are Commercialized by AVROBIO, its Affiliates and sublicensees in the Territory during the Term of this Agreement and subject to Sections 4.3.2 and 4.3.3, AVROBIO shall pay to GenStem tiered royalties based annual Net Sales of such Licensed Products in the Territory in any given calendar year. The royalty rates will be as follows: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60" w:type="dxa"/>
            <w:vAlign w:val="bottom"/>
            <w:gridSpan w:val="2"/>
          </w:tcPr>
          <w:p>
            <w:pPr>
              <w:spacing w:after="0"/>
              <w:rPr>
                <w:sz w:val="20"/>
                <w:szCs w:val="20"/>
                <w:color w:val="auto"/>
              </w:rPr>
            </w:pPr>
            <w:r>
              <w:rPr>
                <w:rFonts w:ascii="Arial" w:cs="Arial" w:eastAsia="Arial" w:hAnsi="Arial"/>
                <w:sz w:val="14"/>
                <w:szCs w:val="14"/>
                <w:color w:val="auto"/>
              </w:rPr>
              <w:t>Net Sales in Calendar Year between</w:t>
            </w:r>
          </w:p>
        </w:tc>
        <w:tc>
          <w:tcPr>
            <w:tcW w:w="760" w:type="dxa"/>
            <w:vAlign w:val="bottom"/>
          </w:tcPr>
          <w:p>
            <w:pPr>
              <w:spacing w:after="0"/>
              <w:rPr>
                <w:sz w:val="20"/>
                <w:szCs w:val="20"/>
                <w:color w:val="auto"/>
              </w:rPr>
            </w:pPr>
            <w:r>
              <w:rPr>
                <w:rFonts w:ascii="Arial" w:cs="Arial" w:eastAsia="Arial" w:hAnsi="Arial"/>
                <w:sz w:val="14"/>
                <w:szCs w:val="14"/>
                <w:color w:val="auto"/>
                <w:w w:val="92"/>
              </w:rPr>
              <w:t>Royalty Rate</w:t>
            </w:r>
          </w:p>
        </w:tc>
      </w:tr>
      <w:tr>
        <w:trPr>
          <w:trHeight w:val="182"/>
        </w:trPr>
        <w:tc>
          <w:tcPr>
            <w:tcW w:w="20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 - $[***]</w:t>
            </w:r>
          </w:p>
        </w:tc>
        <w:tc>
          <w:tcPr>
            <w:tcW w:w="3980" w:type="dxa"/>
            <w:vAlign w:val="bottom"/>
          </w:tcPr>
          <w:p>
            <w:pPr>
              <w:spacing w:after="0"/>
              <w:rPr>
                <w:sz w:val="15"/>
                <w:szCs w:val="15"/>
                <w:color w:val="auto"/>
              </w:rPr>
            </w:pPr>
          </w:p>
        </w:tc>
        <w:tc>
          <w:tcPr>
            <w:tcW w:w="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&gt;[***] and £ $[***]</w:t>
            </w:r>
          </w:p>
        </w:tc>
        <w:tc>
          <w:tcPr>
            <w:tcW w:w="7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&gt; $[***]</w:t>
            </w:r>
          </w:p>
        </w:tc>
        <w:tc>
          <w:tcPr>
            <w:tcW w:w="39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b w:val="1"/>
          <w:bCs w:val="1"/>
          <w:color w:val="auto"/>
        </w:rPr>
        <w:t>Royalty Reduction/ Offset</w:t>
      </w:r>
      <w:r>
        <w:rPr>
          <w:rFonts w:ascii="Arial" w:cs="Arial" w:eastAsia="Arial" w:hAnsi="Arial"/>
          <w:sz w:val="16"/>
          <w:szCs w:val="16"/>
          <w:color w:val="auto"/>
        </w:rPr>
        <w:t>. The royalty due on Licensed Products as specified above in Section 4.3.1 shall be reduced by [***] ([***]%)</w:t>
      </w:r>
    </w:p>
    <w:p>
      <w:pPr>
        <w:spacing w:after="0" w:line="50" w:lineRule="exact"/>
        <w:rPr>
          <w:sz w:val="20"/>
          <w:szCs w:val="20"/>
          <w:color w:val="auto"/>
        </w:rPr>
      </w:pPr>
    </w:p>
    <w:p>
      <w:pPr>
        <w:ind w:right="20" w:firstLine="8"/>
        <w:spacing w:after="0" w:line="286" w:lineRule="auto"/>
        <w:tabs>
          <w:tab w:leader="none" w:pos="21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for sales in a given country where (a) the approved Product Label for the Licensed Product in such country at the time of sale specifically excludes females or does not include human clinical safety and efficacy data from females, or (b) the manufacture, use or sale of the Licensed Product would not infringe a Valid Claim of the Licensed Patent Rights in such country, or (ii) if GenStem has not achieved any relevant event specified in Section 2.2.1 as of the relevant Trial Date, as such Trial Date may be adjusted in accordance with Section 2.2.1. Further, AVROBIO shall have the right to offset [***] ([***]%) of any royalties or other license fees paid to Third Parties for sales of Licensed Product in a particular country in order to commercialize Licensed Products against royalties due hereunder for such country, up to a maximum of [***] ([***]%) of the amounts otherwise due to GenStem under Section 4.3.1. Notwithstanding anything in this Agreement, in no event shall the royalty payable to GenStem under this Agreement be reduced pursuant to any provision of this Section 4.3.2 or any other section of this Agreement to less than [***] of the relevant amount provided in Section 4.3.1. For clarity, if human clinical safety and efficacy data from females becomes available at any time during the Term, AVROBIO shall use Commercially Reasonable Efforts to obtain access to such data and to file it with the appropriate Regulatory Authorities in order to expand the approved Product Label for the Licensed Product.</w:t>
      </w:r>
    </w:p>
    <w:p>
      <w:pPr>
        <w:spacing w:after="0" w:line="58" w:lineRule="exact"/>
        <w:rPr>
          <w:sz w:val="20"/>
          <w:szCs w:val="20"/>
          <w:color w:val="auto"/>
        </w:rPr>
      </w:pPr>
    </w:p>
    <w:p>
      <w:pPr>
        <w:ind w:right="440" w:firstLine="913"/>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b w:val="1"/>
          <w:bCs w:val="1"/>
          <w:color w:val="auto"/>
        </w:rPr>
        <w:t>Royalty Term</w:t>
      </w:r>
      <w:r>
        <w:rPr>
          <w:rFonts w:ascii="Arial" w:cs="Arial" w:eastAsia="Arial" w:hAnsi="Arial"/>
          <w:sz w:val="16"/>
          <w:szCs w:val="16"/>
          <w:color w:val="auto"/>
        </w:rPr>
        <w:t>. Running royalties as specified above shall be payable on Net Sales on a Licensed Product-by-Licensed Product and country-by-country basis until the later of (i) the eleventh (11</w:t>
      </w:r>
      <w:r>
        <w:rPr>
          <w:rFonts w:ascii="Arial" w:cs="Arial" w:eastAsia="Arial" w:hAnsi="Arial"/>
          <w:sz w:val="13"/>
          <w:szCs w:val="13"/>
          <w:color w:val="auto"/>
        </w:rPr>
        <w:t>th</w:t>
      </w:r>
      <w:r>
        <w:rPr>
          <w:rFonts w:ascii="Arial" w:cs="Arial" w:eastAsia="Arial" w:hAnsi="Arial"/>
          <w:sz w:val="16"/>
          <w:szCs w:val="16"/>
          <w:color w:val="auto"/>
        </w:rPr>
        <w:t>) anniversary of the First Commercial Sale of such Licensed Product in such country, and</w:t>
      </w:r>
    </w:p>
    <w:p>
      <w:pPr>
        <w:spacing w:after="0" w:line="1" w:lineRule="exact"/>
        <w:rPr>
          <w:sz w:val="20"/>
          <w:szCs w:val="20"/>
          <w:color w:val="auto"/>
        </w:rPr>
      </w:pPr>
    </w:p>
    <w:p>
      <w:pPr>
        <w:ind w:right="600" w:firstLine="8"/>
        <w:spacing w:after="0" w:line="261" w:lineRule="auto"/>
        <w:tabs>
          <w:tab w:leader="none" w:pos="26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expiration of the last Valid Claim under the Licensed Patent Rights covering such Licensed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such Licensed Product in such country).</w:t>
      </w:r>
    </w:p>
    <w:p>
      <w:pPr>
        <w:spacing w:after="0" w:line="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 AVROBIO shall provide a royalty report showing, on a Licensed Product-by-Licensed Product and country-by-country basis:</w:t>
      </w:r>
    </w:p>
    <w:p>
      <w:pPr>
        <w:spacing w:after="0" w:line="72" w:lineRule="exact"/>
        <w:rPr>
          <w:sz w:val="20"/>
          <w:szCs w:val="20"/>
          <w:color w:val="auto"/>
        </w:rPr>
      </w:pPr>
    </w:p>
    <w:p>
      <w:pPr>
        <w:ind w:left="1580" w:hanging="239"/>
        <w:spacing w:after="0"/>
        <w:tabs>
          <w:tab w:leader="none" w:pos="15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Net Sales of each Licensed Product sold by AVROBIO, its Affiliates and sublicensees during such calendar quarter reporting period;</w:t>
      </w:r>
    </w:p>
    <w:p>
      <w:pPr>
        <w:spacing w:after="0" w:line="140" w:lineRule="exact"/>
        <w:rPr>
          <w:rFonts w:ascii="Arial" w:cs="Arial" w:eastAsia="Arial" w:hAnsi="Arial"/>
          <w:sz w:val="16"/>
          <w:szCs w:val="16"/>
          <w:color w:val="auto"/>
        </w:rPr>
      </w:pPr>
    </w:p>
    <w:p>
      <w:pPr>
        <w:ind w:left="1600" w:hanging="259"/>
        <w:spacing w:after="0"/>
        <w:tabs>
          <w:tab w:leader="none" w:pos="1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royalties payable in United States dollars which shall have accrued hereunder with respect to such Net Sales;</w:t>
      </w:r>
    </w:p>
    <w:p>
      <w:pPr>
        <w:spacing w:after="0" w:line="157" w:lineRule="exact"/>
        <w:rPr>
          <w:rFonts w:ascii="Arial" w:cs="Arial" w:eastAsia="Arial" w:hAnsi="Arial"/>
          <w:sz w:val="18"/>
          <w:szCs w:val="18"/>
          <w:color w:val="auto"/>
        </w:rPr>
      </w:pPr>
    </w:p>
    <w:p>
      <w:pPr>
        <w:ind w:left="8640" w:hanging="323"/>
        <w:spacing w:after="0"/>
        <w:tabs>
          <w:tab w:leader="none" w:pos="864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1580" w:hanging="239"/>
        <w:spacing w:after="0"/>
        <w:tabs>
          <w:tab w:leader="none" w:pos="15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withholding taxes, if any, required by applicable law to be deducted with respect to such royalties; and</w:t>
      </w:r>
    </w:p>
    <w:p>
      <w:pPr>
        <w:spacing w:after="0" w:line="117" w:lineRule="exact"/>
        <w:rPr>
          <w:rFonts w:ascii="Arial" w:cs="Arial" w:eastAsia="Arial" w:hAnsi="Arial"/>
          <w:sz w:val="18"/>
          <w:szCs w:val="18"/>
          <w:color w:val="auto"/>
        </w:rPr>
      </w:pPr>
    </w:p>
    <w:p>
      <w:pPr>
        <w:ind w:left="460" w:right="280" w:firstLine="881"/>
        <w:spacing w:after="0" w:line="277" w:lineRule="auto"/>
        <w:tabs>
          <w:tab w:leader="none" w:pos="159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62"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Such reports shall also include, following written request of GenStem, any other reasonable data and information reasonably requested by GenStem, including any additional data and information required under the UCSD License.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AVROBIO shall pay to GenStem the royalties for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4.5 Sublicense Income</w:t>
      </w:r>
      <w:r>
        <w:rPr>
          <w:rFonts w:ascii="Arial" w:cs="Arial" w:eastAsia="Arial" w:hAnsi="Arial"/>
          <w:sz w:val="16"/>
          <w:szCs w:val="16"/>
          <w:color w:val="auto"/>
        </w:rPr>
        <w:t>. AVROBIO will pay to GenStem [***] of Sublicense Income received from Third Party sublicensees if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 agreement is entered into by the relevant parties prior to the [***] anniversary of the Effective Date and [***] of Sublicense Income received from Third Party sublicensees if the applicable sublicense agreement is entered into by the relevant parties on or after the [***] anniversary of the Effective Date and prior to the [***] anniversary of the Effective Date. For the avoidance of doubt, no portion of Sublicense Income shall be payable to GenStem with respect to any sublicense agreement entered into by the relevant parties on or after the [***] anniversary of the Effective Date. AVROBIO will make such payment to GenStem within [***] of receipt of the relevant Sublicense Income. Any such payments with respect to the Sublicense Income shall be non-creditable against any other payment obligations of AVROBIO under this Agreement; provided, however, that AVROBIO shall not be required to make any payments to GenStem which would amount to “double-dipping” for the same milestone event. Accordingly, if AVROBIO receives Sublicense Income as a result of a sublicensee’s achievement of a milestone event for which a milestone payment is due to GenStem as provided in Section 4.2 above, amounts paid by AVROBIO to GenStem on account of the relevant Sublicense Income shall be fully creditable against any amounts payable by AVROBIO to GenStem for such milestone event under Section 4.2. For example, if a sublicense agreement is entered into prior to the [***] anniversary of the Effective Date and the sublicensee pays to AVROBIO the sum of $[***] upon the achievement of milestone event 1, GenStem shall receive the $[***] due pursuant to Section 4.2, and an additional [***]% of the excess milestone payment of $[***] – $[***] under this Section 4.5.</w:t>
      </w:r>
    </w:p>
    <w:p>
      <w:pPr>
        <w:spacing w:after="0" w:line="57"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4.6 Currency Exchange</w:t>
      </w:r>
      <w:r>
        <w:rPr>
          <w:rFonts w:ascii="Arial" w:cs="Arial" w:eastAsia="Arial" w:hAnsi="Arial"/>
          <w:sz w:val="17"/>
          <w:szCs w:val="17"/>
          <w:color w:val="auto"/>
        </w:rPr>
        <w:t>. In the case of Net Sales outside the United States, the rate of exchange to be used in computing the amount of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in United States dollars shall be the rate of exchange used by AVROBIO or its Affiliate or sublicensee, as relevant, for its own financial reporting purposes in connection with its other products or accounts, which shall be consistent with GAAP. Upon request by GenStem, AVROBIO shall provide GenStem with a copy of AVROBIO’s (or its Affiliate’s or sublicensee’s, as relevant) then-current currency exchange policy.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5" w:name="page456"/>
    <w:bookmarkEnd w:id="45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4.7 Records; Audit, Records and Audits</w:t>
      </w:r>
      <w:r>
        <w:rPr>
          <w:rFonts w:ascii="Arial" w:cs="Arial" w:eastAsia="Arial" w:hAnsi="Arial"/>
          <w:sz w:val="16"/>
          <w:szCs w:val="16"/>
          <w:color w:val="auto"/>
        </w:rPr>
        <w:t>. AVROBIO shall keep, and shall require its Affiliates and (sub)licensees to keep (all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GenStem and not more than once in each calendar year, AVROBIO and its Affiliates shall permit an independent certified public accounting firm of nationally recognized standing selected by GenStem and reasonably acceptable to AVROBIO, at GenStem’s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GenStem shall provide AVROBIO with a copy of the accounting firm’s written report within [***] of completion of such report. If such accounting firm correctly concludes that an underpayment was made, then AVROBIO shall pay the amount due within [***] of the date GenStem delivers to AVROBIO such accounting firm’s written report so correctly concluding. GenStem shall bear the full cost of such audit unless such audit correctly discloses that the additional payment payable by AVROBIO for the audited period is more than [***] of the amount otherwise paid for that audited period, in which case AVROBIO shall pay the reasonable fees and expenses charged by the accounting firm. GenStem shall treat all financial information, subject to review under this Section in accordance with the confidentiality provisions of this Agreement, and shall cause its accounting firm to enter into a confidentiality agreement with AVROBIO obligating it to treat all such financial information in confidence pursuant to such confidentiality provisions. AVROBIO and its Affiliates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GenStem in advance of each audit of any such (sub)licensee with respect to Licensed Product sales. AVROBIO will provide GenStem with a summary of the results received from the audit and, if GenStem so requests, a copy of the audit report, with respect to relevant Licensed Product sales.</w:t>
      </w:r>
    </w:p>
    <w:p>
      <w:pPr>
        <w:spacing w:after="0" w:line="65"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4.8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Payment Terms; Interest</w:t>
      </w:r>
      <w:r>
        <w:rPr>
          <w:rFonts w:ascii="Arial" w:cs="Arial" w:eastAsia="Arial" w:hAnsi="Arial"/>
          <w:sz w:val="18"/>
          <w:szCs w:val="18"/>
          <w:color w:val="auto"/>
        </w:rPr>
        <w:t>.</w:t>
      </w:r>
    </w:p>
    <w:p>
      <w:pPr>
        <w:spacing w:after="0" w:line="12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4.9.1 Payments under this Agreement shall be made in U.S. Dollars by wire transfer of immediately available funds to an account at a commercial bank designated by GenStem,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based on invoices shall be made within [***] from AVROBIO’s receipt of such invoice.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6" w:name="page457"/>
    <w:bookmarkEnd w:id="45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4.9.2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the [***], or the highest rate allowed by law, whichever is lower. The interest calculation shall be based on the act/360 computation method. Such interest shall be due and payable on the tender of the underlying principal payment.</w:t>
      </w:r>
    </w:p>
    <w:p>
      <w:pPr>
        <w:spacing w:after="0" w:line="5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4.10 Taxes</w:t>
      </w:r>
      <w:r>
        <w:rPr>
          <w:rFonts w:ascii="Arial" w:cs="Arial" w:eastAsia="Arial" w:hAnsi="Arial"/>
          <w:sz w:val="17"/>
          <w:szCs w:val="17"/>
          <w:color w:val="auto"/>
        </w:rPr>
        <w:t>. GenStem will be responsible for any income or other taxes owed by GenStem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GenStem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AVROBIO may deduct from any amounts that AVROBIO is required to pay hereunder to GenStem an amount equal to any such Withholding Taxes required by AVROBIO to be withheld and paid to the proper tax authority. Upon request, GenStem will provide AVROBIO any information available to GenStem that is necessary to allow any such Withholding Taxes to be determined. Such Withholding Taxes will be paid to the proper taxing authority for GenStem’s account and evidence of such payment will be secured and sent to GenStem within [***] of such payment. The Parties will use reasonable efforts to do such lawful acts and sign such lawful deeds and documents as either Party may reasonably request from the other Party to enable GenStem and AVROBIO or its Affiliates or sublicensees to take advantage of any applicable legal provision or any double taxation treaties with the object of paying the sums due to GenStem hereunder without, or to minimize the amount of, such withholding or deduction of any Withholding Taxes.</w:t>
      </w:r>
    </w:p>
    <w:p>
      <w:pPr>
        <w:spacing w:after="0" w:line="200" w:lineRule="exact"/>
        <w:rPr>
          <w:sz w:val="20"/>
          <w:szCs w:val="20"/>
          <w:color w:val="auto"/>
        </w:rPr>
      </w:pPr>
    </w:p>
    <w:p>
      <w:pPr>
        <w:spacing w:after="0" w:line="258"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r>
        <w:rPr>
          <w:rFonts w:ascii="Arial" w:cs="Arial" w:eastAsia="Arial" w:hAnsi="Arial"/>
          <w:sz w:val="18"/>
          <w:szCs w:val="18"/>
          <w:color w:val="auto"/>
        </w:rPr>
        <w:t>.</w:t>
      </w:r>
    </w:p>
    <w:p>
      <w:pPr>
        <w:spacing w:after="0" w:line="22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5.1.1 In accordance with this Section 5.1.1, unless the Parties otherwise agree in writing for a given Licensed Patent Right, as between the Parties, GenStem will have lead responsibility for the preparation, filing, prosecution, defense and maintenance (“</w:t>
      </w:r>
      <w:r>
        <w:rPr>
          <w:rFonts w:ascii="Arial" w:cs="Arial" w:eastAsia="Arial" w:hAnsi="Arial"/>
          <w:sz w:val="17"/>
          <w:szCs w:val="17"/>
          <w:b w:val="1"/>
          <w:bCs w:val="1"/>
          <w:color w:val="auto"/>
        </w:rPr>
        <w:t>Prosecution</w:t>
      </w:r>
      <w:r>
        <w:rPr>
          <w:rFonts w:ascii="Arial" w:cs="Arial" w:eastAsia="Arial" w:hAnsi="Arial"/>
          <w:sz w:val="17"/>
          <w:szCs w:val="17"/>
          <w:color w:val="auto"/>
        </w:rPr>
        <w:t>”) in the Territory of the Licensed Patent Rights, provided that AVROBIO acknowledges that UCSD may be performing such activities for GenStem. GenStem shall be responsible for all costs and expenses with respect to such activities. GenStem will perform or have performed such activities through patent counsel of its choice. GenStem will provide AVROBIO with copies of all official correspondence received from patent offices with respect to any Licensed Patent Rights, and with any proposed substantive responses thereto sufficiently in advance for AVROBIO to provide comments and suggestions on such proposed responses, which comments and suggestions shall be considered by GenStem in good faith, and GenStem shall use all reasonable efforts to have them taken into consideration by UCSD. GenStem will provide AVROBIO with an update of the filing, prosecution and maintenance status for each Licensed Patent Right on a periodic basis. In the event that GenStem elects not to pursue or continue the Prosecution of any Licensed Patent Right in any country, GenStem shall provide AVROBIO with notice of this decision at least [***] prior to any pending lapse or abandonment thereof and provide AVROBIO with an opportunity to request that GenStem continue such Prosecution at AVROBIO’s expense.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Enforcement.</w:t>
      </w:r>
    </w:p>
    <w:p>
      <w:pPr>
        <w:spacing w:after="0" w:line="11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such Party shall promptly notify the other Party and shall provide such other Party with available evidence of such infringement (the “</w:t>
      </w:r>
      <w:r>
        <w:rPr>
          <w:rFonts w:ascii="Arial" w:cs="Arial" w:eastAsia="Arial" w:hAnsi="Arial"/>
          <w:sz w:val="17"/>
          <w:szCs w:val="17"/>
          <w:b w:val="1"/>
          <w:bCs w:val="1"/>
          <w:color w:val="auto"/>
        </w:rPr>
        <w:t>Infringement Notice</w:t>
      </w:r>
      <w:r>
        <w:rPr>
          <w:rFonts w:ascii="Arial" w:cs="Arial" w:eastAsia="Arial" w:hAnsi="Arial"/>
          <w:sz w:val="17"/>
          <w:szCs w:val="17"/>
          <w:color w:val="auto"/>
        </w:rPr>
        <w:t>”). Neither AVROBIO nor GenStem will notify a Third Party (including the infringer) of infringement or put such Third Party on notice of the existence of any Licensed Patent Rights without first obtaining consent of the other, such consent not to be unreasonably withheld, conditioned or delayed. AVROBIO and GenStem agree to discuss and determine how best to proceed. AVROBIO and GenStem agree to use diligent efforts to cooperate with each other to terminate such infringement without litigation. If such infringement has not ended within [***] of the effective date of the Infringement Notice, then AVROBIO shall have the first right, but not the obligation, at its sole expense, to bring suit or other appropriate legal action against any actual or suspected infringement of any Licensed Patent Rights relating to the Development or Commercialization of Licensed Products in the Field in the Territory. If AVROBIO does not take such action within [***] after the Infringement Notice, then GenStem shall have the right but not the obligation, at its own expense, to bring suit or other appropriate legal action against such infringement.</w:t>
      </w:r>
    </w:p>
    <w:p>
      <w:pPr>
        <w:spacing w:after="0" w:line="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b w:val="1"/>
          <w:bCs w:val="1"/>
          <w:color w:val="auto"/>
        </w:rPr>
        <w:t>Cooperation</w:t>
      </w:r>
      <w:r>
        <w:rPr>
          <w:rFonts w:ascii="Arial" w:cs="Arial" w:eastAsia="Arial" w:hAnsi="Arial"/>
          <w:sz w:val="17"/>
          <w:szCs w:val="17"/>
          <w:color w:val="auto"/>
        </w:rPr>
        <w:t>. Each Party shall, at the other Party’s expense, execute all papers and perform such other acts as may be reasonably required to bring and/or maintain any infringement suit brought by the other Party in accordance with Section 5.2.1 above (including joining as a party to such actions or proceedings if reasonably requested by the other Party or required by applicable law), and at its option and expense, may be represented in such suit by counsel of its choice. GenStem shall use all reasonable efforts to obtain UCSD’s similar cooperation with respect to any such actions or proceedings as relevant. In addition, the Parties shall cooperate with each other in obtaining patent term restoration or supplemental protection certificates or their equivalents in any country where applicable to Licensed Patent Rights. In the event that elections with respect to obtaining such patent term restoration, supplemental protection certificates or their equivalents are to be made, the Parties shall agree upon such elections.</w:t>
      </w:r>
    </w:p>
    <w:p>
      <w:pPr>
        <w:spacing w:after="0" w:line="64" w:lineRule="exact"/>
        <w:rPr>
          <w:sz w:val="20"/>
          <w:szCs w:val="20"/>
          <w:color w:val="auto"/>
        </w:rPr>
      </w:pPr>
    </w:p>
    <w:p>
      <w:pPr>
        <w:jc w:val="both"/>
        <w:ind w:right="80" w:firstLine="913"/>
        <w:spacing w:after="0" w:line="266"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With regards to net amounts of recovery (remaining after payment of costs and expenses as above), such shall be allocated [***].</w:t>
      </w:r>
    </w:p>
    <w:p>
      <w:pPr>
        <w:spacing w:after="0" w:line="6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GenStem thereof in writing.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settlement would admit or concede that any material aspect of the Licensed Patent Rights are invalid or unenforceable, or require GenStem to pay any amounts, the aspects of such settlement directly involving such admission or concession or payment shall require the prior written consent of GenStem. AVROBIO will keep GenStem reasonably informed of all material developments in connection with any such claim, suit, or proceeding.</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8" w:name="page459"/>
    <w:bookmarkEnd w:id="45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5.4 Patent Marking</w:t>
      </w:r>
      <w:r>
        <w:rPr>
          <w:rFonts w:ascii="Arial" w:cs="Arial" w:eastAsia="Arial" w:hAnsi="Arial"/>
          <w:sz w:val="18"/>
          <w:szCs w:val="18"/>
          <w:color w:val="auto"/>
        </w:rPr>
        <w:t>. AVROBIO shall mark all Licensed Products made, used, sold, offered for sale, or imported under the terms of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containers, in accordance with the applicable patent marking laws.</w:t>
      </w:r>
    </w:p>
    <w:p>
      <w:pPr>
        <w:spacing w:after="0" w:line="5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5.5 Preference for United States Industry</w:t>
      </w:r>
      <w:r>
        <w:rPr>
          <w:rFonts w:ascii="Arial" w:cs="Arial" w:eastAsia="Arial" w:hAnsi="Arial"/>
          <w:sz w:val="18"/>
          <w:szCs w:val="18"/>
          <w:color w:val="auto"/>
        </w:rPr>
        <w:t>. If AVROBIO sells a Licensed Product in the U.S., AVROBIO shall manufacture said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in the U.S. unless a written waiver of such obligation is obtained.</w:t>
      </w:r>
    </w:p>
    <w:p>
      <w:pPr>
        <w:spacing w:after="0" w:line="189"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6.1 GenStem Warranties</w:t>
      </w:r>
      <w:r>
        <w:rPr>
          <w:rFonts w:ascii="Arial" w:cs="Arial" w:eastAsia="Arial" w:hAnsi="Arial"/>
          <w:sz w:val="17"/>
          <w:szCs w:val="17"/>
          <w:color w:val="auto"/>
        </w:rPr>
        <w:t>. GenStem hereby warrants and represents to AVROBIO as of the Effective Date that: (i) GenStem owns or Controls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right, title and interest in and to the Licensed Technology and no Third Party other than UCSD has any ownership rights thereto; (ii) GenStem has the right to grant the licenses under the Licensed Technology as set forth in this Agreement; (iii) GenStem has not entered into any agreement, arrangement or understanding regarding any of the Licensed Technology that conflicts with the terms of this Agreement; (iv) to its knowledge no Third Party has any license rights, options or other rights in, under or to the Licensed Technology that conflict with the terms of this Agreement and during the Term of this Agreement GenStem and its Affiliates shall not grant any such rights to any Third Party; (v) GenStem is not aware of (a) any Patent Rights owned by a Third Party that would be infringed by the use or practice of the Licensed Technology in the Field in the Territory under the license granted in Section 2.1, (b) any Patent Rights owned or licensed by GenStem or its Affiliates that are not Licensed Patent Rights and that would likely be infringed by the use or practice the Licensed Technology in the Field in the Territory under the license granted in Section 2.1, or (c) any prior art or other facts or circumstances that would reasonably lead GenStem or its Affiliates to believe that any of the Licensed Patent Rights are likely invalid or unenforceable; and (vi) none of the Licensed Technology has been misappropriated from any Third Party.</w:t>
      </w:r>
    </w:p>
    <w:p>
      <w:pPr>
        <w:spacing w:after="0" w:line="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IN SECTIONS 6.1 AND 6.2,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MAKES ANY REPRESENTATIONS NOR GRANTS ANY OTHER WARRANTIES, EXPRESS OR IMPLIED, EITHER IN FACT OR BY OPERATION OF LAW, BY STATUTE OR OTHERWISE, AND GENSTEM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7.1 Definition</w:t>
      </w:r>
      <w:r>
        <w:rPr>
          <w:rFonts w:ascii="Arial" w:cs="Arial" w:eastAsia="Arial" w:hAnsi="Arial"/>
          <w:sz w:val="18"/>
          <w:szCs w:val="18"/>
          <w:color w:val="auto"/>
        </w:rPr>
        <w:t>. During the Term,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with respect to information disclosed by such Party) may disclose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 to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with respect to information disclosed to such Party by the other Party) 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“Confidential Information” of a Party is hereby deemed to include any information disclosed by such Party to the other Party pursuant to that certain confidentiality agreement between the Parties dated as of February 9, 2017 (the “</w:t>
      </w:r>
      <w:r>
        <w:rPr>
          <w:rFonts w:ascii="Arial" w:cs="Arial" w:eastAsia="Arial" w:hAnsi="Arial"/>
          <w:sz w:val="18"/>
          <w:szCs w:val="18"/>
          <w:b w:val="1"/>
          <w:bCs w:val="1"/>
          <w:color w:val="auto"/>
        </w:rPr>
        <w:t>Prior CDA</w:t>
      </w:r>
      <w:r>
        <w:rPr>
          <w:rFonts w:ascii="Arial" w:cs="Arial" w:eastAsia="Arial" w:hAnsi="Arial"/>
          <w:sz w:val="18"/>
          <w:szCs w:val="18"/>
          <w:color w:val="auto"/>
        </w:rPr>
        <w:t>”).</w:t>
      </w:r>
    </w:p>
    <w:p>
      <w:pPr>
        <w:spacing w:after="0" w:line="8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460" w:firstLine="881"/>
        <w:spacing w:after="0" w:line="277" w:lineRule="auto"/>
        <w:tabs>
          <w:tab w:leader="none" w:pos="158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0" w:firstLine="881"/>
        <w:spacing w:after="0" w:line="277" w:lineRule="auto"/>
        <w:tabs>
          <w:tab w:leader="none" w:pos="158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60" w:firstLine="881"/>
        <w:spacing w:after="0" w:line="264" w:lineRule="auto"/>
        <w:tabs>
          <w:tab w:leader="none" w:pos="15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and know-how not to disclose such information or know-how to others and has the lawful right to disclose it; or</w:t>
      </w:r>
    </w:p>
    <w:p>
      <w:pPr>
        <w:spacing w:after="0" w:line="73" w:lineRule="exact"/>
        <w:rPr>
          <w:rFonts w:ascii="Arial" w:cs="Arial" w:eastAsia="Arial" w:hAnsi="Arial"/>
          <w:sz w:val="18"/>
          <w:szCs w:val="18"/>
          <w:color w:val="auto"/>
        </w:rPr>
      </w:pPr>
    </w:p>
    <w:p>
      <w:pPr>
        <w:ind w:left="460" w:right="180" w:firstLine="881"/>
        <w:spacing w:after="0" w:line="277" w:lineRule="auto"/>
        <w:tabs>
          <w:tab w:leader="none" w:pos="158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7.4 Authorized Disclosure</w:t>
      </w:r>
      <w:r>
        <w:rPr>
          <w:rFonts w:ascii="Arial" w:cs="Arial" w:eastAsia="Arial" w:hAnsi="Arial"/>
          <w:sz w:val="17"/>
          <w:szCs w:val="17"/>
          <w:color w:val="auto"/>
        </w:rPr>
        <w:t>. A Receiving Party may disclose specific Confidential Information of the Disclosing Party to the extent that such disclosure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ind w:right="76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7.4;</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b w:val="1"/>
          <w:bCs w:val="1"/>
          <w:color w:val="auto"/>
        </w:rPr>
        <w:t>7.5 Use of Name</w:t>
      </w:r>
      <w:r>
        <w:rPr>
          <w:rFonts w:ascii="Arial" w:cs="Arial" w:eastAsia="Arial" w:hAnsi="Arial"/>
          <w:sz w:val="17"/>
          <w:szCs w:val="17"/>
          <w:color w:val="auto"/>
        </w:rPr>
        <w:t>. Neither Party may make public use of the other Party’s name except (a) in connection with the activities contemplated hereby as</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 this Section 7, (b) as required by applicable law, and (c) otherwise as agreed in writing by such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1" w:name="page462"/>
    <w:bookmarkEnd w:id="46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7.6 Terms of Agreement to be Maintained in Confidence</w:t>
      </w:r>
      <w:r>
        <w:rPr>
          <w:rFonts w:ascii="Arial" w:cs="Arial" w:eastAsia="Arial" w:hAnsi="Arial"/>
          <w:sz w:val="18"/>
          <w:szCs w:val="18"/>
          <w:color w:val="auto"/>
        </w:rPr>
        <w:t>. The Parties agree that the terms of this Agreement are confidential and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disclosed by either Party to any Third Party (except to a Party’s professional advisor) without prior written permission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 Party may disclose such terms in confidence as provided in Section 7.4.5.</w:t>
      </w:r>
    </w:p>
    <w:p>
      <w:pPr>
        <w:spacing w:after="0" w:line="216"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14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8.2.2 If such Material Breach is not cured within [***] ([***] for Material Breach of any payment obligation)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r>
        <w:rPr>
          <w:rFonts w:ascii="Arial" w:cs="Arial" w:eastAsia="Arial" w:hAnsi="Arial"/>
          <w:sz w:val="18"/>
          <w:szCs w:val="18"/>
          <w:color w:val="auto"/>
        </w:rPr>
        <w:t>. AVROBIO may terminate this Agreement at will upon [***] prior written notice to GenStem.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r>
        <w:rPr>
          <w:rFonts w:ascii="Arial" w:cs="Arial" w:eastAsia="Arial" w:hAnsi="Arial"/>
          <w:sz w:val="18"/>
          <w:szCs w:val="18"/>
          <w:color w:val="auto"/>
        </w:rPr>
        <w:t>.</w:t>
      </w:r>
    </w:p>
    <w:p>
      <w:pPr>
        <w:spacing w:after="0" w:line="225"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 or Material Breach by AVROBIO</w:t>
      </w:r>
      <w:r>
        <w:rPr>
          <w:rFonts w:ascii="Arial" w:cs="Arial" w:eastAsia="Arial" w:hAnsi="Arial"/>
          <w:sz w:val="16"/>
          <w:szCs w:val="16"/>
          <w:color w:val="auto"/>
        </w:rPr>
        <w:t>. Upon termination of this Agreement pursuant to Section 8.3, or a termination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GenStem for Material Breach by AVROBIO pursuant to Section 8.2,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rights and licenses granted by GenStem to AVROBIO under this Agreement will terminate immediately.</w:t>
      </w:r>
    </w:p>
    <w:p>
      <w:pPr>
        <w:spacing w:after="0" w:line="117" w:lineRule="exact"/>
        <w:rPr>
          <w:rFonts w:ascii="Arial" w:cs="Arial" w:eastAsia="Arial" w:hAnsi="Arial"/>
          <w:sz w:val="18"/>
          <w:szCs w:val="18"/>
          <w:color w:val="auto"/>
        </w:rPr>
      </w:pPr>
    </w:p>
    <w:p>
      <w:pPr>
        <w:ind w:left="460" w:right="80" w:firstLine="881"/>
        <w:spacing w:after="0" w:line="277" w:lineRule="auto"/>
        <w:tabs>
          <w:tab w:leader="none" w:pos="159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Any sublicense granted by AVROBIO or any of its Affiliates to a subicensee shall survive termination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subicensee</w:t>
      </w:r>
    </w:p>
    <w:p>
      <w:pPr>
        <w:spacing w:after="0" w:line="102" w:lineRule="exact"/>
        <w:rPr>
          <w:rFonts w:ascii="Arial" w:cs="Arial" w:eastAsia="Arial" w:hAnsi="Arial"/>
          <w:sz w:val="18"/>
          <w:szCs w:val="18"/>
          <w:color w:val="auto"/>
        </w:rPr>
      </w:pPr>
    </w:p>
    <w:p>
      <w:pPr>
        <w:ind w:left="8640" w:hanging="323"/>
        <w:spacing w:after="0"/>
        <w:tabs>
          <w:tab w:leader="none" w:pos="864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62" w:name="page463"/>
    <w:bookmarkEnd w:id="46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agrees in writing within [***] of termination of this Agreement to fully perform what would otherwise be AVROBIO’s obligations to GenStem under this Agreement, including without limitation an agreement to cure any then-existing breaches of this Agreement by AVROBIO.</w:t>
      </w:r>
    </w:p>
    <w:p>
      <w:pPr>
        <w:spacing w:after="0" w:line="38"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 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w:t>
      </w:r>
    </w:p>
    <w:p>
      <w:pPr>
        <w:spacing w:after="0" w:line="54"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Expiration or termination of this Agreement will not relieve the Parties of any obligation accruing prior to such expiration or termination. The provisions of Sections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2.2.3</w:t>
      </w:r>
      <w:r>
        <w:rPr>
          <w:rFonts w:ascii="Arial" w:cs="Arial" w:eastAsia="Arial" w:hAnsi="Arial"/>
          <w:sz w:val="18"/>
          <w:szCs w:val="18"/>
          <w:color w:val="auto"/>
        </w:rPr>
        <w:t xml:space="preserve">, </w:t>
      </w:r>
      <w:r>
        <w:rPr>
          <w:rFonts w:ascii="Arial" w:cs="Arial" w:eastAsia="Arial" w:hAnsi="Arial"/>
          <w:sz w:val="18"/>
          <w:szCs w:val="18"/>
          <w:b w:val="1"/>
          <w:bCs w:val="1"/>
          <w:color w:val="auto"/>
        </w:rPr>
        <w:t>4.4</w:t>
      </w:r>
      <w:r>
        <w:rPr>
          <w:rFonts w:ascii="Arial" w:cs="Arial" w:eastAsia="Arial" w:hAnsi="Arial"/>
          <w:sz w:val="18"/>
          <w:szCs w:val="18"/>
          <w:color w:val="auto"/>
        </w:rPr>
        <w:t xml:space="preserve">, </w:t>
      </w:r>
      <w:r>
        <w:rPr>
          <w:rFonts w:ascii="Arial" w:cs="Arial" w:eastAsia="Arial" w:hAnsi="Arial"/>
          <w:sz w:val="18"/>
          <w:szCs w:val="18"/>
          <w:b w:val="1"/>
          <w:bCs w:val="1"/>
          <w:color w:val="auto"/>
        </w:rPr>
        <w:t>4.5</w:t>
      </w:r>
      <w:r>
        <w:rPr>
          <w:rFonts w:ascii="Arial" w:cs="Arial" w:eastAsia="Arial" w:hAnsi="Arial"/>
          <w:sz w:val="18"/>
          <w:szCs w:val="18"/>
          <w:color w:val="auto"/>
        </w:rPr>
        <w:t xml:space="preserve">, </w:t>
      </w:r>
      <w:r>
        <w:rPr>
          <w:rFonts w:ascii="Arial" w:cs="Arial" w:eastAsia="Arial" w:hAnsi="Arial"/>
          <w:sz w:val="18"/>
          <w:szCs w:val="18"/>
          <w:b w:val="1"/>
          <w:bCs w:val="1"/>
          <w:color w:val="auto"/>
        </w:rPr>
        <w:t>4.6</w:t>
      </w:r>
      <w:r>
        <w:rPr>
          <w:rFonts w:ascii="Arial" w:cs="Arial" w:eastAsia="Arial" w:hAnsi="Arial"/>
          <w:sz w:val="18"/>
          <w:szCs w:val="18"/>
          <w:color w:val="auto"/>
        </w:rPr>
        <w:t xml:space="preserve">, </w:t>
      </w:r>
      <w:r>
        <w:rPr>
          <w:rFonts w:ascii="Arial" w:cs="Arial" w:eastAsia="Arial" w:hAnsi="Arial"/>
          <w:sz w:val="18"/>
          <w:szCs w:val="18"/>
          <w:b w:val="1"/>
          <w:bCs w:val="1"/>
          <w:color w:val="auto"/>
        </w:rPr>
        <w:t>4.7</w:t>
      </w:r>
      <w:r>
        <w:rPr>
          <w:rFonts w:ascii="Arial" w:cs="Arial" w:eastAsia="Arial" w:hAnsi="Arial"/>
          <w:sz w:val="18"/>
          <w:szCs w:val="18"/>
          <w:color w:val="auto"/>
        </w:rPr>
        <w:t xml:space="preserve">, </w:t>
      </w:r>
      <w:r>
        <w:rPr>
          <w:rFonts w:ascii="Arial" w:cs="Arial" w:eastAsia="Arial" w:hAnsi="Arial"/>
          <w:sz w:val="18"/>
          <w:szCs w:val="18"/>
          <w:b w:val="1"/>
          <w:bCs w:val="1"/>
          <w:color w:val="auto"/>
        </w:rPr>
        <w:t>4.8</w:t>
      </w:r>
      <w:r>
        <w:rPr>
          <w:rFonts w:ascii="Arial" w:cs="Arial" w:eastAsia="Arial" w:hAnsi="Arial"/>
          <w:sz w:val="18"/>
          <w:szCs w:val="18"/>
          <w:color w:val="auto"/>
        </w:rPr>
        <w:t xml:space="preserve">, </w:t>
      </w:r>
      <w:r>
        <w:rPr>
          <w:rFonts w:ascii="Arial" w:cs="Arial" w:eastAsia="Arial" w:hAnsi="Arial"/>
          <w:sz w:val="18"/>
          <w:szCs w:val="18"/>
          <w:b w:val="1"/>
          <w:bCs w:val="1"/>
          <w:color w:val="auto"/>
        </w:rPr>
        <w:t>4.9</w:t>
      </w:r>
      <w:r>
        <w:rPr>
          <w:rFonts w:ascii="Arial" w:cs="Arial" w:eastAsia="Arial" w:hAnsi="Arial"/>
          <w:sz w:val="18"/>
          <w:szCs w:val="18"/>
          <w:color w:val="auto"/>
        </w:rPr>
        <w:t xml:space="preserve">, </w:t>
      </w:r>
      <w:r>
        <w:rPr>
          <w:rFonts w:ascii="Arial" w:cs="Arial" w:eastAsia="Arial" w:hAnsi="Arial"/>
          <w:sz w:val="18"/>
          <w:szCs w:val="18"/>
          <w:b w:val="1"/>
          <w:bCs w:val="1"/>
          <w:color w:val="auto"/>
        </w:rPr>
        <w:t>4.10</w:t>
      </w:r>
      <w:r>
        <w:rPr>
          <w:rFonts w:ascii="Arial" w:cs="Arial" w:eastAsia="Arial" w:hAnsi="Arial"/>
          <w:sz w:val="18"/>
          <w:szCs w:val="18"/>
          <w:color w:val="auto"/>
        </w:rPr>
        <w:t xml:space="preserve">, </w:t>
      </w:r>
      <w:r>
        <w:rPr>
          <w:rFonts w:ascii="Arial" w:cs="Arial" w:eastAsia="Arial" w:hAnsi="Arial"/>
          <w:sz w:val="18"/>
          <w:szCs w:val="18"/>
          <w:b w:val="1"/>
          <w:bCs w:val="1"/>
          <w:color w:val="auto"/>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6.3</w:t>
      </w:r>
      <w:r>
        <w:rPr>
          <w:rFonts w:ascii="Arial" w:cs="Arial" w:eastAsia="Arial" w:hAnsi="Arial"/>
          <w:sz w:val="18"/>
          <w:szCs w:val="18"/>
          <w:color w:val="auto"/>
        </w:rPr>
        <w:t xml:space="preserve">, </w:t>
      </w:r>
      <w:r>
        <w:rPr>
          <w:rFonts w:ascii="Arial" w:cs="Arial" w:eastAsia="Arial" w:hAnsi="Arial"/>
          <w:sz w:val="18"/>
          <w:szCs w:val="18"/>
          <w:b w:val="1"/>
          <w:bCs w:val="1"/>
          <w:color w:val="auto"/>
        </w:rPr>
        <w:t>7</w:t>
      </w:r>
      <w:r>
        <w:rPr>
          <w:rFonts w:ascii="Arial" w:cs="Arial" w:eastAsia="Arial" w:hAnsi="Arial"/>
          <w:sz w:val="18"/>
          <w:szCs w:val="18"/>
          <w:color w:val="auto"/>
        </w:rPr>
        <w:t xml:space="preserve">, </w:t>
      </w:r>
      <w:r>
        <w:rPr>
          <w:rFonts w:ascii="Arial" w:cs="Arial" w:eastAsia="Arial" w:hAnsi="Arial"/>
          <w:sz w:val="18"/>
          <w:szCs w:val="18"/>
          <w:b w:val="1"/>
          <w:bCs w:val="1"/>
          <w:color w:val="auto"/>
        </w:rPr>
        <w:t>8.4</w:t>
      </w:r>
      <w:r>
        <w:rPr>
          <w:rFonts w:ascii="Arial" w:cs="Arial" w:eastAsia="Arial" w:hAnsi="Arial"/>
          <w:sz w:val="18"/>
          <w:szCs w:val="18"/>
          <w:color w:val="auto"/>
        </w:rPr>
        <w:t xml:space="preserve">, </w:t>
      </w:r>
      <w:r>
        <w:rPr>
          <w:rFonts w:ascii="Arial" w:cs="Arial" w:eastAsia="Arial" w:hAnsi="Arial"/>
          <w:sz w:val="18"/>
          <w:szCs w:val="18"/>
          <w:b w:val="1"/>
          <w:bCs w:val="1"/>
          <w:color w:val="auto"/>
        </w:rPr>
        <w:t>9.1</w:t>
      </w:r>
      <w:r>
        <w:rPr>
          <w:rFonts w:ascii="Arial" w:cs="Arial" w:eastAsia="Arial" w:hAnsi="Arial"/>
          <w:sz w:val="18"/>
          <w:szCs w:val="18"/>
          <w:color w:val="auto"/>
        </w:rPr>
        <w:t xml:space="preserve">, </w:t>
      </w:r>
      <w:r>
        <w:rPr>
          <w:rFonts w:ascii="Arial" w:cs="Arial" w:eastAsia="Arial" w:hAnsi="Arial"/>
          <w:sz w:val="18"/>
          <w:szCs w:val="18"/>
          <w:b w:val="1"/>
          <w:bCs w:val="1"/>
          <w:color w:val="auto"/>
        </w:rPr>
        <w:t>9.2</w:t>
      </w:r>
      <w:r>
        <w:rPr>
          <w:rFonts w:ascii="Arial" w:cs="Arial" w:eastAsia="Arial" w:hAnsi="Arial"/>
          <w:sz w:val="18"/>
          <w:szCs w:val="18"/>
          <w:color w:val="auto"/>
        </w:rPr>
        <w:t xml:space="preserve">, </w:t>
      </w:r>
      <w:r>
        <w:rPr>
          <w:rFonts w:ascii="Arial" w:cs="Arial" w:eastAsia="Arial" w:hAnsi="Arial"/>
          <w:sz w:val="18"/>
          <w:szCs w:val="18"/>
          <w:b w:val="1"/>
          <w:bCs w:val="1"/>
          <w:color w:val="auto"/>
        </w:rPr>
        <w:t>9.3</w:t>
      </w:r>
      <w:r>
        <w:rPr>
          <w:rFonts w:ascii="Arial" w:cs="Arial" w:eastAsia="Arial" w:hAnsi="Arial"/>
          <w:sz w:val="18"/>
          <w:szCs w:val="18"/>
          <w:color w:val="auto"/>
        </w:rPr>
        <w:t xml:space="preserve">, </w:t>
      </w:r>
      <w:r>
        <w:rPr>
          <w:rFonts w:ascii="Arial" w:cs="Arial" w:eastAsia="Arial" w:hAnsi="Arial"/>
          <w:sz w:val="18"/>
          <w:szCs w:val="18"/>
          <w:b w:val="1"/>
          <w:bCs w:val="1"/>
          <w:color w:val="auto"/>
        </w:rPr>
        <w:t>9.4</w:t>
      </w:r>
      <w:r>
        <w:rPr>
          <w:rFonts w:ascii="Arial" w:cs="Arial" w:eastAsia="Arial" w:hAnsi="Arial"/>
          <w:sz w:val="18"/>
          <w:szCs w:val="18"/>
          <w:color w:val="auto"/>
        </w:rPr>
        <w:t xml:space="preserve">, </w:t>
      </w:r>
      <w:r>
        <w:rPr>
          <w:rFonts w:ascii="Arial" w:cs="Arial" w:eastAsia="Arial" w:hAnsi="Arial"/>
          <w:sz w:val="18"/>
          <w:szCs w:val="18"/>
          <w:b w:val="1"/>
          <w:bCs w:val="1"/>
          <w:color w:val="auto"/>
        </w:rPr>
        <w:t>10</w:t>
      </w:r>
      <w:r>
        <w:rPr>
          <w:rFonts w:ascii="Arial" w:cs="Arial" w:eastAsia="Arial" w:hAnsi="Arial"/>
          <w:sz w:val="18"/>
          <w:szCs w:val="18"/>
          <w:color w:val="auto"/>
        </w:rPr>
        <w:t xml:space="preserve"> and </w:t>
      </w:r>
      <w:r>
        <w:rPr>
          <w:rFonts w:ascii="Arial" w:cs="Arial" w:eastAsia="Arial" w:hAnsi="Arial"/>
          <w:sz w:val="18"/>
          <w:szCs w:val="18"/>
          <w:b w:val="1"/>
          <w:bCs w:val="1"/>
          <w:color w:val="auto"/>
        </w:rPr>
        <w:t>11</w:t>
      </w:r>
      <w:r>
        <w:rPr>
          <w:rFonts w:ascii="Arial" w:cs="Arial" w:eastAsia="Arial" w:hAnsi="Arial"/>
          <w:sz w:val="18"/>
          <w:szCs w:val="18"/>
          <w:color w:val="auto"/>
        </w:rPr>
        <w:t xml:space="preserve"> will survive any termination or expiration of this Agreement.</w:t>
      </w:r>
      <w:r>
        <w:rPr>
          <w:rFonts w:ascii="Arial" w:cs="Arial" w:eastAsia="Arial" w:hAnsi="Arial"/>
          <w:sz w:val="15"/>
          <w:szCs w:val="15"/>
          <w:color w:val="auto"/>
        </w:rPr>
        <w:t>1</w:t>
      </w:r>
    </w:p>
    <w:p>
      <w:pPr>
        <w:spacing w:after="0" w:line="203"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9.1 Indemnification by GenStem</w:t>
      </w:r>
      <w:r>
        <w:rPr>
          <w:rFonts w:ascii="Arial" w:cs="Arial" w:eastAsia="Arial" w:hAnsi="Arial"/>
          <w:sz w:val="17"/>
          <w:szCs w:val="17"/>
          <w:color w:val="auto"/>
        </w:rPr>
        <w:t>. GenStem will indemnify AVROBIO, its Affiliates, its sublicensees,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and agents, and defend and hold each of them harmless, from and against any losses, damages, liabilities, costs and expenses (including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based on or suffered in connection with any liability suits, investigations, allegations, actions, claims or demands by Third Parties (“</w:t>
      </w:r>
      <w:r>
        <w:rPr>
          <w:rFonts w:ascii="Arial" w:cs="Arial" w:eastAsia="Arial" w:hAnsi="Arial"/>
          <w:sz w:val="17"/>
          <w:szCs w:val="17"/>
          <w:b w:val="1"/>
          <w:bCs w:val="1"/>
          <w:color w:val="auto"/>
        </w:rPr>
        <w:t>Third Party Claims</w:t>
      </w:r>
      <w:r>
        <w:rPr>
          <w:rFonts w:ascii="Arial" w:cs="Arial" w:eastAsia="Arial" w:hAnsi="Arial"/>
          <w:sz w:val="17"/>
          <w:szCs w:val="17"/>
          <w:color w:val="auto"/>
        </w:rPr>
        <w:t>”) to the extent arising from or occurring as a result of or in connection with (i) any breach by GenStem of its representations, warranties or other obligations under this Agreement, or (ii) the gross negligence or willful misconduct of GenStem or its Affiliate; except to the extent that such Losses or Third Party Claims arise out of or result from the gross negligence or willful misconduct of a party seeking indemnification hereunder, or a breach by AVROBIO of any provision of this Agreement.</w:t>
      </w:r>
    </w:p>
    <w:p>
      <w:pPr>
        <w:spacing w:after="0" w:line="64" w:lineRule="exact"/>
        <w:rPr>
          <w:sz w:val="20"/>
          <w:szCs w:val="20"/>
          <w:color w:val="auto"/>
        </w:rPr>
      </w:pPr>
    </w:p>
    <w:p>
      <w:pPr>
        <w:jc w:val="both"/>
        <w:ind w:right="120" w:firstLine="456"/>
        <w:spacing w:after="0" w:line="281" w:lineRule="auto"/>
        <w:rPr>
          <w:sz w:val="20"/>
          <w:szCs w:val="20"/>
          <w:color w:val="auto"/>
        </w:rPr>
      </w:pPr>
      <w:r>
        <w:rPr>
          <w:rFonts w:ascii="Arial" w:cs="Arial" w:eastAsia="Arial" w:hAnsi="Arial"/>
          <w:sz w:val="17"/>
          <w:szCs w:val="17"/>
          <w:b w:val="1"/>
          <w:bCs w:val="1"/>
          <w:color w:val="auto"/>
        </w:rPr>
        <w:t>9.2 Indemnification by AVROBIO</w:t>
      </w:r>
      <w:r>
        <w:rPr>
          <w:rFonts w:ascii="Arial" w:cs="Arial" w:eastAsia="Arial" w:hAnsi="Arial"/>
          <w:sz w:val="17"/>
          <w:szCs w:val="17"/>
          <w:color w:val="auto"/>
        </w:rPr>
        <w:t>. AVROBIO will indemnify GenStem, its Affiliates, UCSD and their respective directors,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defend and save each of them harmless, from and against any Losses based on or suffered in connection with any Third Party Claims against any such indemnified party arising from or occurring as a result of or in connection with: (i) any theory of product liability (including actions in the form of tort, warranty or strict liability) concerning a Licensed Product that is Developed or Commercialized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5"/>
          <w:szCs w:val="15"/>
          <w:color w:val="auto"/>
        </w:rPr>
      </w:pPr>
      <w:r>
        <w:rPr>
          <w:rFonts w:ascii="Arial" w:cs="Arial" w:eastAsia="Arial" w:hAnsi="Arial"/>
          <w:sz w:val="18"/>
          <w:szCs w:val="18"/>
          <w:color w:val="auto"/>
        </w:rPr>
        <w:t>To be updated upon finalization of the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3" w:name="page464"/>
    <w:bookmarkEnd w:id="463"/>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AVROBIO, its Affiliates or sublicensees, (ii) any breach by AVROBIO of its representations, warranties or obligations under this Agreement, or (iii) the gross negligence or willful misconduct of AVROBIO, its Affiliates or sublicensees; except to the extent that such Losses or Third Party Claims arise out of or result from the gross negligence or willful misconduct of a party seeking indemnification hereunder, or a breach by GenStem of any provision of this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9.3.1 </w:t>
      </w:r>
      <w:r>
        <w:rPr>
          <w:rFonts w:ascii="Arial" w:cs="Arial" w:eastAsia="Arial" w:hAnsi="Arial"/>
          <w:sz w:val="18"/>
          <w:szCs w:val="18"/>
          <w:b w:val="1"/>
          <w:bCs w:val="1"/>
          <w:color w:val="auto"/>
        </w:rPr>
        <w:t>Notice of Claim</w:t>
      </w:r>
      <w:r>
        <w:rPr>
          <w:rFonts w:ascii="Arial" w:cs="Arial" w:eastAsia="Arial" w:hAnsi="Arial"/>
          <w:sz w:val="18"/>
          <w:szCs w:val="18"/>
          <w:color w:val="auto"/>
        </w:rPr>
        <w:t>. The indemnified Party will give the indemnifying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prompt written notice (an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of any Losses or discovery of fact upon which such Indemnified Party intends to base a request for indemnification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9.1 or Section 9.2;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give such prompt written notice will not relieve Indemnifying Party of its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under this Agreement except and only to the extent that the Indemnifying Party is actually prejudiced as a result of such failure. In no event will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Indemnifying Party be liable for any Losses that result from any delay in providing such notice. Each Indemnification Claim Notice must contain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the claim and the nature and amount of such Loss (to the extent that the nature and amount of such Loss are known at such time).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indemnified Party will furnish promptly to the indemnifying Party copies of all papers and official documents received in respect of any Losses.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claims in respect of a Party, its Affiliates or their respective directors, officers, employees and agents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an “</w:t>
      </w:r>
      <w:r>
        <w:rPr>
          <w:rFonts w:ascii="Arial" w:cs="Arial" w:eastAsia="Arial" w:hAnsi="Arial"/>
          <w:sz w:val="18"/>
          <w:szCs w:val="18"/>
          <w:b w:val="1"/>
          <w:bCs w:val="1"/>
          <w:color w:val="auto"/>
        </w:rPr>
        <w:t>Indemnitee</w:t>
      </w:r>
      <w:r>
        <w:rPr>
          <w:rFonts w:ascii="Arial" w:cs="Arial" w:eastAsia="Arial" w:hAnsi="Arial"/>
          <w:sz w:val="18"/>
          <w:szCs w:val="18"/>
          <w:color w:val="auto"/>
        </w:rPr>
        <w:t>”) will be made solely by such Party to this Agreement (the “</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p>
      <w:pPr>
        <w:spacing w:after="0" w:line="99"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9.3.2 </w:t>
      </w:r>
      <w:r>
        <w:rPr>
          <w:rFonts w:ascii="Arial" w:cs="Arial" w:eastAsia="Arial" w:hAnsi="Arial"/>
          <w:sz w:val="16"/>
          <w:szCs w:val="16"/>
          <w:b w:val="1"/>
          <w:bCs w:val="1"/>
          <w:color w:val="auto"/>
        </w:rPr>
        <w:t>Control of Defense</w:t>
      </w:r>
      <w:r>
        <w:rPr>
          <w:rFonts w:ascii="Arial" w:cs="Arial" w:eastAsia="Arial" w:hAnsi="Arial"/>
          <w:sz w:val="16"/>
          <w:szCs w:val="16"/>
          <w:color w:val="auto"/>
        </w:rPr>
        <w:t>. At its option, the Indemnifying Party may assume the defense of any Third Party Claim by giving written notice to the Indemnified Party within [***] after the Indemnifying Party’s receipt of an Indemnification Claim Notice. Upon assuming the defense of a Third Party Claim, the Indemnifying Party may appoint as lead counsel in the defense of the Third Party Claim any legal counsel selected by the Indemnifying Party. In the event the Indemnifying Party assumes the defense of a Third Party Claim, the Indemnified Party will immediately deliver to the Indemnifying Party all original notices and documents (including court papers) received by any Indemnitee in connection with the Third Party Claim. Should the Indemnifying Party assume the defense of a Third Party Claim, the Indemnifying Party will not be liable to the Indemnified Party or any other Indemnitee for any legal expenses subsequently incurred by such Indemnified Party or other Indemnitee in connection with the analysis, defense or settlement of the Third Party Claim.</w:t>
      </w:r>
    </w:p>
    <w:p>
      <w:pPr>
        <w:spacing w:after="0" w:line="54"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 xml:space="preserve">9.3.3 </w:t>
      </w:r>
      <w:r>
        <w:rPr>
          <w:rFonts w:ascii="Arial" w:cs="Arial" w:eastAsia="Arial" w:hAnsi="Arial"/>
          <w:sz w:val="17"/>
          <w:szCs w:val="17"/>
          <w:b w:val="1"/>
          <w:bCs w:val="1"/>
          <w:color w:val="auto"/>
        </w:rPr>
        <w:t>Right to Participate in Defense</w:t>
      </w:r>
      <w:r>
        <w:rPr>
          <w:rFonts w:ascii="Arial" w:cs="Arial" w:eastAsia="Arial" w:hAnsi="Arial"/>
          <w:sz w:val="17"/>
          <w:szCs w:val="17"/>
          <w:color w:val="auto"/>
        </w:rPr>
        <w:t xml:space="preserve">. Without limiting Section 9.3.2 above, any Indemnitee will be entitled to participate in, but not control, the defense of such Third Party Claim and to employ counsel of its choice for such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employment will be at the Indemnitee’s own expense unless (i) the employment thereof has been specifically authorized by the Indemnifying Party in writing, or (ii) the Indemnifying Party has failed to assume the defense and employ counsel in accordance with Section 9.3.2 (in which case the Indemnified Party will control the defense).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4" w:name="page465"/>
    <w:bookmarkEnd w:id="46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relating solely to the payment of money damages in connection with a Third Party Claim and that will not result in the Indemnitee’s becoming subject to injunctive or other relief or otherwise adversely affect the business of the Indemnitee in any manner, and as to which the Indemnifying Party will have acknowledged in writing the obligation to indemnify the Indemnitee hereunder, the Indemnifying Party will have the sole right to consent to the entry of any judgment, enter into any settlement or otherwise dispose of such Loss, on such terms as the Indemnifying Party, in its sole discretion, will deem appropriate, and will transfer to the Indemnified Party all amounts which said Indemnified Party will be liable to pay prior to the time prior to the entry of judgment. With respect to all other Losses in connection with Third Party Claims, where the Indemnifying Party has assumed the defense of the Third Party Claim in accordance with Section 9.3.2, the Indemnifying Party will have authority to consent to the entry of any judgment, enter into any settlement or otherwise dispose of such Loss provided it obtains the prior written consent of the Indemnified Party (which consent will be at the Indemnified Party’s sole and absolute discretion). The Indemnifying Party will not be liable for any settlement or other disposition of a Loss by an Indemnitee that is reached without the written consent of the Indemnifying Party. Regardless of whether the Indemnifying Party chooses to defend or prosecute any Third Party Claim, no Indemnitee will admit any liability with respect to, or settle, compromise or discharge, any Third Party Claim without the prior written consent of the Indemnifying Party.</w:t>
      </w:r>
    </w:p>
    <w:p>
      <w:pPr>
        <w:spacing w:after="0" w:line="7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The Indemnified Party will, and will cause each other Indemnitee to, cooperate in the defense or prosecution thereof and will furnish such records, information and testimony, provide such witnesses and attend such conferences, discovery proceedings, hearings, trials and appeals as may be reasonably requested in connection with the defense or prosecution of any Third Party Claim. Such cooperation will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and the Indemnifying Party will reimburse the Indemnified Party for all its reasonable out-of-pocket expenses in connection therewith.</w:t>
      </w:r>
    </w:p>
    <w:p>
      <w:pPr>
        <w:spacing w:after="0" w:line="6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the reasonable and verifiable costs and expenses, including fees and disbursements of counsel,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in connection with any claim will be reimbursed on a [***]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9.5 Insurance</w:t>
      </w:r>
      <w:r>
        <w:rPr>
          <w:rFonts w:ascii="Arial" w:cs="Arial" w:eastAsia="Arial" w:hAnsi="Arial"/>
          <w:sz w:val="18"/>
          <w:szCs w:val="18"/>
          <w:color w:val="auto"/>
        </w:rPr>
        <w:t>. Each Party will have and maintain such types and amounts of liability insurance as is normal and customary in the industry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parties similarly situated, and will upon request provide the other Party with a copy of its policies of insurance in that regard, along with any amendments and revisions thereto. Without limiting the foregoing,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prior to commencement of clinical trials of Licensed Product, such coverage will include a minimum per occurrence limit of</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5" w:name="page466"/>
    <w:bookmarkEnd w:id="46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Such liability insurance shall insure against all types of liability, including personal injury, physical injury or property damage arising out of such AVROBIO’s activities hereunder. Such policy shall include GenStem as an additional insured and shall include a waiver of subrogation. Within [***] of written request, AVROBIO shall provide to GenStem certificates of insurance evidencing the above required insurance. This Section 9.5 shall not create any limitation on AVROBIO’s liability under this Agreement, including with respect to its indemnification obligations under this Article 9.</w:t>
      </w:r>
    </w:p>
    <w:p>
      <w:pPr>
        <w:spacing w:after="0" w:line="194"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 LIABILITY</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NO EVENT WILL EITHER PARTY BE LIABLE TO THE OTHER PARTY FOR LOST PROFITS, LOSS OF DATA, OR FOR ANY SPECIAL, INDIRECT, INCIDENTAL, CONSEQUENTIAL OR PUNITIVE DAMAGES, HOWEVER CAUSED, ON ANY THEORY OF LIABILITY AND WHETHER OR NOT SUCH PARTY HAS BEEN ADVISED OF THE POSSIBILITY OF SUCH DAMAGES, ARISING UNDER ANY CAUSE OF ACTION AND ARISING IN ANY WAY OUT OF THIS AGREEMENT. THE FOREGOING LIMITATIONS WILL NOT APPLY TO AN AWARD OF ENHANCED DAMAGES AVAILABLE UNDER THE PATENT LAWS FOR WILLFUL PATENT INFRINGEMENT AND WILL NOT LIMIT EITHER PARTY’S OBLIGATIONS TO THE OTHER PARTY UNDER SECTIONS 7 OR 9 OF THIS AGREEMENT.</w:t>
      </w:r>
    </w:p>
    <w:p>
      <w:pPr>
        <w:spacing w:after="0" w:line="216"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11.1 Assignment</w:t>
      </w:r>
      <w:r>
        <w:rPr>
          <w:rFonts w:ascii="Arial" w:cs="Arial" w:eastAsia="Arial" w:hAnsi="Arial"/>
          <w:sz w:val="17"/>
          <w:szCs w:val="17"/>
          <w:color w:val="auto"/>
        </w:rPr>
        <w:t>. 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11.2 Severability</w:t>
      </w:r>
      <w:r>
        <w:rPr>
          <w:rFonts w:ascii="Arial" w:cs="Arial" w:eastAsia="Arial" w:hAnsi="Arial"/>
          <w:sz w:val="16"/>
          <w:szCs w:val="16"/>
          <w:color w:val="auto"/>
        </w:rPr>
        <w:t>. 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6" w:name="page467"/>
    <w:bookmarkEnd w:id="46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 legal, valid and enforceable provision as similar in terms to such illegal, invalid or unenforceable provision as may be possible and reasonably acceptable to the Parties herein. To the fullest extent permitted by applicable law, each Party hereby waives any provision of law that would render any provision prohibited or unenforceable in any respect.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11.3.2 In the event of any Dispute, a Party may notify the other Party in writing of such Dispute, and such Dispute will be promptly referred to the Chief Executive Officers of each of the Parties (or their respective designees) who will use their good faith efforts to resolve the Dispute within [***] after it was referred to the Chief Executive Officers.</w:t>
      </w:r>
    </w:p>
    <w:p>
      <w:pPr>
        <w:spacing w:after="0" w:line="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11.3.3 In the event that any Dispute is not resolved as provided in Section 11.3.2 within the relevant time period, then such Dispute will be finally settled by arbitration in accordance with this Section 11.3. The arbitration will be conducted in accordance with the Commercial Arbitration Rules of the American Arbitration Association (or its successor organization) (“</w:t>
      </w:r>
      <w:r>
        <w:rPr>
          <w:rFonts w:ascii="Arial" w:cs="Arial" w:eastAsia="Arial" w:hAnsi="Arial"/>
          <w:sz w:val="18"/>
          <w:szCs w:val="18"/>
          <w:b w:val="1"/>
          <w:bCs w:val="1"/>
          <w:color w:val="auto"/>
        </w:rPr>
        <w:t>AAA</w:t>
      </w:r>
      <w:r>
        <w:rPr>
          <w:rFonts w:ascii="Arial" w:cs="Arial" w:eastAsia="Arial" w:hAnsi="Arial"/>
          <w:sz w:val="18"/>
          <w:szCs w:val="18"/>
          <w:color w:val="auto"/>
        </w:rPr>
        <w:t>”) and as further provided below, and judgment on the arbitration award may be entered in any court having jurisdiction thereof.</w:t>
      </w:r>
    </w:p>
    <w:p>
      <w:pPr>
        <w:spacing w:after="0" w:line="79"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11.3.4 The arbitration shall be conducted by a panel of three (3) persons experienced in the pharmaceutical business: within [***] after initiation of arbitration, each Party shall select one person to act as arbitrator and the two Party-selected arbitrators shall select a third arbitrator within [***] of their appointment. If the arbitrators selected by the Parties are unable or fail to agree upon the third arbitrator, the third arbitrator shall be appointed by the AAA. The arbitrators shall have scientific and legal experience relevant to the subject matter of the dispute. In any case the arbitrator shall not be an Affiliate, employee, consultant, officer, director or stockholder of either Party, or otherwise have any current or previous relationship with either Party or their respective Affiliates. The place of arbitration shall be New York, New York, and all proceedings and communications shall be in English. Within [***] after the designation of the arbitrators, the arbitrators and the Parties shall meet, and each Party shall provide to the arbitrator a written summary of all disputed issues, such Party’s position on such disputed issues and such Party’s proposed ruling on the merits of each such issue.</w:t>
      </w:r>
    </w:p>
    <w:p>
      <w:pPr>
        <w:spacing w:after="0" w:line="5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11.3.5 The arbitrator shall set a date for a hearing, which shall be no later than [***] after the submission of written proposals pursuant to Section 11.3.4, for the presentation of evidence and legal argument concerning each of the issues identified by the Parties. The Parties shall have the right to be represented by counsel.</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7" w:name="page468"/>
    <w:bookmarkEnd w:id="46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11.3.6 The arbitrators shall use best efforts to rule on each disputed issue within [***] after completion of the hearing described in Section 11.3.5 The determination of the arbitrators as to the resolution of any dispute shall be binding and conclusive upon all Parties. All rulings of the arbitrators shall be in writing and shall be delivered to the Parties except to the extent that the Commercial Arbitration Rules of the AAA provide otherwise. Nothing contained herein shall be construed to permit the arbitrator to award punitive, exemplary or any similar damages. The arbitrator shall render a “reasoned decision” within the meaning of the Commercial Arbitration Rules, which shall include findings of fact and conclusions of law.</w:t>
      </w:r>
    </w:p>
    <w:p>
      <w:pPr>
        <w:spacing w:after="0" w:line="6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11.3.7 Either Party may apply to the arbitrators for interim injunctive relief until the arbitration award is rendered or the controversy is otherwise resolved. Either Party also may, without waiving any remedy under this Agreement or violating this Section 11.3, seek from any court having jurisdiction any injunctive or provisional relief necessary to protect the rights or property of that Party. The arbitrators shall have no authority to award punitive or any other type of damages excluded under Section 10. Each Party shall bear its own costs and expenses and attorneys’ fees and an equal share of the arbitrators’ fees and any administrative fees of arbitration.</w:t>
      </w:r>
    </w:p>
    <w:p>
      <w:pPr>
        <w:spacing w:after="0" w:line="8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11.3.8 Except to the extent necessary to confirm an award or as may be required by applicable laws,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statute of limitations.</w:t>
      </w:r>
    </w:p>
    <w:p>
      <w:pPr>
        <w:spacing w:after="0" w:line="3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11.3.9 The Parties agree that any payments made pursuant to this Agreement pending resolution of any dispute hereunder shall be promptly refunded if an arbitrator or court determines that such payments are not due.</w:t>
      </w:r>
    </w:p>
    <w:p>
      <w:pPr>
        <w:spacing w:after="0" w:line="5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11.4 Notices</w:t>
      </w:r>
      <w:r>
        <w:rPr>
          <w:rFonts w:ascii="Arial" w:cs="Arial" w:eastAsia="Arial" w:hAnsi="Arial"/>
          <w:sz w:val="18"/>
          <w:szCs w:val="18"/>
          <w:color w:val="auto"/>
        </w:rPr>
        <w:t>. All notices or other communications that are required or permitted hereunder will be in writing and delivered personally, sent by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promptly confirmed by personal delivery or overnight courier as provided herein), or sent by internationally-recognized overnight courier addressed as follows: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GenStem,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GenStem Therapeutics,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Cardiff by the Sea, CA 92007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8" w:name="page469"/>
    <w:bookmarkEnd w:id="46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59"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6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GenStem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7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7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54"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3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9" w:name="page470"/>
    <w:bookmarkEnd w:id="469"/>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34"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w:t>
      </w:r>
    </w:p>
    <w:p>
      <w:pPr>
        <w:spacing w:after="0" w:line="6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left blank. Signature page follows</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0" w:name="page471"/>
    <w:bookmarkEnd w:id="47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w:t>
      </w:r>
      <w:r>
        <w:rPr>
          <w:rFonts w:ascii="Arial" w:cs="Arial" w:eastAsia="Arial" w:hAnsi="Arial"/>
          <w:sz w:val="18"/>
          <w:szCs w:val="18"/>
          <w:b w:val="1"/>
          <w:bCs w:val="1"/>
          <w:color w:val="auto"/>
        </w:rPr>
        <w:t>S</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HERAPEUTICS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Ostrove, Ph.D.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Jeffrey M. Ostrove, Ph.D.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VROBIO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rPr>
              <w:t>CONFIDENTIAL</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714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714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3"/>
              </w:rPr>
              <w:t>Application No.</w:t>
            </w:r>
          </w:p>
        </w:tc>
        <w:tc>
          <w:tcPr>
            <w:tcW w:w="5600" w:type="dxa"/>
            <w:vAlign w:val="bottom"/>
          </w:tcPr>
          <w:p>
            <w:pPr>
              <w:spacing w:after="0"/>
              <w:rPr>
                <w:sz w:val="24"/>
                <w:szCs w:val="2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960" w:type="dxa"/>
            <w:vAlign w:val="bottom"/>
          </w:tcPr>
          <w:p>
            <w:pPr>
              <w:spacing w:after="0"/>
              <w:rPr>
                <w:sz w:val="20"/>
                <w:szCs w:val="20"/>
                <w:color w:val="auto"/>
              </w:rPr>
            </w:pPr>
            <w:r>
              <w:rPr>
                <w:rFonts w:ascii="Arial" w:cs="Arial" w:eastAsia="Arial" w:hAnsi="Arial"/>
                <w:sz w:val="14"/>
                <w:szCs w:val="14"/>
                <w:b w:val="1"/>
                <w:bCs w:val="1"/>
                <w:color w:val="auto"/>
                <w:w w:val="92"/>
              </w:rPr>
              <w:t>UCSD Attorney</w:t>
            </w:r>
          </w:p>
        </w:tc>
        <w:tc>
          <w:tcPr>
            <w:tcW w:w="840" w:type="dxa"/>
            <w:vAlign w:val="bottom"/>
          </w:tcPr>
          <w:p>
            <w:pPr>
              <w:spacing w:after="0"/>
              <w:rPr>
                <w:sz w:val="24"/>
                <w:szCs w:val="24"/>
                <w:color w:val="auto"/>
              </w:rPr>
            </w:pPr>
          </w:p>
        </w:tc>
        <w:tc>
          <w:tcPr>
            <w:tcW w:w="1500" w:type="dxa"/>
            <w:vAlign w:val="bottom"/>
          </w:tcPr>
          <w:p>
            <w:pPr>
              <w:ind w:left="360"/>
              <w:spacing w:after="0"/>
              <w:rPr>
                <w:sz w:val="20"/>
                <w:szCs w:val="20"/>
                <w:color w:val="auto"/>
              </w:rPr>
            </w:pPr>
            <w:r>
              <w:rPr>
                <w:rFonts w:ascii="Arial" w:cs="Arial" w:eastAsia="Arial" w:hAnsi="Arial"/>
                <w:sz w:val="14"/>
                <w:szCs w:val="14"/>
                <w:b w:val="1"/>
                <w:bCs w:val="1"/>
                <w:color w:val="auto"/>
              </w:rPr>
              <w:t>Summary of</w:t>
            </w:r>
          </w:p>
        </w:tc>
        <w:tc>
          <w:tcPr>
            <w:tcW w:w="0" w:type="dxa"/>
            <w:vAlign w:val="bottom"/>
          </w:tcPr>
          <w:p>
            <w:pPr>
              <w:spacing w:after="0"/>
              <w:rPr>
                <w:sz w:val="1"/>
                <w:szCs w:val="1"/>
                <w:color w:val="auto"/>
              </w:rPr>
            </w:pPr>
          </w:p>
        </w:tc>
      </w:tr>
      <w:tr>
        <w:trPr>
          <w:trHeight w:val="171"/>
        </w:trPr>
        <w:tc>
          <w:tcPr>
            <w:tcW w:w="980" w:type="dxa"/>
            <w:vAlign w:val="bottom"/>
            <w:vMerge w:val="continue"/>
          </w:tcPr>
          <w:p>
            <w:pPr>
              <w:spacing w:after="0"/>
              <w:rPr>
                <w:sz w:val="14"/>
                <w:szCs w:val="14"/>
                <w:color w:val="auto"/>
              </w:rPr>
            </w:pPr>
          </w:p>
        </w:tc>
        <w:tc>
          <w:tcPr>
            <w:tcW w:w="56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Docket No.</w:t>
            </w:r>
          </w:p>
        </w:tc>
        <w:tc>
          <w:tcPr>
            <w:tcW w:w="8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w w:val="95"/>
              </w:rPr>
              <w:t>Claimed Subject Matter</w:t>
            </w:r>
          </w:p>
        </w:tc>
        <w:tc>
          <w:tcPr>
            <w:tcW w:w="0" w:type="dxa"/>
            <w:vAlign w:val="bottom"/>
          </w:tcPr>
          <w:p>
            <w:pPr>
              <w:spacing w:after="0"/>
              <w:rPr>
                <w:sz w:val="1"/>
                <w:szCs w:val="1"/>
                <w:color w:val="auto"/>
              </w:rPr>
            </w:pPr>
          </w:p>
        </w:tc>
      </w:tr>
      <w:tr>
        <w:trPr>
          <w:trHeight w:val="210"/>
        </w:trPr>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GenStem Know-How List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as of this 12</w:t>
      </w:r>
      <w:r>
        <w:rPr>
          <w:rFonts w:ascii="Arial" w:cs="Arial" w:eastAsia="Arial" w:hAnsi="Arial"/>
          <w:sz w:val="15"/>
          <w:szCs w:val="15"/>
          <w:color w:val="auto"/>
        </w:rPr>
        <w:t>th</w:t>
      </w:r>
      <w:r>
        <w:rPr>
          <w:rFonts w:ascii="Arial" w:cs="Arial" w:eastAsia="Arial" w:hAnsi="Arial"/>
          <w:sz w:val="18"/>
          <w:szCs w:val="18"/>
          <w:color w:val="auto"/>
        </w:rPr>
        <w:t xml:space="preserve"> day of January, 2018, between </w:t>
      </w:r>
      <w:r>
        <w:rPr>
          <w:rFonts w:ascii="Arial" w:cs="Arial" w:eastAsia="Arial" w:hAnsi="Arial"/>
          <w:sz w:val="18"/>
          <w:szCs w:val="18"/>
          <w:b w:val="1"/>
          <w:bCs w:val="1"/>
          <w:color w:val="auto"/>
        </w:rPr>
        <w:t>ARE-MA REGION NO</w:t>
      </w:r>
      <w:r>
        <w:rPr>
          <w:rFonts w:ascii="Arial" w:cs="Arial" w:eastAsia="Arial" w:hAnsi="Arial"/>
          <w:sz w:val="18"/>
          <w:szCs w:val="18"/>
          <w:color w:val="auto"/>
        </w:rPr>
        <w:t xml:space="preserve">. </w:t>
      </w:r>
      <w:r>
        <w:rPr>
          <w:rFonts w:ascii="Arial" w:cs="Arial" w:eastAsia="Arial" w:hAnsi="Arial"/>
          <w:sz w:val="18"/>
          <w:szCs w:val="18"/>
          <w:b w:val="1"/>
          <w:bCs w:val="1"/>
          <w:color w:val="auto"/>
        </w:rPr>
        <w:t>59,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BASIC LEASE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Building</w:t>
      </w:r>
      <w:r>
        <w:rPr>
          <w:rFonts w:ascii="Arial" w:cs="Arial" w:eastAsia="Arial" w:hAnsi="Arial"/>
          <w:sz w:val="18"/>
          <w:szCs w:val="18"/>
          <w:color w:val="auto"/>
        </w:rPr>
        <w:t>: 300 One Kendall Square, Cambridge, MA 02139</w:t>
      </w:r>
    </w:p>
    <w:p>
      <w:pPr>
        <w:spacing w:after="0" w:line="252" w:lineRule="exact"/>
        <w:rPr>
          <w:sz w:val="20"/>
          <w:szCs w:val="20"/>
          <w:color w:val="auto"/>
        </w:rPr>
      </w:pPr>
    </w:p>
    <w:p>
      <w:pPr>
        <w:jc w:val="both"/>
        <w:ind w:left="1160" w:right="100" w:hanging="1159"/>
        <w:spacing w:after="0" w:line="264" w:lineRule="auto"/>
        <w:tabs>
          <w:tab w:leader="none" w:pos="114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That portion of the second floor of the Building in the Project (each as defined below) containing approximately 11,218 rentable square feet, consisting of (i) approximately 4,580 rentable square feet of space (the “</w:t>
      </w:r>
      <w:r>
        <w:rPr>
          <w:rFonts w:ascii="Arial" w:cs="Arial" w:eastAsia="Arial" w:hAnsi="Arial"/>
          <w:sz w:val="18"/>
          <w:szCs w:val="18"/>
          <w:b w:val="1"/>
          <w:bCs w:val="1"/>
          <w:color w:val="auto"/>
        </w:rPr>
        <w:t>Initial Premises</w:t>
      </w:r>
      <w:r>
        <w:rPr>
          <w:rFonts w:ascii="Arial" w:cs="Arial" w:eastAsia="Arial" w:hAnsi="Arial"/>
          <w:sz w:val="18"/>
          <w:szCs w:val="18"/>
          <w:color w:val="auto"/>
        </w:rPr>
        <w:t>”), and (ii) approximately 6,638 rentable square feet of space (the “</w:t>
      </w:r>
      <w:r>
        <w:rPr>
          <w:rFonts w:ascii="Arial" w:cs="Arial" w:eastAsia="Arial" w:hAnsi="Arial"/>
          <w:sz w:val="18"/>
          <w:szCs w:val="18"/>
          <w:b w:val="1"/>
          <w:bCs w:val="1"/>
          <w:color w:val="auto"/>
        </w:rPr>
        <w:t>Subsequent Premises</w:t>
      </w:r>
      <w:r>
        <w:rPr>
          <w:rFonts w:ascii="Arial" w:cs="Arial" w:eastAsia="Arial" w:hAnsi="Arial"/>
          <w:sz w:val="18"/>
          <w:szCs w:val="18"/>
          <w:color w:val="auto"/>
        </w:rPr>
        <w:t xml:space="preserve">”), all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1" w:lineRule="exact"/>
        <w:rPr>
          <w:sz w:val="20"/>
          <w:szCs w:val="20"/>
          <w:color w:val="auto"/>
        </w:rPr>
      </w:pPr>
    </w:p>
    <w:p>
      <w:pPr>
        <w:ind w:left="1160" w:right="28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Building:</w:t>
      </w:r>
      <w:r>
        <w:rPr>
          <w:sz w:val="20"/>
          <w:szCs w:val="20"/>
          <w:color w:val="auto"/>
        </w:rPr>
        <w:tab/>
      </w:r>
      <w:r>
        <w:rPr>
          <w:rFonts w:ascii="Arial" w:cs="Arial" w:eastAsia="Arial" w:hAnsi="Arial"/>
          <w:sz w:val="18"/>
          <w:szCs w:val="18"/>
          <w:color w:val="auto"/>
        </w:rPr>
        <w:t xml:space="preserve">The building in the Project currently known and numbered as 300 One Kendall Square, Cambridge, Massachusetts, and located on the real property owned by Landlord and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70" w:lineRule="exact"/>
        <w:rPr>
          <w:sz w:val="20"/>
          <w:szCs w:val="20"/>
          <w:color w:val="auto"/>
        </w:rPr>
      </w:pPr>
    </w:p>
    <w:p>
      <w:pPr>
        <w:ind w:left="1160" w:right="18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Project:</w:t>
      </w:r>
      <w:r>
        <w:rPr>
          <w:sz w:val="20"/>
          <w:szCs w:val="20"/>
          <w:color w:val="auto"/>
        </w:rPr>
        <w:tab/>
      </w:r>
      <w:r>
        <w:rPr>
          <w:rFonts w:ascii="Arial" w:cs="Arial" w:eastAsia="Arial" w:hAnsi="Arial"/>
          <w:sz w:val="18"/>
          <w:szCs w:val="18"/>
          <w:color w:val="auto"/>
        </w:rPr>
        <w:t>The project commonly known as One Kendall Square, located on the Property and property owned by affiliates of Landlord and operated as single mixed-use complex.</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Base Rent:</w:t>
      </w:r>
      <w:r>
        <w:rPr>
          <w:sz w:val="20"/>
          <w:szCs w:val="20"/>
          <w:color w:val="auto"/>
        </w:rPr>
        <w:tab/>
      </w:r>
      <w:r>
        <w:rPr>
          <w:rFonts w:ascii="Arial" w:cs="Arial" w:eastAsia="Arial" w:hAnsi="Arial"/>
          <w:sz w:val="16"/>
          <w:szCs w:val="16"/>
          <w:color w:val="auto"/>
        </w:rPr>
        <w:t xml:space="preserve">$56.00 per rentable square foot of the Premises per year, subject to adjustment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11,218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644,771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65,527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Building’s Share of Project: </w:t>
      </w:r>
      <w:r>
        <w:rPr>
          <w:rFonts w:ascii="Arial" w:cs="Arial" w:eastAsia="Arial" w:hAnsi="Arial"/>
          <w:sz w:val="18"/>
          <w:szCs w:val="18"/>
          <w:color w:val="auto"/>
        </w:rPr>
        <w:t>10.12%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w:t>
      </w:r>
      <w:r>
        <w:rPr>
          <w:rFonts w:ascii="Arial" w:cs="Arial" w:eastAsia="Arial" w:hAnsi="Arial"/>
          <w:sz w:val="18"/>
          <w:szCs w:val="18"/>
          <w:color w:val="auto"/>
        </w:rPr>
        <w:t>17.11% (6.98% attributable to the Initial Premises and 10.13% attributable to the Subsequent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$209,402.67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February 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Rent Adjustment Percentage:</w:t>
            </w:r>
          </w:p>
        </w:tc>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520" w:type="dxa"/>
            <w:vAlign w:val="bottom"/>
            <w:gridSpan w:val="4"/>
          </w:tcPr>
          <w:p>
            <w:pPr>
              <w:spacing w:after="0"/>
              <w:rPr>
                <w:sz w:val="20"/>
                <w:szCs w:val="20"/>
                <w:color w:val="auto"/>
              </w:rPr>
            </w:pPr>
            <w:r>
              <w:rPr>
                <w:rFonts w:ascii="Arial" w:cs="Arial" w:eastAsia="Arial" w:hAnsi="Arial"/>
                <w:sz w:val="18"/>
                <w:szCs w:val="18"/>
                <w:color w:val="auto"/>
                <w:w w:val="91"/>
              </w:rPr>
              <w:t>Beginning on the Commencement Date and ending 60 months from the first day of the first full month of the Term (as</w:t>
            </w:r>
          </w:p>
        </w:tc>
      </w:tr>
      <w:tr>
        <w:trPr>
          <w:trHeight w:val="190"/>
        </w:trPr>
        <w:tc>
          <w:tcPr>
            <w:tcW w:w="2880" w:type="dxa"/>
            <w:vAlign w:val="bottom"/>
          </w:tcPr>
          <w:p>
            <w:pPr>
              <w:spacing w:after="0"/>
              <w:rPr>
                <w:sz w:val="16"/>
                <w:szCs w:val="16"/>
                <w:color w:val="auto"/>
              </w:rPr>
            </w:pPr>
          </w:p>
        </w:tc>
        <w:tc>
          <w:tcPr>
            <w:tcW w:w="8520" w:type="dxa"/>
            <w:vAlign w:val="bottom"/>
            <w:gridSpan w:val="4"/>
          </w:tcPr>
          <w:p>
            <w:pPr>
              <w:spacing w:after="0" w:line="190" w:lineRule="exact"/>
              <w:rPr>
                <w:sz w:val="20"/>
                <w:szCs w:val="20"/>
                <w:color w:val="auto"/>
              </w:rPr>
            </w:pPr>
            <w:r>
              <w:rPr>
                <w:rFonts w:ascii="Arial" w:cs="Arial" w:eastAsia="Arial" w:hAnsi="Arial"/>
                <w:sz w:val="18"/>
                <w:szCs w:val="18"/>
                <w:color w:val="auto"/>
                <w:w w:val="91"/>
              </w:rPr>
              <w:t>defined in Section 2) hereof. For clarity, if the Commencement Date occurs on the first day of a month, the expiration</w:t>
            </w:r>
          </w:p>
        </w:tc>
      </w:tr>
      <w:tr>
        <w:trPr>
          <w:trHeight w:val="20"/>
        </w:trPr>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w w:val="92"/>
              </w:rPr>
              <w:t>of the Base Term shall be measured from that date. If the Commencement Date occurs on a day other than the first</w:t>
            </w:r>
          </w:p>
        </w:tc>
      </w:tr>
      <w:tr>
        <w:trPr>
          <w:trHeight w:val="230"/>
        </w:trPr>
        <w:tc>
          <w:tcPr>
            <w:tcW w:w="2880" w:type="dxa"/>
            <w:vAlign w:val="bottom"/>
          </w:tcPr>
          <w:p>
            <w:pPr>
              <w:spacing w:after="0"/>
              <w:rPr>
                <w:sz w:val="20"/>
                <w:szCs w:val="20"/>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w w:val="99"/>
              </w:rPr>
              <w:t>day of a month, the expiration of the Base Term shall be measured from the first day of the following month.</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w:t>
            </w:r>
          </w:p>
        </w:tc>
        <w:tc>
          <w:tcPr>
            <w:tcW w:w="8520" w:type="dxa"/>
            <w:vAlign w:val="bottom"/>
            <w:gridSpan w:val="4"/>
          </w:tcPr>
          <w:p>
            <w:pPr>
              <w:spacing w:after="0"/>
              <w:rPr>
                <w:sz w:val="20"/>
                <w:szCs w:val="20"/>
                <w:color w:val="auto"/>
              </w:rPr>
            </w:pPr>
            <w:r>
              <w:rPr>
                <w:rFonts w:ascii="Arial" w:cs="Arial" w:eastAsia="Arial" w:hAnsi="Arial"/>
                <w:sz w:val="18"/>
                <w:szCs w:val="18"/>
                <w:color w:val="auto"/>
                <w:w w:val="90"/>
              </w:rPr>
              <w:t>Office and related uses consistent with the character of the Project and otherwise in compliance with the provisions of</w:t>
            </w:r>
          </w:p>
        </w:tc>
      </w:tr>
      <w:tr>
        <w:trPr>
          <w:trHeight w:val="190"/>
        </w:trPr>
        <w:tc>
          <w:tcPr>
            <w:tcW w:w="2880" w:type="dxa"/>
            <w:vAlign w:val="bottom"/>
          </w:tcPr>
          <w:p>
            <w:pPr>
              <w:spacing w:after="0"/>
              <w:rPr>
                <w:sz w:val="16"/>
                <w:szCs w:val="16"/>
                <w:color w:val="auto"/>
              </w:rPr>
            </w:pPr>
          </w:p>
        </w:tc>
        <w:tc>
          <w:tcPr>
            <w:tcW w:w="8520" w:type="dxa"/>
            <w:vAlign w:val="bottom"/>
            <w:gridSpan w:val="4"/>
          </w:tcPr>
          <w:p>
            <w:pPr>
              <w:spacing w:after="0" w:line="190" w:lineRule="exact"/>
              <w:rPr>
                <w:sz w:val="20"/>
                <w:szCs w:val="20"/>
                <w:color w:val="auto"/>
              </w:rPr>
            </w:pPr>
            <w:r>
              <w:rPr>
                <w:rFonts w:ascii="Arial" w:cs="Arial" w:eastAsia="Arial" w:hAnsi="Arial"/>
                <w:sz w:val="18"/>
                <w:szCs w:val="18"/>
                <w:color w:val="auto"/>
              </w:rPr>
              <w:t>Section 7 hereof.</w:t>
            </w:r>
          </w:p>
        </w:tc>
      </w:tr>
      <w:tr>
        <w:trPr>
          <w:trHeight w:val="20"/>
        </w:trPr>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111760</wp:posOffset>
            </wp:positionV>
            <wp:extent cx="2418080" cy="514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4" w:name="page475"/>
    <w:bookmarkEnd w:id="474"/>
    <w:p>
      <w:pPr>
        <w:spacing w:after="0"/>
        <w:rPr>
          <w:sz w:val="20"/>
          <w:szCs w:val="20"/>
          <w:color w:val="auto"/>
        </w:rPr>
      </w:pPr>
      <w:r>
        <w:rPr>
          <w:rFonts w:ascii="Arial" w:cs="Arial" w:eastAsia="Arial" w:hAnsi="Arial"/>
          <w:sz w:val="16"/>
          <w:szCs w:val="16"/>
          <w:b w:val="1"/>
          <w:bCs w:val="1"/>
          <w:color w:val="auto"/>
        </w:rPr>
        <w:t>Multi-Tenant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One Kendall Square/Avrobio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-5404485</wp:posOffset>
            </wp:positionH>
            <wp:positionV relativeFrom="paragraph">
              <wp:posOffset>-198755</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7780" w:space="720"/>
            <w:col w:w="2920"/>
          </w:cols>
          <w:pgMar w:left="240" w:top="270" w:right="239" w:bottom="1440" w:gutter="0" w:footer="0" w:header="0"/>
        </w:sectPr>
      </w:pPr>
    </w:p>
    <w:p>
      <w:pPr>
        <w:spacing w:after="0"/>
        <w:rPr>
          <w:sz w:val="20"/>
          <w:szCs w:val="20"/>
          <w:color w:val="auto"/>
        </w:rPr>
      </w:pPr>
      <w:r>
        <w:rPr>
          <w:rFonts w:ascii="Arial" w:cs="Arial" w:eastAsia="Arial" w:hAnsi="Arial"/>
          <w:sz w:val="17"/>
          <w:szCs w:val="17"/>
          <w:b w:val="1"/>
          <w:bCs w:val="1"/>
          <w:color w:val="auto"/>
        </w:rPr>
        <w:t>Address for Rent Payment: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ARE-MA Region No. 59,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 Box 944193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 44194-4193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Landlord’s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385 East Colorado Boulevard, Suite 299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300 One Kendall Square, Suite 3-201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Lease Administrator</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24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PROPERTY</w:t>
      </w:r>
    </w:p>
    <w:p>
      <w:pPr>
        <w:spacing w:after="0" w:line="2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r>
        <w:rPr>
          <w:sz w:val="20"/>
          <w:szCs w:val="20"/>
          <w:color w:val="auto"/>
        </w:rPr>
        <w:tab/>
      </w: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p>
      <w:pPr>
        <w:spacing w:after="0" w:line="9" w:lineRule="exact"/>
        <w:rPr>
          <w:sz w:val="20"/>
          <w:szCs w:val="20"/>
          <w:color w:val="auto"/>
        </w:rPr>
      </w:pPr>
    </w:p>
    <w:p>
      <w:pPr>
        <w:ind w:left="300" w:hanging="292"/>
        <w:spacing w:after="0"/>
        <w:tabs>
          <w:tab w:leader="none" w:pos="30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NOTIFICATION OF PRESENCE OF ASBESTOS CONTAINING MATERIALS</w:t>
      </w:r>
    </w:p>
    <w:p>
      <w:pPr>
        <w:spacing w:after="0" w:line="98" w:lineRule="exact"/>
        <w:rPr>
          <w:rFonts w:ascii="Arial" w:cs="Arial" w:eastAsia="Arial" w:hAnsi="Arial"/>
          <w:sz w:val="18"/>
          <w:szCs w:val="18"/>
          <w:color w:val="auto"/>
        </w:rPr>
      </w:pPr>
    </w:p>
    <w:p>
      <w:pPr>
        <w:ind w:right="20" w:firstLine="464"/>
        <w:spacing w:after="0" w:line="286" w:lineRule="auto"/>
        <w:tabs>
          <w:tab w:leader="none" w:pos="636" w:val="left"/>
        </w:tabs>
        <w:numPr>
          <w:ilvl w:val="1"/>
          <w:numId w:val="350"/>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of this Lease,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which are for the non-exclusive use of tenants of the Building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Subject to the terms and conditions of this Lease, Tenant shall have the appurtenant right to use the Common Areas for their intended uses. The Common Areas shall include, without limitation, the common loading areas located in and serving the Building, pedestrian sidewalks and landscaped areas serving the Project, as well as the common elevators, lobbies, hallways, corridors and stairwells and, if applicable, restrooms, within the Building and serving the Premises or necessary for access to and use of the Premises. In addition to other rights reserved herein or by law, Landlord reserves the right from time to time, without material interruption of Tenant’s use and access to the Premises (except in emergency): (i) to make additions to or reconstructions of the Building, Property and Project and to install, use, maintain, repair, replace and relocate for service to the Premises or other parts of the Building, Property and/or Project, pipes, ducts, conduits, wires and appurtenant fixtures, wherever located in the Premises, the Building, the Property or elsewhere in the Project, including without limitation, the installation of such facilities in the plenums of the ceilings of the Premises (or, if there is no drop ceiling, within the space above 10 feet of any floor of the Premises), and coring therefor between the ceiling or top surface of any portion of the Premises, and the space above the Premises in the plenum or below the top of the Premises as aforesaid; and (ii) to alter or relocate any Common Area or facility.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60" w:lineRule="exact"/>
        <w:rPr>
          <w:rFonts w:ascii="Arial" w:cs="Arial" w:eastAsia="Arial" w:hAnsi="Arial"/>
          <w:sz w:val="16"/>
          <w:szCs w:val="16"/>
          <w:color w:val="auto"/>
        </w:rPr>
      </w:pPr>
    </w:p>
    <w:p>
      <w:pPr>
        <w:ind w:left="640" w:hanging="176"/>
        <w:spacing w:after="0"/>
        <w:tabs>
          <w:tab w:leader="none" w:pos="640"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60" w:firstLine="921"/>
        <w:spacing w:after="0" w:line="272" w:lineRule="auto"/>
        <w:tabs>
          <w:tab w:leader="none" w:pos="1157" w:val="left"/>
        </w:tabs>
        <w:numPr>
          <w:ilvl w:val="2"/>
          <w:numId w:val="350"/>
        </w:numPr>
        <w:rPr>
          <w:rFonts w:ascii="Arial" w:cs="Arial" w:eastAsia="Arial" w:hAnsi="Arial"/>
          <w:sz w:val="17"/>
          <w:szCs w:val="17"/>
          <w:color w:val="auto"/>
        </w:rPr>
      </w:pPr>
      <w:r>
        <w:rPr>
          <w:rFonts w:ascii="Arial" w:cs="Arial" w:eastAsia="Arial" w:hAnsi="Arial"/>
          <w:sz w:val="17"/>
          <w:szCs w:val="17"/>
          <w:b w:val="1"/>
          <w:bCs w:val="1"/>
          <w:color w:val="auto"/>
        </w:rPr>
        <w:t>Initial Premises</w:t>
      </w:r>
      <w:r>
        <w:rPr>
          <w:rFonts w:ascii="Arial" w:cs="Arial" w:eastAsia="Arial" w:hAnsi="Arial"/>
          <w:sz w:val="17"/>
          <w:szCs w:val="17"/>
          <w:color w:val="auto"/>
        </w:rPr>
        <w:t>. Landlord shall deliver to Tenant (“</w:t>
      </w:r>
      <w:r>
        <w:rPr>
          <w:rFonts w:ascii="Arial" w:cs="Arial" w:eastAsia="Arial" w:hAnsi="Arial"/>
          <w:sz w:val="17"/>
          <w:szCs w:val="17"/>
          <w:b w:val="1"/>
          <w:bCs w:val="1"/>
          <w:color w:val="auto"/>
        </w:rPr>
        <w:t>Delivery</w:t>
      </w:r>
      <w:r>
        <w:rPr>
          <w:rFonts w:ascii="Arial" w:cs="Arial" w:eastAsia="Arial" w:hAnsi="Arial"/>
          <w:sz w:val="17"/>
          <w:szCs w:val="17"/>
          <w:color w:val="auto"/>
        </w:rPr>
        <w:t>” or “</w:t>
      </w:r>
      <w:r>
        <w:rPr>
          <w:rFonts w:ascii="Arial" w:cs="Arial" w:eastAsia="Arial" w:hAnsi="Arial"/>
          <w:sz w:val="17"/>
          <w:szCs w:val="17"/>
          <w:b w:val="1"/>
          <w:bCs w:val="1"/>
          <w:color w:val="auto"/>
        </w:rPr>
        <w:t>Deliver</w:t>
      </w:r>
      <w:r>
        <w:rPr>
          <w:rFonts w:ascii="Arial" w:cs="Arial" w:eastAsia="Arial" w:hAnsi="Arial"/>
          <w:sz w:val="17"/>
          <w:szCs w:val="17"/>
          <w:color w:val="auto"/>
        </w:rPr>
        <w:t>”) the Initial Premises on or before the Target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with Landlord’s Work in the Initial Premises Substantially Completed. If Landlord fails to timely Deliver the Initial Premises, Landlord shall not be liable to Tenant for any loss or damage resulting therefrom, and this Lease shall not be void or voidable except as provided herein. Notwithstanding anything to the contrary contained herein, if Landlord fails to Deliver the Initial Premises to Tenant on or before the date that is 90 days after the Target Commencement Date (as such date may be extended for Force Majeure delays and Tenant Delays) (“</w:t>
      </w:r>
      <w:r>
        <w:rPr>
          <w:rFonts w:ascii="Arial" w:cs="Arial" w:eastAsia="Arial" w:hAnsi="Arial"/>
          <w:sz w:val="17"/>
          <w:szCs w:val="17"/>
          <w:b w:val="1"/>
          <w:bCs w:val="1"/>
          <w:color w:val="auto"/>
        </w:rPr>
        <w:t>Initial Premises Abatement Date</w:t>
      </w:r>
      <w:r>
        <w:rPr>
          <w:rFonts w:ascii="Arial" w:cs="Arial" w:eastAsia="Arial" w:hAnsi="Arial"/>
          <w:sz w:val="17"/>
          <w:szCs w:val="17"/>
          <w:color w:val="auto"/>
        </w:rPr>
        <w:t>”), Base Rent payable with respect to the Initial Premises shall be abated 1 day for each day after the Initial Premises Abatement Date (as such date may be extended for Force Majeure delays and Tenant Delays) that Landlord fails to Deliver the Initial Premises to Tenant. As used herein, the terms “</w:t>
      </w:r>
      <w:r>
        <w:rPr>
          <w:rFonts w:ascii="Arial" w:cs="Arial" w:eastAsia="Arial" w:hAnsi="Arial"/>
          <w:sz w:val="17"/>
          <w:szCs w:val="17"/>
          <w:b w:val="1"/>
          <w:bCs w:val="1"/>
          <w:color w:val="auto"/>
        </w:rPr>
        <w:t>Landlord’s Work</w:t>
      </w:r>
      <w:r>
        <w:rPr>
          <w:rFonts w:ascii="Arial" w:cs="Arial" w:eastAsia="Arial" w:hAnsi="Arial"/>
          <w:sz w:val="17"/>
          <w:szCs w:val="17"/>
          <w:color w:val="auto"/>
        </w:rPr>
        <w:t>” and “</w:t>
      </w:r>
      <w:r>
        <w:rPr>
          <w:rFonts w:ascii="Arial" w:cs="Arial" w:eastAsia="Arial" w:hAnsi="Arial"/>
          <w:sz w:val="17"/>
          <w:szCs w:val="17"/>
          <w:b w:val="1"/>
          <w:bCs w:val="1"/>
          <w:color w:val="auto"/>
        </w:rPr>
        <w:t>Substantially Completed</w:t>
      </w:r>
      <w:r>
        <w:rPr>
          <w:rFonts w:ascii="Arial" w:cs="Arial" w:eastAsia="Arial" w:hAnsi="Arial"/>
          <w:sz w:val="17"/>
          <w:szCs w:val="17"/>
          <w:color w:val="auto"/>
        </w:rPr>
        <w:t>” shall have the meanings set forth for such terms in the Work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78105</wp:posOffset>
            </wp:positionV>
            <wp:extent cx="2418080" cy="514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475" w:name="page476"/>
    <w:bookmarkEnd w:id="475"/>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w:t>
      </w:r>
    </w:p>
    <w:p>
      <w:pPr>
        <w:spacing w:after="0" w:line="158"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earliest of: (i) the date Landlord Delivers the Initial Premises to Tenant with Landlord’s Work in the Initial Premises Substantially Completed; (ii) the date Landlord could have Delivered the Initial Premises but for Tenant Delays; or (iii) the date Tenant conducts any business in the Initial Premises or any part thereof.</w:t>
      </w:r>
    </w:p>
    <w:p>
      <w:pPr>
        <w:spacing w:after="0" w:line="1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as otherwise set forth in this Lease: (i) Tenant shall accept the Initial Premises in their condition as of the Commencement Date; (ii) Landlord shall have no obligation for any defects in the Initial Premises; and (iii) Tenant’s taking possession of the Initial Premises shall be conclusive evidence that Tenant accepts the Initial Premises. Any occupancy of the Initial Premises by Tenant before the Commencement Date shall be subject to all of the terms and conditions of this Lease, including the obligation to pay Base Rent and Operating Expenses.</w:t>
      </w:r>
    </w:p>
    <w:p>
      <w:pPr>
        <w:spacing w:after="0" w:line="75" w:lineRule="exact"/>
        <w:rPr>
          <w:sz w:val="20"/>
          <w:szCs w:val="20"/>
          <w:color w:val="auto"/>
        </w:rPr>
      </w:pPr>
    </w:p>
    <w:p>
      <w:pPr>
        <w:ind w:firstLine="464"/>
        <w:spacing w:after="0" w:line="255" w:lineRule="auto"/>
        <w:tabs>
          <w:tab w:leader="none" w:pos="711"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Subsequent Premises</w:t>
      </w:r>
      <w:r>
        <w:rPr>
          <w:rFonts w:ascii="Arial" w:cs="Arial" w:eastAsia="Arial" w:hAnsi="Arial"/>
          <w:sz w:val="18"/>
          <w:szCs w:val="18"/>
          <w:color w:val="auto"/>
        </w:rPr>
        <w:t>. Landlord shall use reasonable efforts to deliver the Subsequent Premises to Tenant with Landlord’s Work in the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Substantially Completed on or before June 8, 2018 (the “</w:t>
      </w:r>
      <w:r>
        <w:rPr>
          <w:rFonts w:ascii="Arial" w:cs="Arial" w:eastAsia="Arial" w:hAnsi="Arial"/>
          <w:sz w:val="18"/>
          <w:szCs w:val="18"/>
          <w:b w:val="1"/>
          <w:bCs w:val="1"/>
          <w:color w:val="auto"/>
        </w:rPr>
        <w:t>Subsequent Premises Target Commencement Date</w:t>
      </w:r>
      <w:r>
        <w:rPr>
          <w:rFonts w:ascii="Arial" w:cs="Arial" w:eastAsia="Arial" w:hAnsi="Arial"/>
          <w:sz w:val="18"/>
          <w:szCs w:val="18"/>
          <w:color w:val="auto"/>
        </w:rPr>
        <w:t>”). If Landlord fails to timely Deliver the Subsequent Premises, Landlord shall not be liable to Tenant for any loss or damage resulting therefrom, and this Lease shall not be void or voidable except as provided herein. Notwithstanding anything to the contrary contained herein, if Landlord fails to Deliver the Subsequent Premises to Tenant on or before the date that is 60 days after the Subsequent Premises Target Commencement Date (as such date may be extended for Force Majeure delays and Tenant Delays) (“</w:t>
      </w:r>
      <w:r>
        <w:rPr>
          <w:rFonts w:ascii="Arial" w:cs="Arial" w:eastAsia="Arial" w:hAnsi="Arial"/>
          <w:sz w:val="18"/>
          <w:szCs w:val="18"/>
          <w:b w:val="1"/>
          <w:bCs w:val="1"/>
          <w:color w:val="auto"/>
        </w:rPr>
        <w:t>Subsequent Premises Abatement Date</w:t>
      </w:r>
      <w:r>
        <w:rPr>
          <w:rFonts w:ascii="Arial" w:cs="Arial" w:eastAsia="Arial" w:hAnsi="Arial"/>
          <w:sz w:val="18"/>
          <w:szCs w:val="18"/>
          <w:color w:val="auto"/>
        </w:rPr>
        <w:t>”), Base Rent payable with respect to the Subsequent Premises shall be abated 1 day for each day after the Subsequent Premises Abatement Date (as such date may be extended for Force Majeure delays and Tenant Delays) that Landlord fails to Deliver the Subsequent Premises to Tenant.</w:t>
      </w:r>
    </w:p>
    <w:p>
      <w:pPr>
        <w:spacing w:after="0" w:line="18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Subsequent Premises Commencement Date</w:t>
      </w:r>
      <w:r>
        <w:rPr>
          <w:rFonts w:ascii="Arial" w:cs="Arial" w:eastAsia="Arial" w:hAnsi="Arial"/>
          <w:sz w:val="18"/>
          <w:szCs w:val="18"/>
          <w:color w:val="auto"/>
        </w:rPr>
        <w:t>” shall be the earliest of: (i) the date Landlord Delivers the Subsequent Premises to Tenant with Landlord’s Work in the Subsequent Premises Substantially Completed; (ii) the date Landlord could have Delivered the Subsequent Premises but for Tenant Delays; or (iii) the date Tenant conducts any business in the Subsequent Premises or any part thereof.</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Except as set forth in the Work Letter: (i) Tenant shall accept the Subsequent Premises in their condition as of the Subsequent Premises Commencement Date; (ii) Landlord shall have no obligation for any defects in the Subsequent Premises; and (iii) Tenant’s taking possession of the Subsequent Premises shall be conclusive evidence that Tenant accepts the Subsequent Premises. Any occupancy of the Subsequent Premises by Tenant before the Subsequent Premises Commencement Date shall be subject to all of the terms and conditions of this Lease, including the obligation to pay Base Rent and Operating Expenses.</w:t>
      </w:r>
    </w:p>
    <w:p>
      <w:pPr>
        <w:spacing w:after="0" w:line="42" w:lineRule="exact"/>
        <w:rPr>
          <w:sz w:val="20"/>
          <w:szCs w:val="20"/>
          <w:color w:val="auto"/>
        </w:rPr>
      </w:pPr>
    </w:p>
    <w:p>
      <w:pPr>
        <w:ind w:right="80" w:firstLine="464"/>
        <w:spacing w:after="0" w:line="281" w:lineRule="auto"/>
        <w:tabs>
          <w:tab w:leader="none" w:pos="701"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Upon request of Landlord, Tenant shall execute and deliver a written acknowledgment of the Commencement Date, the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Commencement Date and the expiration date of the Term when such are established in the form of the “Acknowledgement of Commencement Date” attached to this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 The “</w:t>
      </w:r>
      <w:r>
        <w:rPr>
          <w:rFonts w:ascii="Arial" w:cs="Arial" w:eastAsia="Arial" w:hAnsi="Arial"/>
          <w:sz w:val="17"/>
          <w:szCs w:val="17"/>
          <w:b w:val="1"/>
          <w:bCs w:val="1"/>
          <w:color w:val="auto"/>
        </w:rPr>
        <w:t>Term</w:t>
      </w:r>
      <w:r>
        <w:rPr>
          <w:rFonts w:ascii="Arial" w:cs="Arial" w:eastAsia="Arial" w:hAnsi="Arial"/>
          <w:sz w:val="17"/>
          <w:szCs w:val="17"/>
          <w:color w:val="auto"/>
        </w:rPr>
        <w:t>” of this Lease shall be the Base Term, as defined above in the Basic Lease Provisions</w:t>
      </w:r>
      <w:r>
        <w:rPr>
          <w:rFonts w:ascii="Arial" w:cs="Arial" w:eastAsia="Arial" w:hAnsi="Arial"/>
          <w:sz w:val="17"/>
          <w:szCs w:val="17"/>
          <w:i w:val="1"/>
          <w:iCs w:val="1"/>
          <w:color w:val="auto"/>
        </w:rPr>
        <w:t>.</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88900</wp:posOffset>
            </wp:positionV>
            <wp:extent cx="2418080" cy="514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76" w:name="page477"/>
    <w:bookmarkEnd w:id="476"/>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4</w:t>
      </w:r>
    </w:p>
    <w:p>
      <w:pPr>
        <w:spacing w:after="0" w:line="158" w:lineRule="exact"/>
        <w:rPr>
          <w:sz w:val="20"/>
          <w:szCs w:val="20"/>
          <w:color w:val="auto"/>
        </w:rPr>
      </w:pPr>
    </w:p>
    <w:p>
      <w:pPr>
        <w:ind w:left="640" w:hanging="176"/>
        <w:spacing w:after="0"/>
        <w:tabs>
          <w:tab w:leader="none" w:pos="64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72" w:lineRule="auto"/>
        <w:tabs>
          <w:tab w:leader="none" w:pos="1157" w:val="left"/>
        </w:tabs>
        <w:numPr>
          <w:ilvl w:val="1"/>
          <w:numId w:val="353"/>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 The first full month’s Base Rent payable with respect to the Initial Premises shall be due and payable on the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first full month’s Base Rent payable with respect to the Subsequent Premises and the Security Deposit shall be due and payable on February 1, 2018. Tenant shall pay to Landlord in advance, without demand, abatement, deduction or set-off, equal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Additional Rent and any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64" w:lineRule="exact"/>
        <w:rPr>
          <w:rFonts w:ascii="Arial" w:cs="Arial" w:eastAsia="Arial" w:hAnsi="Arial"/>
          <w:sz w:val="17"/>
          <w:szCs w:val="17"/>
          <w:color w:val="auto"/>
        </w:rPr>
      </w:pPr>
    </w:p>
    <w:p>
      <w:pPr>
        <w:ind w:right="120" w:firstLine="921"/>
        <w:spacing w:after="0" w:line="298" w:lineRule="auto"/>
        <w:tabs>
          <w:tab w:leader="none" w:pos="1168" w:val="left"/>
        </w:tabs>
        <w:numPr>
          <w:ilvl w:val="1"/>
          <w:numId w:val="353"/>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Base Rent, Tenant agrees to pay to Landlord as 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(i) commencing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Commencement Date with respect to the Initial Premises and commencing on the Subsequent Premises Commencement Date with respect to the Subsequent Premises, Tenant’s Share of Operating Expenses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46" w:lineRule="exact"/>
        <w:rPr>
          <w:rFonts w:ascii="Arial" w:cs="Arial" w:eastAsia="Arial" w:hAnsi="Arial"/>
          <w:sz w:val="16"/>
          <w:szCs w:val="16"/>
          <w:color w:val="auto"/>
        </w:rPr>
      </w:pPr>
    </w:p>
    <w:p>
      <w:pPr>
        <w:ind w:right="20" w:firstLine="464"/>
        <w:spacing w:after="0" w:line="261" w:lineRule="auto"/>
        <w:tabs>
          <w:tab w:leader="none" w:pos="636"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annual anniversary of the first day of the first full month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1" w:lineRule="exact"/>
        <w:rPr>
          <w:rFonts w:ascii="Arial" w:cs="Arial" w:eastAsia="Arial" w:hAnsi="Arial"/>
          <w:sz w:val="18"/>
          <w:szCs w:val="18"/>
          <w:color w:val="auto"/>
        </w:rPr>
      </w:pPr>
    </w:p>
    <w:p>
      <w:pPr>
        <w:jc w:val="both"/>
        <w:ind w:right="220" w:firstLine="464"/>
        <w:spacing w:after="0" w:line="287" w:lineRule="auto"/>
        <w:tabs>
          <w:tab w:leader="none" w:pos="636"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t>Operating Expense Payments</w:t>
      </w:r>
      <w:r>
        <w:rPr>
          <w:rFonts w:ascii="Arial" w:cs="Arial" w:eastAsia="Arial" w:hAnsi="Arial"/>
          <w:sz w:val="16"/>
          <w:szCs w:val="16"/>
          <w:color w:val="auto"/>
        </w:rPr>
        <w:t>. Landlord shall deliver to Tenant a written estimate of Operating Expenses for each calendar year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Annual Estimate</w:t>
      </w:r>
      <w:r>
        <w:rPr>
          <w:rFonts w:ascii="Arial" w:cs="Arial" w:eastAsia="Arial" w:hAnsi="Arial"/>
          <w:sz w:val="16"/>
          <w:szCs w:val="16"/>
          <w:color w:val="auto"/>
        </w:rPr>
        <w:t>”), which may be revised by Landlord from time to time during such calendar year. Commencing on the Commencement Date with respect to the Initial Premises and commencing on the Subsequent Premises Commencement Date with respect to the Subsequent Premises, and continuing thereafter on the first day of each month during the Term, Tenant shall pay Landlord an amount equal to 1/12th of Tenant’s Share of the Annual Estimate.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Payments for any fractional calendar month shall be prorated</w:t>
      </w:r>
      <w:r>
        <w:rPr>
          <w:rFonts w:ascii="Arial" w:cs="Arial" w:eastAsia="Arial" w:hAnsi="Arial"/>
          <w:sz w:val="18"/>
          <w:szCs w:val="18"/>
          <w:i w:val="1"/>
          <w:iCs w:val="1"/>
          <w:color w:val="auto"/>
        </w:rPr>
        <w:t>.</w:t>
      </w:r>
    </w:p>
    <w:p>
      <w:pPr>
        <w:spacing w:after="0" w:line="20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in accordance with Landlord’s regular accounting practices with respect to the Building and Property (including, without duplication, the Building’s Share of Project with respect to all costs and expenses of any kind or description incurred or accrued by Landlord with respect to the Project which are not specific to the Building or Property or any other building or property located in the Project) including, without duplication or limitation, (w)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(x) capital repairs, replacements and improvements amortized over the lesser of 10 years or the useful life of such capital items (except for capital repairs, replacements and improvements to the roof, which shall be amortized over 15 years), adjusted to reflect Building operations 24 hours per day, 7 days per week and 365 days per year (provided that those Operating Expenses incurred or accrued by Landlord with respect to any capital repairs, replacements or improvements which are for the intended purpose of promoting sustainability (for example, without limitation, by reducing energy usage at the Project) (a “</w:t>
      </w:r>
      <w:r>
        <w:rPr>
          <w:rFonts w:ascii="Arial" w:cs="Arial" w:eastAsia="Arial" w:hAnsi="Arial"/>
          <w:sz w:val="17"/>
          <w:szCs w:val="17"/>
          <w:b w:val="1"/>
          <w:bCs w:val="1"/>
          <w:color w:val="auto"/>
        </w:rPr>
        <w:t>Capital Sustainability Expenditure</w:t>
      </w:r>
      <w:r>
        <w:rPr>
          <w:rFonts w:ascii="Arial" w:cs="Arial" w:eastAsia="Arial" w:hAnsi="Arial"/>
          <w:sz w:val="17"/>
          <w:szCs w:val="17"/>
          <w:color w:val="auto"/>
        </w:rPr>
        <w:t>”) may be amortized over a shorter period, at Landlord’s discretion, to the extent the cost of a Capital Sustainability Expenditure is offset by a reduction in Operating Expenses), (y) transportation services, and (z) the costs of Landlord’s third party property manager (not to exceed 3% of Base Rent) or, if there is no third party property manager, administration rent in the amount of 3% of Base Rent, excluding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83185</wp:posOffset>
            </wp:positionV>
            <wp:extent cx="2418080" cy="514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77" w:name="page478"/>
    <w:bookmarkEnd w:id="477"/>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5</w:t>
      </w:r>
    </w:p>
    <w:p>
      <w:pPr>
        <w:spacing w:after="0" w:line="162" w:lineRule="exact"/>
        <w:rPr>
          <w:sz w:val="20"/>
          <w:szCs w:val="20"/>
          <w:color w:val="auto"/>
        </w:rPr>
      </w:pPr>
    </w:p>
    <w:p>
      <w:pPr>
        <w:ind w:right="440" w:firstLine="921"/>
        <w:spacing w:after="0" w:line="277" w:lineRule="auto"/>
        <w:tabs>
          <w:tab w:leader="none" w:pos="11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117" w:lineRule="exact"/>
        <w:rPr>
          <w:rFonts w:ascii="Arial" w:cs="Arial" w:eastAsia="Arial" w:hAnsi="Arial"/>
          <w:sz w:val="18"/>
          <w:szCs w:val="18"/>
          <w:color w:val="auto"/>
        </w:rPr>
      </w:pPr>
    </w:p>
    <w:p>
      <w:pPr>
        <w:jc w:val="both"/>
        <w:ind w:right="60" w:firstLine="921"/>
        <w:spacing w:after="0" w:line="264" w:lineRule="auto"/>
        <w:tabs>
          <w:tab w:leader="none" w:pos="11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is includable in Operating Expenses);</w:t>
      </w:r>
    </w:p>
    <w:p>
      <w:pPr>
        <w:spacing w:after="0" w:line="117"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38" w:lineRule="exact"/>
        <w:rPr>
          <w:rFonts w:ascii="Arial" w:cs="Arial" w:eastAsia="Arial" w:hAnsi="Arial"/>
          <w:sz w:val="17"/>
          <w:szCs w:val="17"/>
          <w:color w:val="auto"/>
        </w:rPr>
      </w:pPr>
    </w:p>
    <w:p>
      <w:pPr>
        <w:ind w:left="1140" w:hanging="219"/>
        <w:spacing w:after="0"/>
        <w:tabs>
          <w:tab w:leader="none" w:pos="11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17"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costs of utilities outside normal business hours sold to tenants of the Project;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actually paid;</w:t>
      </w:r>
    </w:p>
    <w:p>
      <w:pPr>
        <w:spacing w:after="0" w:line="102" w:lineRule="exact"/>
        <w:rPr>
          <w:rFonts w:ascii="Arial" w:cs="Arial" w:eastAsia="Arial" w:hAnsi="Arial"/>
          <w:sz w:val="16"/>
          <w:szCs w:val="16"/>
          <w:color w:val="auto"/>
        </w:rPr>
      </w:pPr>
    </w:p>
    <w:p>
      <w:pPr>
        <w:ind w:right="40" w:firstLine="921"/>
        <w:spacing w:after="0" w:line="255" w:lineRule="auto"/>
        <w:tabs>
          <w:tab w:leader="none" w:pos="112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(i) personnel of Landlord or its agents or contractors above the position of the person, regardless of title, who has day-to-day management responsibility for the Project or (ii) officers and employees of Landlord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pacing w:after="0" w:line="85"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62" w:lineRule="exact"/>
        <w:rPr>
          <w:rFonts w:ascii="Arial" w:cs="Arial" w:eastAsia="Arial" w:hAnsi="Arial"/>
          <w:sz w:val="18"/>
          <w:szCs w:val="18"/>
          <w:color w:val="auto"/>
        </w:rPr>
      </w:pPr>
    </w:p>
    <w:p>
      <w:pPr>
        <w:ind w:right="320" w:firstLine="921"/>
        <w:spacing w:after="0" w:line="286" w:lineRule="auto"/>
        <w:tabs>
          <w:tab w:leader="none" w:pos="112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Property;</w:t>
      </w:r>
    </w:p>
    <w:p>
      <w:pPr>
        <w:spacing w:after="0" w:line="57" w:lineRule="exact"/>
        <w:rPr>
          <w:rFonts w:ascii="Arial" w:cs="Arial" w:eastAsia="Arial" w:hAnsi="Arial"/>
          <w:sz w:val="17"/>
          <w:szCs w:val="17"/>
          <w:color w:val="auto"/>
        </w:rPr>
      </w:pPr>
    </w:p>
    <w:p>
      <w:pPr>
        <w:ind w:right="40" w:firstLine="921"/>
        <w:spacing w:after="0" w:line="277" w:lineRule="auto"/>
        <w:tabs>
          <w:tab w:leader="none" w:pos="121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74295</wp:posOffset>
            </wp:positionV>
            <wp:extent cx="2418080" cy="514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8" w:name="page479"/>
    <w:bookmarkEnd w:id="478"/>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6</w:t>
      </w:r>
    </w:p>
    <w:p>
      <w:pPr>
        <w:spacing w:after="0" w:line="162" w:lineRule="exact"/>
        <w:rPr>
          <w:sz w:val="20"/>
          <w:szCs w:val="20"/>
          <w:color w:val="auto"/>
        </w:rPr>
      </w:pPr>
    </w:p>
    <w:p>
      <w:pPr>
        <w:ind w:right="280" w:firstLine="921"/>
        <w:spacing w:after="0" w:line="342" w:lineRule="auto"/>
        <w:tabs>
          <w:tab w:leader="none" w:pos="116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5" w:lineRule="exact"/>
        <w:rPr>
          <w:rFonts w:ascii="Arial" w:cs="Arial" w:eastAsia="Arial" w:hAnsi="Arial"/>
          <w:sz w:val="16"/>
          <w:szCs w:val="16"/>
          <w:color w:val="auto"/>
        </w:rPr>
      </w:pPr>
    </w:p>
    <w:p>
      <w:pPr>
        <w:ind w:right="100" w:firstLine="921"/>
        <w:spacing w:after="0" w:line="277"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117" w:lineRule="exact"/>
        <w:rPr>
          <w:rFonts w:ascii="Arial" w:cs="Arial" w:eastAsia="Arial" w:hAnsi="Arial"/>
          <w:sz w:val="18"/>
          <w:szCs w:val="18"/>
          <w:color w:val="auto"/>
        </w:rPr>
      </w:pPr>
    </w:p>
    <w:p>
      <w:pPr>
        <w:jc w:val="both"/>
        <w:ind w:right="40" w:firstLine="921"/>
        <w:spacing w:after="0" w:line="264"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Property or Project;</w:t>
      </w:r>
    </w:p>
    <w:p>
      <w:pPr>
        <w:spacing w:after="0" w:line="117" w:lineRule="exact"/>
        <w:rPr>
          <w:rFonts w:ascii="Arial" w:cs="Arial" w:eastAsia="Arial" w:hAnsi="Arial"/>
          <w:sz w:val="18"/>
          <w:szCs w:val="18"/>
          <w:color w:val="auto"/>
        </w:rPr>
      </w:pPr>
    </w:p>
    <w:p>
      <w:pPr>
        <w:ind w:right="20" w:firstLine="921"/>
        <w:spacing w:after="0" w:line="308" w:lineRule="auto"/>
        <w:tabs>
          <w:tab w:leader="none" w:pos="1148" w:val="left"/>
        </w:tabs>
        <w:numPr>
          <w:ilvl w:val="0"/>
          <w:numId w:val="355"/>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Property or Project, franchise, capital stock, gift, estate or inheritance taxes or any federal, state or local documentary taxes imposed against the Property or Project or any portion thereof or interest therein;</w:t>
      </w:r>
    </w:p>
    <w:p>
      <w:pPr>
        <w:spacing w:after="0" w:line="38" w:lineRule="exact"/>
        <w:rPr>
          <w:rFonts w:ascii="Arial" w:cs="Arial" w:eastAsia="Arial" w:hAnsi="Arial"/>
          <w:sz w:val="17"/>
          <w:szCs w:val="17"/>
          <w:color w:val="auto"/>
        </w:rPr>
      </w:pPr>
    </w:p>
    <w:p>
      <w:pPr>
        <w:ind w:right="380" w:firstLine="921"/>
        <w:spacing w:after="0" w:line="277" w:lineRule="auto"/>
        <w:tabs>
          <w:tab w:leader="none" w:pos="11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Materials in or about the Premises, the Building or the Project for which Tenant is not responsible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and</w:t>
      </w:r>
    </w:p>
    <w:p>
      <w:pPr>
        <w:spacing w:after="0" w:line="62"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w:t>
      </w:r>
    </w:p>
    <w:p>
      <w:pPr>
        <w:ind w:right="100" w:firstLine="8"/>
        <w:spacing w:after="0" w:line="292" w:lineRule="auto"/>
        <w:tabs>
          <w:tab w:leader="none" w:pos="25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r>
        <w:rPr>
          <w:rFonts w:ascii="Arial" w:cs="Arial" w:eastAsia="Arial" w:hAnsi="Arial"/>
          <w:sz w:val="16"/>
          <w:szCs w:val="16"/>
          <w:i w:val="1"/>
          <w:iCs w:val="1"/>
          <w:color w:val="auto"/>
        </w:rPr>
        <w:t>.</w:t>
      </w:r>
    </w:p>
    <w:p>
      <w:pPr>
        <w:spacing w:after="0" w:line="16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7"/>
          <w:szCs w:val="17"/>
          <w:b w:val="1"/>
          <w:bCs w:val="1"/>
          <w:color w:val="auto"/>
        </w:rPr>
        <w:t>Expense Information</w:t>
      </w:r>
      <w:r>
        <w:rPr>
          <w:rFonts w:ascii="Arial" w:cs="Arial" w:eastAsia="Arial" w:hAnsi="Arial"/>
          <w:sz w:val="17"/>
          <w:szCs w:val="17"/>
          <w:color w:val="auto"/>
        </w:rPr>
        <w:t>”). If after Tenant’s review of such Expense Information, Landlord and Tenant cannot agree upon the amount of Tenant’s Share of Operating 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7"/>
          <w:szCs w:val="17"/>
          <w:b w:val="1"/>
          <w:bCs w:val="1"/>
          <w:color w:val="auto"/>
        </w:rPr>
        <w:t>Independent</w:t>
      </w:r>
      <w:r>
        <w:rPr>
          <w:rFonts w:ascii="Arial" w:cs="Arial" w:eastAsia="Arial" w:hAnsi="Arial"/>
          <w:sz w:val="17"/>
          <w:szCs w:val="17"/>
          <w:color w:val="auto"/>
        </w:rPr>
        <w:t xml:space="preserve"> </w:t>
      </w:r>
      <w:r>
        <w:rPr>
          <w:rFonts w:ascii="Arial" w:cs="Arial" w:eastAsia="Arial" w:hAnsi="Arial"/>
          <w:sz w:val="17"/>
          <w:szCs w:val="17"/>
          <w:b w:val="1"/>
          <w:bCs w:val="1"/>
          <w:color w:val="auto"/>
        </w:rPr>
        <w:t>Review</w:t>
      </w:r>
      <w:r>
        <w:rPr>
          <w:rFonts w:ascii="Arial" w:cs="Arial" w:eastAsia="Arial" w:hAnsi="Arial"/>
          <w:sz w:val="17"/>
          <w:szCs w:val="17"/>
          <w:color w:val="auto"/>
        </w:rPr>
        <w:t>”). The results of any such Independent Review shall be binding on Landlord and Tenant. If the Independent Review shows that the payments 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Tenant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79375</wp:posOffset>
            </wp:positionV>
            <wp:extent cx="2418080" cy="514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9" w:name="page480"/>
    <w:bookmarkEnd w:id="479"/>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7</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pacing w:after="0" w:line="174"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w:t>
      </w:r>
      <w:r>
        <w:rPr>
          <w:rFonts w:ascii="Arial" w:cs="Arial" w:eastAsia="Arial" w:hAnsi="Arial"/>
          <w:sz w:val="17"/>
          <w:szCs w:val="17"/>
          <w:color w:val="auto"/>
        </w:rPr>
        <w:t>” shall be the percentage set forth in the Basic Lease Provisions as Tenant’s Share, and “</w:t>
      </w:r>
      <w:r>
        <w:rPr>
          <w:rFonts w:ascii="Arial" w:cs="Arial" w:eastAsia="Arial" w:hAnsi="Arial"/>
          <w:sz w:val="17"/>
          <w:szCs w:val="17"/>
          <w:b w:val="1"/>
          <w:bCs w:val="1"/>
          <w:color w:val="auto"/>
        </w:rPr>
        <w:t>Building’s Share of Project</w:t>
      </w:r>
      <w:r>
        <w:rPr>
          <w:rFonts w:ascii="Arial" w:cs="Arial" w:eastAsia="Arial" w:hAnsi="Arial"/>
          <w:sz w:val="17"/>
          <w:szCs w:val="17"/>
          <w:color w:val="auto"/>
        </w:rPr>
        <w:t>” shall be the percentage set forth in the Basic Lease Provisions as the Building’s Share of Project, each as may be reasonably adjusted by Landlord for changes in the physical size of the Premises, Building, Property or Project occurring thereafter. Landlord may equitably increase Tenant’s Share for any item of expense or cost reimbursable by Tenant that relates to a repair, replacement, or service that benefits only the Premises or only a portion of the Building, Property or Project that includes the Premises or that varies with occupancy or use. Landlord may equitably increase the Building’s Share of Project for any item of expense or cost reimbursable by Tenant that relates to a repair, replacement, or service that benefits only the Building or only a portion of the Property or Project that includes the Building or that varies with occupancy or use of the Building. Base Rent, Tenant’s Share of Operating Expenses and all other amounts payable by Tenant to Landlord hereunder are collectively referred to herein as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64" w:lineRule="exact"/>
        <w:rPr>
          <w:sz w:val="20"/>
          <w:szCs w:val="20"/>
          <w:color w:val="auto"/>
        </w:rPr>
      </w:pPr>
    </w:p>
    <w:p>
      <w:pPr>
        <w:ind w:right="20" w:firstLine="464"/>
        <w:spacing w:after="0" w:line="268" w:lineRule="auto"/>
        <w:tabs>
          <w:tab w:leader="none" w:pos="636" w:val="left"/>
        </w:tabs>
        <w:numPr>
          <w:ilvl w:val="0"/>
          <w:numId w:val="357"/>
        </w:numPr>
        <w:rPr>
          <w:rFonts w:ascii="Arial" w:cs="Arial" w:eastAsia="Arial" w:hAnsi="Arial"/>
          <w:sz w:val="17"/>
          <w:szCs w:val="17"/>
          <w:color w:val="auto"/>
        </w:rPr>
      </w:pPr>
      <w:r>
        <w:rPr>
          <w:rFonts w:ascii="Arial" w:cs="Arial" w:eastAsia="Arial" w:hAnsi="Arial"/>
          <w:sz w:val="17"/>
          <w:szCs w:val="17"/>
          <w:b w:val="1"/>
          <w:bCs w:val="1"/>
          <w:color w:val="auto"/>
        </w:rPr>
        <w:t>Security Deposit</w:t>
      </w:r>
      <w:r>
        <w:rPr>
          <w:rFonts w:ascii="Arial" w:cs="Arial" w:eastAsia="Arial" w:hAnsi="Arial"/>
          <w:sz w:val="17"/>
          <w:szCs w:val="17"/>
          <w:color w:val="auto"/>
        </w:rPr>
        <w:t>. Tenant shall deposit with Landlord, on or before February 1, 2018,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xml:space="preserve">”): (i) in form and substance reasonably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Commonwealth of Massachusetts.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7"/>
          <w:szCs w:val="17"/>
          <w:u w:val="single" w:color="auto"/>
          <w:color w:val="auto"/>
        </w:rPr>
        <w:t>Section 20</w:t>
      </w:r>
      <w:r>
        <w:rPr>
          <w:rFonts w:ascii="Arial" w:cs="Arial" w:eastAsia="Arial" w:hAnsi="Arial"/>
          <w:sz w:val="17"/>
          <w:szCs w:val="17"/>
          <w:color w:val="auto"/>
        </w:rPr>
        <w:t>), Landlord may use all or any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on demand the amount that will restore the Security Deposit to the amount set forth in the Basic Lease Provisions.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0" w:name="page481"/>
    <w:bookmarkEnd w:id="480"/>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8</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81" w:lineRule="exact"/>
        <w:rPr>
          <w:sz w:val="20"/>
          <w:szCs w:val="20"/>
          <w:color w:val="auto"/>
        </w:rPr>
      </w:pPr>
    </w:p>
    <w:p>
      <w:pPr>
        <w:ind w:left="640" w:hanging="176"/>
        <w:spacing w:after="0"/>
        <w:tabs>
          <w:tab w:leader="none" w:pos="64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7" w:lineRule="auto"/>
        <w:tabs>
          <w:tab w:leader="none" w:pos="1157" w:val="left"/>
        </w:tabs>
        <w:numPr>
          <w:ilvl w:val="1"/>
          <w:numId w:val="358"/>
        </w:numPr>
        <w:rPr>
          <w:rFonts w:ascii="Arial" w:cs="Arial" w:eastAsia="Arial" w:hAnsi="Arial"/>
          <w:sz w:val="17"/>
          <w:szCs w:val="17"/>
          <w:color w:val="auto"/>
        </w:rPr>
      </w:pPr>
      <w:r>
        <w:rPr>
          <w:rFonts w:ascii="Arial" w:cs="Arial" w:eastAsia="Arial" w:hAnsi="Arial"/>
          <w:sz w:val="17"/>
          <w:szCs w:val="17"/>
          <w:b w:val="1"/>
          <w:bCs w:val="1"/>
          <w:color w:val="auto"/>
        </w:rPr>
        <w:t>Tenant’s Use</w:t>
      </w:r>
      <w:r>
        <w:rPr>
          <w:rFonts w:ascii="Arial" w:cs="Arial" w:eastAsia="Arial" w:hAnsi="Arial"/>
          <w:sz w:val="17"/>
          <w:szCs w:val="17"/>
          <w:color w:val="auto"/>
        </w:rPr>
        <w:t>. The Premises shall be used solely for the Permitted Use set forth in the Basic Lease Provisions, and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7"/>
          <w:szCs w:val="17"/>
          <w:b w:val="1"/>
          <w:bCs w:val="1"/>
          <w:color w:val="auto"/>
        </w:rPr>
        <w:t>ADA</w:t>
      </w:r>
      <w:r>
        <w:rPr>
          <w:rFonts w:ascii="Arial" w:cs="Arial" w:eastAsia="Arial" w:hAnsi="Arial"/>
          <w:sz w:val="17"/>
          <w:szCs w:val="17"/>
          <w:color w:val="auto"/>
        </w:rPr>
        <w:t>”)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 and each, a “</w:t>
      </w:r>
      <w:r>
        <w:rPr>
          <w:rFonts w:ascii="Arial" w:cs="Arial" w:eastAsia="Arial" w:hAnsi="Arial"/>
          <w:sz w:val="17"/>
          <w:szCs w:val="17"/>
          <w:b w:val="1"/>
          <w:bCs w:val="1"/>
          <w:color w:val="auto"/>
        </w:rPr>
        <w:t>Legal Requirement</w:t>
      </w:r>
      <w:r>
        <w:rPr>
          <w:rFonts w:ascii="Arial" w:cs="Arial" w:eastAsia="Arial" w:hAnsi="Arial"/>
          <w:sz w:val="17"/>
          <w:szCs w:val="17"/>
          <w:color w:val="auto"/>
        </w:rPr>
        <w:t xml:space="preserve">”). Tenant shall, upon 5 days’ written notice from Landlord, discontinue any use of the Premises which is declared by any Governmental Authority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Building or in the Building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Building as proportionately allocated to the Premises based upon Tenant’s Share as usually furnished for the Permitted Use.</w:t>
      </w:r>
    </w:p>
    <w:p>
      <w:pPr>
        <w:spacing w:after="0" w:line="19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Landlord shall be responsible for the compliance of the Common Areas of the Project with Legal Requirements as of the Commencement Date. Following the Commencement Date, Landlord shall, as an Operating Expense (to the extent such Legal Requirement is generally applicable to similar buildings in the area in which the Project is located) or at Tenant’s expense (to the extent such Legal Requirement is applicable solely by reason of Tenant’s, as compared to other tenants of the Project, particular use of the Premises or Tenant’s Alterations) make any alterations or modifications to the Common Areas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85725</wp:posOffset>
            </wp:positionV>
            <wp:extent cx="2418080" cy="514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1" w:name="page482"/>
    <w:bookmarkEnd w:id="481"/>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9</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exterior of the Building that are required by Legal Requirements, including the ADA. Tenant, at its sole expense, shall make any alterations or modifications to the interior of the Premises that are required by Legal Requirements (including, without limitation, compliance of the Premises with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Legal Requirements, and Tenant shall indemnify, defend, hold and save Landlord harmless from and against any and all Claims arising out of or in connection with any failure of the Premises to comply with any Legal Requirement.</w:t>
      </w:r>
    </w:p>
    <w:p>
      <w:pPr>
        <w:spacing w:after="0" w:line="77" w:lineRule="exact"/>
        <w:rPr>
          <w:sz w:val="20"/>
          <w:szCs w:val="20"/>
          <w:color w:val="auto"/>
        </w:rPr>
      </w:pPr>
    </w:p>
    <w:p>
      <w:pPr>
        <w:ind w:right="60" w:firstLine="921"/>
        <w:spacing w:after="0" w:line="255" w:lineRule="auto"/>
        <w:tabs>
          <w:tab w:leader="none" w:pos="1168" w:val="left"/>
        </w:tabs>
        <w:numPr>
          <w:ilvl w:val="2"/>
          <w:numId w:val="359"/>
        </w:numPr>
        <w:rPr>
          <w:rFonts w:ascii="Arial" w:cs="Arial" w:eastAsia="Arial" w:hAnsi="Arial"/>
          <w:sz w:val="18"/>
          <w:szCs w:val="18"/>
          <w:color w:val="auto"/>
        </w:rPr>
      </w:pPr>
      <w:r>
        <w:rPr>
          <w:rFonts w:ascii="Arial" w:cs="Arial" w:eastAsia="Arial" w:hAnsi="Arial"/>
          <w:sz w:val="18"/>
          <w:szCs w:val="18"/>
          <w:b w:val="1"/>
          <w:bCs w:val="1"/>
          <w:color w:val="auto"/>
        </w:rPr>
        <w:t>Energy Use Reporting</w:t>
      </w:r>
      <w:r>
        <w:rPr>
          <w:rFonts w:ascii="Arial" w:cs="Arial" w:eastAsia="Arial" w:hAnsi="Arial"/>
          <w:sz w:val="18"/>
          <w:szCs w:val="18"/>
          <w:color w:val="auto"/>
        </w:rPr>
        <w:t>. Tenant agrees to provide, within 10 business days of request by Landlord, such information and documentation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needed for compliance with the City of Cambridge Building Energy Use Disclosure Ordinance, Section 8.67.010 et seq. of the Municipal Code of the City of Cambridge (as the same may be amended, the “</w:t>
      </w:r>
      <w:r>
        <w:rPr>
          <w:rFonts w:ascii="Arial" w:cs="Arial" w:eastAsia="Arial" w:hAnsi="Arial"/>
          <w:sz w:val="18"/>
          <w:szCs w:val="18"/>
          <w:b w:val="1"/>
          <w:bCs w:val="1"/>
          <w:color w:val="auto"/>
        </w:rPr>
        <w:t>Cambridge Building Energy Use Disclosure Ordinance</w:t>
      </w:r>
      <w:r>
        <w:rPr>
          <w:rFonts w:ascii="Arial" w:cs="Arial" w:eastAsia="Arial" w:hAnsi="Arial"/>
          <w:sz w:val="18"/>
          <w:szCs w:val="18"/>
          <w:color w:val="auto"/>
        </w:rPr>
        <w:t>”), and other such energy or sustainability requirements as may be adopted from time to time by the City of Cambridge or any other governmental authority with jurisdiction over the Building, which information shall include without limitation usage at or by the Premises of electricity, natural gas, steam, hot or chilled water or other energy. Landlord shall report to the applicable governmental authority such energy usage for the Building and other Building information as required by the Cambridge Building Energy Use Disclosure Ordinance.</w:t>
      </w:r>
    </w:p>
    <w:p>
      <w:pPr>
        <w:spacing w:after="0" w:line="81" w:lineRule="exact"/>
        <w:rPr>
          <w:rFonts w:ascii="Arial" w:cs="Arial" w:eastAsia="Arial" w:hAnsi="Arial"/>
          <w:sz w:val="18"/>
          <w:szCs w:val="18"/>
          <w:color w:val="auto"/>
        </w:rPr>
      </w:pPr>
    </w:p>
    <w:p>
      <w:pPr>
        <w:ind w:right="220" w:firstLine="464"/>
        <w:spacing w:after="0" w:line="284" w:lineRule="auto"/>
        <w:tabs>
          <w:tab w:leader="none" w:pos="636" w:val="left"/>
        </w:tabs>
        <w:numPr>
          <w:ilvl w:val="1"/>
          <w:numId w:val="360"/>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 (i) unless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w:t>
      </w:r>
    </w:p>
    <w:p>
      <w:pPr>
        <w:spacing w:after="0" w:line="5" w:lineRule="exact"/>
        <w:rPr>
          <w:rFonts w:ascii="Arial" w:cs="Arial" w:eastAsia="Arial" w:hAnsi="Arial"/>
          <w:sz w:val="16"/>
          <w:szCs w:val="16"/>
          <w:color w:val="auto"/>
        </w:rPr>
      </w:pPr>
    </w:p>
    <w:p>
      <w:pPr>
        <w:ind w:firstLine="8"/>
        <w:spacing w:after="0" w:line="273" w:lineRule="auto"/>
        <w:tabs>
          <w:tab w:leader="none" w:pos="28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64" w:lineRule="exact"/>
        <w:rPr>
          <w:rFonts w:ascii="Arial" w:cs="Arial" w:eastAsia="Arial" w:hAnsi="Arial"/>
          <w:sz w:val="17"/>
          <w:szCs w:val="17"/>
          <w:color w:val="auto"/>
        </w:rPr>
      </w:pPr>
    </w:p>
    <w:p>
      <w:pPr>
        <w:ind w:right="20" w:firstLine="464"/>
        <w:spacing w:after="0" w:line="254" w:lineRule="auto"/>
        <w:tabs>
          <w:tab w:leader="none" w:pos="636" w:val="left"/>
        </w:tabs>
        <w:numPr>
          <w:ilvl w:val="1"/>
          <w:numId w:val="361"/>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 charges of any kind, existing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or thereafter enacted with respect to the Project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Building, Property or Project or any portion thereof, or (ii) based on the square footage, assessed value or other measure or evaluation of any kind of the Premises, Building, Property or Project or portion thereof, or (iii) assessed or imposed by or on the operation or maintenance of any portion of the Premises, Building, Property or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Building, Property or Project or portion thereof. Landlord may contest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86995</wp:posOffset>
            </wp:positionV>
            <wp:extent cx="2418080" cy="514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2" w:name="page483"/>
    <w:bookmarkEnd w:id="48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10</w:t>
      </w:r>
    </w:p>
    <w:p>
      <w:pPr>
        <w:spacing w:after="0" w:line="1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by appropriate legal proceedings the amount, validity, or application of any Taxes or liens securing Taxes. Taxes shall not include any net income taxes, franchise, capital stock, gift, estate or inheritance taxes, or any federal, state or local document taxes imposed on the Project or any portion thereof or interest therein, or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Building, Property or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Building, Property or Project is increased by a value attributed by the taxing authority to improvements in or alterations to the Premises, whether owned by Landlord or Tenant and whether or not affixed to the real property so as to become a part thereof, higher than the base valuation on which Landlord from time-to-time allocates Taxes to all tenants in the Building, Property or Project, or portion thereof of which the Premises are a part,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within 30 days of written demand therefor from Landlord.</w:t>
      </w:r>
    </w:p>
    <w:p>
      <w:pPr>
        <w:spacing w:after="0" w:line="76" w:lineRule="exact"/>
        <w:rPr>
          <w:sz w:val="20"/>
          <w:szCs w:val="20"/>
          <w:color w:val="auto"/>
        </w:rPr>
      </w:pPr>
    </w:p>
    <w:p>
      <w:pPr>
        <w:ind w:left="740" w:hanging="276"/>
        <w:spacing w:after="0"/>
        <w:tabs>
          <w:tab w:leader="none" w:pos="740" w:val="left"/>
        </w:tabs>
        <w:numPr>
          <w:ilvl w:val="1"/>
          <w:numId w:val="362"/>
        </w:numPr>
        <w:rPr>
          <w:rFonts w:ascii="Arial" w:cs="Arial" w:eastAsia="Arial" w:hAnsi="Arial"/>
          <w:sz w:val="18"/>
          <w:szCs w:val="18"/>
          <w:color w:val="auto"/>
        </w:rPr>
      </w:pPr>
      <w:r>
        <w:rPr>
          <w:rFonts w:ascii="Arial" w:cs="Arial" w:eastAsia="Arial" w:hAnsi="Arial"/>
          <w:sz w:val="18"/>
          <w:szCs w:val="18"/>
          <w:b w:val="1"/>
          <w:bCs w:val="1"/>
          <w:color w:val="auto"/>
        </w:rPr>
        <w:t>Parking and PTDM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7" w:lineRule="auto"/>
        <w:tabs>
          <w:tab w:leader="none" w:pos="1157" w:val="left"/>
        </w:tabs>
        <w:numPr>
          <w:ilvl w:val="2"/>
          <w:numId w:val="362"/>
        </w:numPr>
        <w:rPr>
          <w:rFonts w:ascii="Arial" w:cs="Arial" w:eastAsia="Arial" w:hAnsi="Arial"/>
          <w:sz w:val="16"/>
          <w:szCs w:val="16"/>
          <w:color w:val="auto"/>
        </w:rPr>
      </w:pPr>
      <w:r>
        <w:rPr>
          <w:rFonts w:ascii="Arial" w:cs="Arial" w:eastAsia="Arial" w:hAnsi="Arial"/>
          <w:sz w:val="16"/>
          <w:szCs w:val="16"/>
          <w:b w:val="1"/>
          <w:bCs w:val="1"/>
          <w:color w:val="auto"/>
        </w:rPr>
        <w:t>Parking and Monthly Parking Charge</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by Landlord of its rights hereunder and upon payment of the Monthly Parking Charge (as defined below) for each parking space commencing on the Commencement Date, Tenant shall have the right, in common with other tenants of the Project to use 0.9 vehicle parking spaces per 1,000 rentable square feet of the Premises (“</w:t>
      </w:r>
      <w:r>
        <w:rPr>
          <w:rFonts w:ascii="Arial" w:cs="Arial" w:eastAsia="Arial" w:hAnsi="Arial"/>
          <w:sz w:val="16"/>
          <w:szCs w:val="16"/>
          <w:b w:val="1"/>
          <w:bCs w:val="1"/>
          <w:color w:val="auto"/>
        </w:rPr>
        <w:t>Tenant’s Parking Allocation</w:t>
      </w:r>
      <w:r>
        <w:rPr>
          <w:rFonts w:ascii="Arial" w:cs="Arial" w:eastAsia="Arial" w:hAnsi="Arial"/>
          <w:sz w:val="16"/>
          <w:szCs w:val="16"/>
          <w:color w:val="auto"/>
        </w:rPr>
        <w:t>”) in the parking facility located at the One Kendall Square Garage located on Binney Street (the “</w:t>
      </w:r>
      <w:r>
        <w:rPr>
          <w:rFonts w:ascii="Arial" w:cs="Arial" w:eastAsia="Arial" w:hAnsi="Arial"/>
          <w:sz w:val="16"/>
          <w:szCs w:val="16"/>
          <w:b w:val="1"/>
          <w:bCs w:val="1"/>
          <w:color w:val="auto"/>
        </w:rPr>
        <w:t>OKS</w:t>
      </w:r>
      <w:r>
        <w:rPr>
          <w:rFonts w:ascii="Arial" w:cs="Arial" w:eastAsia="Arial" w:hAnsi="Arial"/>
          <w:sz w:val="16"/>
          <w:szCs w:val="16"/>
          <w:color w:val="auto"/>
        </w:rPr>
        <w:t xml:space="preserve"> </w:t>
      </w:r>
      <w:r>
        <w:rPr>
          <w:rFonts w:ascii="Arial" w:cs="Arial" w:eastAsia="Arial" w:hAnsi="Arial"/>
          <w:sz w:val="16"/>
          <w:szCs w:val="16"/>
          <w:b w:val="1"/>
          <w:bCs w:val="1"/>
          <w:color w:val="auto"/>
        </w:rPr>
        <w:t>Garage</w:t>
      </w:r>
      <w:r>
        <w:rPr>
          <w:rFonts w:ascii="Arial" w:cs="Arial" w:eastAsia="Arial" w:hAnsi="Arial"/>
          <w:sz w:val="16"/>
          <w:szCs w:val="16"/>
          <w:color w:val="auto"/>
        </w:rPr>
        <w:t>”) in those areas designated for non-reserved parking, subject in each case to Landlord’s rules and regulations; provided, however, Landlord may</w:t>
      </w:r>
      <w:r>
        <w:rPr>
          <w:rFonts w:ascii="Arial" w:cs="Arial" w:eastAsia="Arial" w:hAnsi="Arial"/>
          <w:sz w:val="16"/>
          <w:szCs w:val="16"/>
          <w:b w:val="1"/>
          <w:bCs w:val="1"/>
          <w:color w:val="auto"/>
        </w:rPr>
        <w:t xml:space="preserve"> </w:t>
      </w:r>
      <w:r>
        <w:rPr>
          <w:rFonts w:ascii="Arial" w:cs="Arial" w:eastAsia="Arial" w:hAnsi="Arial"/>
          <w:sz w:val="16"/>
          <w:szCs w:val="16"/>
          <w:color w:val="auto"/>
        </w:rPr>
        <w:t>relocate any or all of Tenant’s Parking Allocation from the OKS Garage to the parking garage located at 800 Technology Square.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 If Tenant delivers written notice to Landlord during the Term requesting additional parking spaces and Landlord determines that the additional parking spaces desired by Tenant are available for use by Tenant, Landlord shall notify Tenant in writing and Tenant shall immediately commence leasing and paying for such additional parking spaces. The “</w:t>
      </w:r>
      <w:r>
        <w:rPr>
          <w:rFonts w:ascii="Arial" w:cs="Arial" w:eastAsia="Arial" w:hAnsi="Arial"/>
          <w:sz w:val="16"/>
          <w:szCs w:val="16"/>
          <w:b w:val="1"/>
          <w:bCs w:val="1"/>
          <w:color w:val="auto"/>
        </w:rPr>
        <w:t>Monthly Parking Charge</w:t>
      </w:r>
      <w:r>
        <w:rPr>
          <w:rFonts w:ascii="Arial" w:cs="Arial" w:eastAsia="Arial" w:hAnsi="Arial"/>
          <w:sz w:val="16"/>
          <w:szCs w:val="16"/>
          <w:color w:val="auto"/>
        </w:rPr>
        <w:t>” shall mean the market rate monthly charge therefor designated by Landlord, adjusted reasonably and no more frequently than once in any 12-month period, based upon the rates charged by comparable parking facilities in the vicinity of the Project. As of the date of this Lease, the Monthly Parking Charge is equal to $310.00 per parking space per month.</w:t>
      </w:r>
    </w:p>
    <w:p>
      <w:pPr>
        <w:spacing w:after="0" w:line="56" w:lineRule="exact"/>
        <w:rPr>
          <w:rFonts w:ascii="Arial" w:cs="Arial" w:eastAsia="Arial" w:hAnsi="Arial"/>
          <w:sz w:val="16"/>
          <w:szCs w:val="16"/>
          <w:color w:val="auto"/>
        </w:rPr>
      </w:pPr>
    </w:p>
    <w:p>
      <w:pPr>
        <w:ind w:right="60" w:firstLine="921"/>
        <w:spacing w:after="0" w:line="287" w:lineRule="auto"/>
        <w:tabs>
          <w:tab w:leader="none" w:pos="1168" w:val="left"/>
        </w:tabs>
        <w:numPr>
          <w:ilvl w:val="2"/>
          <w:numId w:val="362"/>
        </w:numPr>
        <w:rPr>
          <w:rFonts w:ascii="Arial" w:cs="Arial" w:eastAsia="Arial" w:hAnsi="Arial"/>
          <w:sz w:val="16"/>
          <w:szCs w:val="16"/>
          <w:color w:val="auto"/>
        </w:rPr>
      </w:pPr>
      <w:r>
        <w:rPr>
          <w:rFonts w:ascii="Arial" w:cs="Arial" w:eastAsia="Arial" w:hAnsi="Arial"/>
          <w:sz w:val="16"/>
          <w:szCs w:val="16"/>
          <w:b w:val="1"/>
          <w:bCs w:val="1"/>
          <w:color w:val="auto"/>
        </w:rPr>
        <w:t>Parking and Transportation Demand Management</w:t>
      </w:r>
      <w:r>
        <w:rPr>
          <w:rFonts w:ascii="Arial" w:cs="Arial" w:eastAsia="Arial" w:hAnsi="Arial"/>
          <w:sz w:val="16"/>
          <w:szCs w:val="16"/>
          <w:color w:val="auto"/>
        </w:rPr>
        <w:t>. Tenant shall, at Tenant’s sole expense, for so long as a parking and traffic demand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plan approved by the City of Cambridge (as amended from time to time, the “</w:t>
      </w:r>
      <w:r>
        <w:rPr>
          <w:rFonts w:ascii="Arial" w:cs="Arial" w:eastAsia="Arial" w:hAnsi="Arial"/>
          <w:sz w:val="16"/>
          <w:szCs w:val="16"/>
          <w:b w:val="1"/>
          <w:bCs w:val="1"/>
          <w:color w:val="auto"/>
        </w:rPr>
        <w:t>PTDM</w:t>
      </w:r>
      <w:r>
        <w:rPr>
          <w:rFonts w:ascii="Arial" w:cs="Arial" w:eastAsia="Arial" w:hAnsi="Arial"/>
          <w:sz w:val="16"/>
          <w:szCs w:val="16"/>
          <w:color w:val="auto"/>
        </w:rPr>
        <w:t>”), is applicable to the Project, comply with the PTDM as applicable to the Project, including without limitation, as applicable (i) offer to subsidize mass transit monthly passes for all of its employees who work in the Premises in accordance with the terms set forth in the PTDM; (ii) implement a Commuter Choice Program and the MBTA’s Corporate Pass Plan;</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discourage single-occupant vehicle (“</w:t>
      </w:r>
      <w:r>
        <w:rPr>
          <w:rFonts w:ascii="Arial" w:cs="Arial" w:eastAsia="Arial" w:hAnsi="Arial"/>
          <w:sz w:val="16"/>
          <w:szCs w:val="16"/>
          <w:b w:val="1"/>
          <w:bCs w:val="1"/>
          <w:color w:val="auto"/>
        </w:rPr>
        <w:t>SOV</w:t>
      </w:r>
      <w:r>
        <w:rPr>
          <w:rFonts w:ascii="Arial" w:cs="Arial" w:eastAsia="Arial" w:hAnsi="Arial"/>
          <w:sz w:val="16"/>
          <w:szCs w:val="16"/>
          <w:color w:val="auto"/>
        </w:rPr>
        <w:t>”) use by its employees; (iv) promote alternative modes of transportation and use of alternative work hours;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at Landlord’s request, meet with Landlord and/or its representatives no more frequently than quarterly to discuss transportation programs and initiatives;</w:t>
      </w:r>
    </w:p>
    <w:p>
      <w:pPr>
        <w:spacing w:after="0" w:line="32" w:lineRule="exact"/>
        <w:rPr>
          <w:rFonts w:ascii="Arial" w:cs="Arial" w:eastAsia="Arial" w:hAnsi="Arial"/>
          <w:sz w:val="16"/>
          <w:szCs w:val="16"/>
          <w:color w:val="auto"/>
        </w:rPr>
      </w:pPr>
    </w:p>
    <w:p>
      <w:pPr>
        <w:ind w:right="20" w:firstLine="8"/>
        <w:spacing w:after="0" w:line="323" w:lineRule="auto"/>
        <w:tabs>
          <w:tab w:leader="none" w:pos="30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participate in annual surveys, monitoring transportation programs and initiatives at the Campus, and, without limitation, achieve a sixty (60%) percent response rate for patron surveys; (vii) cooperate with Landlord in connection with transportation programs and initiatives promulgated pursuant to the PTDM;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54610</wp:posOffset>
            </wp:positionV>
            <wp:extent cx="2418080" cy="514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3" w:name="page484"/>
    <w:bookmarkEnd w:id="483"/>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11</w:t>
      </w:r>
    </w:p>
    <w:p>
      <w:pPr>
        <w:spacing w:after="0" w:line="162" w:lineRule="exact"/>
        <w:rPr>
          <w:sz w:val="20"/>
          <w:szCs w:val="20"/>
          <w:color w:val="auto"/>
        </w:rPr>
      </w:pPr>
    </w:p>
    <w:p>
      <w:pPr>
        <w:ind w:right="40" w:firstLine="8"/>
        <w:spacing w:after="0" w:line="270" w:lineRule="auto"/>
        <w:tabs>
          <w:tab w:leader="none" w:pos="40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provide alternative work programs (such as telecommuting, flex-time and compressed work weeks) to its employees in order to reduce traffic impacts in Cambridge during peak commuter hours; (ix) offer an emergency ride home (“</w:t>
      </w:r>
      <w:r>
        <w:rPr>
          <w:rFonts w:ascii="Arial" w:cs="Arial" w:eastAsia="Arial" w:hAnsi="Arial"/>
          <w:sz w:val="17"/>
          <w:szCs w:val="17"/>
          <w:b w:val="1"/>
          <w:bCs w:val="1"/>
          <w:color w:val="auto"/>
        </w:rPr>
        <w:t>ERH</w:t>
      </w:r>
      <w:r>
        <w:rPr>
          <w:rFonts w:ascii="Arial" w:cs="Arial" w:eastAsia="Arial" w:hAnsi="Arial"/>
          <w:sz w:val="17"/>
          <w:szCs w:val="17"/>
          <w:color w:val="auto"/>
        </w:rPr>
        <w:t>”) through the Charles River Transportation Management Association (“</w:t>
      </w:r>
      <w:r>
        <w:rPr>
          <w:rFonts w:ascii="Arial" w:cs="Arial" w:eastAsia="Arial" w:hAnsi="Arial"/>
          <w:sz w:val="17"/>
          <w:szCs w:val="17"/>
          <w:b w:val="1"/>
          <w:bCs w:val="1"/>
          <w:color w:val="auto"/>
        </w:rPr>
        <w:t>CRTMA</w:t>
      </w:r>
      <w:r>
        <w:rPr>
          <w:rFonts w:ascii="Arial" w:cs="Arial" w:eastAsia="Arial" w:hAnsi="Arial"/>
          <w:sz w:val="17"/>
          <w:szCs w:val="17"/>
          <w:color w:val="auto"/>
        </w:rPr>
        <w:t>”), or have its own ERH program, for all employees who commute by non-SOV mode at least 3 days a week and who are eligible to park in the parking spaces in the parking facility described above; (x) cooperate with the Cambridge Office of Workforce Development to expand employment opportunities for Cambridge residents; (xi) become a member of the CRTMA and cause the EZ Ride shuttle service to service the Building; (xii) in the event that the single occupancy vehicle and traffic generation modal split limits of the PTDM are exceeded, charge each user of a parking space the market rate for parking in Kendall Square/East Cambridge therefor; (xiii) comply with the requirements of any other parking and traffic demand management plan to which Tenant may be a party from time to time; (xiii) designate an employee transportation coordinator for the Building; and (xiv) otherwise cooperate with Landlord in encouraging employees to seek alternate modes of transportation.</w:t>
      </w:r>
    </w:p>
    <w:p>
      <w:pPr>
        <w:spacing w:after="0" w:line="69" w:lineRule="exact"/>
        <w:rPr>
          <w:rFonts w:ascii="Arial" w:cs="Arial" w:eastAsia="Arial" w:hAnsi="Arial"/>
          <w:sz w:val="17"/>
          <w:szCs w:val="17"/>
          <w:color w:val="auto"/>
        </w:rPr>
      </w:pPr>
    </w:p>
    <w:p>
      <w:pPr>
        <w:ind w:right="180" w:firstLine="464"/>
        <w:spacing w:after="0" w:line="270" w:lineRule="auto"/>
        <w:tabs>
          <w:tab w:leader="none" w:pos="720" w:val="left"/>
        </w:tabs>
        <w:numPr>
          <w:ilvl w:val="1"/>
          <w:numId w:val="365"/>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Landlord shall provide, subject to 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water, electricity, HVAC, light, power, sewer, and other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gas and fire sprinklers to the extent the Building is plumbed for such services), refuse and trash collection and janitorial services (collectively, “</w:t>
      </w:r>
      <w:r>
        <w:rPr>
          <w:rFonts w:ascii="Arial" w:cs="Arial" w:eastAsia="Arial" w:hAnsi="Arial"/>
          <w:sz w:val="17"/>
          <w:szCs w:val="17"/>
          <w:b w:val="1"/>
          <w:bCs w:val="1"/>
          <w:color w:val="auto"/>
        </w:rPr>
        <w:t>Utilities</w:t>
      </w:r>
      <w:r>
        <w:rPr>
          <w:rFonts w:ascii="Arial" w:cs="Arial" w:eastAsia="Arial" w:hAnsi="Arial"/>
          <w:sz w:val="17"/>
          <w:szCs w:val="17"/>
          <w:color w:val="auto"/>
        </w:rPr>
        <w:t>”). Landlord shall pay, as Operating Expenses or subject to Tenant’s reimbursement obligation below, for all Utilities used on the Premises, all maintenance charges for Utilities, and any storm sewer charges or other similar charges for Utilities imposed by any Governmental Authority or Utility provider, and any taxes, penalties, surcharges or similar charges thereon. The Premises shall be separately metered at landlord’s sole cost and expense to measure Tenant’s usage of electricity for lights and plugs. Landlord may cause, at Tenant’s expense, any other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the abatement of Rent. Tenant agrees to limit use of water and sewer to normal restroom use.</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color w:val="auto"/>
        </w:rPr>
        <w:t>Interruption</w:t>
      </w:r>
      <w:r>
        <w:rPr>
          <w:rFonts w:ascii="Arial" w:cs="Arial" w:eastAsia="Arial" w:hAnsi="Arial"/>
          <w:sz w:val="16"/>
          <w:szCs w:val="16"/>
          <w:color w:val="auto"/>
        </w:rPr>
        <w:t>”), and (ii) such Service Interruption continues for more than 5 consecutive business days after Landlord shall have received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6"/>
          <w:szCs w:val="16"/>
          <w:b w:val="1"/>
          <w:bCs w:val="1"/>
          <w:color w:val="auto"/>
        </w:rPr>
        <w:t>Essential Services</w:t>
      </w:r>
      <w:r>
        <w:rPr>
          <w:rFonts w:ascii="Arial" w:cs="Arial" w:eastAsia="Arial" w:hAnsi="Arial"/>
          <w:sz w:val="16"/>
          <w:szCs w:val="16"/>
          <w:color w:val="auto"/>
        </w:rPr>
        <w:t>”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75565</wp:posOffset>
            </wp:positionV>
            <wp:extent cx="2418080" cy="514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4" w:name="page485"/>
    <w:bookmarkEnd w:id="484"/>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12</w:t>
      </w:r>
    </w:p>
    <w:p>
      <w:pPr>
        <w:spacing w:after="0" w:line="158" w:lineRule="exact"/>
        <w:rPr>
          <w:sz w:val="20"/>
          <w:szCs w:val="20"/>
          <w:color w:val="auto"/>
        </w:rPr>
      </w:pPr>
    </w:p>
    <w:p>
      <w:pPr>
        <w:ind w:right="20" w:firstLine="464"/>
        <w:spacing w:after="0" w:line="285" w:lineRule="auto"/>
        <w:tabs>
          <w:tab w:leader="none" w:pos="726"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cosmetic, nonstructural Alterations in the Premises without Landlord’s prior approval if the aggregate cost of all such work in any 12 month period does not exceed $30,000 (a “</w:t>
      </w:r>
      <w:r>
        <w:rPr>
          <w:rFonts w:ascii="Arial" w:cs="Arial" w:eastAsia="Arial" w:hAnsi="Arial"/>
          <w:sz w:val="16"/>
          <w:szCs w:val="16"/>
          <w:b w:val="1"/>
          <w:bCs w:val="1"/>
          <w:color w:val="auto"/>
        </w:rPr>
        <w:t>Notice-Only Alteration</w:t>
      </w:r>
      <w:r>
        <w:rPr>
          <w:rFonts w:ascii="Arial" w:cs="Arial" w:eastAsia="Arial" w:hAnsi="Arial"/>
          <w:sz w:val="16"/>
          <w:szCs w:val="16"/>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within 30 days of Landlord’s written demand an amount equal to Landlord’s reasonable out-of-pocket expenses incurred for third party plan review, coordination, scheduling and supervision incurred in connection with any Alteration.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38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Other than (i) the items, if any, listed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attached hereto, (ii) any items agreed by Landlord in writing to be included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in the future, and (iii) any trade fixtures, machinery, equipment and other personal property not paid for by Landlord which may be removed without material damage to the Premises, which damage shall be repaired (including capping or terminating utility hook-ups behind walls) by Tenant during the Term (collectively, “</w:t>
      </w:r>
      <w:r>
        <w:rPr>
          <w:rFonts w:ascii="Arial" w:cs="Arial" w:eastAsia="Arial" w:hAnsi="Arial"/>
          <w:sz w:val="17"/>
          <w:szCs w:val="17"/>
          <w:b w:val="1"/>
          <w:bCs w:val="1"/>
          <w:color w:val="auto"/>
        </w:rPr>
        <w:t>Tenant’s Property</w:t>
      </w:r>
      <w:r>
        <w:rPr>
          <w:rFonts w:ascii="Arial" w:cs="Arial" w:eastAsia="Arial" w:hAnsi="Arial"/>
          <w:sz w:val="17"/>
          <w:szCs w:val="17"/>
          <w:color w:val="auto"/>
        </w:rPr>
        <w:t>”), all property of any kind paid for by Landlord, all Alterations, real property fixtures, built-in machinery and equipment, built-in casework and cabinets and other similar additions and improvements built into the Premises so as to become an integral part of the Premises (collectively, “</w:t>
      </w:r>
      <w:r>
        <w:rPr>
          <w:rFonts w:ascii="Arial" w:cs="Arial" w:eastAsia="Arial" w:hAnsi="Arial"/>
          <w:sz w:val="17"/>
          <w:szCs w:val="17"/>
          <w:b w:val="1"/>
          <w:bCs w:val="1"/>
          <w:color w:val="auto"/>
        </w:rPr>
        <w:t>Installations</w:t>
      </w:r>
      <w:r>
        <w:rPr>
          <w:rFonts w:ascii="Arial" w:cs="Arial" w:eastAsia="Arial" w:hAnsi="Arial"/>
          <w:sz w:val="17"/>
          <w:szCs w:val="17"/>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following the expiration or earlier termination of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shall, at the time its approval of such Installation is requested, or at the time it receives notice of a Notice-Only Alteration, notify Tenant if it has elected to cause Tenant to remove such Installation upon the expiration or earlier termination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81915</wp:posOffset>
            </wp:positionV>
            <wp:extent cx="2418080" cy="514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5" w:name="page486"/>
    <w:bookmarkEnd w:id="485"/>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13</w:t>
      </w:r>
    </w:p>
    <w:p>
      <w:pPr>
        <w:spacing w:after="0" w:line="1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 the Premises and repairing any holes. During any such restoration period beyond the expiration or earlier termination of the Term, Tenant shall pay Rent to Landlord as provided herein as if said space were otherwise occupied by Tenant.</w:t>
      </w:r>
    </w:p>
    <w:p>
      <w:pPr>
        <w:spacing w:after="0" w:line="42" w:lineRule="exact"/>
        <w:rPr>
          <w:sz w:val="20"/>
          <w:szCs w:val="20"/>
          <w:color w:val="auto"/>
        </w:rPr>
      </w:pPr>
    </w:p>
    <w:p>
      <w:pPr>
        <w:ind w:right="80" w:firstLine="464"/>
        <w:spacing w:after="0" w:line="286" w:lineRule="auto"/>
        <w:tabs>
          <w:tab w:leader="none" w:pos="726"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Property, including HVAC, plumbing, fire sprinklers, elevators and all other building systems serving the Premises and other portions of the Building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48 hours advance notice of any planned stoppage of Building Systems services for routine maintenance, repairs, alterations or improvements. Tenant shall promptly give Landlord written notice of any repair required by Landlord pursuant to this Section, after which Landlord shall have a reasonable opportunity to effect such repair within a reasonable time period. Landlord shall use reasonable efforts to minimize interference with Tenant’s operations in the Premises during such planned stoppages of Building Systems.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firstLine="464"/>
        <w:spacing w:after="0" w:line="291" w:lineRule="auto"/>
        <w:tabs>
          <w:tab w:leader="none" w:pos="726"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Tenant’s Repairs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Tenant, at its expense, shall repair, replace and maintain in good condition all non-structural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portions of the Premises, including, without limitation, entries, doors, ceilings, interior windows, interior walls, and the interior side of demising walls, reasonable wear and tear and damage by casualty excepted. Should Tenant fail to make any such repair or replacement or fail to maintain the Premises, Landlord shall give Tenant notice of such failure. If Tenant fails to commence cure of such failure within 30 days of Landlord’s notice, and thereafter diligently prosecute such cure to completion, Landlord may perform such work and shall be reimbursed by Tenant within 10 days after demand therefor; provided, however, that if such failure by Tenant creates or could reasonably be expected to create an emergency, Landlord may immediately commence cure of such failure and shall thereafter be entitled to recover the costs of such cure from Tenant. Subject to </w:t>
      </w:r>
      <w:r>
        <w:rPr>
          <w:rFonts w:ascii="Arial" w:cs="Arial" w:eastAsia="Arial" w:hAnsi="Arial"/>
          <w:sz w:val="16"/>
          <w:szCs w:val="16"/>
          <w:u w:val="single" w:color="auto"/>
          <w:color w:val="auto"/>
        </w:rPr>
        <w:t>Sections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18</w:t>
      </w:r>
      <w:r>
        <w:rPr>
          <w:rFonts w:ascii="Arial" w:cs="Arial" w:eastAsia="Arial" w:hAnsi="Arial"/>
          <w:sz w:val="16"/>
          <w:szCs w:val="16"/>
          <w:color w:val="auto"/>
        </w:rPr>
        <w:t>, Tenant shall bear the full uninsured cost of any repair or replacement to any part of the Project that results from damage caused by Tenant or any Tenant Party.</w:t>
      </w:r>
    </w:p>
    <w:p>
      <w:pPr>
        <w:spacing w:after="0" w:line="52" w:lineRule="exact"/>
        <w:rPr>
          <w:rFonts w:ascii="Arial" w:cs="Arial" w:eastAsia="Arial" w:hAnsi="Arial"/>
          <w:sz w:val="16"/>
          <w:szCs w:val="16"/>
          <w:color w:val="auto"/>
        </w:rPr>
      </w:pPr>
    </w:p>
    <w:p>
      <w:pPr>
        <w:ind w:right="40" w:firstLine="464"/>
        <w:spacing w:after="0" w:line="295" w:lineRule="auto"/>
        <w:tabs>
          <w:tab w:leader="none" w:pos="726"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Building, Property or</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for work claimed to have been done for, or materials claimed to have been furnished to, Tenant within 15 days after Tenant receives written notice of the filing thereof, at Tenant’s sole cost and shall otherwise keep the Premises and the Building, Property and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Building, Property or Project and the cost thereof shall be immediately due from Tenant as Additional Rent. If Tenant shall lease or finance the acquisition of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67945</wp:posOffset>
            </wp:positionV>
            <wp:extent cx="2418080" cy="514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6" w:name="page487"/>
    <w:bookmarkEnd w:id="486"/>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14</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Building or Project be furnished on the statement without qualifying language as to applicability of the lien only to removable personal property, located in an identified suite held by Tenant.</w:t>
      </w:r>
    </w:p>
    <w:p>
      <w:pPr>
        <w:spacing w:after="0" w:line="76" w:lineRule="exact"/>
        <w:rPr>
          <w:sz w:val="20"/>
          <w:szCs w:val="20"/>
          <w:color w:val="auto"/>
        </w:rPr>
      </w:pPr>
    </w:p>
    <w:p>
      <w:pPr>
        <w:ind w:right="20" w:firstLine="464"/>
        <w:spacing w:after="0" w:line="289" w:lineRule="auto"/>
        <w:tabs>
          <w:tab w:leader="none" w:pos="726"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Subject to the penultimate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Tenant hereby indemnifies and agrees to defend, save and hold Landlord, its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employees, managers, agents, sub-agents, constituent entities and lease signators (collectively,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xml:space="preserve">”) and Holders of Mortgages (each as defined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below) as to which Tenant has been given notice harmless from and against any and all Claims for injury or death to persons or damage to property occurring within or about the Premises, arising directly or indirectly out use or occupancy of the Premises by Tenant or any Tenant Party (including, without limitation, any act, omission or neglect by Tenant or any Tenant Parties in or about the Premises) or a breach or default by Tenant in the performance of any of its obligations hereunder, except to the extent caused by the willful misconduct or negligence of Landlord Indemnified Parties. Landlord Indemnified Parties shall not be liable to Tenant for, and Tenant assumes all risk of damage to, personal property (including, without limitation, loss of records kept within the Premises). Tenant further hereby irrevocably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w:t>
      </w:r>
    </w:p>
    <w:p>
      <w:pPr>
        <w:spacing w:after="0" w:line="53" w:lineRule="exact"/>
        <w:rPr>
          <w:rFonts w:ascii="Arial" w:cs="Arial" w:eastAsia="Arial" w:hAnsi="Arial"/>
          <w:sz w:val="16"/>
          <w:szCs w:val="16"/>
          <w:color w:val="auto"/>
        </w:rPr>
      </w:pPr>
    </w:p>
    <w:p>
      <w:pPr>
        <w:ind w:right="80" w:firstLine="464"/>
        <w:spacing w:after="0" w:line="271" w:lineRule="auto"/>
        <w:tabs>
          <w:tab w:leader="none" w:pos="726" w:val="left"/>
        </w:tabs>
        <w:numPr>
          <w:ilvl w:val="0"/>
          <w:numId w:val="368"/>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Landlord shall maintain all risk property and, if applicable, sprinkler damage insurance covering the full replacement cost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Building and Property may be included in a blanket policy (in which case the cost of such insurance allocable to the Building and Property will be determined by Landlord based upon the insurer’s cost calculations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sub-agents, constituent entities and lease signators (collectively, “</w:t>
      </w:r>
      <w:r>
        <w:rPr>
          <w:rFonts w:ascii="Arial" w:cs="Arial" w:eastAsia="Arial" w:hAnsi="Arial"/>
          <w:sz w:val="17"/>
          <w:szCs w:val="17"/>
          <w:b w:val="1"/>
          <w:bCs w:val="1"/>
          <w:color w:val="auto"/>
        </w:rPr>
        <w:t>Landlord Insured Parties</w:t>
      </w:r>
      <w:r>
        <w:rPr>
          <w:rFonts w:ascii="Arial" w:cs="Arial" w:eastAsia="Arial" w:hAnsi="Arial"/>
          <w:sz w:val="17"/>
          <w:szCs w:val="17"/>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Copies of such policies (if requested by Landlord), or certificates of insurance showing the limits of coverage required hereunder and showing Landlord as an additional insured, along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7" w:name="page488"/>
    <w:bookmarkEnd w:id="487"/>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15</w:t>
      </w:r>
    </w:p>
    <w:p>
      <w:pPr>
        <w:spacing w:after="0" w:line="1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Building, Property or Project or any portion thereof and any servicer in connection therewith, (ii) the landlord under any lease wherein Landlord is tenant of the real property on which the Building, Property or Project is located, if the interest of Landlord is or shall become that of a tenant under a ground or other underlying lease rather than that of a fee owner, and/or (iii) any management company retained by Landlord to manage the Project.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its insured, against Landlord or Tenant, and their respective officers, directors, employees, managers, agents, invitees and contractors (“</w:t>
      </w:r>
      <w:r>
        <w:rPr>
          <w:rFonts w:ascii="Arial" w:cs="Arial" w:eastAsia="Arial" w:hAnsi="Arial"/>
          <w:sz w:val="17"/>
          <w:szCs w:val="17"/>
          <w:b w:val="1"/>
          <w:bCs w:val="1"/>
          <w:color w:val="auto"/>
        </w:rPr>
        <w:t>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 in connection with any loss or damage thereby insured against. Neither party nor its respective Related Parties shall be liable to the other for loss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 caused by any risk insured against under property insurance required to be maintained hereunder, and each party waives any claims against the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and its respective Related Parties, for such loss or damage. The failure of a party to insure its property shall not void this waiver. Landlord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 Related Parties shall not be liable for, and Tenant hereby waives all claims against such parties for, business interruption and losses occasioned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thereby sustained by Tenant or any person claiming through Tenant resulting from any accident or occurrence in or upon the Premises, Building, Property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Project from any cause whatsoever. If the foregoing waivers shall contravene any law with respect to exculpatory agreements, the liability of Landlord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Tenant shall be deemed not released but shall be secondary to the other’s insurer.</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w:t>
      </w:r>
    </w:p>
    <w:p>
      <w:pPr>
        <w:spacing w:after="0" w:line="58" w:lineRule="exact"/>
        <w:rPr>
          <w:sz w:val="20"/>
          <w:szCs w:val="20"/>
          <w:color w:val="auto"/>
        </w:rPr>
      </w:pPr>
    </w:p>
    <w:p>
      <w:pPr>
        <w:ind w:right="20" w:firstLine="464"/>
        <w:spacing w:after="0" w:line="289" w:lineRule="auto"/>
        <w:tabs>
          <w:tab w:leader="none" w:pos="726" w:val="left"/>
        </w:tabs>
        <w:numPr>
          <w:ilvl w:val="0"/>
          <w:numId w:val="369"/>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Building or the Premises are damaged or destroyed by a fire or other insured casualty,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notify Tenant within 60 days after discovery of such damage as to the amount of time Landlord reasonably estimates it will take to restore the Building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Unless Landlord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or from Force Majeure events;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in which event Landlord shall be relieved of its obligation to make such repairs or restoration and this Lease shall terminate as of the date that is 75 days after the discovery of such damage or destruction.</w:t>
      </w:r>
    </w:p>
    <w:p>
      <w:pPr>
        <w:spacing w:after="0" w:line="16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Tenant, at its expense, shall promptly perform, subject to delays arising from the collection of insurance proceeds or from Force Majeure events, all repairs or restoration not required to be done by Landlord and shall promptly re-enter the Premises and commence doing business in accordance with this Lease. Notwithstanding the foregoing, Landlord may terminate this Lease if the Premises are damaged during the last 1 year of the Term and Landlord reasonably estimates that it will take more than 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85090</wp:posOffset>
            </wp:positionV>
            <wp:extent cx="2418080" cy="514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8" w:name="page489"/>
    <w:bookmarkEnd w:id="488"/>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16</w:t>
      </w:r>
    </w:p>
    <w:p>
      <w:pPr>
        <w:spacing w:after="0" w:line="1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to repair such damage, or if insurance proceeds are not available for such restoration. Rent shall be abated from the date of discovery of the damage or destruction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the Lease by reason of damage or casualty loss.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Building, Property or Project, and any statute or regulation which is now or may hereafter be in effect shall have no application to this Lease or any damage or destruction to all or any part of the Premises or any other portion of the Building, Property or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76" w:lineRule="exact"/>
        <w:rPr>
          <w:sz w:val="20"/>
          <w:szCs w:val="20"/>
          <w:color w:val="auto"/>
        </w:rPr>
      </w:pPr>
    </w:p>
    <w:p>
      <w:pPr>
        <w:ind w:right="80" w:firstLine="464"/>
        <w:spacing w:after="0" w:line="287" w:lineRule="auto"/>
        <w:tabs>
          <w:tab w:leader="none" w:pos="726" w:val="left"/>
        </w:tabs>
        <w:numPr>
          <w:ilvl w:val="0"/>
          <w:numId w:val="370"/>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Building or Property is taken for any public or quasi-public use under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Building or Property, then upon written notice by Landlord this Lease shall terminate and Rent shall be apportioned as of said date. If part of the Premises shall be Taken, and this Lease is not terminated as provided above, Landlord shall promptly restore the Premises and the Building and Property as nearly as is commercially reasonable under the circumstances to their condition prior to such partial Taking and the rentable square footage of the Building, the rentable square footage of the Premises, Tenant’s Share of Operating Expenses, the Building’s Share of Project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Building, Property or Project.</w:t>
      </w:r>
    </w:p>
    <w:p>
      <w:pPr>
        <w:spacing w:after="0" w:line="56" w:lineRule="exact"/>
        <w:rPr>
          <w:rFonts w:ascii="Arial" w:cs="Arial" w:eastAsia="Arial" w:hAnsi="Arial"/>
          <w:sz w:val="16"/>
          <w:szCs w:val="16"/>
          <w:color w:val="auto"/>
        </w:rPr>
      </w:pPr>
    </w:p>
    <w:p>
      <w:pPr>
        <w:ind w:left="740" w:hanging="276"/>
        <w:spacing w:after="0"/>
        <w:tabs>
          <w:tab w:leader="none" w:pos="74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substantial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17" w:lineRule="exact"/>
        <w:rPr>
          <w:rFonts w:ascii="Arial" w:cs="Arial" w:eastAsia="Arial" w:hAnsi="Arial"/>
          <w:sz w:val="18"/>
          <w:szCs w:val="18"/>
          <w:color w:val="auto"/>
        </w:rPr>
      </w:pPr>
    </w:p>
    <w:p>
      <w:pPr>
        <w:ind w:right="340" w:firstLine="921"/>
        <w:spacing w:after="0" w:line="289" w:lineRule="auto"/>
        <w:tabs>
          <w:tab w:leader="none" w:pos="1157" w:val="left"/>
        </w:tabs>
        <w:numPr>
          <w:ilvl w:val="1"/>
          <w:numId w:val="370"/>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will give Tenant notice and an opportunity to cure any failure to pay Rent within 5 days of any such notice not more than twice in any 12 month period and Tenant agrees that such notice shall be in lieu of and not in addition to, or shall be deemed to be, any notice required by law.</w:t>
      </w:r>
    </w:p>
    <w:p>
      <w:pPr>
        <w:spacing w:after="0" w:line="50" w:lineRule="exact"/>
        <w:rPr>
          <w:rFonts w:ascii="Arial" w:cs="Arial" w:eastAsia="Arial" w:hAnsi="Arial"/>
          <w:sz w:val="17"/>
          <w:szCs w:val="17"/>
          <w:color w:val="auto"/>
        </w:rPr>
      </w:pPr>
    </w:p>
    <w:p>
      <w:pPr>
        <w:ind w:right="140" w:firstLine="921"/>
        <w:spacing w:after="0" w:line="266" w:lineRule="auto"/>
        <w:tabs>
          <w:tab w:leader="none" w:pos="1168"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reduced or materially changed, or Landlord shall receive a notice of nonrenewal of any such insurance and Tenant shall fail to obtain replacement insurance at least 20 days before the expiration of the current coverage.</w:t>
      </w:r>
    </w:p>
    <w:p>
      <w:pPr>
        <w:spacing w:after="0" w:line="68" w:lineRule="exact"/>
        <w:rPr>
          <w:rFonts w:ascii="Arial" w:cs="Arial" w:eastAsia="Arial" w:hAnsi="Arial"/>
          <w:sz w:val="18"/>
          <w:szCs w:val="18"/>
          <w:color w:val="auto"/>
        </w:rPr>
      </w:pPr>
    </w:p>
    <w:p>
      <w:pPr>
        <w:ind w:right="220" w:firstLine="921"/>
        <w:spacing w:after="0" w:line="314" w:lineRule="auto"/>
        <w:tabs>
          <w:tab w:leader="none" w:pos="1157" w:val="left"/>
        </w:tabs>
        <w:numPr>
          <w:ilvl w:val="1"/>
          <w:numId w:val="370"/>
        </w:numPr>
        <w:rPr>
          <w:rFonts w:ascii="Arial" w:cs="Arial" w:eastAsia="Arial" w:hAnsi="Arial"/>
          <w:sz w:val="16"/>
          <w:szCs w:val="16"/>
          <w:color w:val="auto"/>
        </w:rPr>
      </w:pPr>
      <w:r>
        <w:rPr>
          <w:rFonts w:ascii="Arial" w:cs="Arial" w:eastAsia="Arial" w:hAnsi="Arial"/>
          <w:sz w:val="16"/>
          <w:szCs w:val="16"/>
          <w:b w:val="1"/>
          <w:bCs w:val="1"/>
          <w:color w:val="auto"/>
        </w:rPr>
        <w:t>Abandonment</w:t>
      </w:r>
      <w:r>
        <w:rPr>
          <w:rFonts w:ascii="Arial" w:cs="Arial" w:eastAsia="Arial" w:hAnsi="Arial"/>
          <w:sz w:val="16"/>
          <w:szCs w:val="16"/>
          <w:color w:val="auto"/>
        </w:rPr>
        <w:t>. Tenant shall abandon the Premises. Tenant shall not be deemed to have abandoned the Premises if (i) Tenant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with reasonable advance notice prior to vacating,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59055</wp:posOffset>
            </wp:positionV>
            <wp:extent cx="2418080" cy="514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9" w:name="page490"/>
    <w:bookmarkEnd w:id="489"/>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17</w:t>
      </w:r>
    </w:p>
    <w:p>
      <w:pPr>
        <w:spacing w:after="0" w:line="158" w:lineRule="exact"/>
        <w:rPr>
          <w:sz w:val="20"/>
          <w:szCs w:val="20"/>
          <w:color w:val="auto"/>
        </w:rPr>
      </w:pPr>
    </w:p>
    <w:p>
      <w:pPr>
        <w:ind w:right="80" w:firstLine="921"/>
        <w:spacing w:after="0" w:line="266" w:lineRule="auto"/>
        <w:tabs>
          <w:tab w:leader="none" w:pos="1168"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all or any portion of Tenant’s interest in this Lease or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the provisions of this Lease, or Tenant’s interest in this Lease shall be attached, executed upon, or otherwise judicially seized and such action is not released within 90 days of the action.</w:t>
      </w:r>
    </w:p>
    <w:p>
      <w:pPr>
        <w:spacing w:after="0" w:line="68" w:lineRule="exact"/>
        <w:rPr>
          <w:rFonts w:ascii="Arial" w:cs="Arial" w:eastAsia="Arial" w:hAnsi="Arial"/>
          <w:sz w:val="18"/>
          <w:szCs w:val="18"/>
          <w:color w:val="auto"/>
        </w:rPr>
      </w:pPr>
    </w:p>
    <w:p>
      <w:pPr>
        <w:ind w:right="160" w:firstLine="921"/>
        <w:spacing w:after="0" w:line="282" w:lineRule="auto"/>
        <w:tabs>
          <w:tab w:leader="none" w:pos="1157"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15</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Tenant receives written notice that any such lien is filed against the Premises.</w:t>
      </w:r>
    </w:p>
    <w:p>
      <w:pPr>
        <w:spacing w:after="0" w:line="53" w:lineRule="exact"/>
        <w:rPr>
          <w:rFonts w:ascii="Arial" w:cs="Arial" w:eastAsia="Arial" w:hAnsi="Arial"/>
          <w:sz w:val="18"/>
          <w:szCs w:val="18"/>
          <w:color w:val="auto"/>
        </w:rPr>
      </w:pPr>
    </w:p>
    <w:p>
      <w:pPr>
        <w:ind w:right="100" w:firstLine="921"/>
        <w:spacing w:after="0" w:line="255" w:lineRule="auto"/>
        <w:tabs>
          <w:tab w:leader="none" w:pos="1138"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81" w:lineRule="exact"/>
        <w:rPr>
          <w:rFonts w:ascii="Arial" w:cs="Arial" w:eastAsia="Arial" w:hAnsi="Arial"/>
          <w:sz w:val="18"/>
          <w:szCs w:val="18"/>
          <w:color w:val="auto"/>
        </w:rPr>
      </w:pPr>
    </w:p>
    <w:p>
      <w:pPr>
        <w:ind w:right="360" w:firstLine="921"/>
        <w:spacing w:after="0" w:line="282" w:lineRule="auto"/>
        <w:tabs>
          <w:tab w:leader="none" w:pos="1168"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days after a second notice requesting such document.</w:t>
      </w:r>
    </w:p>
    <w:p>
      <w:pPr>
        <w:spacing w:after="0" w:line="53" w:lineRule="exact"/>
        <w:rPr>
          <w:rFonts w:ascii="Arial" w:cs="Arial" w:eastAsia="Arial" w:hAnsi="Arial"/>
          <w:sz w:val="18"/>
          <w:szCs w:val="18"/>
          <w:color w:val="auto"/>
        </w:rPr>
      </w:pPr>
    </w:p>
    <w:p>
      <w:pPr>
        <w:ind w:right="160" w:firstLine="921"/>
        <w:spacing w:after="0" w:line="347" w:lineRule="auto"/>
        <w:tabs>
          <w:tab w:leader="none" w:pos="1168" w:val="left"/>
        </w:tabs>
        <w:numPr>
          <w:ilvl w:val="0"/>
          <w:numId w:val="371"/>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30 days after written notice thereof from Landlord to Tenant.</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81" w:lineRule="exact"/>
        <w:rPr>
          <w:sz w:val="20"/>
          <w:szCs w:val="20"/>
          <w:color w:val="auto"/>
        </w:rPr>
      </w:pPr>
    </w:p>
    <w:p>
      <w:pPr>
        <w:ind w:left="740" w:hanging="276"/>
        <w:spacing w:after="0"/>
        <w:tabs>
          <w:tab w:leader="none" w:pos="74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58" w:lineRule="auto"/>
        <w:tabs>
          <w:tab w:leader="none" w:pos="1157" w:val="left"/>
        </w:tabs>
        <w:numPr>
          <w:ilvl w:val="1"/>
          <w:numId w:val="372"/>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to the extent necessary to cure the Default. All sums so paid or incurred by Landlord, together with interest thereon, from the date such sums were paid or incurred, at the annual rate equal to 12% per annum or the highest rate permitted by law (the “Default Rate”), whichever is less, shall be payable to Landlord on demand as additional Rent. Nothing herein shall be construed to create or impose a duty on Landlord to mitigate any damages resulting from Tenant’s Default hereunder.</w:t>
      </w:r>
    </w:p>
    <w:p>
      <w:pPr>
        <w:spacing w:after="0" w:line="75" w:lineRule="exact"/>
        <w:rPr>
          <w:rFonts w:ascii="Arial" w:cs="Arial" w:eastAsia="Arial" w:hAnsi="Arial"/>
          <w:sz w:val="18"/>
          <w:szCs w:val="18"/>
          <w:color w:val="auto"/>
        </w:rPr>
      </w:pPr>
    </w:p>
    <w:p>
      <w:pPr>
        <w:ind w:right="20" w:firstLine="921"/>
        <w:spacing w:after="0" w:line="266" w:lineRule="auto"/>
        <w:tabs>
          <w:tab w:leader="none" w:pos="1168" w:val="left"/>
        </w:tabs>
        <w:numPr>
          <w:ilvl w:val="1"/>
          <w:numId w:val="372"/>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the exact amount of which will be extremely difficult and impracticable to ascertain. Such costs include, but are not limited to, processing and accounting charges and late charges which may be imposed on Landlord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0" w:name="page491"/>
    <w:bookmarkEnd w:id="490"/>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18</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Mortgage covering the Premises. Therefore, if any installment of Rent due from Tenant is not received by Landlord within 5 days after the date such payment is due, Tenant shall pay to Landlord an additional sum of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81" w:lineRule="exact"/>
        <w:rPr>
          <w:sz w:val="20"/>
          <w:szCs w:val="20"/>
          <w:color w:val="auto"/>
        </w:rPr>
      </w:pPr>
    </w:p>
    <w:p>
      <w:pPr>
        <w:ind w:right="40" w:firstLine="921"/>
        <w:spacing w:after="0" w:line="255" w:lineRule="auto"/>
        <w:tabs>
          <w:tab w:leader="none" w:pos="1157" w:val="left"/>
        </w:tabs>
        <w:numPr>
          <w:ilvl w:val="1"/>
          <w:numId w:val="373"/>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 have in addition to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rights and remedies provided in this Lease, at law or in equity, the option to pursue any one or more of the following remedies, each and all of which shall be cumulative and nonexclusive, without any notice or demand whatsoever (except as otherwise expressly provided in </w:t>
      </w:r>
      <w:r>
        <w:rPr>
          <w:rFonts w:ascii="Arial" w:cs="Arial" w:eastAsia="Arial" w:hAnsi="Arial"/>
          <w:sz w:val="18"/>
          <w:szCs w:val="18"/>
          <w:u w:val="single" w:color="auto"/>
          <w:color w:val="auto"/>
        </w:rPr>
        <w:t>Section 21(c)(v)</w:t>
      </w:r>
      <w:r>
        <w:rPr>
          <w:rFonts w:ascii="Arial" w:cs="Arial" w:eastAsia="Arial" w:hAnsi="Arial"/>
          <w:sz w:val="18"/>
          <w:szCs w:val="18"/>
          <w:color w:val="auto"/>
        </w:rPr>
        <w:t xml:space="preserve"> with respect to Landlord’s Lump Sum Election).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85" w:lineRule="exact"/>
        <w:rPr>
          <w:rFonts w:ascii="Arial" w:cs="Arial" w:eastAsia="Arial" w:hAnsi="Arial"/>
          <w:sz w:val="18"/>
          <w:szCs w:val="18"/>
          <w:color w:val="auto"/>
        </w:rPr>
      </w:pPr>
    </w:p>
    <w:p>
      <w:pPr>
        <w:ind w:left="460" w:right="20" w:firstLine="443"/>
        <w:spacing w:after="0" w:line="284" w:lineRule="auto"/>
        <w:tabs>
          <w:tab w:leader="none" w:pos="1113"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rights of Tenant hereunder shall expire and terminate, and Tenant shall be liable as hereinafter in this</w:t>
      </w:r>
    </w:p>
    <w:p>
      <w:pPr>
        <w:spacing w:after="0" w:line="4" w:lineRule="exact"/>
        <w:rPr>
          <w:rFonts w:ascii="Arial" w:cs="Arial" w:eastAsia="Arial" w:hAnsi="Arial"/>
          <w:sz w:val="16"/>
          <w:szCs w:val="16"/>
          <w:color w:val="auto"/>
        </w:rPr>
      </w:pPr>
    </w:p>
    <w:p>
      <w:pPr>
        <w:ind w:left="460" w:right="1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subject to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86" w:lineRule="exact"/>
        <w:rPr>
          <w:rFonts w:ascii="Arial" w:cs="Arial" w:eastAsia="Arial" w:hAnsi="Arial"/>
          <w:sz w:val="16"/>
          <w:szCs w:val="16"/>
          <w:color w:val="auto"/>
        </w:rPr>
      </w:pPr>
    </w:p>
    <w:p>
      <w:pPr>
        <w:ind w:left="460" w:right="200" w:firstLine="443"/>
        <w:spacing w:after="0" w:line="277" w:lineRule="auto"/>
        <w:tabs>
          <w:tab w:leader="none" w:pos="11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Landlord shall be deemed to have satisfied any obligation to mitigate its damages by hiring an experienced commercial real estate broker to market the Premises and directing such broker to advertise and show the Premises to prospective tenants.</w:t>
      </w:r>
    </w:p>
    <w:p>
      <w:pPr>
        <w:spacing w:after="0" w:line="62" w:lineRule="exact"/>
        <w:rPr>
          <w:rFonts w:ascii="Arial" w:cs="Arial" w:eastAsia="Arial" w:hAnsi="Arial"/>
          <w:sz w:val="18"/>
          <w:szCs w:val="18"/>
          <w:color w:val="auto"/>
        </w:rPr>
      </w:pPr>
    </w:p>
    <w:p>
      <w:pPr>
        <w:ind w:left="460" w:right="180" w:firstLine="443"/>
        <w:spacing w:after="0" w:line="257" w:lineRule="auto"/>
        <w:tabs>
          <w:tab w:leader="none" w:pos="121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In the event of any termination of this Lease as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free of any rights of Tenant, and in any such event Tenant and no person claiming through or under Tenant by virtue of any law or an order of any court shall be entitled to possession or to remain in possession of the Premises.</w:t>
      </w:r>
    </w:p>
    <w:p>
      <w:pPr>
        <w:spacing w:after="0" w:line="80" w:lineRule="exact"/>
        <w:rPr>
          <w:rFonts w:ascii="Arial" w:cs="Arial" w:eastAsia="Arial" w:hAnsi="Arial"/>
          <w:sz w:val="18"/>
          <w:szCs w:val="18"/>
          <w:color w:val="auto"/>
        </w:rPr>
      </w:pPr>
    </w:p>
    <w:p>
      <w:pPr>
        <w:ind w:left="1200" w:hanging="297"/>
        <w:spacing w:after="0"/>
        <w:tabs>
          <w:tab w:leader="none" w:pos="120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If this Lease is terminated or if Landlord shall re-enter the Premises as aforesaid, or in the event of the termination of this Lease, or of</w:t>
      </w:r>
    </w:p>
    <w:p>
      <w:pPr>
        <w:spacing w:after="0" w:line="35"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re-entry, by or under any proceeding or action or any provision of law by reason of a Default by Tenant, Tenant covenants and agrees forthwith to pay and be liable for, on the days originally fixed in this Lease for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83185</wp:posOffset>
            </wp:positionV>
            <wp:extent cx="2418080" cy="514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1" w:name="page492"/>
    <w:bookmarkEnd w:id="491"/>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19</w:t>
      </w:r>
    </w:p>
    <w:p>
      <w:pPr>
        <w:sectPr>
          <w:pgSz w:w="11900" w:h="16838" w:orient="portrait"/>
          <w:cols w:equalWidth="0" w:num="1">
            <w:col w:w="11420"/>
          </w:cols>
          <w:pgMar w:left="240" w:top="270" w:right="239" w:bottom="1440" w:gutter="0" w:footer="0" w:header="0"/>
        </w:sectPr>
      </w:pPr>
    </w:p>
    <w:p>
      <w:pPr>
        <w:spacing w:after="0" w:line="162" w:lineRule="exact"/>
        <w:rPr>
          <w:sz w:val="20"/>
          <w:szCs w:val="20"/>
          <w:color w:val="auto"/>
        </w:rPr>
      </w:pPr>
    </w:p>
    <w:p>
      <w:pPr>
        <w:ind w:left="460" w:right="80"/>
        <w:spacing w:after="0" w:line="268" w:lineRule="auto"/>
        <w:rPr>
          <w:sz w:val="20"/>
          <w:szCs w:val="20"/>
          <w:color w:val="auto"/>
        </w:rPr>
      </w:pPr>
      <w:r>
        <w:rPr>
          <w:rFonts w:ascii="Arial" w:cs="Arial" w:eastAsia="Arial" w:hAnsi="Arial"/>
          <w:sz w:val="17"/>
          <w:szCs w:val="17"/>
          <w:color w:val="auto"/>
        </w:rPr>
        <w:t>thereof, amounts equal to the installments of Base Rent and all Additional Rent as they would, under the terms of this Lease become due if this Lease had not been terminated or if Landlord had not entered or re-entered, as aforesaid, and whether the Premises be relet or remain vacant, in whole or in part, or for a period less than the remainder of the Term, or for the whole thereof, but in the event that the Premises be relet by Landlord, Tenant shall be entitled to a credit in the net amount of rent and other charges received by Landlord in reletting, after deduction of all of Landlord’s expenses incurred in reletting the Premises (including, without limitation, tenant improvement, demising and remodeling costs, brokerage fees and the like), and in collecting the rent in connection therewith, in the following manner: Amounts received by Landlord after reletting, if any,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by Landlord no in any way to be diminished as a result of the fact that such reletting might be for a rent higher than the rent provided for in this Lease); when and if such expenses have been completely recovered by Landlord,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spacing w:after="0" w:line="80" w:lineRule="exact"/>
        <w:rPr>
          <w:sz w:val="20"/>
          <w:szCs w:val="20"/>
          <w:color w:val="auto"/>
        </w:rPr>
      </w:pPr>
    </w:p>
    <w:p>
      <w:pPr>
        <w:ind w:left="460" w:right="180" w:firstLine="438"/>
        <w:spacing w:after="0" w:line="286" w:lineRule="auto"/>
        <w:rPr>
          <w:sz w:val="20"/>
          <w:szCs w:val="20"/>
          <w:color w:val="auto"/>
        </w:rPr>
      </w:pPr>
      <w:r>
        <w:rPr>
          <w:rFonts w:ascii="Arial" w:cs="Arial" w:eastAsia="Arial" w:hAnsi="Arial"/>
          <w:sz w:val="17"/>
          <w:szCs w:val="17"/>
          <w:color w:val="auto"/>
        </w:rPr>
        <w:t>Actions, proceedings or suits for the recovery of damages, whether liquidated or other damages, under this Lease,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53" w:lineRule="exact"/>
        <w:rPr>
          <w:sz w:val="20"/>
          <w:szCs w:val="20"/>
          <w:color w:val="auto"/>
        </w:rPr>
      </w:pPr>
    </w:p>
    <w:p>
      <w:pPr>
        <w:ind w:left="460" w:right="320" w:firstLine="443"/>
        <w:spacing w:after="0" w:line="266" w:lineRule="auto"/>
        <w:tabs>
          <w:tab w:leader="none" w:pos="115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addition, Landlord, at its election, notwithstanding any other provision of this Lease, by written notice to Tenant (the “</w:t>
      </w:r>
      <w:r>
        <w:rPr>
          <w:rFonts w:ascii="Arial" w:cs="Arial" w:eastAsia="Arial" w:hAnsi="Arial"/>
          <w:sz w:val="18"/>
          <w:szCs w:val="18"/>
          <w:b w:val="1"/>
          <w:bCs w:val="1"/>
          <w:color w:val="auto"/>
        </w:rPr>
        <w:t>Lump Sum</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w:t>
      </w:r>
      <w:r>
        <w:rPr>
          <w:rFonts w:ascii="Arial" w:cs="Arial" w:eastAsia="Arial" w:hAnsi="Arial"/>
          <w:sz w:val="18"/>
          <w:szCs w:val="18"/>
          <w:color w:val="auto"/>
        </w:rPr>
        <w:t>”), shall be entitled to recover from Tenant, as and for liquidated damages, at any time following any termination of this Lease, a lump sum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representing, at the time of Landlord’s written notice of its Lump Sum Election, the sum of:</w:t>
      </w:r>
    </w:p>
    <w:p>
      <w:pPr>
        <w:spacing w:after="0" w:line="72" w:lineRule="exact"/>
        <w:rPr>
          <w:rFonts w:ascii="Arial" w:cs="Arial" w:eastAsia="Arial" w:hAnsi="Arial"/>
          <w:sz w:val="18"/>
          <w:szCs w:val="18"/>
          <w:color w:val="auto"/>
        </w:rPr>
      </w:pPr>
    </w:p>
    <w:p>
      <w:pPr>
        <w:ind w:left="920" w:right="100" w:firstLine="421"/>
        <w:spacing w:after="0" w:line="312" w:lineRule="auto"/>
        <w:tabs>
          <w:tab w:leader="none" w:pos="1635"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then present value (calculated in accordance with accepted financial practice using as the discount rate the yield to maturity on United States Treasury Notes as set forth below) of the amount of unpaid Base Rent and Additional Rent that would have been payable pursuant to this Lease for the remainder of the Term following Landlord’s Lump Sum Election if this Lease had not been terminated, and</w:t>
      </w:r>
    </w:p>
    <w:p>
      <w:pPr>
        <w:spacing w:after="0" w:line="38" w:lineRule="exact"/>
        <w:rPr>
          <w:rFonts w:ascii="Arial" w:cs="Arial" w:eastAsia="Arial" w:hAnsi="Arial"/>
          <w:sz w:val="16"/>
          <w:szCs w:val="16"/>
          <w:color w:val="auto"/>
        </w:rPr>
      </w:pPr>
    </w:p>
    <w:p>
      <w:pPr>
        <w:ind w:left="920" w:right="320" w:firstLine="421"/>
        <w:spacing w:after="0" w:line="277" w:lineRule="auto"/>
        <w:tabs>
          <w:tab w:leader="none" w:pos="162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other damages and expenses (including reasonable attorneys’ fees and expenses), if any, which Landlord shall have sustained by reason of the breach of any provision of this Lease; less</w:t>
      </w:r>
    </w:p>
    <w:p>
      <w:pPr>
        <w:spacing w:after="0" w:line="62" w:lineRule="exact"/>
        <w:rPr>
          <w:rFonts w:ascii="Arial" w:cs="Arial" w:eastAsia="Arial" w:hAnsi="Arial"/>
          <w:sz w:val="18"/>
          <w:szCs w:val="18"/>
          <w:color w:val="auto"/>
        </w:rPr>
      </w:pPr>
    </w:p>
    <w:p>
      <w:pPr>
        <w:ind w:left="920" w:right="40" w:firstLine="421"/>
        <w:spacing w:after="0" w:line="255" w:lineRule="auto"/>
        <w:tabs>
          <w:tab w:leader="none" w:pos="162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the then present value (calculated in accordance with accepted financial practice using as the discount rate the yield to maturity on United States Treasury Notes as set forth below) of the aggregate net fair market rent plus additional charges payable for the Premises (if less than the then present value of Base Rent and Additional Rent that would have been payable pursuant to this Lease) for the remainder of the Term following Landlord’s Lump Sum Election, calculated as of the date of Landlord’s Lump Sum Election, and taking into account reasonable estimates of the future costs to relet any then vacant portions of the Premises (except to the extent that Tenant has actually paid such costs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in order to calculate the net rental revenue that Landlord may expect to obtain for the Premises for the balance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86360</wp:posOffset>
            </wp:positionV>
            <wp:extent cx="2418080" cy="514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492" w:name="page493"/>
    <w:bookmarkEnd w:id="49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20</w:t>
      </w:r>
    </w:p>
    <w:p>
      <w:pPr>
        <w:sectPr>
          <w:pgSz w:w="11900" w:h="16838" w:orient="portrait"/>
          <w:cols w:equalWidth="0" w:num="1">
            <w:col w:w="11420"/>
          </w:cols>
          <w:pgMar w:left="240" w:top="269" w:right="239" w:bottom="1440" w:gutter="0" w:footer="0" w:header="0"/>
        </w:sectPr>
      </w:pPr>
    </w:p>
    <w:p>
      <w:pPr>
        <w:spacing w:after="0" w:line="162" w:lineRule="exact"/>
        <w:rPr>
          <w:sz w:val="20"/>
          <w:szCs w:val="20"/>
          <w:color w:val="auto"/>
        </w:rPr>
      </w:pPr>
    </w:p>
    <w:p>
      <w:pPr>
        <w:ind w:left="460" w:right="20" w:firstLine="438"/>
        <w:spacing w:after="0" w:line="284" w:lineRule="auto"/>
        <w:rPr>
          <w:sz w:val="20"/>
          <w:szCs w:val="20"/>
          <w:color w:val="auto"/>
        </w:rPr>
      </w:pPr>
      <w:r>
        <w:rPr>
          <w:rFonts w:ascii="Arial" w:cs="Arial" w:eastAsia="Arial" w:hAnsi="Arial"/>
          <w:sz w:val="16"/>
          <w:szCs w:val="16"/>
          <w:color w:val="auto"/>
        </w:rPr>
        <w:t xml:space="preserve">Landlord’s recovery under its Lump Sum Election shall be in addition to Tenant’s obligations to pay Base Rent and Additional Rent due and costs incurred prior to the date of Landlord’s Lump Sum Election, and in lieu of any Base Rent and Additional Rent which would otherwise have been due under this Section from and after the date of Landlord’s Lump Sum Election. The yield to maturity on United States Treasury Notes having a maturity date that is nearest the date that would have been the last day of the Term of the Lease,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or a comparable publication if it ceases to publish such yields, shall be used in calculating present values for purposes of Landlord’s Lump Sum Election. For the purposes of this Section, if Landlord makes the Lump Sum Election to recover liquidated damages in accordance with this Section, the total Additional Rent shall be computed based upon Landlord’s reasonable estimate of Tenant’s Share of Operating Expenses and other Additional Rent for each</w:t>
      </w:r>
    </w:p>
    <w:p>
      <w:pPr>
        <w:spacing w:after="0" w:line="3"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12-month period in what would have been the remainder of the Term of the Lease and any part thereof at the end of such remainder of the Term, but in no event less than the amounts therefor payable for the twelve (12) calendar months (or if less than twelve (12) calendar months have elapsed since the date hereof, the partial year) immediately preceding the date of Landlord’s Lump Sum Election. Amounts of Tenant’s Share of Operating Expenses and any other Additional Rent for any partial year at the beginning of the Term or at the end of what would have been the remainder of the Term shall be prorated.</w:t>
      </w:r>
    </w:p>
    <w:p>
      <w:pPr>
        <w:spacing w:after="0" w:line="83" w:lineRule="exact"/>
        <w:rPr>
          <w:sz w:val="20"/>
          <w:szCs w:val="20"/>
          <w:color w:val="auto"/>
        </w:rPr>
      </w:pPr>
    </w:p>
    <w:p>
      <w:pPr>
        <w:ind w:left="460" w:right="160" w:firstLine="443"/>
        <w:spacing w:after="0" w:line="279" w:lineRule="auto"/>
        <w:tabs>
          <w:tab w:leader="none" w:pos="1203"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but in each case not more than the amount to which Landlord would otherwise be entitled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260" w:hanging="357"/>
        <w:spacing w:after="0"/>
        <w:tabs>
          <w:tab w:leader="none" w:pos="12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30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20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either party shall be in default in the observance or performance of any provision of this Lease, and an action shall be brought for the enforcement thereof, the non-prevailing party shall pay to the prevailing party all fees, costs and other expenses which may become payable as a result thereof or in connection therewith, including reasonable attorneys’ fees and expenses.</w:t>
      </w:r>
    </w:p>
    <w:p>
      <w:pPr>
        <w:spacing w:after="0" w:line="73" w:lineRule="exact"/>
        <w:rPr>
          <w:rFonts w:ascii="Arial" w:cs="Arial" w:eastAsia="Arial" w:hAnsi="Arial"/>
          <w:sz w:val="18"/>
          <w:szCs w:val="18"/>
          <w:color w:val="auto"/>
        </w:rPr>
      </w:pPr>
    </w:p>
    <w:p>
      <w:pPr>
        <w:ind w:left="460" w:right="80" w:firstLine="443"/>
        <w:spacing w:after="0" w:line="269" w:lineRule="auto"/>
        <w:tabs>
          <w:tab w:leader="none" w:pos="1153"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If default by Tenant shall occur in the keeping, observance or performance of any covenant, agreement, term, provision or condition herein contained, Landlord, without thereby waiving such default, may perform the same for the account and at the expense of Tenant (a) immediately or at any time thereafter and with only such notice, if any, as may be practicable under the circumstances in the case of an emergency or in case such default will result in a violation of any legal or insurance requirements, or in the imposition of any lien against all or any portion of the Premises or the Project (but only after Tenant has failed to respond to such lien as permitted by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within the time period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not discharged, released or bonded over to Landlord’s satisfaction by Tenant within the time period required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of this Lease, and (b) in any other case if such default continues after any applicable notice and cure period provided in </w:t>
      </w:r>
      <w:r>
        <w:rPr>
          <w:rFonts w:ascii="Arial" w:cs="Arial" w:eastAsia="Arial" w:hAnsi="Arial"/>
          <w:sz w:val="17"/>
          <w:szCs w:val="17"/>
          <w:u w:val="single" w:color="auto"/>
          <w:color w:val="auto"/>
        </w:rPr>
        <w:t>Section 20</w:t>
      </w:r>
      <w:r>
        <w:rPr>
          <w:rFonts w:ascii="Arial" w:cs="Arial" w:eastAsia="Arial" w:hAnsi="Arial"/>
          <w:sz w:val="17"/>
          <w:szCs w:val="17"/>
          <w:color w:val="auto"/>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82550</wp:posOffset>
            </wp:positionV>
            <wp:extent cx="2418080" cy="514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493" w:name="page494"/>
    <w:bookmarkEnd w:id="493"/>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21</w:t>
      </w:r>
    </w:p>
    <w:p>
      <w:pPr>
        <w:spacing w:after="0" w:line="162" w:lineRule="exact"/>
        <w:rPr>
          <w:sz w:val="20"/>
          <w:szCs w:val="20"/>
          <w:color w:val="auto"/>
        </w:rPr>
      </w:pPr>
    </w:p>
    <w:p>
      <w:pPr>
        <w:ind w:left="460" w:right="20" w:firstLine="443"/>
        <w:spacing w:after="0" w:line="277" w:lineRule="auto"/>
        <w:tabs>
          <w:tab w:leader="none" w:pos="1203"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60" w:firstLine="443"/>
        <w:spacing w:after="0" w:line="272" w:lineRule="auto"/>
        <w:tabs>
          <w:tab w:leader="none" w:pos="1253"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In the event that Tenant is in breach or Default under this Lease, whether or not Landlord exercises its right to terminate or any other remedy, Tenant shall reimburse Landlord within 10 days after written demand for any out of pocket costs and expenses that Landlord may incur in connection with any such breach or Default, as provided in this </w:t>
      </w:r>
      <w:r>
        <w:rPr>
          <w:rFonts w:ascii="Arial" w:cs="Arial" w:eastAsia="Arial" w:hAnsi="Arial"/>
          <w:sz w:val="17"/>
          <w:szCs w:val="17"/>
          <w:u w:val="single" w:color="auto"/>
          <w:color w:val="auto"/>
        </w:rPr>
        <w:t>Section 21(c)</w:t>
      </w:r>
      <w:r>
        <w:rPr>
          <w:rFonts w:ascii="Arial" w:cs="Arial" w:eastAsia="Arial" w:hAnsi="Arial"/>
          <w:sz w:val="17"/>
          <w:szCs w:val="17"/>
          <w:color w:val="auto"/>
        </w:rPr>
        <w:t>. Such costs shall include reasonable legal fees and costs incurred for the negotiation of a settlement, enforcement of rights or otherwise. Tenant shall also indemnify Landlord against and hold Landlord harmless from all costs, expenses, demands and liability, including without limitation, reasonable legal fees and costs Landlord shall incur if Landlord shall become or be made a party to any claim or action instituted by Tenant against any third party, by any third party against Tenant or by or against any person holding any interest under or using the Premises by license of or agreement with Tenant.</w:t>
      </w:r>
    </w:p>
    <w:p>
      <w:pPr>
        <w:spacing w:after="0" w:line="69" w:lineRule="exact"/>
        <w:rPr>
          <w:rFonts w:ascii="Arial" w:cs="Arial" w:eastAsia="Arial" w:hAnsi="Arial"/>
          <w:sz w:val="17"/>
          <w:szCs w:val="17"/>
          <w:color w:val="auto"/>
        </w:rPr>
      </w:pPr>
    </w:p>
    <w:p>
      <w:pPr>
        <w:ind w:left="460" w:right="20" w:firstLine="443"/>
        <w:spacing w:after="0" w:line="270" w:lineRule="auto"/>
        <w:tabs>
          <w:tab w:leader="none" w:pos="1303"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by Landlord of any provision of this Lease shall be deemed to have been made unless expressly so made in writing by Landlord expressly waiving such provision.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 Notwithstanding any contrary provision of this Lease, Tenant shall not be liable to Landlord for any indirect, special or consequential damages, arising from a default by Tenant under this Lease; provided that this sentence shall not apply to Landlord’s damages (x) as expressly provided for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and/or (y) in connection with Tenant’s obligations as more fully set forth in </w:t>
      </w:r>
      <w:r>
        <w:rPr>
          <w:rFonts w:ascii="Arial" w:cs="Arial" w:eastAsia="Arial" w:hAnsi="Arial"/>
          <w:sz w:val="17"/>
          <w:szCs w:val="17"/>
          <w:u w:val="single" w:color="auto"/>
          <w:color w:val="auto"/>
        </w:rPr>
        <w:t>Section 30</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740" w:hanging="276"/>
        <w:spacing w:after="0"/>
        <w:tabs>
          <w:tab w:leader="none" w:pos="74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69" w:lineRule="auto"/>
        <w:tabs>
          <w:tab w:leader="none" w:pos="1157" w:val="left"/>
        </w:tabs>
        <w:numPr>
          <w:ilvl w:val="2"/>
          <w:numId w:val="378"/>
        </w:numPr>
        <w:rPr>
          <w:rFonts w:ascii="Arial" w:cs="Arial" w:eastAsia="Arial" w:hAnsi="Arial"/>
          <w:sz w:val="17"/>
          <w:szCs w:val="17"/>
          <w:color w:val="auto"/>
        </w:rPr>
      </w:pPr>
      <w:r>
        <w:rPr>
          <w:rFonts w:ascii="Arial" w:cs="Arial" w:eastAsia="Arial" w:hAnsi="Arial"/>
          <w:sz w:val="17"/>
          <w:szCs w:val="17"/>
          <w:b w:val="1"/>
          <w:bCs w:val="1"/>
          <w:color w:val="auto"/>
        </w:rPr>
        <w:t>General Prohibition</w:t>
      </w:r>
      <w:r>
        <w:rPr>
          <w:rFonts w:ascii="Arial" w:cs="Arial" w:eastAsia="Arial" w:hAnsi="Arial"/>
          <w:sz w:val="17"/>
          <w:szCs w:val="17"/>
          <w:color w:val="auto"/>
        </w:rPr>
        <w:t>. Without Landlord’s prior written consent subject to and on the conditions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Tenant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Notwithstanding the foregoing, Tenant shall have the right to obtain financing from institutional investors (including venture capital funding and corporate partners) or undergo a public offering which results in a change in control of Tenant without such change of control constituting an assignment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81280</wp:posOffset>
            </wp:positionV>
            <wp:extent cx="2418080" cy="514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4" w:name="page495"/>
    <w:bookmarkEnd w:id="494"/>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22</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ind w:left="1180" w:hanging="259"/>
        <w:spacing w:after="0"/>
        <w:tabs>
          <w:tab w:leader="none" w:pos="1180" w:val="left"/>
        </w:tabs>
        <w:numPr>
          <w:ilvl w:val="2"/>
          <w:numId w:val="379"/>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84" w:lineRule="auto"/>
        <w:tabs>
          <w:tab w:leader="none" w:pos="1113" w:val="left"/>
        </w:tabs>
        <w:numPr>
          <w:ilvl w:val="1"/>
          <w:numId w:val="380"/>
        </w:numPr>
        <w:rPr>
          <w:rFonts w:ascii="Arial" w:cs="Arial" w:eastAsia="Arial" w:hAnsi="Arial"/>
          <w:sz w:val="16"/>
          <w:szCs w:val="16"/>
          <w:color w:val="auto"/>
        </w:rPr>
      </w:pPr>
      <w:r>
        <w:rPr>
          <w:rFonts w:ascii="Arial" w:cs="Arial" w:eastAsia="Arial" w:hAnsi="Arial"/>
          <w:sz w:val="16"/>
          <w:szCs w:val="16"/>
          <w:b w:val="1"/>
          <w:bCs w:val="1"/>
          <w:color w:val="auto"/>
        </w:rPr>
        <w:t>Permitted Transfers Generally</w:t>
      </w:r>
      <w:r>
        <w:rPr>
          <w:rFonts w:ascii="Arial" w:cs="Arial" w:eastAsia="Arial" w:hAnsi="Arial"/>
          <w:sz w:val="16"/>
          <w:szCs w:val="16"/>
          <w:color w:val="auto"/>
        </w:rPr>
        <w:t>. If Tenant desires to assign, sublease, hypothecate or otherwise transfer this Lease or sublet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if the proposed assignment, hypothecation or other transfer or subletting concerns more than (together with all other then effective subleases) 50% of the Premises, (iii) with respect to any assignment or sublease that would result in more than 50% of the Premises being subleased for substantially the remainder of the Base Term, refuse such consent, in its reasonable discretion, if the proposed subletting concerns (together with all other then-effective subleases) 50% or less of the Premises (provided that Landlord shall further have the right to review and approve or disapprove the proposed form of sublease prior to the effective date of any such subletting), or (iv) terminate this Lease with respect to the space described in the Assignment Notice as of the Assignment Date (an “</w:t>
      </w:r>
      <w:r>
        <w:rPr>
          <w:rFonts w:ascii="Arial" w:cs="Arial" w:eastAsia="Arial" w:hAnsi="Arial"/>
          <w:sz w:val="16"/>
          <w:szCs w:val="16"/>
          <w:b w:val="1"/>
          <w:bCs w:val="1"/>
          <w:color w:val="auto"/>
        </w:rPr>
        <w:t>Assignment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If Landlord delivers notice of its election to exercise an Assignment Termination, Tenant shall have the right to withdraw such</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Three Thousand Dollars ($3,000) in connection with its consideration of any Assignment Notice and/or its preparation or review of any consent documents. In any event, Landlord shall further have the right to review and approve or disapprove the proposed form of sublease prior to the effective date of any such subletting.</w:t>
      </w:r>
    </w:p>
    <w:p>
      <w:pPr>
        <w:spacing w:after="0" w:line="288" w:lineRule="exact"/>
        <w:rPr>
          <w:rFonts w:ascii="Arial" w:cs="Arial" w:eastAsia="Arial" w:hAnsi="Arial"/>
          <w:sz w:val="16"/>
          <w:szCs w:val="16"/>
          <w:color w:val="auto"/>
        </w:rPr>
      </w:pPr>
    </w:p>
    <w:p>
      <w:pPr>
        <w:ind w:left="460" w:right="60" w:firstLine="443"/>
        <w:spacing w:after="0" w:line="284" w:lineRule="auto"/>
        <w:tabs>
          <w:tab w:leader="none" w:pos="1163" w:val="left"/>
        </w:tabs>
        <w:numPr>
          <w:ilvl w:val="1"/>
          <w:numId w:val="380"/>
        </w:numPr>
        <w:rPr>
          <w:rFonts w:ascii="Arial" w:cs="Arial" w:eastAsia="Arial" w:hAnsi="Arial"/>
          <w:sz w:val="16"/>
          <w:szCs w:val="16"/>
          <w:color w:val="auto"/>
        </w:rPr>
      </w:pPr>
      <w:r>
        <w:rPr>
          <w:rFonts w:ascii="Arial" w:cs="Arial" w:eastAsia="Arial" w:hAnsi="Arial"/>
          <w:sz w:val="16"/>
          <w:szCs w:val="16"/>
          <w:b w:val="1"/>
          <w:bCs w:val="1"/>
          <w:color w:val="auto"/>
        </w:rPr>
        <w:t>Affiliate Transactions</w:t>
      </w:r>
      <w:r>
        <w:rPr>
          <w:rFonts w:ascii="Arial" w:cs="Arial" w:eastAsia="Arial" w:hAnsi="Arial"/>
          <w:sz w:val="16"/>
          <w:szCs w:val="16"/>
          <w:color w:val="auto"/>
        </w:rPr>
        <w:t>. Notwithstanding the foregoing, Landlord’s consent to a sublease to any entity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Tenant (each, an “</w:t>
      </w:r>
      <w:r>
        <w:rPr>
          <w:rFonts w:ascii="Arial" w:cs="Arial" w:eastAsia="Arial" w:hAnsi="Arial"/>
          <w:sz w:val="16"/>
          <w:szCs w:val="16"/>
          <w:b w:val="1"/>
          <w:bCs w:val="1"/>
          <w:color w:val="auto"/>
        </w:rPr>
        <w:t>Affiliate</w:t>
      </w:r>
      <w:r>
        <w:rPr>
          <w:rFonts w:ascii="Arial" w:cs="Arial" w:eastAsia="Arial" w:hAnsi="Arial"/>
          <w:sz w:val="16"/>
          <w:szCs w:val="16"/>
          <w:color w:val="auto"/>
        </w:rPr>
        <w:t>” and collectively “Affiliates”) shall not be required, provided that Landlord shall have the right to approve the form of any such sublease, such approval not to be unreasonably withheld, conditioned or delayed. In addition, Tenant shall have the right to assign this Lease, upon 10 days’ prior written notice to Landlord but without obtaining Landlord’s prior written consent, to an Affiliate or to a corporation or other entity which is a successor in interest to Tenant, by way of merger, consolidation or corporate reorganization, or by the purchase of all or substantially all of the assets or the ownership interests of Tenant provided that: (A) in the case of an assignment to a successor in interest, such merger, consolidation, reorganization or purchase, as the case may be, is for a good business purpose and not principally for the purpose of transferring the Lease; and (B) in all events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xml:space="preserve">”)) of the Affiliate assignee or successor in interest to Tenant is not less than the net worth (as determined in accordance with GAAP) of Tenant as of the date of Tenant’s most current quarterly or annual financial statements as delivered under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or filed with the Securities and Exchange Commission; and</w:t>
      </w:r>
    </w:p>
    <w:p>
      <w:pPr>
        <w:spacing w:after="0" w:line="1" w:lineRule="exact"/>
        <w:rPr>
          <w:rFonts w:ascii="Arial" w:cs="Arial" w:eastAsia="Arial" w:hAnsi="Arial"/>
          <w:sz w:val="16"/>
          <w:szCs w:val="16"/>
          <w:color w:val="auto"/>
        </w:rPr>
      </w:pPr>
    </w:p>
    <w:p>
      <w:pPr>
        <w:jc w:val="both"/>
        <w:ind w:left="460" w:right="220" w:firstLine="4"/>
        <w:spacing w:after="0" w:line="255" w:lineRule="auto"/>
        <w:tabs>
          <w:tab w:leader="none" w:pos="74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such Affiliate assignee or successor-in-interest to Tenant shall agree in writing to assume all of the terms, covenants and conditions of this Lease (an assignment of this Lease to an Affiliate assignee or a successor-in-interest in accordance with this paragraph is referred to herein as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86995</wp:posOffset>
            </wp:positionV>
            <wp:extent cx="2418080" cy="514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495" w:name="page496"/>
    <w:bookmarkEnd w:id="495"/>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103" w:lineRule="exact"/>
        <w:rPr>
          <w:sz w:val="20"/>
          <w:szCs w:val="20"/>
          <w:color w:val="auto"/>
        </w:rPr>
      </w:pPr>
    </w:p>
    <w:p>
      <w:pPr>
        <w:ind w:left="460" w:right="120" w:firstLine="443"/>
        <w:spacing w:after="0" w:line="257" w:lineRule="auto"/>
        <w:tabs>
          <w:tab w:leader="none" w:pos="111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80" w:lineRule="exact"/>
        <w:rPr>
          <w:rFonts w:ascii="Arial" w:cs="Arial" w:eastAsia="Arial" w:hAnsi="Arial"/>
          <w:sz w:val="18"/>
          <w:szCs w:val="18"/>
          <w:color w:val="auto"/>
        </w:rPr>
      </w:pPr>
    </w:p>
    <w:p>
      <w:pPr>
        <w:ind w:left="460" w:right="20" w:firstLine="443"/>
        <w:spacing w:after="0" w:line="270" w:lineRule="auto"/>
        <w:tabs>
          <w:tab w:leader="none" w:pos="116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65" w:lineRule="exact"/>
        <w:rPr>
          <w:rFonts w:ascii="Arial" w:cs="Arial" w:eastAsia="Arial" w:hAnsi="Arial"/>
          <w:sz w:val="17"/>
          <w:szCs w:val="17"/>
          <w:color w:val="auto"/>
        </w:rPr>
      </w:pPr>
    </w:p>
    <w:p>
      <w:pPr>
        <w:ind w:firstLine="921"/>
        <w:spacing w:after="0" w:line="270" w:lineRule="auto"/>
        <w:tabs>
          <w:tab w:leader="none" w:pos="1168" w:val="left"/>
        </w:tabs>
        <w:numPr>
          <w:ilvl w:val="1"/>
          <w:numId w:val="382"/>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Except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(such excess, the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65" w:lineRule="exact"/>
        <w:rPr>
          <w:rFonts w:ascii="Arial" w:cs="Arial" w:eastAsia="Arial" w:hAnsi="Arial"/>
          <w:sz w:val="17"/>
          <w:szCs w:val="17"/>
          <w:color w:val="auto"/>
        </w:rPr>
      </w:pPr>
    </w:p>
    <w:p>
      <w:pPr>
        <w:ind w:right="120" w:firstLine="921"/>
        <w:spacing w:after="0" w:line="258" w:lineRule="auto"/>
        <w:tabs>
          <w:tab w:leader="none" w:pos="1157" w:val="left"/>
        </w:tabs>
        <w:numPr>
          <w:ilvl w:val="1"/>
          <w:numId w:val="382"/>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85725</wp:posOffset>
            </wp:positionV>
            <wp:extent cx="2418080" cy="514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6" w:name="page497"/>
    <w:bookmarkEnd w:id="496"/>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24</w:t>
      </w:r>
    </w:p>
    <w:p>
      <w:pPr>
        <w:spacing w:after="0" w:line="158" w:lineRule="exact"/>
        <w:rPr>
          <w:sz w:val="20"/>
          <w:szCs w:val="20"/>
          <w:color w:val="auto"/>
        </w:rPr>
      </w:pPr>
    </w:p>
    <w:p>
      <w:pPr>
        <w:ind w:firstLine="464"/>
        <w:spacing w:after="0" w:line="271"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 statement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to the best of Tenant’s knowledge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66" w:lineRule="exact"/>
        <w:rPr>
          <w:rFonts w:ascii="Arial" w:cs="Arial" w:eastAsia="Arial" w:hAnsi="Arial"/>
          <w:sz w:val="17"/>
          <w:szCs w:val="17"/>
          <w:color w:val="auto"/>
        </w:rPr>
      </w:pPr>
    </w:p>
    <w:p>
      <w:pPr>
        <w:ind w:right="80" w:firstLine="464"/>
        <w:spacing w:after="0" w:line="266" w:lineRule="auto"/>
        <w:tabs>
          <w:tab w:leader="none" w:pos="726"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Lease, at all times during the Term, have peaceful and quiet enjoyment of the Premises against any person claiming by, through or under Landlord.</w:t>
      </w:r>
    </w:p>
    <w:p>
      <w:pPr>
        <w:spacing w:after="0" w:line="68" w:lineRule="exact"/>
        <w:rPr>
          <w:rFonts w:ascii="Arial" w:cs="Arial" w:eastAsia="Arial" w:hAnsi="Arial"/>
          <w:sz w:val="18"/>
          <w:szCs w:val="18"/>
          <w:color w:val="auto"/>
        </w:rPr>
      </w:pPr>
    </w:p>
    <w:p>
      <w:pPr>
        <w:ind w:left="740" w:hanging="276"/>
        <w:spacing w:after="0"/>
        <w:tabs>
          <w:tab w:leader="none" w:pos="740"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128" w:lineRule="exact"/>
        <w:rPr>
          <w:rFonts w:ascii="Arial" w:cs="Arial" w:eastAsia="Arial" w:hAnsi="Arial"/>
          <w:sz w:val="17"/>
          <w:szCs w:val="17"/>
          <w:color w:val="auto"/>
        </w:rPr>
      </w:pPr>
    </w:p>
    <w:p>
      <w:pPr>
        <w:ind w:right="240" w:firstLine="464"/>
        <w:spacing w:after="0" w:line="277"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or portion thereof of which the Premises are a part. The current rules and regulations are attached hereto as </w:t>
      </w:r>
      <w:r>
        <w:rPr>
          <w:rFonts w:ascii="Arial" w:cs="Arial" w:eastAsia="Arial" w:hAnsi="Arial"/>
          <w:sz w:val="17"/>
          <w:szCs w:val="17"/>
          <w:b w:val="1"/>
          <w:bCs w:val="1"/>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60" w:lineRule="exact"/>
        <w:rPr>
          <w:rFonts w:ascii="Arial" w:cs="Arial" w:eastAsia="Arial" w:hAnsi="Arial"/>
          <w:sz w:val="17"/>
          <w:szCs w:val="17"/>
          <w:color w:val="auto"/>
        </w:rPr>
      </w:pPr>
    </w:p>
    <w:p>
      <w:pPr>
        <w:ind w:right="100" w:firstLine="464"/>
        <w:spacing w:after="0" w:line="269"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Subordination</w:t>
      </w:r>
      <w:r>
        <w:rPr>
          <w:rFonts w:ascii="Arial" w:cs="Arial" w:eastAsia="Arial" w:hAnsi="Arial"/>
          <w:sz w:val="17"/>
          <w:szCs w:val="17"/>
          <w:color w:val="auto"/>
        </w:rPr>
        <w:t>. This Lease and Tenant’s interest and rights hereunder are hereby made and shall be subject and subordinate at all times to the lien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Mortgage now existing or hereafter created on or against the Project, Property, Building or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7"/>
          <w:szCs w:val="17"/>
          <w:b w:val="1"/>
          <w:bCs w:val="1"/>
          <w:color w:val="auto"/>
        </w:rPr>
        <w:t>Mortgage</w:t>
      </w:r>
      <w:r>
        <w:rPr>
          <w:rFonts w:ascii="Arial" w:cs="Arial" w:eastAsia="Arial" w:hAnsi="Arial"/>
          <w:sz w:val="17"/>
          <w:szCs w:val="17"/>
          <w:color w:val="auto"/>
        </w:rPr>
        <w:t>” whenever used in this Lease shall be deemed to include deeds of trust, security assignments, ground leases or other superior leases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w:t>
      </w:r>
    </w:p>
    <w:p>
      <w:pPr>
        <w:spacing w:after="0" w:line="68" w:lineRule="exact"/>
        <w:rPr>
          <w:rFonts w:ascii="Arial" w:cs="Arial" w:eastAsia="Arial" w:hAnsi="Arial"/>
          <w:sz w:val="17"/>
          <w:szCs w:val="17"/>
          <w:color w:val="auto"/>
        </w:rPr>
      </w:pPr>
    </w:p>
    <w:p>
      <w:pPr>
        <w:ind w:right="120" w:firstLine="464"/>
        <w:spacing w:after="0" w:line="281"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Surrender</w:t>
      </w:r>
      <w:r>
        <w:rPr>
          <w:rFonts w:ascii="Arial" w:cs="Arial" w:eastAsia="Arial" w:hAnsi="Arial"/>
          <w:sz w:val="17"/>
          <w:szCs w:val="17"/>
          <w:color w:val="auto"/>
        </w:rPr>
        <w:t>. Upon the expiration of the Term or earlier termination of Tenant’s right of possession, Tenant shall surrender the Premises to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broom clean, ordinary wear and tear and casualty loss and condemnation covered by </w:t>
      </w:r>
      <w:r>
        <w:rPr>
          <w:rFonts w:ascii="Arial" w:cs="Arial" w:eastAsia="Arial" w:hAnsi="Arial"/>
          <w:sz w:val="17"/>
          <w:szCs w:val="17"/>
          <w:u w:val="single" w:color="auto"/>
          <w:color w:val="auto"/>
        </w:rPr>
        <w:t>Sections 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w:t>
      </w:r>
      <w:r>
        <w:rPr>
          <w:rFonts w:ascii="Arial" w:cs="Arial" w:eastAsia="Arial" w:hAnsi="Arial"/>
          <w:sz w:val="17"/>
          <w:szCs w:val="17"/>
          <w:color w:val="auto"/>
        </w:rPr>
        <w:t xml:space="preserve">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73660</wp:posOffset>
            </wp:positionV>
            <wp:extent cx="2418080" cy="514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7" w:name="page498"/>
    <w:bookmarkEnd w:id="497"/>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25</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Building, restrooms or all or any portion of the Premises, Building or Project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54" w:lineRule="exact"/>
        <w:rPr>
          <w:sz w:val="20"/>
          <w:szCs w:val="20"/>
          <w:color w:val="auto"/>
        </w:rPr>
      </w:pPr>
    </w:p>
    <w:p>
      <w:pPr>
        <w:ind w:right="100" w:firstLine="464"/>
        <w:spacing w:after="0" w:line="261" w:lineRule="auto"/>
        <w:tabs>
          <w:tab w:leader="none" w:pos="726"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1" w:lineRule="exact"/>
        <w:rPr>
          <w:rFonts w:ascii="Arial" w:cs="Arial" w:eastAsia="Arial" w:hAnsi="Arial"/>
          <w:sz w:val="18"/>
          <w:szCs w:val="18"/>
          <w:color w:val="auto"/>
        </w:rPr>
      </w:pPr>
    </w:p>
    <w:p>
      <w:pPr>
        <w:ind w:left="740" w:hanging="276"/>
        <w:spacing w:after="0"/>
        <w:tabs>
          <w:tab w:leader="none" w:pos="74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85" w:lineRule="auto"/>
        <w:tabs>
          <w:tab w:leader="none" w:pos="1157" w:val="left"/>
        </w:tabs>
        <w:numPr>
          <w:ilvl w:val="1"/>
          <w:numId w:val="384"/>
        </w:numPr>
        <w:rPr>
          <w:rFonts w:ascii="Arial" w:cs="Arial" w:eastAsia="Arial" w:hAnsi="Arial"/>
          <w:sz w:val="16"/>
          <w:szCs w:val="16"/>
          <w:color w:val="auto"/>
        </w:rPr>
      </w:pPr>
      <w:r>
        <w:rPr>
          <w:rFonts w:ascii="Arial" w:cs="Arial" w:eastAsia="Arial" w:hAnsi="Arial"/>
          <w:sz w:val="16"/>
          <w:szCs w:val="16"/>
          <w:b w:val="1"/>
          <w:bCs w:val="1"/>
          <w:color w:val="auto"/>
        </w:rPr>
        <w:t>Prohibition/Compliance</w:t>
      </w:r>
      <w:r>
        <w:rPr>
          <w:rFonts w:ascii="Arial" w:cs="Arial" w:eastAsia="Arial" w:hAnsi="Arial"/>
          <w:sz w:val="16"/>
          <w:szCs w:val="16"/>
          <w:color w:val="auto"/>
        </w:rPr>
        <w:t>. Except for Hazardous Material contained in products customarily used by tenants in de minimis quantities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cleaning and office purposes, Tenant shall not permit or cause any party to bring any Hazardous Material upon the Premises, Building, Property or Project or use, store, handle, treat, generate, manufacture, transport, release or dispose of any Hazardous Material in, on or from the Premises or the Project without Landlord’s prior written consent which may be withheld in Landlord’s sole discretion. Tenant, at its sole cost and expense, shall operate its business in the Premises in strict compliance with all Environmental Requirements and shall remove or remediate in a manner satisfactory to Landlord any Hazardous Materials released on or from the Premises, Building, Property or Project by Tenant or any Tenant Party. Tenant shall complete and certify disclosure statements as requested by Landlord from time to time relating to Tenant’s use, storage, handling, treatment, generation, manufacture, transportation, release or disposal of Hazardous Materials on or from the Premises.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 ordinances, rules, codes, judgments, orders or other similar enactments of any Governmental Authority regulating or relating to health, safety, or environmental conditions on, under, or about the Premises, Building, Property or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67" w:lineRule="exact"/>
        <w:rPr>
          <w:rFonts w:ascii="Arial" w:cs="Arial" w:eastAsia="Arial" w:hAnsi="Arial"/>
          <w:sz w:val="16"/>
          <w:szCs w:val="16"/>
          <w:color w:val="auto"/>
        </w:rPr>
      </w:pPr>
    </w:p>
    <w:p>
      <w:pPr>
        <w:ind w:right="20" w:firstLine="921"/>
        <w:spacing w:after="0" w:line="313" w:lineRule="auto"/>
        <w:tabs>
          <w:tab w:leader="none" w:pos="1168" w:val="left"/>
        </w:tabs>
        <w:numPr>
          <w:ilvl w:val="1"/>
          <w:numId w:val="384"/>
        </w:numPr>
        <w:rPr>
          <w:rFonts w:ascii="Arial" w:cs="Arial" w:eastAsia="Arial" w:hAnsi="Arial"/>
          <w:sz w:val="17"/>
          <w:szCs w:val="17"/>
          <w:color w:val="auto"/>
        </w:rPr>
      </w:pPr>
      <w:r>
        <w:rPr>
          <w:rFonts w:ascii="Arial" w:cs="Arial" w:eastAsia="Arial" w:hAnsi="Arial"/>
          <w:sz w:val="17"/>
          <w:szCs w:val="17"/>
          <w:b w:val="1"/>
          <w:bCs w:val="1"/>
          <w:color w:val="auto"/>
        </w:rPr>
        <w:t>Indemnity</w:t>
      </w:r>
      <w:r>
        <w:rPr>
          <w:rFonts w:ascii="Arial" w:cs="Arial" w:eastAsia="Arial" w:hAnsi="Arial"/>
          <w:sz w:val="17"/>
          <w:szCs w:val="17"/>
          <w:color w:val="auto"/>
        </w:rPr>
        <w:t>. Tenant hereby indemnifies and shall defend and hold Landlord, its officers, directors, employees, agents and contractors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and all actions (including, without limitation, remedial or enforcement actions of any kind, administrative or judicial proceedings,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56515</wp:posOffset>
            </wp:positionV>
            <wp:extent cx="2418080" cy="514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8" w:name="page499"/>
    <w:bookmarkEnd w:id="498"/>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26</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orders or judgments arising out of or resulting therefrom), costs, claims, damages (including, without limitation, punitive damages and damages based upon diminution in value of the Premises, Building, Property or Project, or the loss of, or restriction on, use of the Premises or any portion of the Building, Property or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which arise during or after the Term as a result of such contamination or breach by Tenant of its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of Landlord by Tenant includes, without limitation, costs incurred in connection with any investigation of site conditions or any cleanup,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w:t>
      </w:r>
      <w:r>
        <w:rPr>
          <w:rFonts w:ascii="Arial" w:cs="Arial" w:eastAsia="Arial" w:hAnsi="Arial"/>
          <w:sz w:val="16"/>
          <w:szCs w:val="16"/>
          <w:b w:val="1"/>
          <w:bCs w:val="1"/>
          <w:color w:val="auto"/>
        </w:rPr>
        <w:t>,</w:t>
      </w:r>
      <w:r>
        <w:rPr>
          <w:rFonts w:ascii="Arial" w:cs="Arial" w:eastAsia="Arial" w:hAnsi="Arial"/>
          <w:sz w:val="16"/>
          <w:szCs w:val="16"/>
          <w:color w:val="auto"/>
        </w:rPr>
        <w:t xml:space="preserve"> Building, Property, Project or any adjacent property caused or permitted by Tenant or any Tenant Party results in any contamination of the Premises, Building, Property, Project or any adjacent property, Tenant shall promptly take all actions at its sole expense and in accordance with applicable law as are necessary to return the Premises, Building, Property,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Building, Property or Project. Notwithstanding anything to the contrary contained in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and the indemnification and hold harmless obligation set forth in this paragraph shall not apply to</w:t>
      </w:r>
    </w:p>
    <w:p>
      <w:pPr>
        <w:spacing w:after="0" w:line="1" w:lineRule="exact"/>
        <w:rPr>
          <w:sz w:val="20"/>
          <w:szCs w:val="20"/>
          <w:color w:val="auto"/>
        </w:rPr>
      </w:pPr>
    </w:p>
    <w:p>
      <w:pPr>
        <w:ind w:right="40" w:firstLine="8"/>
        <w:spacing w:after="0" w:line="273" w:lineRule="auto"/>
        <w:tabs>
          <w:tab w:leader="none" w:pos="21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contamination in the Premises which Tenant can prove existed in the Premises immediately prior to the Commencement Date, (ii) the presence of any Hazardous Materials in the Premises which Tenant can prove migrated from outside of the Premises into the Premises, or (iii) contamination caused by Landlord or any of Landlord’s employees, agents and contractors, unless in any case, the presence of such Hazardous Materials (x) is the result of a breach by Tenant of any of its obligations under this Lease, or (y) was caused, contributed to or exacerbated by Tenant or any Tenant Party.</w:t>
      </w:r>
    </w:p>
    <w:p>
      <w:pPr>
        <w:spacing w:after="0" w:line="64" w:lineRule="exact"/>
        <w:rPr>
          <w:rFonts w:ascii="Arial" w:cs="Arial" w:eastAsia="Arial" w:hAnsi="Arial"/>
          <w:sz w:val="17"/>
          <w:szCs w:val="17"/>
          <w:color w:val="auto"/>
        </w:rPr>
      </w:pPr>
    </w:p>
    <w:p>
      <w:pPr>
        <w:ind w:right="20" w:firstLine="921"/>
        <w:spacing w:after="0" w:line="290" w:lineRule="auto"/>
        <w:tabs>
          <w:tab w:leader="none" w:pos="1157"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Landlord’s Tests</w:t>
      </w:r>
      <w:r>
        <w:rPr>
          <w:rFonts w:ascii="Arial" w:cs="Arial" w:eastAsia="Arial" w:hAnsi="Arial"/>
          <w:sz w:val="16"/>
          <w:szCs w:val="16"/>
          <w:color w:val="auto"/>
        </w:rPr>
        <w:t>. Landlord shall have access to, and a right to perform inspections and tests of, the Premises to determine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compliance with Environmental Requirements, its obligations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or the environmental condition of the Premises, Building, Property or Project. In connection with such testing, upon the request of Landlord, Tenant shall deliver to Landlord or its consultant such non-proprietary information concerning the use of Hazardous Materials in or about the Premises by Tenant or any Tenant Party.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that Landlord may have against Tenant.</w:t>
      </w:r>
    </w:p>
    <w:p>
      <w:pPr>
        <w:spacing w:after="0" w:line="51" w:lineRule="exact"/>
        <w:rPr>
          <w:rFonts w:ascii="Arial" w:cs="Arial" w:eastAsia="Arial" w:hAnsi="Arial"/>
          <w:sz w:val="16"/>
          <w:szCs w:val="16"/>
          <w:color w:val="auto"/>
        </w:rPr>
      </w:pPr>
    </w:p>
    <w:p>
      <w:pPr>
        <w:ind w:right="100" w:firstLine="921"/>
        <w:spacing w:after="0" w:line="277" w:lineRule="auto"/>
        <w:tabs>
          <w:tab w:leader="none" w:pos="1168" w:val="left"/>
        </w:tabs>
        <w:numPr>
          <w:ilvl w:val="1"/>
          <w:numId w:val="385"/>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75565</wp:posOffset>
            </wp:positionV>
            <wp:extent cx="2418080" cy="514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9" w:name="page500"/>
    <w:bookmarkEnd w:id="499"/>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27</w:t>
      </w:r>
    </w:p>
    <w:p>
      <w:pPr>
        <w:spacing w:after="0" w:line="158" w:lineRule="exact"/>
        <w:rPr>
          <w:sz w:val="20"/>
          <w:szCs w:val="20"/>
          <w:color w:val="auto"/>
        </w:rPr>
      </w:pPr>
    </w:p>
    <w:p>
      <w:pPr>
        <w:ind w:left="1160" w:hanging="239"/>
        <w:spacing w:after="0"/>
        <w:tabs>
          <w:tab w:leader="none" w:pos="1160" w:val="left"/>
        </w:tabs>
        <w:numPr>
          <w:ilvl w:val="1"/>
          <w:numId w:val="386"/>
        </w:numPr>
        <w:rPr>
          <w:rFonts w:ascii="Arial" w:cs="Arial" w:eastAsia="Arial" w:hAnsi="Arial"/>
          <w:sz w:val="18"/>
          <w:szCs w:val="18"/>
          <w:color w:val="auto"/>
        </w:rPr>
      </w:pPr>
      <w:r>
        <w:rPr>
          <w:rFonts w:ascii="Arial" w:cs="Arial" w:eastAsia="Arial" w:hAnsi="Arial"/>
          <w:sz w:val="18"/>
          <w:szCs w:val="18"/>
          <w:b w:val="1"/>
          <w:bCs w:val="1"/>
          <w:color w:val="auto"/>
        </w:rPr>
        <w:t>Asbestos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500" w:firstLine="443"/>
        <w:spacing w:after="0" w:line="282" w:lineRule="auto"/>
        <w:tabs>
          <w:tab w:leader="none" w:pos="1113"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Notification of Asbestos</w:t>
      </w:r>
      <w:r>
        <w:rPr>
          <w:rFonts w:ascii="Arial" w:cs="Arial" w:eastAsia="Arial" w:hAnsi="Arial"/>
          <w:sz w:val="18"/>
          <w:szCs w:val="18"/>
          <w:color w:val="auto"/>
        </w:rPr>
        <w:t>. Landlord hereby notifies Tenant of the presence of asbestos-containing materials (“</w:t>
      </w:r>
      <w:r>
        <w:rPr>
          <w:rFonts w:ascii="Arial" w:cs="Arial" w:eastAsia="Arial" w:hAnsi="Arial"/>
          <w:sz w:val="18"/>
          <w:szCs w:val="18"/>
          <w:b w:val="1"/>
          <w:bCs w:val="1"/>
          <w:color w:val="auto"/>
        </w:rPr>
        <w:t>ACMs</w:t>
      </w:r>
      <w:r>
        <w:rPr>
          <w:rFonts w:ascii="Arial" w:cs="Arial" w:eastAsia="Arial" w:hAnsi="Arial"/>
          <w:sz w:val="18"/>
          <w:szCs w:val="18"/>
          <w:color w:val="auto"/>
        </w:rPr>
        <w:t>”) and/or presumed</w:t>
      </w:r>
      <w:r>
        <w:rPr>
          <w:rFonts w:ascii="Arial" w:cs="Arial" w:eastAsia="Arial" w:hAnsi="Arial"/>
          <w:sz w:val="18"/>
          <w:szCs w:val="18"/>
          <w:b w:val="1"/>
          <w:bCs w:val="1"/>
          <w:color w:val="auto"/>
        </w:rPr>
        <w:t xml:space="preserve"> </w:t>
      </w:r>
      <w:r>
        <w:rPr>
          <w:rFonts w:ascii="Arial" w:cs="Arial" w:eastAsia="Arial" w:hAnsi="Arial"/>
          <w:sz w:val="18"/>
          <w:szCs w:val="18"/>
          <w:color w:val="auto"/>
        </w:rPr>
        <w:t>asbestos-containing materials (“</w:t>
      </w:r>
      <w:r>
        <w:rPr>
          <w:rFonts w:ascii="Arial" w:cs="Arial" w:eastAsia="Arial" w:hAnsi="Arial"/>
          <w:sz w:val="18"/>
          <w:szCs w:val="18"/>
          <w:b w:val="1"/>
          <w:bCs w:val="1"/>
          <w:color w:val="auto"/>
        </w:rPr>
        <w:t>PACMs</w:t>
      </w:r>
      <w:r>
        <w:rPr>
          <w:rFonts w:ascii="Arial" w:cs="Arial" w:eastAsia="Arial" w:hAnsi="Arial"/>
          <w:sz w:val="18"/>
          <w:szCs w:val="18"/>
          <w:color w:val="auto"/>
        </w:rPr>
        <w:t xml:space="preserve">”) within or about the Premises in the locations identified in </w:t>
      </w:r>
      <w:r>
        <w:rPr>
          <w:rFonts w:ascii="Arial" w:cs="Arial" w:eastAsia="Arial" w:hAnsi="Arial"/>
          <w:sz w:val="18"/>
          <w:szCs w:val="18"/>
          <w:b w:val="1"/>
          <w:bCs w:val="1"/>
          <w:color w:val="auto"/>
        </w:rPr>
        <w:t>Exhibit G</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460" w:right="80" w:firstLine="443"/>
        <w:spacing w:after="0" w:line="314" w:lineRule="auto"/>
        <w:tabs>
          <w:tab w:leader="none" w:pos="1163"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Tenant Acknowledgement</w:t>
      </w:r>
      <w:r>
        <w:rPr>
          <w:rFonts w:ascii="Arial" w:cs="Arial" w:eastAsia="Arial" w:hAnsi="Arial"/>
          <w:sz w:val="16"/>
          <w:szCs w:val="16"/>
          <w:color w:val="auto"/>
        </w:rPr>
        <w:t>. Tenant hereby acknowledges receipt of the notification in paragraph (i)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30(e)</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understand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such notification is to make Tenant, and any agents, employees, and contractors of Tenant, aware of the presence of ACMs and/or PACMs within or about the Building in order to avoid or minimize any damage to or disturbance of such ACMs and/or PACMs.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83185</wp:posOffset>
            </wp:positionV>
            <wp:extent cx="151765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Tenant’s Initials</w:t>
      </w:r>
    </w:p>
    <w:p>
      <w:pPr>
        <w:spacing w:after="0" w:line="113" w:lineRule="exact"/>
        <w:rPr>
          <w:sz w:val="20"/>
          <w:szCs w:val="20"/>
          <w:color w:val="auto"/>
        </w:rPr>
      </w:pPr>
    </w:p>
    <w:p>
      <w:pPr>
        <w:ind w:left="460" w:right="80" w:firstLine="443"/>
        <w:spacing w:after="0" w:line="284" w:lineRule="auto"/>
        <w:tabs>
          <w:tab w:leader="none" w:pos="1213" w:val="left"/>
        </w:tabs>
        <w:numPr>
          <w:ilvl w:val="1"/>
          <w:numId w:val="388"/>
        </w:numPr>
        <w:rPr>
          <w:rFonts w:ascii="Arial" w:cs="Arial" w:eastAsia="Arial" w:hAnsi="Arial"/>
          <w:sz w:val="16"/>
          <w:szCs w:val="16"/>
          <w:color w:val="auto"/>
        </w:rPr>
      </w:pPr>
      <w:r>
        <w:rPr>
          <w:rFonts w:ascii="Arial" w:cs="Arial" w:eastAsia="Arial" w:hAnsi="Arial"/>
          <w:sz w:val="16"/>
          <w:szCs w:val="16"/>
          <w:b w:val="1"/>
          <w:bCs w:val="1"/>
          <w:color w:val="auto"/>
        </w:rPr>
        <w:t>Acknowledgement from Contractors/Employees</w:t>
      </w:r>
      <w:r>
        <w:rPr>
          <w:rFonts w:ascii="Arial" w:cs="Arial" w:eastAsia="Arial" w:hAnsi="Arial"/>
          <w:sz w:val="16"/>
          <w:szCs w:val="16"/>
          <w:color w:val="auto"/>
        </w:rPr>
        <w:t>. Tenant shall give Landlord at least 14 days’ prior written notice before conducting,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authorizing or permitting any of the activities listed below 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 Thereafter, Tenant shall grant Landlord reasonable access to the Premises to determine whether any ACMs or PACMs will be disturbed in connection with such activities. Tenant shall not solicit bids from any person for the performance of such activities without Landlord’s prior written approval.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prior to the commencement of such activities. Nothing in this</w:t>
      </w:r>
    </w:p>
    <w:p>
      <w:pPr>
        <w:spacing w:after="0" w:line="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30(e)</w:t>
      </w:r>
      <w:r>
        <w:rPr>
          <w:rFonts w:ascii="Arial" w:cs="Arial" w:eastAsia="Arial" w:hAnsi="Arial"/>
          <w:sz w:val="18"/>
          <w:szCs w:val="18"/>
          <w:color w:val="auto"/>
        </w:rPr>
        <w:t xml:space="preserve"> shall be deemed to expand Tenant’s rights under the Lease or otherwise to conduct, authorize or permit any such activities.</w:t>
      </w:r>
    </w:p>
    <w:p>
      <w:pPr>
        <w:spacing w:after="0" w:line="98" w:lineRule="exact"/>
        <w:rPr>
          <w:rFonts w:ascii="Arial" w:cs="Arial" w:eastAsia="Arial" w:hAnsi="Arial"/>
          <w:sz w:val="16"/>
          <w:szCs w:val="16"/>
          <w:color w:val="auto"/>
        </w:rPr>
      </w:pPr>
    </w:p>
    <w:p>
      <w:pPr>
        <w:ind w:left="920" w:right="620" w:firstLine="421"/>
        <w:spacing w:after="0" w:line="282" w:lineRule="auto"/>
        <w:tabs>
          <w:tab w:leader="none" w:pos="1635" w:val="left"/>
        </w:tabs>
        <w:numPr>
          <w:ilvl w:val="2"/>
          <w:numId w:val="388"/>
        </w:numPr>
        <w:rPr>
          <w:rFonts w:ascii="Arial" w:cs="Arial" w:eastAsia="Arial" w:hAnsi="Arial"/>
          <w:sz w:val="18"/>
          <w:szCs w:val="18"/>
          <w:color w:val="auto"/>
        </w:rPr>
      </w:pPr>
      <w:r>
        <w:rPr>
          <w:rFonts w:ascii="Arial" w:cs="Arial" w:eastAsia="Arial" w:hAnsi="Arial"/>
          <w:sz w:val="18"/>
          <w:szCs w:val="18"/>
          <w:color w:val="auto"/>
        </w:rPr>
        <w:t>Removal of thermal system insulation (“</w:t>
      </w:r>
      <w:r>
        <w:rPr>
          <w:rFonts w:ascii="Arial" w:cs="Arial" w:eastAsia="Arial" w:hAnsi="Arial"/>
          <w:sz w:val="18"/>
          <w:szCs w:val="18"/>
          <w:b w:val="1"/>
          <w:bCs w:val="1"/>
          <w:color w:val="auto"/>
        </w:rPr>
        <w:t>TSI</w:t>
      </w:r>
      <w:r>
        <w:rPr>
          <w:rFonts w:ascii="Arial" w:cs="Arial" w:eastAsia="Arial" w:hAnsi="Arial"/>
          <w:sz w:val="18"/>
          <w:szCs w:val="18"/>
          <w:color w:val="auto"/>
        </w:rPr>
        <w:t>”) and surfacing ACMs and PACMs (i.e., sprayed-on or troweled-on material, e.g., textured ceiling paint or fireproofing material);</w:t>
      </w:r>
    </w:p>
    <w:p>
      <w:pPr>
        <w:spacing w:after="0" w:line="57" w:lineRule="exact"/>
        <w:rPr>
          <w:rFonts w:ascii="Arial" w:cs="Arial" w:eastAsia="Arial" w:hAnsi="Arial"/>
          <w:sz w:val="18"/>
          <w:szCs w:val="18"/>
          <w:color w:val="auto"/>
        </w:rPr>
      </w:pPr>
    </w:p>
    <w:p>
      <w:pPr>
        <w:ind w:left="1620" w:hanging="279"/>
        <w:spacing w:after="0"/>
        <w:tabs>
          <w:tab w:leader="none" w:pos="162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Removal of ACMs or PACMs that are not TSI or surfacing ACMs or PACMs;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Repair and maintenance of operations that are likely to disturb ACMs or PACMs.</w:t>
      </w:r>
    </w:p>
    <w:p>
      <w:pPr>
        <w:spacing w:after="0" w:line="113" w:lineRule="exact"/>
        <w:rPr>
          <w:rFonts w:ascii="Arial" w:cs="Arial" w:eastAsia="Arial" w:hAnsi="Arial"/>
          <w:sz w:val="18"/>
          <w:szCs w:val="18"/>
          <w:color w:val="auto"/>
        </w:rPr>
      </w:pPr>
    </w:p>
    <w:p>
      <w:pPr>
        <w:ind w:right="100" w:firstLine="464"/>
        <w:spacing w:after="0" w:line="290" w:lineRule="auto"/>
        <w:tabs>
          <w:tab w:leader="none" w:pos="726" w:val="left"/>
        </w:tabs>
        <w:numPr>
          <w:ilvl w:val="0"/>
          <w:numId w:val="389"/>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(to the extent that Tenant has received notice of the same) and Tenant shall offer such Holder and/or landlord a reasonable opportunity to cure the default, including time to obtain possession of the Project, or portion thereof of which the Premises are a part,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70485</wp:posOffset>
            </wp:positionV>
            <wp:extent cx="2418080" cy="514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0" w:name="page501"/>
    <w:bookmarkEnd w:id="500"/>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28</w:t>
      </w:r>
    </w:p>
    <w:p>
      <w:pPr>
        <w:spacing w:after="0" w:line="1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ind w:right="20" w:firstLine="464"/>
        <w:spacing w:after="0" w:line="288" w:lineRule="auto"/>
        <w:tabs>
          <w:tab w:leader="none" w:pos="726" w:val="left"/>
        </w:tabs>
        <w:numPr>
          <w:ilvl w:val="0"/>
          <w:numId w:val="390"/>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to make such repairs as may be required or permitted pursuant to this Lease and for any other reasonable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Building or Property stating the Premises or Building are available to let or that the Building, Property or Project is available for sale. Landlord may grant easements, make public dedications, designate Common Areas and create restrictions on or about the Premises, Building and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64" w:lineRule="exact"/>
        <w:rPr>
          <w:rFonts w:ascii="Arial" w:cs="Arial" w:eastAsia="Arial" w:hAnsi="Arial"/>
          <w:sz w:val="16"/>
          <w:szCs w:val="16"/>
          <w:color w:val="auto"/>
        </w:rPr>
      </w:pPr>
    </w:p>
    <w:p>
      <w:pPr>
        <w:ind w:right="40" w:firstLine="464"/>
        <w:spacing w:after="0" w:line="295" w:lineRule="auto"/>
        <w:tabs>
          <w:tab w:leader="none" w:pos="726" w:val="left"/>
        </w:tabs>
        <w:numPr>
          <w:ilvl w:val="0"/>
          <w:numId w:val="390"/>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 instances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Building, Property and/or Project. Tenant shall at Tenant’s cost obtain insurance coverage to the extent Tenant desires protection against such criminal acts.</w:t>
      </w:r>
    </w:p>
    <w:p>
      <w:pPr>
        <w:spacing w:after="0" w:line="155" w:lineRule="exact"/>
        <w:rPr>
          <w:rFonts w:ascii="Arial" w:cs="Arial" w:eastAsia="Arial" w:hAnsi="Arial"/>
          <w:sz w:val="16"/>
          <w:szCs w:val="16"/>
          <w:color w:val="auto"/>
        </w:rPr>
      </w:pPr>
    </w:p>
    <w:p>
      <w:pPr>
        <w:ind w:right="40" w:firstLine="464"/>
        <w:spacing w:after="0" w:line="274" w:lineRule="auto"/>
        <w:tabs>
          <w:tab w:leader="none" w:pos="726"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Except for the payment of Rent, neither Landlord nor Tenant shall be held responsible or liable for delays in the performance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20" w:firstLine="464"/>
        <w:spacing w:after="0" w:line="295" w:lineRule="auto"/>
        <w:tabs>
          <w:tab w:leader="none" w:pos="726" w:val="left"/>
        </w:tabs>
        <w:numPr>
          <w:ilvl w:val="0"/>
          <w:numId w:val="390"/>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this transaction and that no Broker brought about this transaction, other than Colliers International and NKF. Landlord and Tenant each hereby agree to indemnify and hold the other harmless from and against any claims by any Broker, other than the broker, if any named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claiming a commission or other form of compensation by virtue of having dealt with Tenant or Landlord, as applicable, with regard to this leasing transaction. Landlord shall be responsible for all commissions due to Colliers International and NKF arising out of the execution of this Lease in accordance with the terms of a separate written agreement between Landlord, on the one hand, and Colliers International and NKF,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67945</wp:posOffset>
            </wp:positionV>
            <wp:extent cx="2418080" cy="514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1" w:name="page502"/>
    <w:bookmarkEnd w:id="501"/>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29</w:t>
      </w:r>
    </w:p>
    <w:p>
      <w:pPr>
        <w:spacing w:after="0" w:line="158" w:lineRule="exact"/>
        <w:rPr>
          <w:sz w:val="20"/>
          <w:szCs w:val="20"/>
          <w:color w:val="auto"/>
        </w:rPr>
      </w:pPr>
    </w:p>
    <w:p>
      <w:pPr>
        <w:ind w:firstLine="464"/>
        <w:spacing w:after="0" w:line="268" w:lineRule="auto"/>
        <w:tabs>
          <w:tab w:leader="none" w:pos="726"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PROPERTY OR ANY PROCEEDS FROM SALE OR CONDEMNATION THEREOF AND ANY INSURANCE PROCEEDS PAYABLE IN RESPECT OF LANDLORD’S INTEREST IN THE PROPERTY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83" w:lineRule="exact"/>
        <w:rPr>
          <w:rFonts w:ascii="Arial" w:cs="Arial" w:eastAsia="Arial" w:hAnsi="Arial"/>
          <w:sz w:val="17"/>
          <w:szCs w:val="17"/>
          <w:color w:val="auto"/>
        </w:rPr>
      </w:pPr>
    </w:p>
    <w:p>
      <w:pPr>
        <w:ind w:right="40" w:firstLine="464"/>
        <w:spacing w:after="0" w:line="281" w:lineRule="auto"/>
        <w:tabs>
          <w:tab w:leader="none" w:pos="726"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 is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4" w:lineRule="exact"/>
        <w:rPr>
          <w:rFonts w:ascii="Arial" w:cs="Arial" w:eastAsia="Arial" w:hAnsi="Arial"/>
          <w:sz w:val="17"/>
          <w:szCs w:val="17"/>
          <w:color w:val="auto"/>
        </w:rPr>
      </w:pPr>
    </w:p>
    <w:p>
      <w:pPr>
        <w:ind w:right="80" w:firstLine="464"/>
        <w:spacing w:after="0" w:line="290" w:lineRule="auto"/>
        <w:tabs>
          <w:tab w:leader="none" w:pos="726"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discretion: (i) attach any awnings, exterior lights, decorations, balloons, flags, pennants, banners, painting or other projection to any outside wall of the Building,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Building, Property or Project any signs, notices, window or door lettering, placards, decorations, or advertising media of any type which can be viewed from the exterior of the Premises. Building standard signage in the lobby, on the floor on which the Premises is located and on the directory tablet shall be inscribed, painted or affixed for Tenant by Landlord, at Landlord’s cost,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59" w:lineRule="exact"/>
        <w:rPr>
          <w:rFonts w:ascii="Arial" w:cs="Arial" w:eastAsia="Arial" w:hAnsi="Arial"/>
          <w:sz w:val="16"/>
          <w:szCs w:val="16"/>
          <w:color w:val="auto"/>
        </w:rPr>
      </w:pPr>
    </w:p>
    <w:p>
      <w:pPr>
        <w:ind w:left="740" w:hanging="276"/>
        <w:spacing w:after="0"/>
        <w:tabs>
          <w:tab w:leader="none" w:pos="74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61" w:lineRule="auto"/>
        <w:tabs>
          <w:tab w:leader="none" w:pos="1157" w:val="left"/>
        </w:tabs>
        <w:numPr>
          <w:ilvl w:val="1"/>
          <w:numId w:val="391"/>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83185</wp:posOffset>
            </wp:positionV>
            <wp:extent cx="2418080" cy="514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2" w:name="page503"/>
    <w:bookmarkEnd w:id="50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30</w:t>
      </w:r>
    </w:p>
    <w:p>
      <w:pPr>
        <w:spacing w:after="0" w:line="158" w:lineRule="exact"/>
        <w:rPr>
          <w:sz w:val="20"/>
          <w:szCs w:val="20"/>
          <w:color w:val="auto"/>
        </w:rPr>
      </w:pPr>
    </w:p>
    <w:p>
      <w:pPr>
        <w:ind w:right="380" w:firstLine="921"/>
        <w:spacing w:after="0" w:line="282" w:lineRule="auto"/>
        <w:tabs>
          <w:tab w:leader="none" w:pos="1168"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53" w:lineRule="exact"/>
        <w:rPr>
          <w:rFonts w:ascii="Arial" w:cs="Arial" w:eastAsia="Arial" w:hAnsi="Arial"/>
          <w:sz w:val="18"/>
          <w:szCs w:val="18"/>
          <w:color w:val="auto"/>
        </w:rPr>
      </w:pPr>
    </w:p>
    <w:p>
      <w:pPr>
        <w:jc w:val="both"/>
        <w:ind w:right="300" w:firstLine="921"/>
        <w:spacing w:after="0" w:line="293" w:lineRule="auto"/>
        <w:tabs>
          <w:tab w:leader="none" w:pos="1157" w:val="left"/>
        </w:tabs>
        <w:numPr>
          <w:ilvl w:val="1"/>
          <w:numId w:val="392"/>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color w:val="auto"/>
        </w:rPr>
        <w:t>. Upon written request from Landlord, Tenant shall furnish Landlord with true and complete copies of (i)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 unaudited (or, if available, audited) annual financial statements within 90 days of the end of each of Tenant’s fiscal years during the Term, and</w:t>
      </w:r>
    </w:p>
    <w:p>
      <w:pPr>
        <w:spacing w:after="0" w:line="1" w:lineRule="exact"/>
        <w:rPr>
          <w:rFonts w:ascii="Arial" w:cs="Arial" w:eastAsia="Arial" w:hAnsi="Arial"/>
          <w:sz w:val="16"/>
          <w:szCs w:val="16"/>
          <w:color w:val="auto"/>
        </w:rPr>
      </w:pPr>
    </w:p>
    <w:p>
      <w:pPr>
        <w:ind w:right="220" w:firstLine="8"/>
        <w:spacing w:after="0" w:line="254" w:lineRule="auto"/>
        <w:tabs>
          <w:tab w:leader="none" w:pos="26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Tenant’s most recent unaudited (or, if available, audited) quarterly financial statements within 45 days of the end of each of Tenant’s first three fiscal quarters of each of Tenant’s fiscal years during the Term. If the stock of Tenant is publicly traded on a recognized national exchange, then Tenant’s filing of quarterly and annual financial statements with the Securities and Exchange Commission shall be deemed to satisfy Tenant’s obligations to deliver financial statements under this Section.</w:t>
      </w:r>
    </w:p>
    <w:p>
      <w:pPr>
        <w:spacing w:after="0" w:line="77" w:lineRule="exact"/>
        <w:rPr>
          <w:rFonts w:ascii="Arial" w:cs="Arial" w:eastAsia="Arial" w:hAnsi="Arial"/>
          <w:sz w:val="18"/>
          <w:szCs w:val="18"/>
          <w:color w:val="auto"/>
        </w:rPr>
      </w:pPr>
    </w:p>
    <w:p>
      <w:pPr>
        <w:ind w:right="400" w:firstLine="921"/>
        <w:spacing w:after="0" w:line="282" w:lineRule="auto"/>
        <w:tabs>
          <w:tab w:leader="none" w:pos="1168"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53" w:lineRule="exact"/>
        <w:rPr>
          <w:rFonts w:ascii="Arial" w:cs="Arial" w:eastAsia="Arial" w:hAnsi="Arial"/>
          <w:sz w:val="18"/>
          <w:szCs w:val="18"/>
          <w:color w:val="auto"/>
        </w:rPr>
      </w:pPr>
    </w:p>
    <w:p>
      <w:pPr>
        <w:ind w:right="100" w:firstLine="921"/>
        <w:spacing w:after="0" w:line="258" w:lineRule="auto"/>
        <w:tabs>
          <w:tab w:leader="none" w:pos="1157"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5" w:lineRule="exact"/>
        <w:rPr>
          <w:rFonts w:ascii="Arial" w:cs="Arial" w:eastAsia="Arial" w:hAnsi="Arial"/>
          <w:sz w:val="18"/>
          <w:szCs w:val="18"/>
          <w:color w:val="auto"/>
        </w:rPr>
      </w:pPr>
    </w:p>
    <w:p>
      <w:pPr>
        <w:ind w:right="220" w:firstLine="921"/>
        <w:spacing w:after="0" w:line="347" w:lineRule="auto"/>
        <w:tabs>
          <w:tab w:leader="none" w:pos="1138" w:val="left"/>
        </w:tabs>
        <w:numPr>
          <w:ilvl w:val="1"/>
          <w:numId w:val="393"/>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for the leasing of the Premises, nor confer any right or impose any obligations upon either party until execution of this Lease by both parties.</w:t>
      </w:r>
    </w:p>
    <w:p>
      <w:pPr>
        <w:spacing w:after="0" w:line="8" w:lineRule="exact"/>
        <w:rPr>
          <w:rFonts w:ascii="Arial" w:cs="Arial" w:eastAsia="Arial" w:hAnsi="Arial"/>
          <w:sz w:val="16"/>
          <w:szCs w:val="16"/>
          <w:color w:val="auto"/>
        </w:rPr>
      </w:pPr>
    </w:p>
    <w:p>
      <w:pPr>
        <w:ind w:right="240" w:firstLine="921"/>
        <w:spacing w:after="0" w:line="261" w:lineRule="auto"/>
        <w:tabs>
          <w:tab w:leader="none" w:pos="1168"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Lease constitutes the entire agreement between Landlord and Tenant pertaining to the lease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71"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 governing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81" w:lineRule="exact"/>
        <w:rPr>
          <w:rFonts w:ascii="Arial" w:cs="Arial" w:eastAsia="Arial" w:hAnsi="Arial"/>
          <w:sz w:val="18"/>
          <w:szCs w:val="18"/>
          <w:color w:val="auto"/>
        </w:rPr>
      </w:pPr>
    </w:p>
    <w:p>
      <w:pPr>
        <w:ind w:right="120" w:firstLine="921"/>
        <w:spacing w:after="0" w:line="282" w:lineRule="auto"/>
        <w:tabs>
          <w:tab w:leader="none" w:pos="1128"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Commonwealth of Massachusetts,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principles of conflicts of laws.</w:t>
      </w:r>
    </w:p>
    <w:p>
      <w:pPr>
        <w:spacing w:after="0" w:line="53" w:lineRule="exact"/>
        <w:rPr>
          <w:rFonts w:ascii="Arial" w:cs="Arial" w:eastAsia="Arial" w:hAnsi="Arial"/>
          <w:sz w:val="18"/>
          <w:szCs w:val="18"/>
          <w:color w:val="auto"/>
        </w:rPr>
      </w:pPr>
    </w:p>
    <w:p>
      <w:pPr>
        <w:ind w:left="1140" w:hanging="219"/>
        <w:spacing w:after="0"/>
        <w:tabs>
          <w:tab w:leader="none" w:pos="1140"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111760</wp:posOffset>
            </wp:positionV>
            <wp:extent cx="2418080" cy="514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3" w:name="page504"/>
    <w:bookmarkEnd w:id="503"/>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31</w:t>
      </w:r>
    </w:p>
    <w:p>
      <w:pPr>
        <w:spacing w:after="0" w:line="158" w:lineRule="exact"/>
        <w:rPr>
          <w:sz w:val="20"/>
          <w:szCs w:val="20"/>
          <w:color w:val="auto"/>
        </w:rPr>
      </w:pPr>
    </w:p>
    <w:p>
      <w:pPr>
        <w:ind w:right="100" w:firstLine="921"/>
        <w:spacing w:after="0" w:line="256" w:lineRule="auto"/>
        <w:tabs>
          <w:tab w:leader="none" w:pos="1168"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79" w:lineRule="exact"/>
        <w:rPr>
          <w:rFonts w:ascii="Arial" w:cs="Arial" w:eastAsia="Arial" w:hAnsi="Arial"/>
          <w:sz w:val="18"/>
          <w:szCs w:val="18"/>
          <w:color w:val="auto"/>
        </w:rPr>
      </w:pPr>
    </w:p>
    <w:p>
      <w:pPr>
        <w:ind w:right="380" w:firstLine="921"/>
        <w:spacing w:after="0" w:line="282" w:lineRule="auto"/>
        <w:tabs>
          <w:tab w:leader="none" w:pos="1128"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conflict between such exhibits or addenda and the terms of this Lease, such exhibits or addenda shall control.</w:t>
      </w:r>
    </w:p>
    <w:p>
      <w:pPr>
        <w:spacing w:after="0" w:line="53" w:lineRule="exact"/>
        <w:rPr>
          <w:rFonts w:ascii="Arial" w:cs="Arial" w:eastAsia="Arial" w:hAnsi="Arial"/>
          <w:sz w:val="18"/>
          <w:szCs w:val="18"/>
          <w:color w:val="auto"/>
        </w:rPr>
      </w:pPr>
    </w:p>
    <w:p>
      <w:pPr>
        <w:ind w:right="60" w:firstLine="921"/>
        <w:spacing w:after="0" w:line="303" w:lineRule="auto"/>
        <w:tabs>
          <w:tab w:leader="none" w:pos="1218"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112395</wp:posOffset>
            </wp:positionV>
            <wp:extent cx="2418080" cy="514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4" w:name="page505"/>
    <w:bookmarkEnd w:id="504"/>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32</w:t>
      </w:r>
    </w:p>
    <w:p>
      <w:pPr>
        <w:sectPr>
          <w:pgSz w:w="11900" w:h="16838" w:orient="portrait"/>
          <w:cols w:equalWidth="0" w:num="1">
            <w:col w:w="11420"/>
          </w:cols>
          <w:pgMar w:left="240" w:top="270" w:right="23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Geoff MacKay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CEO</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ARE-MA REGION NO. 59,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jc w:val="right"/>
        <w:ind w:right="1640"/>
        <w:spacing w:after="0"/>
        <w:tabs>
          <w:tab w:leader="none" w:pos="3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ALEXANDRIA REAL ESTATE EQUITIES, L.P.,</w:t>
      </w:r>
    </w:p>
    <w:p>
      <w:pPr>
        <w:spacing w:after="0" w:line="23"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a Delaware limited partnership, managing member</w:t>
      </w:r>
    </w:p>
    <w:p>
      <w:pPr>
        <w:spacing w:after="0" w:line="224" w:lineRule="exact"/>
        <w:rPr>
          <w:sz w:val="20"/>
          <w:szCs w:val="20"/>
          <w:color w:val="auto"/>
        </w:rPr>
      </w:pPr>
    </w:p>
    <w:p>
      <w:pPr>
        <w:ind w:left="61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ARE-QRS CORP.,</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Maryland corporation, general partner</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Jackie Clem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84734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Print Name: Jackie Clem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100330</wp:posOffset>
            </wp:positionV>
            <wp:extent cx="2418080" cy="514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505" w:name="page506"/>
    <w:bookmarkEnd w:id="5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A TO LEASE</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17780</wp:posOffset>
            </wp:positionV>
            <wp:extent cx="5025390" cy="74269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025390" cy="7426960"/>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506" w:name="page507"/>
    <w:bookmarkEnd w:id="506"/>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in the County of Middlesex, Commonwealth of Massachusetts,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100, 200, 300, 400 and 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 registered parcels of land located in the City of Cambridge, Middlesex County, Massachusetts, bounded and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35 – L</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Plan 10378G</w:t>
      </w:r>
    </w:p>
    <w:p>
      <w:pPr>
        <w:spacing w:after="0" w:line="121" w:lineRule="exact"/>
        <w:rPr>
          <w:sz w:val="20"/>
          <w:szCs w:val="20"/>
          <w:color w:val="auto"/>
        </w:rPr>
      </w:pPr>
    </w:p>
    <w:p>
      <w:pPr>
        <w:ind w:right="1700"/>
        <w:spacing w:after="0" w:line="530" w:lineRule="auto"/>
        <w:rPr>
          <w:sz w:val="20"/>
          <w:szCs w:val="20"/>
          <w:color w:val="auto"/>
        </w:rPr>
      </w:pPr>
      <w:r>
        <w:rPr>
          <w:rFonts w:ascii="Arial" w:cs="Arial" w:eastAsia="Arial" w:hAnsi="Arial"/>
          <w:sz w:val="17"/>
          <w:szCs w:val="17"/>
          <w:color w:val="auto"/>
        </w:rPr>
        <w:t>Commencing at the intersection of the northeasterly line of Hampshire Street with the southeasterly line of Cardinal Medeiros Avenue; Thence running N 36°06’35” E along said southeasterly line of Cardinal Medeiros Avenue, a distance of 262.69 feet, to a point; Thence running S 53°46’58” E, by land now or formerly of Trustees of Old Kendall Realty Trust, a distance of 322.66 feet, to a point; Thence running S 36°16’40” W, by Lot 42 shown on Land Court Plan 10378J, a distance of 48.01 feet, to a point; Thence running by Lot 36, shown on Land Court Plan 10378G, on the following four (4) courses: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65.11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36°04’50” W, a distance of 126.58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53°32’32” E, a distance of 42.30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28°34’58” E, a distance of 12.62 feet, to a point at land now or formerly of Trustees of Kendall Three Realty Trust;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Thence running S 60°21’50” W, in part by land of said Trustees and in part by land now or formerly of Charles Stark Draper Laboratory, Inc. a distance of 205.87 feet, to a point on the aforesaid northeasterly line of Hampshire Street;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28°54’10” W, along said northeasterly line of Hampshire Street, a distance of 250.01 feet, to the Point of Beginning.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Together with the benefit of easement rights set forth in an Easement from The Charles Stark Draper Laboratory, Inc. to Cambridge Athenaeum LLC, dated April 16, 2000 and filed as Document No. 1137082.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36 – L</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Plan 10378G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Commencing at a point on the easterly line of the above described parcel, said point being S 36°16’40” W and a distance of 48.01 feet from the northeast corner of the above described parcel;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36°16’40” W, by land of the Trustees of Kendall Three Realty Trust, a distance of 107.52 feet; to a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7" w:name="page508"/>
    <w:bookmarkEnd w:id="507"/>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60°21’50” W, by land of said Trustees, a distance of 26.84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Lot 35, shown on Land Court Plan 10378G, on the following four (4)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28°34’58” W, a distance of 12.62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53°32’32” W, a distance of 42.30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36°04’50” E, a distance 126.58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53°40’39” E, a distance of 65.11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42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northeast corner of Lot 35, hereinbefore described;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land, now or formerly of Trustees of Kendall Three Realty Trust, on the following three (3)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53°46’58” E, a distance of 1.97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36°25’25” W, a distance of 48.02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1.85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36°16’40” E, by Lot 35, a distance of 48.01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43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certain parcel of land situate in Cambridge in the County of Middlesex,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lot 39 as shown on plan hereinafter mentioned, thirteen and 05/100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forty-eight and 04/100 feet;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thirteen and 28/100 feet by lot 41 on said plan;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42 on said plan, forty-eight and 02/100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parcel is shown as Lot 43 on Land Court Plan 10378J.</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of said boundaries are determined by the Court to be located as shown on a subdivision plan, as approved by the Court, filed in the Land Registration Office, a copy of which is filed in the Registry of Deeds in Registration Book 1050, Page 90, with Certificate 184040.</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Together with the rights and easements set forth in that certain Grant of Easement from Charles Stark Draper Laboratory, Inc. dated August 31, 1983, filed with the Middlesex County Registry District of the Land Court (the “District”) as Document No. 657256.</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Together with the rights and easements set forth in that certain Easements Agreement dated December 17, 1984 and filed as Document No. 673502, as affected by Amendment to Easements Agreement, dated April 7, 2006 and filed as Document No. 1416496.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74930</wp:posOffset>
            </wp:positionV>
            <wp:extent cx="2418080" cy="514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8" w:name="page509"/>
    <w:bookmarkEnd w:id="508"/>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rights and easements set forth in a Grant of Easement dated August 30, 1983 and filed as Document No. 654750.</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Together with the rights and easements set forth in a Grant of Easement from the City of Cambridge, dated January 29, 2009 and recorded in Book 52168, Page 362.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parcels collectively are also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Those certain parcels of registered land located in Cambridge, Middlesex County, Massachusetts, shown as Lots 35 and 36 on Land Court Plan 10378G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Lots 42 and 43 shown on Land Court Plan 10378J, bounded and described as follows: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Beginning at the point on the northeasterly sideline of Hampshire Street 250.01 feet distance southeasterly from intersection of easterly sideline of Cardinal Medeiros Avenue and northeasterly side line of Hampshire Street thence bounded: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the northeasterly line of Hampshire Street, two hundred fifty and 01/100 (250.01)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the southeasterly line of Cardinal Medeiros Avenue, two hundred sixty two and 69/100 (262.69)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land now or formerly of Cambridge Athenaeum LLC, three hundred thirty seven and 68/100 (337.68)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land now or formerly of Amgen Cambridge Real Estate Holdings Inc., forty-eight and 04/100 (48.04)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land of said Amgen Cambridge Real Estate Holdings Inc., fifteen and 13/100 (15.13)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said land now or formerly of Amgen Cambridge Real Estate Holdings Inc., one hundred seven and 52/100 (107.52) feet; and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Southeasterly by land now or formerly of Amgen Cambridge Real Estate Holdings Inc. and Charles Stark Draper Laboratory, Inc., two hundred thirty two and 71/100 (232.71) feet.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600, 650 and 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39 – Land Court Plan 10378H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That certain parcel of land situated in the City of Cambridge, Middlesex County, Massachusetts, bounded and described as follows: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Commencing at a point on the Easterly side of Cardinal Medeiros Avenue, said point being sixty feet from the intersection of said Easterly side of Cardinal Medeiros Avenue and the Southerly line of Binney Street;</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Northerly, by Lot 40 shown in Land Court Plan 10378I, two hundred thirty-eight and sixty-three hundredths (238.63) feet, eighty-two and forty-one hundredths (82.41) feet and seventeen and four hundredths (17.04)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Lots 40 and 41 shown on Land Court Plan 10378I, one hundred ninety-six and eighty-four hundredths (196.84)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9" w:name="page510"/>
    <w:bookmarkEnd w:id="509"/>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4</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Southerly by Lots 43 and 42 shown on Land Court Plan 10378J and Lot 35 shown on Land Court Plan 10378G three hundred thirty-seven and sixty-eight hundredths (337.68)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Westerly, on aforesaid Cardinal Medeiros Avenue, one hundred ninety-nine and seventy-one hundredths (199.71)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parcel of land described above is shown as Lot 39 on Land Court Plan 10378H.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40 (Building 1400)</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land with the buildings and improvements thereon, shown as Lot 40 on Land Court Plan 10378I, situated on Binney Street in the City of Cambridge, County of Middlesex, Massachusetts, also shown on a plan entitled “Topographic Plan for Old Binney Realty Trust, Cardinal Medeiros Avenue, Binney Street; Cambridge, Massachusetts”, dated June 29, 1987, as revised July 10, 1987, April 13, 1988, August 12, 1988, September 6, 1988, and September 26, 1988, prepared by Cullinan Engineering Co., Inc., being bounded and described as follows;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NORTHEASTERLY by the southwesterly line of Binney Street, two hundred sixty-six and 80/100 (266.80) feet and two hundred twenty and 44/100 (220.44)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land now or formerly of Consolidated Rail Corporation, eighty-nine and 24/100 (89.24)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Lot 41 on Land Court Plan 10378I, twenty seven and 16/100 (27.16)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41, thirty-five and 12/ 100 (35.12) feet and one hundred two and 73/100 (102.73)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39 on Land Court Plan 10378H, sixty-six and 15/100 (66.15)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seventeen and 04/100 (17.04)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eighty-two and 41/100 (82.41)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two hundred thirty-eight and 63/100 (238.63)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Cardinal Medeiros Avenue (formerly known as Portland Street), sixty and 00/100 (60) feet.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Together with the rights set forth in Easements Agreement dated December 17, 1984, between Old Cambridge Realty Trust and the Old Kendall Trustees, filed as Document No. 673502, as affected by Amendment to Easements Agreement, dated April 7, 2006 and filed as Document No. 1416496.</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Together with the rights set forth in Parking Access Easement Agreement filed as Document No. 771896, as affected by Release of Parking Rights by Robert A. Jones and George Najarian, Trustees of Old Binney Realty Trust, dated January 11, 1995, recorded in Book 25122, Page 94 and filed as Document</w:t>
      </w:r>
    </w:p>
    <w:p>
      <w:pPr>
        <w:ind w:right="80"/>
        <w:spacing w:after="0" w:line="271" w:lineRule="auto"/>
        <w:rPr>
          <w:sz w:val="20"/>
          <w:szCs w:val="20"/>
          <w:color w:val="auto"/>
        </w:rPr>
      </w:pPr>
      <w:r>
        <w:rPr>
          <w:rFonts w:ascii="Arial" w:cs="Arial" w:eastAsia="Arial" w:hAnsi="Arial"/>
          <w:sz w:val="17"/>
          <w:szCs w:val="17"/>
          <w:color w:val="auto"/>
        </w:rPr>
        <w:t>No. 966485, Release of Parking Rights by Robert A. Jones, Managing Trustee of Old Cambridge Realty Trust dated January 11, 1995, recorded in Book 25122, Page 98 and filed as Document No. 966486; Release of Parking Rights by Robert A. Jones, Managing Trustee of Old Kendall Realty Trust, dated January 11, 1995, recorded in Book 25122, Page 102 and filed as Document No.966487; Release of Parking Rights by State Street Bank and Trust Company, Trustees of Kendall One Realty Trust dated January 5, 1995, recorded in Book 25122, Page 106 and filed as Document No. 966488, and Release of Parking Rights dated January 10, 1995, recorded in Book 25153, Page 386 and as filed as Document No. 967459.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80010</wp:posOffset>
            </wp:positionV>
            <wp:extent cx="2418080" cy="514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0" w:name="page511"/>
    <w:bookmarkEnd w:id="510"/>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5</w:t>
      </w:r>
    </w:p>
    <w:p>
      <w:pPr>
        <w:spacing w:after="0" w:line="1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Together with the rights set forth in that certain Parking and Access Easement Agreement, by and between DWF IV One Kendall, LLC and DWF IV One Kendall Garage, LLC, dated as of January 16, 2014 and recorded in Book 63188, Page 559, and filed as Document No. 1663415.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59690</wp:posOffset>
            </wp:positionV>
            <wp:extent cx="2418080" cy="514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1" w:name="page512"/>
    <w:bookmarkEnd w:id="511"/>
    <w:tbl>
      <w:tblPr>
        <w:tblLayout w:type="fixed"/>
        <w:tblInd w:w="4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60" w:type="dxa"/>
            <w:vAlign w:val="bottom"/>
          </w:tcPr>
          <w:p>
            <w:pPr>
              <w:ind w:left="140"/>
              <w:spacing w:after="0"/>
              <w:rPr>
                <w:sz w:val="20"/>
                <w:szCs w:val="20"/>
                <w:color w:val="auto"/>
              </w:rPr>
            </w:pPr>
            <w:r>
              <w:rPr>
                <w:rFonts w:ascii="Arial" w:cs="Arial" w:eastAsia="Arial" w:hAnsi="Arial"/>
                <w:sz w:val="18"/>
                <w:szCs w:val="18"/>
                <w:b w:val="1"/>
                <w:bCs w:val="1"/>
                <w:color w:val="auto"/>
                <w:w w:val="90"/>
              </w:rPr>
              <w:t xml:space="preserve">One Kendall Square/Avrobio – Page </w:t>
            </w:r>
            <w:r>
              <w:rPr>
                <w:rFonts w:ascii="Arial" w:cs="Arial" w:eastAsia="Arial" w:hAnsi="Arial"/>
                <w:sz w:val="18"/>
                <w:szCs w:val="18"/>
                <w:color w:val="auto"/>
                <w:w w:val="90"/>
              </w:rPr>
              <w:t>1</w:t>
            </w:r>
          </w:p>
        </w:tc>
      </w:tr>
      <w:tr>
        <w:trPr>
          <w:trHeight w:val="365"/>
        </w:trPr>
        <w:tc>
          <w:tcPr>
            <w:tcW w:w="790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rPr>
              <w:t>EXHIBIT C TO LEASE</w:t>
            </w:r>
          </w:p>
        </w:tc>
        <w:tc>
          <w:tcPr>
            <w:tcW w:w="3060" w:type="dxa"/>
            <w:vAlign w:val="bottom"/>
          </w:tcPr>
          <w:p>
            <w:pPr>
              <w:spacing w:after="0"/>
              <w:rPr>
                <w:sz w:val="24"/>
                <w:szCs w:val="24"/>
                <w:color w:val="auto"/>
              </w:rPr>
            </w:pPr>
          </w:p>
        </w:tc>
      </w:tr>
      <w:tr>
        <w:trPr>
          <w:trHeight w:val="392"/>
        </w:trPr>
        <w:tc>
          <w:tcPr>
            <w:tcW w:w="4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WORK LETTER</w:t>
            </w:r>
          </w:p>
        </w:tc>
        <w:tc>
          <w:tcPr>
            <w:tcW w:w="19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53"/>
        </w:trPr>
        <w:tc>
          <w:tcPr>
            <w:tcW w:w="7900" w:type="dxa"/>
            <w:vAlign w:val="bottom"/>
            <w:gridSpan w:val="3"/>
          </w:tcPr>
          <w:p>
            <w:pPr>
              <w:spacing w:after="0"/>
              <w:rPr>
                <w:sz w:val="20"/>
                <w:szCs w:val="20"/>
                <w:color w:val="auto"/>
              </w:rPr>
            </w:pPr>
            <w:r>
              <w:rPr>
                <w:rFonts w:ascii="Arial" w:cs="Arial" w:eastAsia="Arial" w:hAnsi="Arial"/>
                <w:sz w:val="18"/>
                <w:szCs w:val="18"/>
                <w:color w:val="auto"/>
                <w:w w:val="95"/>
              </w:rPr>
              <w:t xml:space="preserve">THIS </w:t>
            </w:r>
            <w:r>
              <w:rPr>
                <w:rFonts w:ascii="Arial" w:cs="Arial" w:eastAsia="Arial" w:hAnsi="Arial"/>
                <w:sz w:val="18"/>
                <w:szCs w:val="18"/>
                <w:b w:val="1"/>
                <w:bCs w:val="1"/>
                <w:color w:val="auto"/>
                <w:w w:val="95"/>
              </w:rPr>
              <w:t>WORK LETTER</w:t>
            </w:r>
            <w:r>
              <w:rPr>
                <w:rFonts w:ascii="Arial" w:cs="Arial" w:eastAsia="Arial" w:hAnsi="Arial"/>
                <w:sz w:val="18"/>
                <w:szCs w:val="18"/>
                <w:color w:val="auto"/>
                <w:w w:val="95"/>
              </w:rPr>
              <w:t xml:space="preserve"> (this “</w:t>
            </w:r>
            <w:r>
              <w:rPr>
                <w:rFonts w:ascii="Arial" w:cs="Arial" w:eastAsia="Arial" w:hAnsi="Arial"/>
                <w:sz w:val="18"/>
                <w:szCs w:val="18"/>
                <w:b w:val="1"/>
                <w:bCs w:val="1"/>
                <w:color w:val="auto"/>
                <w:w w:val="95"/>
              </w:rPr>
              <w:t>Work Letter</w:t>
            </w:r>
            <w:r>
              <w:rPr>
                <w:rFonts w:ascii="Arial" w:cs="Arial" w:eastAsia="Arial" w:hAnsi="Arial"/>
                <w:sz w:val="18"/>
                <w:szCs w:val="18"/>
                <w:color w:val="auto"/>
                <w:w w:val="95"/>
              </w:rPr>
              <w:t>”) is attached to and incorporated into that certain Lease dated</w:t>
            </w:r>
          </w:p>
        </w:tc>
        <w:tc>
          <w:tcPr>
            <w:tcW w:w="3060" w:type="dxa"/>
            <w:vAlign w:val="bottom"/>
          </w:tcPr>
          <w:p>
            <w:pPr>
              <w:ind w:left="78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Lease</w:t>
            </w:r>
            <w:r>
              <w:rPr>
                <w:rFonts w:ascii="Arial" w:cs="Arial" w:eastAsia="Arial" w:hAnsi="Arial"/>
                <w:sz w:val="18"/>
                <w:szCs w:val="18"/>
                <w:color w:val="auto"/>
                <w:w w:val="95"/>
              </w:rPr>
              <w:t>”) by and between</w:t>
            </w:r>
          </w:p>
        </w:tc>
      </w:tr>
    </w:tbl>
    <w:p>
      <w:pPr>
        <w:ind w:right="3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ARE-MA REGION NO. 59,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Any</w:t>
      </w:r>
      <w:r>
        <w:rPr>
          <w:rFonts w:ascii="Arial" w:cs="Arial" w:eastAsia="Arial" w:hAnsi="Arial"/>
          <w:sz w:val="18"/>
          <w:szCs w:val="18"/>
          <w:b w:val="1"/>
          <w:bCs w:val="1"/>
          <w:color w:val="auto"/>
        </w:rPr>
        <w:t xml:space="preserve"> </w:t>
      </w:r>
      <w:r>
        <w:rPr>
          <w:rFonts w:ascii="Arial" w:cs="Arial" w:eastAsia="Arial" w:hAnsi="Arial"/>
          <w:sz w:val="18"/>
          <w:szCs w:val="18"/>
          <w:color w:val="auto"/>
        </w:rPr>
        <w:t>initially capitalized terms used but not defined herein shall have the meanings given them in the 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them in the Lease.</w:t>
      </w:r>
    </w:p>
    <w:p>
      <w:pPr>
        <w:spacing w:after="0" w:line="113" w:lineRule="exact"/>
        <w:rPr>
          <w:sz w:val="20"/>
          <w:szCs w:val="20"/>
          <w:color w:val="auto"/>
        </w:rPr>
      </w:pPr>
    </w:p>
    <w:p>
      <w:pPr>
        <w:ind w:left="640" w:hanging="176"/>
        <w:spacing w:after="0"/>
        <w:tabs>
          <w:tab w:leader="none" w:pos="6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Tenant’s Authorized Representative</w:t>
      </w:r>
      <w:r>
        <w:rPr>
          <w:rFonts w:ascii="Arial" w:cs="Arial" w:eastAsia="Arial" w:hAnsi="Arial"/>
          <w:sz w:val="17"/>
          <w:szCs w:val="17"/>
          <w:color w:val="auto"/>
        </w:rPr>
        <w:t>. Tenant designates Kirsten Dupuis and Carolina Romano (either such individual acting alone,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persons authorized to act for Tenant pursuant to this Work Letter. Landlord shall not be obligated to respond to or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is in writing from Tenant’s Representative. Tenant may change either Tenant’s Representative at any time upon not less than 5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 written notice to Landlord. Neither Tenant nor Tenant’s Representative shall be authorized to direct Landlord’s contractors in the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Landlord’s Work (as hereinafter defined).</w:t>
      </w:r>
    </w:p>
    <w:p>
      <w:pPr>
        <w:spacing w:after="0" w:line="99" w:lineRule="exact"/>
        <w:rPr>
          <w:sz w:val="20"/>
          <w:szCs w:val="20"/>
          <w:color w:val="auto"/>
        </w:rPr>
      </w:pPr>
    </w:p>
    <w:p>
      <w:pPr>
        <w:ind w:right="140" w:firstLine="921"/>
        <w:spacing w:after="0" w:line="256" w:lineRule="auto"/>
        <w:tabs>
          <w:tab w:leader="none" w:pos="1168" w:val="left"/>
        </w:tabs>
        <w:numPr>
          <w:ilvl w:val="1"/>
          <w:numId w:val="396"/>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Tim White and Mike Carli (either such 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79" w:lineRule="exact"/>
        <w:rPr>
          <w:rFonts w:ascii="Arial" w:cs="Arial" w:eastAsia="Arial" w:hAnsi="Arial"/>
          <w:sz w:val="18"/>
          <w:szCs w:val="18"/>
          <w:color w:val="auto"/>
        </w:rPr>
      </w:pPr>
    </w:p>
    <w:p>
      <w:pPr>
        <w:jc w:val="both"/>
        <w:ind w:right="480" w:firstLine="921"/>
        <w:spacing w:after="0" w:line="266" w:lineRule="auto"/>
        <w:tabs>
          <w:tab w:leader="none" w:pos="1157" w:val="left"/>
        </w:tabs>
        <w:numPr>
          <w:ilvl w:val="1"/>
          <w:numId w:val="396"/>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(i) the general contractor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for the Tenant Improvements shall be selected by Landlord, in Landlord’s sole and absolute discretion, and (ii) R.E. Dinneen shall be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21"/>
        <w:spacing w:after="0" w:line="261" w:lineRule="auto"/>
        <w:tabs>
          <w:tab w:leader="none" w:pos="1157" w:val="left"/>
        </w:tabs>
        <w:numPr>
          <w:ilvl w:val="1"/>
          <w:numId w:val="397"/>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Initial Premises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Subsequent Premises of a fixed and permanent nature as shown on the TI Construction Drawings, as defined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below. Other than Landlord’s Work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Landlord shall not have any obligation whatsoever with respect to the finishing of the Premises for Tenant’s use and occupancy.</w:t>
      </w:r>
    </w:p>
    <w:p>
      <w:pPr>
        <w:spacing w:after="0" w:line="71" w:lineRule="exact"/>
        <w:rPr>
          <w:rFonts w:ascii="Arial" w:cs="Arial" w:eastAsia="Arial" w:hAnsi="Arial"/>
          <w:sz w:val="18"/>
          <w:szCs w:val="18"/>
          <w:color w:val="auto"/>
        </w:rPr>
      </w:pPr>
    </w:p>
    <w:p>
      <w:pPr>
        <w:ind w:right="100" w:firstLine="921"/>
        <w:spacing w:after="0" w:line="303" w:lineRule="auto"/>
        <w:tabs>
          <w:tab w:leader="none" w:pos="1168" w:val="left"/>
        </w:tabs>
        <w:numPr>
          <w:ilvl w:val="1"/>
          <w:numId w:val="397"/>
        </w:numPr>
        <w:rPr>
          <w:rFonts w:ascii="Arial" w:cs="Arial" w:eastAsia="Arial" w:hAnsi="Arial"/>
          <w:sz w:val="16"/>
          <w:szCs w:val="16"/>
          <w:color w:val="auto"/>
        </w:rPr>
      </w:pPr>
      <w:r>
        <w:rPr>
          <w:rFonts w:ascii="Arial" w:cs="Arial" w:eastAsia="Arial" w:hAnsi="Arial"/>
          <w:sz w:val="16"/>
          <w:szCs w:val="16"/>
          <w:b w:val="1"/>
          <w:bCs w:val="1"/>
          <w:color w:val="auto"/>
        </w:rPr>
        <w:t>Tenant’s Space Plans</w:t>
      </w:r>
      <w:r>
        <w:rPr>
          <w:rFonts w:ascii="Arial" w:cs="Arial" w:eastAsia="Arial" w:hAnsi="Arial"/>
          <w:sz w:val="16"/>
          <w:szCs w:val="16"/>
          <w:color w:val="auto"/>
        </w:rPr>
        <w:t>. Landlord and Tenant acknowledge and agree that the plans for the Initial Premises and the Subsequent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prepared by the TI Architect attached hereto as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(the “</w:t>
      </w:r>
      <w:r>
        <w:rPr>
          <w:rFonts w:ascii="Arial" w:cs="Arial" w:eastAsia="Arial" w:hAnsi="Arial"/>
          <w:sz w:val="16"/>
          <w:szCs w:val="16"/>
          <w:b w:val="1"/>
          <w:bCs w:val="1"/>
          <w:color w:val="auto"/>
        </w:rPr>
        <w:t>Space Plans</w:t>
      </w:r>
      <w:r>
        <w:rPr>
          <w:rFonts w:ascii="Arial" w:cs="Arial" w:eastAsia="Arial" w:hAnsi="Arial"/>
          <w:sz w:val="16"/>
          <w:szCs w:val="16"/>
          <w:color w:val="auto"/>
        </w:rPr>
        <w:t>”) have been approved by both Landlord and Tenant. Landlord and Tenant further acknowledge and agree that any changes to the Space Plans constitutes a Change Request the cost of which changes shall be paid for by Tenant. Tenant shall be solely responsible for all costs incurred by Landlord to alter the Building (or Landlord’s plans for the Building) as a result of Tenant’s requested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64770</wp:posOffset>
            </wp:positionV>
            <wp:extent cx="2418080" cy="514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2</w:t>
      </w:r>
    </w:p>
    <w:p>
      <w:pPr>
        <w:spacing w:after="0" w:line="158" w:lineRule="exact"/>
        <w:rPr>
          <w:sz w:val="20"/>
          <w:szCs w:val="20"/>
          <w:color w:val="auto"/>
        </w:rPr>
      </w:pPr>
    </w:p>
    <w:p>
      <w:pPr>
        <w:ind w:right="40" w:firstLine="921"/>
        <w:spacing w:after="0" w:line="269" w:lineRule="auto"/>
        <w:tabs>
          <w:tab w:leader="none" w:pos="1157" w:val="left"/>
        </w:tabs>
        <w:numPr>
          <w:ilvl w:val="2"/>
          <w:numId w:val="398"/>
        </w:numPr>
        <w:rPr>
          <w:rFonts w:ascii="Arial" w:cs="Arial" w:eastAsia="Arial" w:hAnsi="Arial"/>
          <w:sz w:val="17"/>
          <w:szCs w:val="17"/>
          <w:color w:val="auto"/>
        </w:rPr>
      </w:pPr>
      <w:r>
        <w:rPr>
          <w:rFonts w:ascii="Arial" w:cs="Arial" w:eastAsia="Arial" w:hAnsi="Arial"/>
          <w:sz w:val="17"/>
          <w:szCs w:val="17"/>
          <w:b w:val="1"/>
          <w:bCs w:val="1"/>
          <w:color w:val="auto"/>
        </w:rPr>
        <w:t>Working Drawings</w:t>
      </w:r>
      <w:r>
        <w:rPr>
          <w:rFonts w:ascii="Arial" w:cs="Arial" w:eastAsia="Arial" w:hAnsi="Arial"/>
          <w:sz w:val="17"/>
          <w:szCs w:val="17"/>
          <w:color w:val="auto"/>
        </w:rPr>
        <w:t>. Landlord shall cause the TI Architect to prepare and deliver to Tenant for review and comment construction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specifications and drawings for the Tenant Improvements (“</w:t>
      </w:r>
      <w:r>
        <w:rPr>
          <w:rFonts w:ascii="Arial" w:cs="Arial" w:eastAsia="Arial" w:hAnsi="Arial"/>
          <w:sz w:val="17"/>
          <w:szCs w:val="17"/>
          <w:b w:val="1"/>
          <w:bCs w:val="1"/>
          <w:color w:val="auto"/>
        </w:rPr>
        <w:t>TI Construction Drawings</w:t>
      </w:r>
      <w:r>
        <w:rPr>
          <w:rFonts w:ascii="Arial" w:cs="Arial" w:eastAsia="Arial" w:hAnsi="Arial"/>
          <w:sz w:val="17"/>
          <w:szCs w:val="17"/>
          <w:color w:val="auto"/>
        </w:rPr>
        <w:t xml:space="preserve">”), which TI Construction Drawings shall be prepared substantially in accordance with the Space Plans.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Space Plans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Provided that the design reflected in the TI Construction Drawings is consistent with the Space Plans, Tenant shall approve the TI Construction Drawings submitted by Landlord, unless Tenant submits a Change Request. Once approved by Tenant, subject to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below).</w:t>
      </w:r>
    </w:p>
    <w:p>
      <w:pPr>
        <w:spacing w:after="0" w:line="71" w:lineRule="exact"/>
        <w:rPr>
          <w:rFonts w:ascii="Arial" w:cs="Arial" w:eastAsia="Arial" w:hAnsi="Arial"/>
          <w:sz w:val="17"/>
          <w:szCs w:val="17"/>
          <w:color w:val="auto"/>
        </w:rPr>
      </w:pPr>
    </w:p>
    <w:p>
      <w:pPr>
        <w:ind w:right="120" w:firstLine="921"/>
        <w:spacing w:after="0" w:line="270" w:lineRule="auto"/>
        <w:tabs>
          <w:tab w:leader="none" w:pos="1168" w:val="left"/>
        </w:tabs>
        <w:numPr>
          <w:ilvl w:val="2"/>
          <w:numId w:val="398"/>
        </w:numPr>
        <w:rPr>
          <w:rFonts w:ascii="Arial" w:cs="Arial" w:eastAsia="Arial" w:hAnsi="Arial"/>
          <w:sz w:val="17"/>
          <w:szCs w:val="17"/>
          <w:color w:val="auto"/>
        </w:rPr>
      </w:pPr>
      <w:r>
        <w:rPr>
          <w:rFonts w:ascii="Arial" w:cs="Arial" w:eastAsia="Arial" w:hAnsi="Arial"/>
          <w:sz w:val="17"/>
          <w:szCs w:val="17"/>
          <w:b w:val="1"/>
          <w:bCs w:val="1"/>
          <w:color w:val="auto"/>
        </w:rPr>
        <w:t>Approval and Completion</w:t>
      </w:r>
      <w:r>
        <w:rPr>
          <w:rFonts w:ascii="Arial" w:cs="Arial" w:eastAsia="Arial" w:hAnsi="Arial"/>
          <w:sz w:val="17"/>
          <w:szCs w:val="17"/>
          <w:color w:val="auto"/>
        </w:rPr>
        <w:t>. It is hereby acknowledged by Landlord and Tenant that (x) TI Construction Drawings are not required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Landlord’s Work being performed in the Initial Premises, and (y) the TI Construction Drawings for Landlord’s Work in the Subsequent Premises must be completed and approved not later than February 15, 2018, in order for the Landlord’s Work in the Subsequent Premises to be Substantially Complete by the Subsequent Premises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left="640" w:hanging="176"/>
        <w:spacing w:after="0"/>
        <w:tabs>
          <w:tab w:leader="none" w:pos="640" w:val="left"/>
        </w:tabs>
        <w:numPr>
          <w:ilvl w:val="1"/>
          <w:numId w:val="399"/>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2"/>
          <w:numId w:val="399"/>
        </w:numPr>
        <w:rPr>
          <w:rFonts w:ascii="Arial" w:cs="Arial" w:eastAsia="Arial" w:hAnsi="Arial"/>
          <w:sz w:val="16"/>
          <w:szCs w:val="16"/>
          <w:color w:val="auto"/>
        </w:rPr>
      </w:pP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(i) the work of constructing the Tenant Improvements, and</w:t>
      </w:r>
    </w:p>
    <w:p>
      <w:pPr>
        <w:spacing w:after="0" w:line="50" w:lineRule="exact"/>
        <w:rPr>
          <w:rFonts w:ascii="Arial" w:cs="Arial" w:eastAsia="Arial" w:hAnsi="Arial"/>
          <w:sz w:val="16"/>
          <w:szCs w:val="16"/>
          <w:color w:val="auto"/>
        </w:rPr>
      </w:pPr>
    </w:p>
    <w:p>
      <w:pPr>
        <w:ind w:left="280" w:hanging="272"/>
        <w:spacing w:after="0"/>
        <w:tabs>
          <w:tab w:leader="none" w:pos="2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replacing the damaged door of the tele/data area located in the Initial Premises, which replacement shall be completed at Landlord’s sole cost and expense.</w:t>
      </w:r>
    </w:p>
    <w:p>
      <w:pPr>
        <w:spacing w:after="0" w:line="121" w:lineRule="exact"/>
        <w:rPr>
          <w:rFonts w:ascii="Arial" w:cs="Arial" w:eastAsia="Arial" w:hAnsi="Arial"/>
          <w:sz w:val="16"/>
          <w:szCs w:val="16"/>
          <w:color w:val="auto"/>
        </w:rPr>
      </w:pPr>
    </w:p>
    <w:p>
      <w:pPr>
        <w:ind w:right="80" w:firstLine="921"/>
        <w:spacing w:after="0" w:line="255" w:lineRule="auto"/>
        <w:tabs>
          <w:tab w:leader="none" w:pos="1168" w:val="left"/>
        </w:tabs>
        <w:numPr>
          <w:ilvl w:val="2"/>
          <w:numId w:val="400"/>
        </w:numPr>
        <w:rPr>
          <w:rFonts w:ascii="Arial" w:cs="Arial" w:eastAsia="Arial" w:hAnsi="Arial"/>
          <w:sz w:val="18"/>
          <w:szCs w:val="18"/>
          <w:color w:val="auto"/>
        </w:rPr>
      </w:pPr>
      <w:r>
        <w:rPr>
          <w:rFonts w:ascii="Arial" w:cs="Arial" w:eastAsia="Arial" w:hAnsi="Arial"/>
          <w:sz w:val="18"/>
          <w:szCs w:val="18"/>
          <w:b w:val="1"/>
          <w:bCs w:val="1"/>
          <w:color w:val="auto"/>
        </w:rPr>
        <w:t>Commencement and Permitting</w:t>
      </w:r>
      <w:r>
        <w:rPr>
          <w:rFonts w:ascii="Arial" w:cs="Arial" w:eastAsia="Arial" w:hAnsi="Arial"/>
          <w:sz w:val="18"/>
          <w:szCs w:val="18"/>
          <w:color w:val="auto"/>
        </w:rPr>
        <w:t>. Landlord shall commence construction of the Tenant Improvements upon obtaining a building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81" w:lineRule="exact"/>
        <w:rPr>
          <w:rFonts w:ascii="Arial" w:cs="Arial" w:eastAsia="Arial" w:hAnsi="Arial"/>
          <w:sz w:val="18"/>
          <w:szCs w:val="18"/>
          <w:color w:val="auto"/>
        </w:rPr>
      </w:pPr>
    </w:p>
    <w:p>
      <w:pPr>
        <w:ind w:right="120" w:firstLine="921"/>
        <w:spacing w:after="0" w:line="277" w:lineRule="auto"/>
        <w:tabs>
          <w:tab w:leader="none" w:pos="1157" w:val="left"/>
        </w:tabs>
        <w:numPr>
          <w:ilvl w:val="2"/>
          <w:numId w:val="400"/>
        </w:numPr>
        <w:rPr>
          <w:rFonts w:ascii="Arial" w:cs="Arial" w:eastAsia="Arial" w:hAnsi="Arial"/>
          <w:sz w:val="17"/>
          <w:szCs w:val="17"/>
          <w:color w:val="auto"/>
        </w:rPr>
      </w:pPr>
      <w:r>
        <w:rPr>
          <w:rFonts w:ascii="Arial" w:cs="Arial" w:eastAsia="Arial" w:hAnsi="Arial"/>
          <w:sz w:val="17"/>
          <w:szCs w:val="17"/>
          <w:b w:val="1"/>
          <w:bCs w:val="1"/>
          <w:color w:val="auto"/>
        </w:rPr>
        <w:t>Completion of Landlord’s Work</w:t>
      </w:r>
      <w:r>
        <w:rPr>
          <w:rFonts w:ascii="Arial" w:cs="Arial" w:eastAsia="Arial" w:hAnsi="Arial"/>
          <w:sz w:val="17"/>
          <w:szCs w:val="17"/>
          <w:color w:val="auto"/>
        </w:rPr>
        <w:t>. On or before the Target Commencement Date (subject to Tenant Delays and Force-Majeure Delays)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Initial Premises and on or before the Subsequent Premises Target Commencement Date (subject to Tenant Delays and Force-Majeure Delays) with respect to the Subsequent Premises, Landlord shall substantially complete or cause to be substantially completed Landlord’s Work in a good and workmanlike manner, in accordance with the TI Permit subject, in each case, to Minor Variations and normal “punch list” items of a non-material nature that do not interfere with the use of the Initial Premises or Subsequent Premises,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76200</wp:posOffset>
            </wp:positionV>
            <wp:extent cx="2418080" cy="514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3" w:name="page514"/>
    <w:bookmarkEnd w:id="513"/>
    <w:p>
      <w:pPr>
        <w:ind w:left="85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3</w:t>
      </w:r>
    </w:p>
    <w:p>
      <w:pPr>
        <w:spacing w:after="0" w:line="18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w:t>
      </w:r>
    </w:p>
    <w:p>
      <w:pPr>
        <w:spacing w:after="0" w:line="2" w:lineRule="exact"/>
        <w:rPr>
          <w:sz w:val="20"/>
          <w:szCs w:val="20"/>
          <w:color w:val="auto"/>
        </w:rPr>
      </w:pPr>
    </w:p>
    <w:p>
      <w:pPr>
        <w:ind w:right="20" w:firstLine="8"/>
        <w:spacing w:after="0" w:line="281" w:lineRule="auto"/>
        <w:tabs>
          <w:tab w:leader="none" w:pos="21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to make reasonable adjustments for field deviations or conditions encountered during the construction of Landlord’s Work.</w:t>
      </w:r>
    </w:p>
    <w:p>
      <w:pPr>
        <w:spacing w:after="0" w:line="98" w:lineRule="exact"/>
        <w:rPr>
          <w:rFonts w:ascii="Arial" w:cs="Arial" w:eastAsia="Arial" w:hAnsi="Arial"/>
          <w:sz w:val="18"/>
          <w:szCs w:val="18"/>
          <w:color w:val="auto"/>
        </w:rPr>
      </w:pPr>
    </w:p>
    <w:p>
      <w:pPr>
        <w:jc w:val="both"/>
        <w:ind w:right="640" w:firstLine="921"/>
        <w:spacing w:after="0" w:line="314" w:lineRule="auto"/>
        <w:tabs>
          <w:tab w:leader="none" w:pos="1168" w:val="left"/>
        </w:tabs>
        <w:numPr>
          <w:ilvl w:val="1"/>
          <w:numId w:val="402"/>
        </w:numPr>
        <w:rPr>
          <w:rFonts w:ascii="Arial" w:cs="Arial" w:eastAsia="Arial" w:hAnsi="Arial"/>
          <w:sz w:val="16"/>
          <w:szCs w:val="16"/>
          <w:color w:val="auto"/>
        </w:rPr>
      </w:pPr>
      <w:r>
        <w:rPr>
          <w:rFonts w:ascii="Arial" w:cs="Arial" w:eastAsia="Arial" w:hAnsi="Arial"/>
          <w:sz w:val="16"/>
          <w:szCs w:val="16"/>
          <w:b w:val="1"/>
          <w:bCs w:val="1"/>
          <w:color w:val="auto"/>
        </w:rPr>
        <w:t>Selection of Materials</w:t>
      </w:r>
      <w:r>
        <w:rPr>
          <w:rFonts w:ascii="Arial" w:cs="Arial" w:eastAsia="Arial" w:hAnsi="Arial"/>
          <w:sz w:val="16"/>
          <w:szCs w:val="16"/>
          <w:color w:val="auto"/>
        </w:rPr>
        <w:t>. Where more than one type of material or structure is indicated on the TI Construction Drawings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the option will be selected at Landlord’s sole and absolute subjective discretion. As to all building materials and equipment that Landlord is obligated to supply under this Work Letter, Landlord shall select the manufacturer thereof in its sole and absolute subjective discretion.</w:t>
      </w:r>
    </w:p>
    <w:p>
      <w:pPr>
        <w:spacing w:after="0" w:line="34" w:lineRule="exact"/>
        <w:rPr>
          <w:rFonts w:ascii="Arial" w:cs="Arial" w:eastAsia="Arial" w:hAnsi="Arial"/>
          <w:sz w:val="16"/>
          <w:szCs w:val="16"/>
          <w:color w:val="auto"/>
        </w:rPr>
      </w:pPr>
    </w:p>
    <w:p>
      <w:pPr>
        <w:ind w:right="20" w:firstLine="921"/>
        <w:spacing w:after="0" w:line="269" w:lineRule="auto"/>
        <w:tabs>
          <w:tab w:leader="none" w:pos="1157" w:val="left"/>
        </w:tabs>
        <w:numPr>
          <w:ilvl w:val="1"/>
          <w:numId w:val="402"/>
        </w:numPr>
        <w:rPr>
          <w:rFonts w:ascii="Arial" w:cs="Arial" w:eastAsia="Arial" w:hAnsi="Arial"/>
          <w:sz w:val="17"/>
          <w:szCs w:val="17"/>
          <w:color w:val="auto"/>
        </w:rPr>
      </w:pPr>
      <w:r>
        <w:rPr>
          <w:rFonts w:ascii="Arial" w:cs="Arial" w:eastAsia="Arial" w:hAnsi="Arial"/>
          <w:sz w:val="17"/>
          <w:szCs w:val="17"/>
          <w:b w:val="1"/>
          <w:bCs w:val="1"/>
          <w:color w:val="auto"/>
        </w:rPr>
        <w:t>Delivery of the Subsequent Premises</w:t>
      </w:r>
      <w:r>
        <w:rPr>
          <w:rFonts w:ascii="Arial" w:cs="Arial" w:eastAsia="Arial" w:hAnsi="Arial"/>
          <w:sz w:val="17"/>
          <w:szCs w:val="17"/>
          <w:color w:val="auto"/>
        </w:rPr>
        <w:t>. When Landlord’s Work is Substantially Complete, subject to the remaining terms and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3(e)</w:t>
      </w:r>
      <w:r>
        <w:rPr>
          <w:rFonts w:ascii="Arial" w:cs="Arial" w:eastAsia="Arial" w:hAnsi="Arial"/>
          <w:sz w:val="17"/>
          <w:szCs w:val="17"/>
          <w:color w:val="auto"/>
        </w:rPr>
        <w:t>, Tenant shall accept the Initial Premises and the Subsequent Premises, respectively. Tenant’s taking possession and acceptance of the Initial Premises and the Subsequent Premises, respectively,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7"/>
          <w:szCs w:val="17"/>
          <w:b w:val="1"/>
          <w:bCs w:val="1"/>
          <w:color w:val="auto"/>
        </w:rPr>
        <w:t>Construction Defect</w:t>
      </w:r>
      <w:r>
        <w:rPr>
          <w:rFonts w:ascii="Arial" w:cs="Arial" w:eastAsia="Arial" w:hAnsi="Arial"/>
          <w:sz w:val="17"/>
          <w:szCs w:val="17"/>
          <w:color w:val="auto"/>
        </w:rPr>
        <w:t>”). Tenant shall have one year after Substantial Completion of Landlord’s Work in the Initial Premises and the Subsequent Premises, respectively,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Subsequent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75" w:lineRule="exact"/>
        <w:rPr>
          <w:sz w:val="20"/>
          <w:szCs w:val="20"/>
          <w:color w:val="auto"/>
        </w:rPr>
      </w:pPr>
    </w:p>
    <w:p>
      <w:pPr>
        <w:ind w:right="80" w:firstLine="921"/>
        <w:spacing w:after="0" w:line="261" w:lineRule="auto"/>
        <w:tabs>
          <w:tab w:leader="none" w:pos="1138" w:val="left"/>
        </w:tabs>
        <w:numPr>
          <w:ilvl w:val="1"/>
          <w:numId w:val="403"/>
        </w:numPr>
        <w:rPr>
          <w:rFonts w:ascii="Arial" w:cs="Arial" w:eastAsia="Arial" w:hAnsi="Arial"/>
          <w:sz w:val="18"/>
          <w:szCs w:val="18"/>
          <w:color w:val="auto"/>
        </w:rPr>
      </w:pPr>
      <w:r>
        <w:rPr>
          <w:rFonts w:ascii="Arial" w:cs="Arial" w:eastAsia="Arial" w:hAnsi="Arial"/>
          <w:sz w:val="18"/>
          <w:szCs w:val="18"/>
          <w:b w:val="1"/>
          <w:bCs w:val="1"/>
          <w:color w:val="auto"/>
        </w:rPr>
        <w:t>Commencement Date/Subsequent Premises Commencement Date Delay</w:t>
      </w:r>
      <w:r>
        <w:rPr>
          <w:rFonts w:ascii="Arial" w:cs="Arial" w:eastAsia="Arial" w:hAnsi="Arial"/>
          <w:sz w:val="18"/>
          <w:szCs w:val="18"/>
          <w:color w:val="auto"/>
        </w:rPr>
        <w:t>. Except as otherwise provided in the Lease, Delivery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Premises and the Subsequent Premises, respectively, shall occur when Landlord’s Work in the Initial Premises and the Subsequent Premises, respectively, has been Substantially 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60" w:firstLine="443"/>
        <w:spacing w:after="0" w:line="277" w:lineRule="auto"/>
        <w:tabs>
          <w:tab w:leader="none" w:pos="111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Tenant’s Representative was not available within 2 business days to give or receive any Communication or to take any other action required to be taken by Tenant hereunder;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Tenant’s request for Change Requests (as defined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below) whether or not any such Change Requests are actually performed;</w:t>
      </w:r>
    </w:p>
    <w:p>
      <w:pPr>
        <w:spacing w:after="0" w:line="140" w:lineRule="exact"/>
        <w:rPr>
          <w:rFonts w:ascii="Arial" w:cs="Arial" w:eastAsia="Arial" w:hAnsi="Arial"/>
          <w:sz w:val="16"/>
          <w:szCs w:val="16"/>
          <w:color w:val="auto"/>
        </w:rPr>
      </w:pPr>
    </w:p>
    <w:p>
      <w:pPr>
        <w:ind w:left="1220" w:hanging="317"/>
        <w:spacing w:after="0"/>
        <w:tabs>
          <w:tab w:leader="none" w:pos="12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Construction of any Change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4" w:name="page515"/>
    <w:bookmarkEnd w:id="5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4</w:t>
      </w:r>
    </w:p>
    <w:p>
      <w:pPr>
        <w:spacing w:after="0" w:line="162" w:lineRule="exact"/>
        <w:rPr>
          <w:sz w:val="20"/>
          <w:szCs w:val="20"/>
          <w:color w:val="auto"/>
        </w:rPr>
      </w:pPr>
    </w:p>
    <w:p>
      <w:pPr>
        <w:ind w:left="1200" w:hanging="297"/>
        <w:spacing w:after="0"/>
        <w:tabs>
          <w:tab w:leader="none" w:pos="12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Tenant’s request for materials, finishes or installations requiring unusually long lead times;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20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Tenant’s delay in providing information critical to the normal progression of the work within 2 business days following written request therefor from Landlord. Tenant shall provide such information as soon as reasonably possible, but in no event longer than one week after receipt of any request for such information from Landlord;</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or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w:t>
      </w:r>
    </w:p>
    <w:p>
      <w:pPr>
        <w:spacing w:after="0" w:line="23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If Delivery of the Initial Premises or the Subsequent Premises, respectively, is delayed for any of the foregoing reasons, then Landlord shall cause the TI Architect to certify the date on which the Tenant Improvements in the Initial Premises and the Subsequent Premises, respectively, would have been completed but for such Tenant Delay and such certified date shall be the date of Delivery of the Initial Premises or the Subsequent Premises, if applicable.</w:t>
      </w:r>
    </w:p>
    <w:p>
      <w:pPr>
        <w:spacing w:after="0" w:line="35" w:lineRule="exact"/>
        <w:rPr>
          <w:sz w:val="20"/>
          <w:szCs w:val="20"/>
          <w:color w:val="auto"/>
        </w:rPr>
      </w:pPr>
    </w:p>
    <w:p>
      <w:pPr>
        <w:ind w:right="220" w:firstLine="464"/>
        <w:spacing w:after="0" w:line="266" w:lineRule="auto"/>
        <w:tabs>
          <w:tab w:leader="none" w:pos="636"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shall be requested and instituted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68" w:lineRule="exact"/>
        <w:rPr>
          <w:rFonts w:ascii="Arial" w:cs="Arial" w:eastAsia="Arial" w:hAnsi="Arial"/>
          <w:sz w:val="18"/>
          <w:szCs w:val="18"/>
          <w:color w:val="auto"/>
        </w:rPr>
      </w:pPr>
    </w:p>
    <w:p>
      <w:pPr>
        <w:ind w:right="20" w:firstLine="921"/>
        <w:spacing w:after="0" w:line="270" w:lineRule="auto"/>
        <w:tabs>
          <w:tab w:leader="none" w:pos="1157" w:val="left"/>
        </w:tabs>
        <w:numPr>
          <w:ilvl w:val="1"/>
          <w:numId w:val="406"/>
        </w:numPr>
        <w:rPr>
          <w:rFonts w:ascii="Arial" w:cs="Arial" w:eastAsia="Arial" w:hAnsi="Arial"/>
          <w:sz w:val="17"/>
          <w:szCs w:val="17"/>
          <w:color w:val="auto"/>
        </w:rPr>
      </w:pPr>
      <w:r>
        <w:rPr>
          <w:rFonts w:ascii="Arial" w:cs="Arial" w:eastAsia="Arial" w:hAnsi="Arial"/>
          <w:sz w:val="17"/>
          <w:szCs w:val="17"/>
          <w:b w:val="1"/>
          <w:bCs w:val="1"/>
          <w:color w:val="auto"/>
        </w:rPr>
        <w:t>Tenant’s Request For Changes</w:t>
      </w:r>
      <w:r>
        <w:rPr>
          <w:rFonts w:ascii="Arial" w:cs="Arial" w:eastAsia="Arial" w:hAnsi="Arial"/>
          <w:sz w:val="17"/>
          <w:szCs w:val="17"/>
          <w:color w:val="auto"/>
        </w:rPr>
        <w:t>. 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by notifying Landlord in writing in substantially the same form as the AIA standard change order form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in either or both the Initial Premises or the Subsequent Premises will be Substantially Complete. Any such delay in the completion of Landlord’s Work caused by a Change, including any suspension of Landlord’s Work while any such Change is being evaluated and/or designed, shall be Tenant Delay.</w:t>
      </w:r>
    </w:p>
    <w:p>
      <w:pPr>
        <w:spacing w:after="0" w:line="65" w:lineRule="exact"/>
        <w:rPr>
          <w:rFonts w:ascii="Arial" w:cs="Arial" w:eastAsia="Arial" w:hAnsi="Arial"/>
          <w:sz w:val="17"/>
          <w:szCs w:val="17"/>
          <w:color w:val="auto"/>
        </w:rPr>
      </w:pPr>
    </w:p>
    <w:p>
      <w:pPr>
        <w:ind w:right="120" w:firstLine="921"/>
        <w:spacing w:after="0" w:line="303" w:lineRule="auto"/>
        <w:tabs>
          <w:tab w:leader="none" w:pos="1168" w:val="left"/>
        </w:tabs>
        <w:numPr>
          <w:ilvl w:val="1"/>
          <w:numId w:val="406"/>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Tenant: (i) approves in writing the cost or savings and the estimated extension in the time for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64770</wp:posOffset>
            </wp:positionV>
            <wp:extent cx="2418080" cy="514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5</w:t>
      </w:r>
    </w:p>
    <w:p>
      <w:pPr>
        <w:spacing w:after="0" w:line="158" w:lineRule="exact"/>
        <w:rPr>
          <w:sz w:val="20"/>
          <w:szCs w:val="20"/>
          <w:color w:val="auto"/>
        </w:rPr>
      </w:pPr>
    </w:p>
    <w:p>
      <w:pPr>
        <w:ind w:left="640" w:hanging="176"/>
        <w:spacing w:after="0"/>
        <w:tabs>
          <w:tab w:leader="none" w:pos="640"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8" w:lineRule="auto"/>
        <w:tabs>
          <w:tab w:leader="none" w:pos="1157" w:val="left"/>
        </w:tabs>
        <w:numPr>
          <w:ilvl w:val="1"/>
          <w:numId w:val="407"/>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Landlord shall obtain a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 by trade of the costs incurred or that will be incurred in connection with the design and construction of the Tenant Improvements (as the same may be amended, the “</w:t>
      </w:r>
      <w:r>
        <w:rPr>
          <w:rFonts w:ascii="Arial" w:cs="Arial" w:eastAsia="Arial" w:hAnsi="Arial"/>
          <w:sz w:val="18"/>
          <w:szCs w:val="18"/>
          <w:b w:val="1"/>
          <w:bCs w:val="1"/>
          <w:color w:val="auto"/>
        </w:rPr>
        <w:t>Budget</w:t>
      </w:r>
      <w:r>
        <w:rPr>
          <w:rFonts w:ascii="Arial" w:cs="Arial" w:eastAsia="Arial" w:hAnsi="Arial"/>
          <w:sz w:val="18"/>
          <w:szCs w:val="18"/>
          <w:color w:val="auto"/>
        </w:rPr>
        <w:t xml:space="preserve">”). The Budget shall be based upon the TI Construction Drawings approved by Tenant.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520" w:firstLine="921"/>
        <w:spacing w:after="0" w:line="282" w:lineRule="auto"/>
        <w:tabs>
          <w:tab w:leader="none" w:pos="1168" w:val="left"/>
        </w:tabs>
        <w:numPr>
          <w:ilvl w:val="1"/>
          <w:numId w:val="407"/>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a tenant improvement allowance (the “</w:t>
      </w:r>
      <w:r>
        <w:rPr>
          <w:rFonts w:ascii="Arial" w:cs="Arial" w:eastAsia="Arial" w:hAnsi="Arial"/>
          <w:sz w:val="18"/>
          <w:szCs w:val="18"/>
          <w:b w:val="1"/>
          <w:bCs w:val="1"/>
          <w:color w:val="auto"/>
        </w:rPr>
        <w:t>TI Allowance</w:t>
      </w:r>
      <w:r>
        <w:rPr>
          <w:rFonts w:ascii="Arial" w:cs="Arial" w:eastAsia="Arial" w:hAnsi="Arial"/>
          <w:sz w:val="18"/>
          <w:szCs w:val="18"/>
          <w:color w:val="auto"/>
        </w:rPr>
        <w:t>”) of $75.00 per rentable square foot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$841,350 in the aggregate. The TI Allowance shall be disbursed in accordance with this Work Letter.</w:t>
      </w:r>
    </w:p>
    <w:p>
      <w:pPr>
        <w:spacing w:after="0" w:line="5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69" w:lineRule="exact"/>
        <w:rPr>
          <w:sz w:val="20"/>
          <w:szCs w:val="20"/>
          <w:color w:val="auto"/>
        </w:rPr>
      </w:pPr>
    </w:p>
    <w:p>
      <w:pPr>
        <w:ind w:right="80" w:firstLine="921"/>
        <w:spacing w:after="0" w:line="255" w:lineRule="auto"/>
        <w:tabs>
          <w:tab w:leader="none" w:pos="1157"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Costs Includable in TI Fund</w:t>
      </w:r>
      <w:r>
        <w:rPr>
          <w:rFonts w:ascii="Arial" w:cs="Arial" w:eastAsia="Arial" w:hAnsi="Arial"/>
          <w:sz w:val="18"/>
          <w:szCs w:val="18"/>
          <w:color w:val="auto"/>
        </w:rPr>
        <w:t>. The TI Fund shall be used solely for the payment of design, permits and construction costs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construction of the Tenant Improvements, including, without limitation, the cost of electrical power and other utilities used in connection with the construction of the Tenant Improvements, the cost of preparing the Space Plans and the TI Construction Drawings, all costs set forth in the Budget, including out-of-pocket expenses, costs resulting from Tenant Delays and the cost of Changes (collectively, “</w:t>
      </w:r>
      <w:r>
        <w:rPr>
          <w:rFonts w:ascii="Arial" w:cs="Arial" w:eastAsia="Arial" w:hAnsi="Arial"/>
          <w:sz w:val="18"/>
          <w:szCs w:val="18"/>
          <w:b w:val="1"/>
          <w:bCs w:val="1"/>
          <w:color w:val="auto"/>
        </w:rPr>
        <w:t>TI Costs</w:t>
      </w:r>
      <w:r>
        <w:rPr>
          <w:rFonts w:ascii="Arial" w:cs="Arial" w:eastAsia="Arial" w:hAnsi="Arial"/>
          <w:sz w:val="18"/>
          <w:szCs w:val="18"/>
          <w:color w:val="auto"/>
        </w:rPr>
        <w:t>”).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81" w:lineRule="exact"/>
        <w:rPr>
          <w:rFonts w:ascii="Arial" w:cs="Arial" w:eastAsia="Arial" w:hAnsi="Arial"/>
          <w:sz w:val="18"/>
          <w:szCs w:val="18"/>
          <w:color w:val="auto"/>
        </w:rPr>
      </w:pPr>
    </w:p>
    <w:p>
      <w:pPr>
        <w:ind w:right="20" w:firstLine="921"/>
        <w:spacing w:after="0" w:line="289" w:lineRule="auto"/>
        <w:tabs>
          <w:tab w:leader="none" w:pos="1168" w:val="left"/>
        </w:tabs>
        <w:numPr>
          <w:ilvl w:val="0"/>
          <w:numId w:val="408"/>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TI Allowance. If at any time the remaining TI Costs under the Budget exceed the remaining unexpended TI Allowance, Tenant shall deposit with Landlord, as a condition precedent to Landlord’s obligation to complete the Tenant Improvements, 100% of the then current TI Cost in excess of the remaining TI Allowance (“</w:t>
      </w:r>
      <w:r>
        <w:rPr>
          <w:rFonts w:ascii="Arial" w:cs="Arial" w:eastAsia="Arial" w:hAnsi="Arial"/>
          <w:sz w:val="16"/>
          <w:szCs w:val="16"/>
          <w:b w:val="1"/>
          <w:bCs w:val="1"/>
          <w:color w:val="auto"/>
        </w:rPr>
        <w:t>Excess TI Costs</w:t>
      </w:r>
      <w:r>
        <w:rPr>
          <w:rFonts w:ascii="Arial" w:cs="Arial" w:eastAsia="Arial" w:hAnsi="Arial"/>
          <w:sz w:val="16"/>
          <w:szCs w:val="16"/>
          <w:color w:val="auto"/>
        </w:rPr>
        <w:t>”).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TI Allowance. If upon Substantial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53" w:lineRule="exact"/>
        <w:rPr>
          <w:rFonts w:ascii="Arial" w:cs="Arial" w:eastAsia="Arial" w:hAnsi="Arial"/>
          <w:sz w:val="16"/>
          <w:szCs w:val="16"/>
          <w:color w:val="auto"/>
        </w:rPr>
      </w:pPr>
    </w:p>
    <w:p>
      <w:pPr>
        <w:ind w:right="40" w:firstLine="921"/>
        <w:spacing w:after="0" w:line="256" w:lineRule="auto"/>
        <w:tabs>
          <w:tab w:leader="none" w:pos="1157"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Construction Contract</w:t>
      </w:r>
      <w:r>
        <w:rPr>
          <w:rFonts w:ascii="Arial" w:cs="Arial" w:eastAsia="Arial" w:hAnsi="Arial"/>
          <w:sz w:val="18"/>
          <w:szCs w:val="18"/>
          <w:color w:val="auto"/>
        </w:rPr>
        <w:t>. The contract for construction of the Tenant Improvements shall be written substantially on Landlord’s standard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construction agreement with modifications reasonably acceptable to Landlord where the contract sum is the costs of the work plus a fee not to exceed a “Guaranteed Maximum Price” in an amount equal to the construction costs and contingencies set forth in the Budget) (which Budget shall be based upon completed permit drawings and shall not include comments raised by Governmental Authorities as part of their permit review) subject to the terms of such contract and subject to any increases resulting from Changes and any changes to the permit drawings required by Governmental Authorities implemented after approval of the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88265</wp:posOffset>
            </wp:positionV>
            <wp:extent cx="2418080" cy="514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6</w:t>
      </w:r>
    </w:p>
    <w:p>
      <w:pPr>
        <w:spacing w:after="0" w:line="158" w:lineRule="exact"/>
        <w:rPr>
          <w:sz w:val="20"/>
          <w:szCs w:val="20"/>
          <w:color w:val="auto"/>
        </w:rPr>
      </w:pPr>
    </w:p>
    <w:p>
      <w:pPr>
        <w:ind w:left="640" w:hanging="176"/>
        <w:spacing w:after="0"/>
        <w:tabs>
          <w:tab w:leader="none" w:pos="64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70" w:lineRule="auto"/>
        <w:tabs>
          <w:tab w:leader="none" w:pos="1157" w:val="left"/>
        </w:tabs>
        <w:numPr>
          <w:ilvl w:val="1"/>
          <w:numId w:val="409"/>
        </w:numPr>
        <w:rPr>
          <w:rFonts w:ascii="Arial" w:cs="Arial" w:eastAsia="Arial" w:hAnsi="Arial"/>
          <w:sz w:val="17"/>
          <w:szCs w:val="17"/>
          <w:color w:val="auto"/>
        </w:rPr>
      </w:pPr>
      <w:r>
        <w:rPr>
          <w:rFonts w:ascii="Arial" w:cs="Arial" w:eastAsia="Arial" w:hAnsi="Arial"/>
          <w:sz w:val="17"/>
          <w:szCs w:val="17"/>
          <w:b w:val="1"/>
          <w:bCs w:val="1"/>
          <w:color w:val="auto"/>
        </w:rPr>
        <w:t>Tenant’s Access Rights</w:t>
      </w:r>
      <w:r>
        <w:rPr>
          <w:rFonts w:ascii="Arial" w:cs="Arial" w:eastAsia="Arial" w:hAnsi="Arial"/>
          <w:sz w:val="17"/>
          <w:szCs w:val="17"/>
          <w:color w:val="auto"/>
        </w:rPr>
        <w:t>. Landlord hereby agrees to permit Tenant access, at Tenant’s sole risk and expense, to the Initial Premises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 Premises, respectively (i) 7 days prior to the Commencement Date or Subsequent Premises Commencement Date, as applicable, to perform any work (“</w:t>
      </w:r>
      <w:r>
        <w:rPr>
          <w:rFonts w:ascii="Arial" w:cs="Arial" w:eastAsia="Arial" w:hAnsi="Arial"/>
          <w:sz w:val="17"/>
          <w:szCs w:val="17"/>
          <w:b w:val="1"/>
          <w:bCs w:val="1"/>
          <w:color w:val="auto"/>
        </w:rPr>
        <w:t>Tenant’s Work</w:t>
      </w:r>
      <w:r>
        <w:rPr>
          <w:rFonts w:ascii="Arial" w:cs="Arial" w:eastAsia="Arial" w:hAnsi="Arial"/>
          <w:sz w:val="17"/>
          <w:szCs w:val="17"/>
          <w:color w:val="auto"/>
        </w:rPr>
        <w:t>”) required by 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Initial Premises or the Subsequent Premises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69" w:lineRule="exact"/>
        <w:rPr>
          <w:rFonts w:ascii="Arial" w:cs="Arial" w:eastAsia="Arial" w:hAnsi="Arial"/>
          <w:sz w:val="17"/>
          <w:szCs w:val="17"/>
          <w:color w:val="auto"/>
        </w:rPr>
      </w:pPr>
    </w:p>
    <w:p>
      <w:pPr>
        <w:jc w:val="both"/>
        <w:ind w:right="100" w:firstLine="921"/>
        <w:spacing w:after="0" w:line="261" w:lineRule="auto"/>
        <w:tabs>
          <w:tab w:leader="none" w:pos="1168" w:val="left"/>
        </w:tabs>
        <w:numPr>
          <w:ilvl w:val="1"/>
          <w:numId w:val="409"/>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Neither Tenant nor any Tenant Party (as defined in the Lease) shall interfere with the performance of Landlord’s Work, nor</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inspections or issuance of final approvals by applicable Governmental Authorities, and upon any such interference, Landlord shall have the right to exclude Tenant and any Tenant Party from the Initial Premises under the Substantial Completion of Landlord’s Work in the Initial Premises or from the Subsequent Premises until Substantial Completion of Landlord’s Work.</w:t>
      </w:r>
    </w:p>
    <w:p>
      <w:pPr>
        <w:spacing w:after="0" w:line="71" w:lineRule="exact"/>
        <w:rPr>
          <w:rFonts w:ascii="Arial" w:cs="Arial" w:eastAsia="Arial" w:hAnsi="Arial"/>
          <w:sz w:val="18"/>
          <w:szCs w:val="18"/>
          <w:color w:val="auto"/>
        </w:rPr>
      </w:pPr>
    </w:p>
    <w:p>
      <w:pPr>
        <w:ind w:right="120" w:firstLine="921"/>
        <w:spacing w:after="0" w:line="277" w:lineRule="auto"/>
        <w:tabs>
          <w:tab w:leader="none" w:pos="1157" w:val="left"/>
        </w:tabs>
        <w:numPr>
          <w:ilvl w:val="1"/>
          <w:numId w:val="409"/>
        </w:numPr>
        <w:rPr>
          <w:rFonts w:ascii="Arial" w:cs="Arial" w:eastAsia="Arial" w:hAnsi="Arial"/>
          <w:sz w:val="17"/>
          <w:szCs w:val="17"/>
          <w:color w:val="auto"/>
        </w:rPr>
      </w:pPr>
      <w:r>
        <w:rPr>
          <w:rFonts w:ascii="Arial" w:cs="Arial" w:eastAsia="Arial" w:hAnsi="Arial"/>
          <w:sz w:val="17"/>
          <w:szCs w:val="17"/>
          <w:b w:val="1"/>
          <w:bCs w:val="1"/>
          <w:color w:val="auto"/>
        </w:rPr>
        <w:t>No Acceptance of Premises</w:t>
      </w:r>
      <w:r>
        <w:rPr>
          <w:rFonts w:ascii="Arial" w:cs="Arial" w:eastAsia="Arial" w:hAnsi="Arial"/>
          <w:sz w:val="17"/>
          <w:szCs w:val="17"/>
          <w:color w:val="auto"/>
        </w:rPr>
        <w:t>. The fact that Tenant may, with Landlord’s consent, enter into the Premises, Building, Property or Project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Landlord’s Work is Substantially Complete for the purpose of performing Tenant’s Work shall not be deemed an acceptance by Tenant of possession of the Subsequent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68" w:lineRule="exact"/>
        <w:rPr>
          <w:rFonts w:ascii="Arial" w:cs="Arial" w:eastAsia="Arial" w:hAnsi="Arial"/>
          <w:sz w:val="17"/>
          <w:szCs w:val="17"/>
          <w:color w:val="auto"/>
        </w:rPr>
      </w:pPr>
    </w:p>
    <w:p>
      <w:pPr>
        <w:ind w:left="640" w:hanging="176"/>
        <w:spacing w:after="0"/>
        <w:tabs>
          <w:tab w:leader="none" w:pos="64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40" w:firstLine="921"/>
        <w:spacing w:after="0" w:line="282" w:lineRule="auto"/>
        <w:tabs>
          <w:tab w:leader="none" w:pos="1157" w:val="left"/>
        </w:tabs>
        <w:numPr>
          <w:ilvl w:val="1"/>
          <w:numId w:val="409"/>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unless expressly set forth herein to the contrary.</w:t>
      </w:r>
    </w:p>
    <w:p>
      <w:pPr>
        <w:spacing w:after="0" w:line="53" w:lineRule="exact"/>
        <w:rPr>
          <w:rFonts w:ascii="Arial" w:cs="Arial" w:eastAsia="Arial" w:hAnsi="Arial"/>
          <w:sz w:val="18"/>
          <w:szCs w:val="18"/>
          <w:color w:val="auto"/>
        </w:rPr>
      </w:pPr>
    </w:p>
    <w:p>
      <w:pPr>
        <w:ind w:right="420" w:firstLine="921"/>
        <w:spacing w:after="0" w:line="282" w:lineRule="auto"/>
        <w:tabs>
          <w:tab w:leader="none" w:pos="1168" w:val="left"/>
        </w:tabs>
        <w:numPr>
          <w:ilvl w:val="1"/>
          <w:numId w:val="409"/>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53" w:lineRule="exact"/>
        <w:rPr>
          <w:rFonts w:ascii="Arial" w:cs="Arial" w:eastAsia="Arial" w:hAnsi="Arial"/>
          <w:sz w:val="18"/>
          <w:szCs w:val="18"/>
          <w:color w:val="auto"/>
        </w:rPr>
      </w:pPr>
    </w:p>
    <w:p>
      <w:pPr>
        <w:ind w:right="400" w:firstLine="921"/>
        <w:spacing w:after="0" w:line="282" w:lineRule="auto"/>
        <w:tabs>
          <w:tab w:leader="none" w:pos="1157" w:val="left"/>
        </w:tabs>
        <w:numPr>
          <w:ilvl w:val="1"/>
          <w:numId w:val="409"/>
        </w:numPr>
        <w:rPr>
          <w:rFonts w:ascii="Arial" w:cs="Arial" w:eastAsia="Arial" w:hAnsi="Arial"/>
          <w:sz w:val="18"/>
          <w:szCs w:val="18"/>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 Notwithstanding anything set forth herein or in the Lease to the contrary, Landlord shall not have any obligation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work hereunder or to fund any portion of the TI Fund during any period Tenant is in Default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71755</wp:posOffset>
            </wp:positionV>
            <wp:extent cx="2418080" cy="514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7</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Annex 1</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Space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171450</wp:posOffset>
            </wp:positionV>
            <wp:extent cx="6037580" cy="74269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037580" cy="742696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518" w:name="page519"/>
    <w:bookmarkEnd w:id="518"/>
    <w:p>
      <w:pPr>
        <w:ind w:left="7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126365</wp:posOffset>
            </wp:positionV>
            <wp:extent cx="6191885" cy="80010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191885" cy="800100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519" w:name="page520"/>
    <w:bookmarkEnd w:id="519"/>
    <w:tbl>
      <w:tblPr>
        <w:tblLayout w:type="fixed"/>
        <w:tblInd w:w="4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One Kendall Square/Avrobio – Page 1</w:t>
            </w:r>
          </w:p>
        </w:tc>
      </w:tr>
      <w:tr>
        <w:trPr>
          <w:trHeight w:val="365"/>
        </w:trPr>
        <w:tc>
          <w:tcPr>
            <w:tcW w:w="3040" w:type="dxa"/>
            <w:vAlign w:val="bottom"/>
          </w:tcPr>
          <w:p>
            <w:pPr>
              <w:spacing w:after="0"/>
              <w:rPr>
                <w:sz w:val="24"/>
                <w:szCs w:val="24"/>
                <w:color w:val="auto"/>
              </w:rPr>
            </w:pPr>
          </w:p>
        </w:tc>
        <w:tc>
          <w:tcPr>
            <w:tcW w:w="3500" w:type="dxa"/>
            <w:vAlign w:val="bottom"/>
          </w:tcPr>
          <w:p>
            <w:pPr>
              <w:jc w:val="center"/>
              <w:ind w:left="850"/>
              <w:spacing w:after="0"/>
              <w:rPr>
                <w:sz w:val="20"/>
                <w:szCs w:val="20"/>
                <w:color w:val="auto"/>
              </w:rPr>
            </w:pPr>
            <w:r>
              <w:rPr>
                <w:rFonts w:ascii="Arial" w:cs="Arial" w:eastAsia="Arial" w:hAnsi="Arial"/>
                <w:sz w:val="18"/>
                <w:szCs w:val="18"/>
                <w:b w:val="1"/>
                <w:bCs w:val="1"/>
                <w:color w:val="auto"/>
              </w:rPr>
              <w:t>EXHIBIT D TO LEASE</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4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ACKNOWLEDGMENT OF COMMENCEMENT DATE</w:t>
            </w: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53"/>
        </w:trPr>
        <w:tc>
          <w:tcPr>
            <w:tcW w:w="6540" w:type="dxa"/>
            <w:vAlign w:val="bottom"/>
            <w:gridSpan w:val="2"/>
          </w:tcPr>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as of this</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day of</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300" w:type="dxa"/>
            <w:vAlign w:val="bottom"/>
          </w:tcPr>
          <w:p>
            <w:pPr>
              <w:ind w:left="320"/>
              <w:spacing w:after="0"/>
              <w:rPr>
                <w:sz w:val="20"/>
                <w:szCs w:val="20"/>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ARE-MA</w:t>
            </w:r>
          </w:p>
        </w:tc>
      </w:tr>
    </w:tbl>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 NO. 59,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AVROBIO,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 attached to</w:t>
      </w:r>
    </w:p>
    <w:p>
      <w:pPr>
        <w:spacing w:after="0" w:line="39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and made a part of the Lease dated as of ,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p>
    <w:p>
      <w:pPr>
        <w:spacing w:after="0" w:line="46" w:lineRule="exact"/>
        <w:rPr>
          <w:sz w:val="20"/>
          <w:szCs w:val="20"/>
          <w:color w:val="auto"/>
        </w:rPr>
      </w:pPr>
    </w:p>
    <w:p>
      <w:pPr>
        <w:ind w:left="1080"/>
        <w:spacing w:after="0"/>
        <w:tabs>
          <w:tab w:leader="none" w:pos="1700" w:val="left"/>
          <w:tab w:leader="none" w:pos="6480" w:val="left"/>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the Subsequent Premises Commencement Date 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and the termination date of the Base Term of the Lease</w:t>
      </w:r>
    </w:p>
    <w:p>
      <w:pPr>
        <w:spacing w:after="0" w:line="9" w:lineRule="exact"/>
        <w:rPr>
          <w:sz w:val="20"/>
          <w:szCs w:val="20"/>
          <w:color w:val="auto"/>
        </w:rPr>
      </w:pPr>
    </w:p>
    <w:p>
      <w:pPr>
        <w:spacing w:after="0"/>
        <w:tabs>
          <w:tab w:leader="none" w:pos="2760" w:val="left"/>
          <w:tab w:leader="none" w:pos="3400" w:val="left"/>
        </w:tabs>
        <w:rPr>
          <w:sz w:val="20"/>
          <w:szCs w:val="20"/>
          <w:color w:val="auto"/>
        </w:rPr>
      </w:pPr>
      <w:r>
        <w:rPr>
          <w:rFonts w:ascii="Arial" w:cs="Arial" w:eastAsia="Arial" w:hAnsi="Arial"/>
          <w:sz w:val="18"/>
          <w:szCs w:val="18"/>
          <w:color w:val="auto"/>
        </w:rPr>
        <w:t>shall be midnight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In case of a conflict between this Acknowledgment of Commencement Date and the Lease,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of Commencement Date shall control for all purposes.</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860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-19050</wp:posOffset>
            </wp:positionV>
            <wp:extent cx="185737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-19050</wp:posOffset>
            </wp:positionV>
            <wp:extent cx="214312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ARE-MA REGION NO. 59, LLC</w:t>
      </w:r>
      <w:r>
        <w:rPr>
          <w:rFonts w:ascii="Arial" w:cs="Arial" w:eastAsia="Arial" w:hAnsi="Arial"/>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a Delaware limited partnership, managing member</w:t>
      </w:r>
    </w:p>
    <w:p>
      <w:pPr>
        <w:spacing w:after="0" w:line="2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ARE-QRS CORP.,</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 Maryland corporation, general partner</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4761230</wp:posOffset>
            </wp:positionH>
            <wp:positionV relativeFrom="paragraph">
              <wp:posOffset>-10160</wp:posOffset>
            </wp:positionV>
            <wp:extent cx="20859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-19050</wp:posOffset>
            </wp:positionV>
            <wp:extent cx="165735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-19050</wp:posOffset>
            </wp:positionV>
            <wp:extent cx="19716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100330</wp:posOffset>
            </wp:positionV>
            <wp:extent cx="2418080" cy="514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0" w:name="page521"/>
    <w:bookmarkEnd w:id="520"/>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right="100" w:firstLine="464"/>
        <w:spacing w:after="0" w:line="277"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sidewalk, entries, and driveways of the Building, Property or Project shall not be obstructed by Tenant, or any Tenant Party, or used by them for any purpose other than ingress and egress to and from the Premises.</w:t>
      </w:r>
    </w:p>
    <w:p>
      <w:pPr>
        <w:spacing w:after="0" w:line="62" w:lineRule="exact"/>
        <w:rPr>
          <w:rFonts w:ascii="Arial" w:cs="Arial" w:eastAsia="Arial" w:hAnsi="Arial"/>
          <w:sz w:val="18"/>
          <w:szCs w:val="18"/>
          <w:color w:val="auto"/>
        </w:rPr>
      </w:pPr>
    </w:p>
    <w:p>
      <w:pPr>
        <w:ind w:right="420" w:firstLine="464"/>
        <w:spacing w:after="0" w:line="277"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Building.</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Building, Property or Project.</w:t>
      </w:r>
    </w:p>
    <w:p>
      <w:pPr>
        <w:spacing w:after="0" w:line="128" w:lineRule="exact"/>
        <w:rPr>
          <w:rFonts w:ascii="Arial" w:cs="Arial" w:eastAsia="Arial" w:hAnsi="Arial"/>
          <w:sz w:val="17"/>
          <w:szCs w:val="17"/>
          <w:color w:val="auto"/>
        </w:rPr>
      </w:pPr>
    </w:p>
    <w:p>
      <w:pPr>
        <w:ind w:right="100" w:firstLine="464"/>
        <w:spacing w:after="0" w:line="277"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not disturb the occupants of the Building, Property or Project or adjoining buildings by the use of any radio or musical instrument or by the making of loud or improper noises.</w:t>
      </w:r>
    </w:p>
    <w:p>
      <w:pPr>
        <w:spacing w:after="0" w:line="62"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73" w:lineRule="exact"/>
        <w:rPr>
          <w:rFonts w:ascii="Arial" w:cs="Arial" w:eastAsia="Arial" w:hAnsi="Arial"/>
          <w:sz w:val="18"/>
          <w:szCs w:val="18"/>
          <w:color w:val="auto"/>
        </w:rPr>
      </w:pPr>
    </w:p>
    <w:p>
      <w:pPr>
        <w:ind w:right="20" w:firstLine="464"/>
        <w:spacing w:after="0" w:line="264"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Building, Property or Project.</w:t>
      </w:r>
    </w:p>
    <w:p>
      <w:pPr>
        <w:spacing w:after="0" w:line="73" w:lineRule="exact"/>
        <w:rPr>
          <w:rFonts w:ascii="Arial" w:cs="Arial" w:eastAsia="Arial" w:hAnsi="Arial"/>
          <w:sz w:val="18"/>
          <w:szCs w:val="18"/>
          <w:color w:val="auto"/>
        </w:rPr>
      </w:pPr>
    </w:p>
    <w:p>
      <w:pPr>
        <w:jc w:val="both"/>
        <w:ind w:right="80" w:firstLine="464"/>
        <w:spacing w:after="0" w:line="257" w:lineRule="auto"/>
        <w:tabs>
          <w:tab w:leader="none" w:pos="63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Building, Property or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80" w:lineRule="exact"/>
        <w:rPr>
          <w:rFonts w:ascii="Arial" w:cs="Arial" w:eastAsia="Arial" w:hAnsi="Arial"/>
          <w:sz w:val="18"/>
          <w:szCs w:val="18"/>
          <w:color w:val="auto"/>
        </w:rPr>
      </w:pPr>
    </w:p>
    <w:p>
      <w:pPr>
        <w:ind w:left="640" w:hanging="176"/>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117" w:lineRule="exact"/>
        <w:rPr>
          <w:rFonts w:ascii="Arial" w:cs="Arial" w:eastAsia="Arial" w:hAnsi="Arial"/>
          <w:sz w:val="18"/>
          <w:szCs w:val="18"/>
          <w:color w:val="auto"/>
        </w:rPr>
      </w:pPr>
    </w:p>
    <w:p>
      <w:pPr>
        <w:ind w:right="60" w:firstLine="464"/>
        <w:spacing w:after="0" w:line="342" w:lineRule="auto"/>
        <w:tabs>
          <w:tab w:leader="none" w:pos="63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Building, Property or Project any person who, in the judgment of Landlord, is intoxicated or under the influence of liquor or drugs or who shall in any manner do any act in violation of the Rules and Regulations of the Building, Property or Project.</w:t>
      </w:r>
    </w:p>
    <w:p>
      <w:pPr>
        <w:spacing w:after="0" w:line="15" w:lineRule="exact"/>
        <w:rPr>
          <w:rFonts w:ascii="Arial" w:cs="Arial" w:eastAsia="Arial" w:hAnsi="Arial"/>
          <w:sz w:val="16"/>
          <w:szCs w:val="16"/>
          <w:color w:val="auto"/>
        </w:rPr>
      </w:pPr>
    </w:p>
    <w:p>
      <w:pPr>
        <w:jc w:val="both"/>
        <w:ind w:right="200" w:firstLine="464"/>
        <w:spacing w:after="0" w:line="264" w:lineRule="auto"/>
        <w:tabs>
          <w:tab w:leader="none" w:pos="72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73" w:lineRule="exact"/>
        <w:rPr>
          <w:rFonts w:ascii="Arial" w:cs="Arial" w:eastAsia="Arial" w:hAnsi="Arial"/>
          <w:sz w:val="18"/>
          <w:szCs w:val="18"/>
          <w:color w:val="auto"/>
        </w:rPr>
      </w:pPr>
    </w:p>
    <w:p>
      <w:pPr>
        <w:ind w:right="560" w:firstLine="464"/>
        <w:spacing w:after="0" w:line="277" w:lineRule="auto"/>
        <w:tabs>
          <w:tab w:leader="none" w:pos="7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62" w:lineRule="exact"/>
        <w:rPr>
          <w:rFonts w:ascii="Arial" w:cs="Arial" w:eastAsia="Arial" w:hAnsi="Arial"/>
          <w:sz w:val="18"/>
          <w:szCs w:val="18"/>
          <w:color w:val="auto"/>
        </w:rPr>
      </w:pPr>
    </w:p>
    <w:p>
      <w:pPr>
        <w:ind w:right="40" w:firstLine="464"/>
        <w:spacing w:after="0" w:line="277" w:lineRule="auto"/>
        <w:tabs>
          <w:tab w:leader="none" w:pos="72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74295</wp:posOffset>
            </wp:positionV>
            <wp:extent cx="2418080" cy="514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1" w:name="page522"/>
    <w:bookmarkEnd w:id="521"/>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One Kendall Square/Avrobio – Page 2</w:t>
      </w:r>
    </w:p>
    <w:p>
      <w:pPr>
        <w:spacing w:after="0" w:line="162" w:lineRule="exact"/>
        <w:rPr>
          <w:sz w:val="20"/>
          <w:szCs w:val="20"/>
          <w:color w:val="auto"/>
        </w:rPr>
      </w:pPr>
    </w:p>
    <w:p>
      <w:pPr>
        <w:ind w:right="260" w:firstLine="464"/>
        <w:spacing w:after="0" w:line="277" w:lineRule="auto"/>
        <w:tabs>
          <w:tab w:leader="none" w:pos="72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Building, Property or Project.</w:t>
      </w:r>
    </w:p>
    <w:p>
      <w:pPr>
        <w:spacing w:after="0" w:line="117" w:lineRule="exact"/>
        <w:rPr>
          <w:rFonts w:ascii="Arial" w:cs="Arial" w:eastAsia="Arial" w:hAnsi="Arial"/>
          <w:sz w:val="18"/>
          <w:szCs w:val="18"/>
          <w:color w:val="auto"/>
        </w:rPr>
      </w:pPr>
    </w:p>
    <w:p>
      <w:pPr>
        <w:ind w:left="740" w:hanging="276"/>
        <w:spacing w:after="0"/>
        <w:tabs>
          <w:tab w:leader="none" w:pos="7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117" w:lineRule="exact"/>
        <w:rPr>
          <w:rFonts w:ascii="Arial" w:cs="Arial" w:eastAsia="Arial" w:hAnsi="Arial"/>
          <w:sz w:val="18"/>
          <w:szCs w:val="18"/>
          <w:color w:val="auto"/>
        </w:rPr>
      </w:pPr>
    </w:p>
    <w:p>
      <w:pPr>
        <w:ind w:right="160" w:firstLine="464"/>
        <w:spacing w:after="0" w:line="277" w:lineRule="auto"/>
        <w:tabs>
          <w:tab w:leader="none" w:pos="72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62" w:lineRule="exact"/>
        <w:rPr>
          <w:rFonts w:ascii="Arial" w:cs="Arial" w:eastAsia="Arial" w:hAnsi="Arial"/>
          <w:sz w:val="18"/>
          <w:szCs w:val="18"/>
          <w:color w:val="auto"/>
        </w:rPr>
      </w:pPr>
    </w:p>
    <w:p>
      <w:pPr>
        <w:ind w:right="220" w:firstLine="464"/>
        <w:spacing w:after="0" w:line="312" w:lineRule="auto"/>
        <w:tabs>
          <w:tab w:leader="none" w:pos="72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Building, Property and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38" w:lineRule="exact"/>
        <w:rPr>
          <w:rFonts w:ascii="Arial" w:cs="Arial" w:eastAsia="Arial" w:hAnsi="Arial"/>
          <w:sz w:val="16"/>
          <w:szCs w:val="16"/>
          <w:color w:val="auto"/>
        </w:rPr>
      </w:pPr>
    </w:p>
    <w:p>
      <w:pPr>
        <w:ind w:left="740" w:hanging="276"/>
        <w:spacing w:after="0"/>
        <w:tabs>
          <w:tab w:leader="none" w:pos="7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117" w:lineRule="exact"/>
        <w:rPr>
          <w:rFonts w:ascii="Arial" w:cs="Arial" w:eastAsia="Arial" w:hAnsi="Arial"/>
          <w:sz w:val="18"/>
          <w:szCs w:val="18"/>
          <w:color w:val="auto"/>
        </w:rPr>
      </w:pPr>
    </w:p>
    <w:p>
      <w:pPr>
        <w:ind w:right="160" w:firstLine="464"/>
        <w:spacing w:after="0" w:line="308" w:lineRule="auto"/>
        <w:tabs>
          <w:tab w:leader="none" w:pos="726"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59055</wp:posOffset>
            </wp:positionV>
            <wp:extent cx="2418080" cy="514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2" w:name="page523"/>
    <w:bookmarkEnd w:id="522"/>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Personal Property</w:t>
      </w:r>
      <w:r>
        <w:rPr>
          <w:sz w:val="20"/>
          <w:szCs w:val="20"/>
          <w:color w:val="auto"/>
        </w:rPr>
        <w:tab/>
      </w:r>
      <w:r>
        <w:rPr>
          <w:rFonts w:ascii="Arial" w:cs="Arial" w:eastAsia="Arial" w:hAnsi="Arial"/>
          <w:sz w:val="16"/>
          <w:szCs w:val="16"/>
          <w:b w:val="1"/>
          <w:bCs w:val="1"/>
          <w:color w:val="auto"/>
        </w:rPr>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3" w:name="page524"/>
    <w:bookmarkEnd w:id="5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NOTIFICATION OF THE PRESENCE OF ASBESTOS CONTAINING MATERIALS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notification provides certain information about asbestos within or about the Premises at Building 300, One Kendall Square, Boston, Massachusetts (“Building”).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 asbestos survey of the building conducted in 2017 confirmed the presence of asbestos in exterior window sealants. However, roofing materials and fire rated doors were not sampled to avoid damage and are considered presumed asbestos-containing materials or PACMS.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ACMs and PACMs may be present within or about the Building, we have hired an independent environmental consulting firm to prepare an operations and maintenance program (“</w:t>
      </w:r>
      <w:r>
        <w:rPr>
          <w:rFonts w:ascii="Arial" w:cs="Arial" w:eastAsia="Arial" w:hAnsi="Arial"/>
          <w:sz w:val="18"/>
          <w:szCs w:val="18"/>
          <w:b w:val="1"/>
          <w:bCs w:val="1"/>
          <w:color w:val="auto"/>
        </w:rPr>
        <w:t>O&amp;M Program</w:t>
      </w:r>
      <w:r>
        <w:rPr>
          <w:rFonts w:ascii="Arial" w:cs="Arial" w:eastAsia="Arial" w:hAnsi="Arial"/>
          <w:sz w:val="18"/>
          <w:szCs w:val="18"/>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 (1) 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O&amp;M Program is available for review during regular business hours at Landlord’s office located at 400 Technology Square, Suite 101,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74930</wp:posOffset>
            </wp:positionV>
            <wp:extent cx="2418080" cy="514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June 23,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with a loan production office located at 275 Grove Street, Suite 2-200, Newton, Massachusetts 02466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207" w:lineRule="exact"/>
        <w:rPr>
          <w:sz w:val="20"/>
          <w:szCs w:val="20"/>
          <w:color w:val="auto"/>
        </w:rPr>
      </w:pPr>
    </w:p>
    <w:p>
      <w:pPr>
        <w:ind w:left="900" w:hanging="446"/>
        <w:spacing w:after="0"/>
        <w:tabs>
          <w:tab w:leader="none" w:pos="90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Notwithstanding the foregoing, all financial covenant calculations shall be computed with respect to the Borrower only, and not on a consolidated basis.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94" w:lineRule="exact"/>
        <w:rPr>
          <w:sz w:val="20"/>
          <w:szCs w:val="20"/>
          <w:color w:val="auto"/>
        </w:rPr>
      </w:pPr>
    </w:p>
    <w:p>
      <w:pPr>
        <w:ind w:left="900" w:hanging="446"/>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Term Loan.</w:t>
      </w:r>
    </w:p>
    <w:p>
      <w:pPr>
        <w:spacing w:after="0" w:line="121" w:lineRule="exact"/>
        <w:rPr>
          <w:sz w:val="20"/>
          <w:szCs w:val="20"/>
          <w:color w:val="auto"/>
        </w:rPr>
      </w:pPr>
    </w:p>
    <w:p>
      <w:pPr>
        <w:ind w:right="40" w:firstLine="921"/>
        <w:spacing w:after="0" w:line="269" w:lineRule="auto"/>
        <w:tabs>
          <w:tab w:leader="none" w:pos="1157"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upon Borrower’s request, during the Tranche 1 Draw Period, Bank shall make term loan advances (each, a “</w:t>
      </w:r>
      <w:r>
        <w:rPr>
          <w:rFonts w:ascii="Arial" w:cs="Arial" w:eastAsia="Arial" w:hAnsi="Arial"/>
          <w:sz w:val="17"/>
          <w:szCs w:val="17"/>
          <w:b w:val="1"/>
          <w:bCs w:val="1"/>
          <w:color w:val="auto"/>
        </w:rPr>
        <w:t>Tranche 1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1 Advances</w:t>
      </w:r>
      <w:r>
        <w:rPr>
          <w:rFonts w:ascii="Arial" w:cs="Arial" w:eastAsia="Arial" w:hAnsi="Arial"/>
          <w:sz w:val="17"/>
          <w:szCs w:val="17"/>
          <w:color w:val="auto"/>
        </w:rPr>
        <w:t>”) available to Borrower in an aggregate original principal amount not to exceed Three Million Five Hundred Thousand Dollars ($3,500,000.00). Subject to the terms and conditions of this Agreement, upon Borrower’s request, during the Tranche 2 Draw Period, Bank shall make term loan advances (each, a “</w:t>
      </w:r>
      <w:r>
        <w:rPr>
          <w:rFonts w:ascii="Arial" w:cs="Arial" w:eastAsia="Arial" w:hAnsi="Arial"/>
          <w:sz w:val="17"/>
          <w:szCs w:val="17"/>
          <w:b w:val="1"/>
          <w:bCs w:val="1"/>
          <w:color w:val="auto"/>
        </w:rPr>
        <w:t>Tranche 2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2</w:t>
      </w:r>
      <w:r>
        <w:rPr>
          <w:rFonts w:ascii="Arial" w:cs="Arial" w:eastAsia="Arial" w:hAnsi="Arial"/>
          <w:sz w:val="17"/>
          <w:szCs w:val="17"/>
          <w:color w:val="auto"/>
        </w:rPr>
        <w:t xml:space="preserve"> </w:t>
      </w:r>
      <w:r>
        <w:rPr>
          <w:rFonts w:ascii="Arial" w:cs="Arial" w:eastAsia="Arial" w:hAnsi="Arial"/>
          <w:sz w:val="17"/>
          <w:szCs w:val="17"/>
          <w:b w:val="1"/>
          <w:bCs w:val="1"/>
          <w:color w:val="auto"/>
        </w:rPr>
        <w:t>Advances</w:t>
      </w:r>
      <w:r>
        <w:rPr>
          <w:rFonts w:ascii="Arial" w:cs="Arial" w:eastAsia="Arial" w:hAnsi="Arial"/>
          <w:sz w:val="17"/>
          <w:szCs w:val="17"/>
          <w:color w:val="auto"/>
        </w:rPr>
        <w:t>”) available to Borrower in an aggregate original principal amount not to exceed Three Million Five Hundred Thousand Dollars ($3,500,000.00).</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Agreement, upon Borrower’s request, during the Tranche 3 Draw Period, Bank shall make term loan advances (each, a “</w:t>
      </w:r>
      <w:r>
        <w:rPr>
          <w:rFonts w:ascii="Arial" w:cs="Arial" w:eastAsia="Arial" w:hAnsi="Arial"/>
          <w:sz w:val="17"/>
          <w:szCs w:val="17"/>
          <w:b w:val="1"/>
          <w:bCs w:val="1"/>
          <w:color w:val="auto"/>
        </w:rPr>
        <w:t>Tranche 3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3 Advances</w:t>
      </w:r>
      <w:r>
        <w:rPr>
          <w:rFonts w:ascii="Arial" w:cs="Arial" w:eastAsia="Arial" w:hAnsi="Arial"/>
          <w:sz w:val="17"/>
          <w:szCs w:val="17"/>
          <w:color w:val="auto"/>
        </w:rPr>
        <w:t>”) available to Borrower in an aggregate original principal amount not to exceed Three Million Dollars ($3,000,000.00). The Tranche 1 Advances, the Tranche 2 Advances, and the Tranche 3 Advances are hereinafter referred to each singly as a “Term Loan Advance” and, collectively, as the “Term Loan Advances”. Borrower may request up to five (5) Term Loan Advances hereunder, and each Term Loan Advance must be in an amount equal to at least One Million Dollars ($1,000,000.00). After repayment, no Term Loan Advance (or any portion thereof) may be reborrowed.</w:t>
      </w:r>
    </w:p>
    <w:p>
      <w:pPr>
        <w:spacing w:after="0" w:line="74" w:lineRule="exact"/>
        <w:rPr>
          <w:rFonts w:ascii="Arial" w:cs="Arial" w:eastAsia="Arial" w:hAnsi="Arial"/>
          <w:sz w:val="17"/>
          <w:szCs w:val="17"/>
          <w:color w:val="auto"/>
        </w:rPr>
      </w:pPr>
    </w:p>
    <w:p>
      <w:pPr>
        <w:ind w:right="80" w:firstLine="921"/>
        <w:spacing w:after="0" w:line="264" w:lineRule="auto"/>
        <w:tabs>
          <w:tab w:leader="none" w:pos="1168"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Commencing on the first Payment Date following the Funding Date of the applicable Term Loan Advance and continuing on each Payment Date thereafter, Borrower shall make monthly payments of interest, in arrears, on the principal amount of each Term Loan Advance at the rate set forth in Section 2.2(a).</w:t>
      </w:r>
    </w:p>
    <w:p>
      <w:pPr>
        <w:spacing w:after="0" w:line="73" w:lineRule="exact"/>
        <w:rPr>
          <w:rFonts w:ascii="Arial" w:cs="Arial" w:eastAsia="Arial" w:hAnsi="Arial"/>
          <w:sz w:val="18"/>
          <w:szCs w:val="18"/>
          <w:color w:val="auto"/>
        </w:rPr>
      </w:pPr>
    </w:p>
    <w:p>
      <w:pPr>
        <w:ind w:right="180" w:firstLine="921"/>
        <w:spacing w:after="0" w:line="302" w:lineRule="auto"/>
        <w:tabs>
          <w:tab w:leader="none" w:pos="1157"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the Amortization Date and continuing on each Payment Date thereafter, Borrower shall repay the aggregate outstanding Term Loan Advances in (i) equal monthly installments of principal based upon the Repayment Schedule, plus (ii) monthly payments of accrued interest at the rate set forth in Section 2.2(a). All outstanding principal and accrued and unpaid interest under the Term Loan Advances, and all other outstanding Obligations with respect to the Term Loan Advances, are due and payable in full on the Term Loan Maturity Date.</w:t>
      </w:r>
    </w:p>
    <w:p>
      <w:pPr>
        <w:spacing w:after="0" w:line="46" w:lineRule="exact"/>
        <w:rPr>
          <w:rFonts w:ascii="Arial" w:cs="Arial" w:eastAsia="Arial" w:hAnsi="Arial"/>
          <w:sz w:val="16"/>
          <w:szCs w:val="16"/>
          <w:color w:val="auto"/>
        </w:rPr>
      </w:pPr>
    </w:p>
    <w:p>
      <w:pPr>
        <w:ind w:firstLine="921"/>
        <w:spacing w:after="0" w:line="291" w:lineRule="auto"/>
        <w:tabs>
          <w:tab w:leader="none" w:pos="1168"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 Advances</w:t>
      </w:r>
      <w:r>
        <w:rPr>
          <w:rFonts w:ascii="Arial" w:cs="Arial" w:eastAsia="Arial" w:hAnsi="Arial"/>
          <w:sz w:val="16"/>
          <w:szCs w:val="16"/>
          <w:color w:val="auto"/>
        </w:rPr>
        <w:t>. Borrower shall have the option to prepay all, but not less than all, of the Term Loan Advances advanced by Bank under this Agreement, provided Borrower (i) provides written notice to Bank of its election to prepay the Term Loan Advances at least ten</w:t>
      </w:r>
    </w:p>
    <w:p>
      <w:pPr>
        <w:ind w:left="360" w:hanging="352"/>
        <w:spacing w:after="0"/>
        <w:tabs>
          <w:tab w:leader="none" w:pos="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days</w:t>
      </w:r>
    </w:p>
    <w:p>
      <w:pPr>
        <w:sectPr>
          <w:pgSz w:w="11900" w:h="16838" w:orient="portrait"/>
          <w:cols w:equalWidth="0" w:num="1">
            <w:col w:w="11420"/>
          </w:cols>
          <w:pgMar w:left="240" w:top="121" w:right="239" w:bottom="1440" w:gutter="0" w:footer="0" w:header="0"/>
        </w:sectPr>
      </w:pPr>
    </w:p>
    <w:bookmarkStart w:id="525" w:name="page526"/>
    <w:bookmarkEnd w:id="52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such prepayment, and (ii) pays, on the date of such prepayment (A) all outstanding principal plus accrued and unpaid interest, (B) the Prepayment Premium, (C) the Final Payment, plus (D) all other sums, if any, that shall have become due and payable under the Loan Documents, including interest at the Default Rate with respect to any past due amounts.</w:t>
      </w:r>
    </w:p>
    <w:p>
      <w:pPr>
        <w:spacing w:after="0" w:line="73" w:lineRule="exact"/>
        <w:rPr>
          <w:sz w:val="20"/>
          <w:szCs w:val="20"/>
          <w:color w:val="auto"/>
        </w:rPr>
      </w:pPr>
    </w:p>
    <w:p>
      <w:pPr>
        <w:ind w:right="160" w:firstLine="921"/>
        <w:spacing w:after="0" w:line="279" w:lineRule="auto"/>
        <w:tabs>
          <w:tab w:leader="none" w:pos="1157"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Bank hereunder following the occurrence and during the continuance of an Event of Default, Borrower shall immediately pay to Bank an amount equal to the sum of: (i) all outstanding principal plus accrued and unpaid interest, (ii) the Prepayment Premium, (iii) the Final Payment, plus (iv) all other sums, if any, that shall have become due and payable under the Loan Documents, including interest at the Default Rate with respect to any past due amounts.</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121" w:lineRule="exact"/>
        <w:rPr>
          <w:sz w:val="20"/>
          <w:szCs w:val="20"/>
          <w:color w:val="auto"/>
        </w:rPr>
      </w:pPr>
    </w:p>
    <w:p>
      <w:pPr>
        <w:ind w:right="180" w:firstLine="921"/>
        <w:spacing w:after="0" w:line="264" w:lineRule="auto"/>
        <w:tabs>
          <w:tab w:leader="none" w:pos="1157"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outstanding for each Term Loan Advance shall accrue interest at a floating per annum rate equal to the greater of (i) one percent (1.0%) and (ii) the Prime Rate minus three percent (3.0%), which interest shall be payable monthly in accordance with Section 2.2(d) below.</w:t>
      </w:r>
    </w:p>
    <w:p>
      <w:pPr>
        <w:spacing w:after="0" w:line="73" w:lineRule="exact"/>
        <w:rPr>
          <w:rFonts w:ascii="Arial" w:cs="Arial" w:eastAsia="Arial" w:hAnsi="Arial"/>
          <w:sz w:val="18"/>
          <w:szCs w:val="18"/>
          <w:color w:val="auto"/>
        </w:rPr>
      </w:pPr>
    </w:p>
    <w:p>
      <w:pPr>
        <w:ind w:right="20" w:firstLine="921"/>
        <w:spacing w:after="0" w:line="273" w:lineRule="auto"/>
        <w:tabs>
          <w:tab w:leader="none" w:pos="1168"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70" w:lineRule="exact"/>
        <w:rPr>
          <w:rFonts w:ascii="Arial" w:cs="Arial" w:eastAsia="Arial" w:hAnsi="Arial"/>
          <w:sz w:val="17"/>
          <w:szCs w:val="17"/>
          <w:color w:val="auto"/>
        </w:rPr>
      </w:pPr>
    </w:p>
    <w:p>
      <w:pPr>
        <w:ind w:right="80" w:firstLine="921"/>
        <w:spacing w:after="0" w:line="277" w:lineRule="auto"/>
        <w:tabs>
          <w:tab w:leader="none" w:pos="1157"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62" w:lineRule="exact"/>
        <w:rPr>
          <w:rFonts w:ascii="Arial" w:cs="Arial" w:eastAsia="Arial" w:hAnsi="Arial"/>
          <w:sz w:val="18"/>
          <w:szCs w:val="18"/>
          <w:color w:val="auto"/>
        </w:rPr>
      </w:pPr>
    </w:p>
    <w:p>
      <w:pPr>
        <w:ind w:firstLine="921"/>
        <w:spacing w:after="0" w:line="257" w:lineRule="auto"/>
        <w:tabs>
          <w:tab w:leader="none" w:pos="1168"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in arrears on the Payment Date and shall be computed on the basis of a 360-day year for the actual number of days elapsed. In computing interest, (i) all payments received after 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pacing w:after="0" w:line="121" w:lineRule="exact"/>
        <w:rPr>
          <w:sz w:val="20"/>
          <w:szCs w:val="20"/>
          <w:color w:val="auto"/>
        </w:rPr>
      </w:pPr>
    </w:p>
    <w:p>
      <w:pPr>
        <w:ind w:left="1160" w:hanging="239"/>
        <w:spacing w:after="0"/>
        <w:tabs>
          <w:tab w:leader="none" w:pos="116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w:t>
      </w:r>
    </w:p>
    <w:p>
      <w:pPr>
        <w:spacing w:after="0" w:line="117"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6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w:t>
      </w:r>
    </w:p>
    <w:p>
      <w:pPr>
        <w:ind w:right="140"/>
        <w:spacing w:after="0" w:line="261" w:lineRule="auto"/>
        <w:rPr>
          <w:sz w:val="20"/>
          <w:szCs w:val="20"/>
          <w:color w:val="auto"/>
        </w:rPr>
      </w:pPr>
      <w:r>
        <w:rPr>
          <w:rFonts w:ascii="Arial" w:cs="Arial" w:eastAsia="Arial" w:hAnsi="Arial"/>
          <w:sz w:val="18"/>
          <w:szCs w:val="18"/>
          <w:color w:val="auto"/>
        </w:rPr>
        <w:t>Section 2.4(c). Bank shall provide Borrower written notice of deductions made from the Designated Deposit Account pursuant to the terms of the clauses of this Section 2.5.</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526" w:name="page527"/>
    <w:bookmarkEnd w:id="526"/>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121" w:lineRule="exact"/>
        <w:rPr>
          <w:sz w:val="20"/>
          <w:szCs w:val="20"/>
          <w:color w:val="auto"/>
        </w:rPr>
      </w:pPr>
    </w:p>
    <w:p>
      <w:pPr>
        <w:jc w:val="both"/>
        <w:ind w:right="80" w:firstLine="921"/>
        <w:spacing w:after="0" w:line="279" w:lineRule="auto"/>
        <w:tabs>
          <w:tab w:leader="none" w:pos="1158"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2:00 p.m. Eastern time on the date when due. Payments of principal and/or interest received after 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3" w:lineRule="exact"/>
        <w:rPr>
          <w:rFonts w:ascii="Arial" w:cs="Arial" w:eastAsia="Arial" w:hAnsi="Arial"/>
          <w:sz w:val="17"/>
          <w:szCs w:val="17"/>
          <w:color w:val="auto"/>
        </w:rPr>
      </w:pPr>
    </w:p>
    <w:p>
      <w:pPr>
        <w:ind w:right="340" w:firstLine="921"/>
        <w:spacing w:after="0" w:line="312" w:lineRule="auto"/>
        <w:tabs>
          <w:tab w:leader="none" w:pos="11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220" w:firstLine="921"/>
        <w:spacing w:after="0" w:line="277" w:lineRule="auto"/>
        <w:tabs>
          <w:tab w:leader="none" w:pos="115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93" w:lineRule="exact"/>
        <w:rPr>
          <w:sz w:val="20"/>
          <w:szCs w:val="20"/>
          <w:color w:val="auto"/>
        </w:rPr>
      </w:pPr>
    </w:p>
    <w:p>
      <w:pPr>
        <w:ind w:left="900" w:hanging="446"/>
        <w:spacing w:after="0"/>
        <w:tabs>
          <w:tab w:leader="none" w:pos="90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have received, in form and substance satisfactory to Bank, such documents, and completion of such other matters, as Bank may have reasonably requested, including, without limitation:</w:t>
      </w:r>
    </w:p>
    <w:p>
      <w:pPr>
        <w:spacing w:after="0" w:line="72" w:lineRule="exact"/>
        <w:rPr>
          <w:sz w:val="20"/>
          <w:szCs w:val="20"/>
          <w:color w:val="auto"/>
        </w:rPr>
      </w:pPr>
    </w:p>
    <w:p>
      <w:pPr>
        <w:ind w:left="1160" w:hanging="239"/>
        <w:spacing w:after="0"/>
        <w:tabs>
          <w:tab w:leader="none" w:pos="11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duly executed original signatures to any Control Agreement(s);</w:t>
      </w:r>
    </w:p>
    <w:p>
      <w:pPr>
        <w:spacing w:after="0" w:line="117"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and each Subsidiary is qualified to conduct business, each as of a date no earlier than thirty (30) days prior to the Effective Date;</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117" w:lineRule="exact"/>
        <w:rPr>
          <w:rFonts w:ascii="Arial" w:cs="Arial" w:eastAsia="Arial" w:hAnsi="Arial"/>
          <w:sz w:val="18"/>
          <w:szCs w:val="18"/>
          <w:color w:val="auto"/>
        </w:rPr>
      </w:pPr>
    </w:p>
    <w:p>
      <w:pPr>
        <w:ind w:right="80" w:firstLine="921"/>
        <w:spacing w:after="0" w:line="264" w:lineRule="auto"/>
        <w:tabs>
          <w:tab w:leader="none" w:pos="113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117" w:lineRule="exact"/>
        <w:rPr>
          <w:rFonts w:ascii="Arial" w:cs="Arial" w:eastAsia="Arial" w:hAnsi="Arial"/>
          <w:sz w:val="18"/>
          <w:szCs w:val="18"/>
          <w:color w:val="auto"/>
        </w:rPr>
      </w:pPr>
    </w:p>
    <w:p>
      <w:pPr>
        <w:ind w:firstLine="921"/>
        <w:spacing w:after="0" w:line="308" w:lineRule="auto"/>
        <w:tabs>
          <w:tab w:leader="none" w:pos="1168" w:val="left"/>
        </w:tabs>
        <w:numPr>
          <w:ilvl w:val="0"/>
          <w:numId w:val="421"/>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38" w:lineRule="exact"/>
        <w:rPr>
          <w:rFonts w:ascii="Arial" w:cs="Arial" w:eastAsia="Arial" w:hAnsi="Arial"/>
          <w:sz w:val="17"/>
          <w:szCs w:val="17"/>
          <w:color w:val="auto"/>
        </w:rPr>
      </w:pPr>
    </w:p>
    <w:p>
      <w:pPr>
        <w:ind w:left="1140" w:hanging="219"/>
        <w:spacing w:after="0"/>
        <w:tabs>
          <w:tab w:leader="none" w:pos="11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2.5 hereof.</w:t>
      </w:r>
    </w:p>
    <w:p>
      <w:pPr>
        <w:spacing w:after="0" w:line="221"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527" w:name="page528"/>
    <w:bookmarkEnd w:id="527"/>
    <w:p>
      <w:pPr>
        <w:ind w:left="1160" w:hanging="239"/>
        <w:spacing w:after="0"/>
        <w:tabs>
          <w:tab w:leader="none" w:pos="11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Section 3.5(a), timely receipt of an executed Payment/Advance Form;</w:t>
      </w:r>
    </w:p>
    <w:p>
      <w:pPr>
        <w:spacing w:after="0" w:line="117"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are true, accurate, and complete in all material respects as of such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73" w:lineRule="exact"/>
        <w:rPr>
          <w:rFonts w:ascii="Arial" w:cs="Arial" w:eastAsia="Arial" w:hAnsi="Arial"/>
          <w:sz w:val="17"/>
          <w:szCs w:val="17"/>
          <w:color w:val="auto"/>
        </w:rPr>
      </w:pPr>
    </w:p>
    <w:p>
      <w:pPr>
        <w:jc w:val="both"/>
        <w:ind w:right="240" w:firstLine="921"/>
        <w:spacing w:after="0" w:line="264" w:lineRule="auto"/>
        <w:tabs>
          <w:tab w:leader="none" w:pos="115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any material impairment in the general affairs, management, results of operation, financial condition or the prospect of repayment of the Obligations then due, or any material adverse deviation by Borrower from the most recent business plan of Borrower presented to and accepted by Bank.</w:t>
      </w:r>
    </w:p>
    <w:p>
      <w:pPr>
        <w:spacing w:after="0" w:line="17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 under this Agreement as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ind w:right="140" w:firstLine="456"/>
        <w:spacing w:after="0" w:line="292"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 making of a Credit Extension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obtain a Credit Extension, Borrower shall notify Bank (which notice shall be irrevocable) by electronic mail, facsimile, or telephone by 2:00 p.m. Eastern time two (2) Business Days before the proposed Funding Date of the Credit Extension. Together with any such electronic or facsimile notification, Borrower shall deliver to Bank by electronic mail or facsimile a completed Payment/Advance Form executed by a Responsible Officer or his or her designee. Bank may rely on any telephone notice given by a person whom Bank reasonably believes is a Responsible Officer or designee. Bank shall credit Credit Extensions to the Designated Deposit Account. Bank may make Credit Extensions under this Agreement based on instructions from a Responsible Officer or his or her designee or without instructions if the Credit Extensions are necessary to meet Obligations which have become due.</w:t>
      </w:r>
    </w:p>
    <w:p>
      <w:pPr>
        <w:spacing w:after="0" w:line="189" w:lineRule="exact"/>
        <w:rPr>
          <w:sz w:val="20"/>
          <w:szCs w:val="20"/>
          <w:color w:val="auto"/>
        </w:rPr>
      </w:pPr>
    </w:p>
    <w:p>
      <w:pPr>
        <w:ind w:left="900" w:hanging="446"/>
        <w:spacing w:after="0"/>
        <w:tabs>
          <w:tab w:leader="none" w:pos="90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528" w:name="page529"/>
    <w:bookmarkEnd w:id="52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Bank in its business judgment), to secure all of the Obligations relating to such Letters of Credit.</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68"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4.3 Authorization to File Financing Statements</w:t>
      </w:r>
      <w:r>
        <w:rPr>
          <w:rFonts w:ascii="Arial" w:cs="Arial" w:eastAsia="Arial" w:hAnsi="Arial"/>
          <w:sz w:val="17"/>
          <w:szCs w:val="17"/>
          <w:color w:val="auto"/>
        </w:rPr>
        <w:t>. Borrower hereby authorizes Bank to file financing statements, without notice to Borrower,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92"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jc w:val="both"/>
        <w:ind w:right="100" w:firstLine="8"/>
        <w:spacing w:after="0" w:line="290" w:lineRule="auto"/>
        <w:tabs>
          <w:tab w:leader="none" w:pos="315" w:val="left"/>
        </w:tabs>
        <w:numPr>
          <w:ilvl w:val="0"/>
          <w:numId w:val="425"/>
        </w:numPr>
        <w:rPr>
          <w:rFonts w:ascii="Arial" w:cs="Arial" w:eastAsia="Arial" w:hAnsi="Arial"/>
          <w:sz w:val="16"/>
          <w:szCs w:val="16"/>
          <w:color w:val="auto"/>
        </w:rPr>
      </w:pPr>
      <w:r>
        <w:rPr>
          <w:rFonts w:ascii="Arial" w:cs="Arial" w:eastAsia="Arial" w:hAnsi="Arial"/>
          <w:sz w:val="16"/>
          <w:szCs w:val="16"/>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29" w:name="page530"/>
    <w:bookmarkEnd w:id="529"/>
    <w:p>
      <w:pPr>
        <w:ind w:right="8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 Collateral</w:t>
      </w:r>
      <w:r>
        <w:rPr>
          <w:rFonts w:ascii="Arial" w:cs="Arial" w:eastAsia="Arial" w:hAnsi="Arial"/>
          <w:sz w:val="18"/>
          <w:szCs w:val="18"/>
          <w:color w:val="auto"/>
        </w:rPr>
        <w:t>. 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(other than mobile equipment such as laptop computers with an aggregate value not exceeding One Hundred Thousand Dollars ($100,000.00) in the possession of Borrower’s employees or agents) shall be maintained at locations other than as provided in the Perfection Certificate or as permitted pursuant to Section 7.2.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noted on the Perfection Certificate, Borrower is not a party to, nor is it bound by, any Restricted License.</w:t>
      </w:r>
    </w:p>
    <w:p>
      <w:pPr>
        <w:spacing w:after="0" w:line="221" w:lineRule="exact"/>
        <w:rPr>
          <w:sz w:val="20"/>
          <w:szCs w:val="20"/>
          <w:color w:val="auto"/>
        </w:rPr>
      </w:pPr>
    </w:p>
    <w:p>
      <w:pPr>
        <w:ind w:right="560" w:firstLine="456"/>
        <w:spacing w:after="0" w:line="313" w:lineRule="auto"/>
        <w:rPr>
          <w:sz w:val="20"/>
          <w:szCs w:val="20"/>
          <w:color w:val="auto"/>
        </w:rPr>
      </w:pPr>
      <w:r>
        <w:rPr>
          <w:rFonts w:ascii="Arial" w:cs="Arial" w:eastAsia="Arial" w:hAnsi="Arial"/>
          <w:sz w:val="17"/>
          <w:szCs w:val="17"/>
          <w:b w:val="1"/>
          <w:bCs w:val="1"/>
          <w:color w:val="auto"/>
        </w:rPr>
        <w:t>5.3 Litigation</w:t>
      </w:r>
      <w:r>
        <w:rPr>
          <w:rFonts w:ascii="Arial" w:cs="Arial" w:eastAsia="Arial" w:hAnsi="Arial"/>
          <w:sz w:val="17"/>
          <w:szCs w:val="17"/>
          <w:color w:val="auto"/>
        </w:rPr>
        <w:t>. There are no actions or proceedings pending or, to the knowledge of any Responsible Officer,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Thousand Dollars ($100,000.00)</w:t>
      </w:r>
    </w:p>
    <w:p>
      <w:pPr>
        <w:spacing w:after="0" w:line="13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b w:val="1"/>
          <w:bCs w:val="1"/>
          <w:color w:val="auto"/>
        </w:rPr>
        <w:t>5.4 Financial Statements; Financial Condition</w:t>
      </w:r>
      <w:r>
        <w:rPr>
          <w:rFonts w:ascii="Arial" w:cs="Arial" w:eastAsia="Arial" w:hAnsi="Arial"/>
          <w:sz w:val="16"/>
          <w:szCs w:val="16"/>
          <w:color w:val="auto"/>
        </w:rPr>
        <w:t>. 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42"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530" w:name="page531"/>
    <w:bookmarkEnd w:id="530"/>
    <w:p>
      <w:pPr>
        <w:ind w:right="6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 Subsidiaries; Investments</w:t>
      </w:r>
      <w:r>
        <w:rPr>
          <w:rFonts w:ascii="Arial" w:cs="Arial" w:eastAsia="Arial" w:hAnsi="Arial"/>
          <w:sz w:val="18"/>
          <w:szCs w:val="18"/>
          <w:color w:val="auto"/>
        </w:rPr>
        <w:t>. 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5.8 Tax Returns and Payments; Pension Contributions</w:t>
      </w:r>
      <w:r>
        <w:rPr>
          <w:rFonts w:ascii="Arial" w:cs="Arial" w:eastAsia="Arial" w:hAnsi="Arial"/>
          <w:sz w:val="18"/>
          <w:szCs w:val="18"/>
          <w:color w:val="auto"/>
        </w:rPr>
        <w:t>. Borrower has timely filed all required tax returns and reports, and Borrower has timely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Five Thousand Dollars ($5,000.00).</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as working capital and to fund its general business requirements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personal, family, household or agricultural purposes.</w:t>
      </w:r>
    </w:p>
    <w:p>
      <w:pPr>
        <w:spacing w:after="0" w:line="162"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in any certificate or written statement given to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Loan Documents or the transactions contemplated thereby,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in light of the circumstances in which they were made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203" w:lineRule="exact"/>
        <w:rPr>
          <w:sz w:val="20"/>
          <w:szCs w:val="20"/>
          <w:color w:val="auto"/>
        </w:rPr>
      </w:pPr>
    </w:p>
    <w:p>
      <w:pPr>
        <w:ind w:left="900" w:hanging="446"/>
        <w:spacing w:after="0"/>
        <w:tabs>
          <w:tab w:leader="none" w:pos="90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do all of the following:</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121" w:lineRule="exact"/>
        <w:rPr>
          <w:sz w:val="20"/>
          <w:szCs w:val="20"/>
          <w:color w:val="auto"/>
        </w:rPr>
      </w:pPr>
    </w:p>
    <w:p>
      <w:pPr>
        <w:jc w:val="both"/>
        <w:ind w:right="60" w:firstLine="921"/>
        <w:spacing w:after="0" w:line="259" w:lineRule="auto"/>
        <w:tabs>
          <w:tab w:leader="none" w:pos="1158"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Maintain its and (except as permitted by Section 7.3)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531" w:name="page532"/>
    <w:bookmarkEnd w:id="531"/>
    <w:p>
      <w:pPr>
        <w:ind w:right="80" w:firstLine="921"/>
        <w:spacing w:after="0" w:line="264" w:lineRule="auto"/>
        <w:tabs>
          <w:tab w:leader="none" w:pos="1168"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121" w:lineRule="exact"/>
        <w:rPr>
          <w:sz w:val="20"/>
          <w:szCs w:val="20"/>
          <w:color w:val="auto"/>
        </w:rPr>
      </w:pPr>
    </w:p>
    <w:p>
      <w:pPr>
        <w:ind w:right="220" w:firstLine="921"/>
        <w:spacing w:after="0" w:line="264" w:lineRule="auto"/>
        <w:tabs>
          <w:tab w:leader="none" w:pos="1157"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68"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Within thirty (30) days after the last day of each month and together with the Monthly Financial Statements, a duly completed Compliance Certificate signed by a Responsible Officer, certifying that as of the end of such month, Borrower was in compliance with all of the terms and conditions of this Agreement, and setting forth calculations showing compliance with the financial covenants (if any) set forth in this Agreement and such other information as Bank may reasonably request;</w:t>
      </w:r>
    </w:p>
    <w:p>
      <w:pPr>
        <w:spacing w:after="0" w:line="78" w:lineRule="exact"/>
        <w:rPr>
          <w:rFonts w:ascii="Arial" w:cs="Arial" w:eastAsia="Arial" w:hAnsi="Arial"/>
          <w:sz w:val="18"/>
          <w:szCs w:val="18"/>
          <w:color w:val="auto"/>
        </w:rPr>
      </w:pPr>
    </w:p>
    <w:p>
      <w:pPr>
        <w:ind w:right="300" w:firstLine="921"/>
        <w:spacing w:after="0" w:line="277" w:lineRule="auto"/>
        <w:tabs>
          <w:tab w:leader="none" w:pos="1157"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Board-Approved Projections</w:t>
      </w:r>
      <w:r>
        <w:rPr>
          <w:rFonts w:ascii="Arial" w:cs="Arial" w:eastAsia="Arial" w:hAnsi="Arial"/>
          <w:sz w:val="18"/>
          <w:szCs w:val="18"/>
          <w:color w:val="auto"/>
        </w:rPr>
        <w:t>. Within sixty (60) days after the Borrower’s fiscal year, and contemporaneously with any updates or changes thereto, annual Board-approved operating budgets and financial projections, in a form acceptable to Bank;</w:t>
      </w:r>
    </w:p>
    <w:p>
      <w:pPr>
        <w:spacing w:after="0" w:line="62"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73"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62" w:lineRule="exact"/>
        <w:rPr>
          <w:rFonts w:ascii="Arial" w:cs="Arial" w:eastAsia="Arial" w:hAnsi="Arial"/>
          <w:sz w:val="18"/>
          <w:szCs w:val="18"/>
          <w:color w:val="auto"/>
        </w:rPr>
      </w:pPr>
    </w:p>
    <w:p>
      <w:pPr>
        <w:ind w:right="20" w:firstLine="921"/>
        <w:spacing w:after="0" w:line="255" w:lineRule="auto"/>
        <w:tabs>
          <w:tab w:leader="none" w:pos="1138"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81"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($100,000.00) or more; and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Other information reasonably requested by Bank.</w:t>
      </w:r>
    </w:p>
    <w:p>
      <w:pPr>
        <w:spacing w:after="0" w:line="221"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Account Debtors shall follow Borrower’s customary practices as they exist at the Effective Date. Borrower must promptly notify Bank of all returns, recoveries, disputes and claims that involve more than One Hundred Thousand Dollars ($100,000.00).</w:t>
      </w:r>
    </w:p>
    <w:p>
      <w:pPr>
        <w:spacing w:after="0" w:line="6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32" w:name="page533"/>
    <w:bookmarkEnd w:id="532"/>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color w:val="auto"/>
        </w:rPr>
        <w:t>Insurance.</w:t>
      </w:r>
    </w:p>
    <w:p>
      <w:pPr>
        <w:spacing w:after="0" w:line="121" w:lineRule="exact"/>
        <w:rPr>
          <w:sz w:val="20"/>
          <w:szCs w:val="20"/>
          <w:color w:val="auto"/>
        </w:rPr>
      </w:pPr>
    </w:p>
    <w:p>
      <w:pPr>
        <w:ind w:right="20" w:firstLine="921"/>
        <w:spacing w:after="0" w:line="276" w:lineRule="auto"/>
        <w:tabs>
          <w:tab w:leader="none" w:pos="1158" w:val="left"/>
        </w:tabs>
        <w:numPr>
          <w:ilvl w:val="0"/>
          <w:numId w:val="430"/>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ind w:right="6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(a) so long as no Event of Default has occurred and is continuing, Borrower shall have the option of applying the proceeds of any casualty policy up to Two Hundred Fifty Thousand Dollars ($250,000.00) in the aggregate for all losses under all casualty policies in any one (1)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(subject only to Permitted Liens that are permitted pursuant to the terms of this Agreement to have superior priority to Bank’s Lien), and (b) after the occurrence and during the continuance of an Event of Default, all proceeds payable under such casualty policy shall, at the option of Bank, be payable to Bank on account of the Obligations.</w:t>
      </w:r>
    </w:p>
    <w:p>
      <w:pPr>
        <w:spacing w:after="0" w:line="84" w:lineRule="exact"/>
        <w:rPr>
          <w:rFonts w:ascii="Arial" w:cs="Arial" w:eastAsia="Arial" w:hAnsi="Arial"/>
          <w:sz w:val="18"/>
          <w:szCs w:val="18"/>
          <w:color w:val="auto"/>
        </w:rPr>
      </w:pPr>
    </w:p>
    <w:p>
      <w:pPr>
        <w:ind w:firstLine="921"/>
        <w:spacing w:after="0" w:line="297" w:lineRule="auto"/>
        <w:tabs>
          <w:tab w:leader="none" w:pos="1158"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8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121" w:lineRule="exact"/>
        <w:rPr>
          <w:sz w:val="20"/>
          <w:szCs w:val="20"/>
          <w:color w:val="auto"/>
        </w:rPr>
      </w:pPr>
    </w:p>
    <w:p>
      <w:pPr>
        <w:ind w:right="300" w:firstLine="921"/>
        <w:spacing w:after="0" w:line="277" w:lineRule="auto"/>
        <w:tabs>
          <w:tab w:leader="none" w:pos="11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Maintain all of its and all of its Subsidiaries’ operating, depository and securities/investment accounts with Bank and Bank’s Affiliates. In addition, Borrower shall use Bank for all cash management, foreign exchange and letters of credit.</w:t>
      </w:r>
    </w:p>
    <w:p>
      <w:pPr>
        <w:spacing w:after="0" w:line="62" w:lineRule="exact"/>
        <w:rPr>
          <w:rFonts w:ascii="Arial" w:cs="Arial" w:eastAsia="Arial" w:hAnsi="Arial"/>
          <w:sz w:val="18"/>
          <w:szCs w:val="18"/>
          <w:color w:val="auto"/>
        </w:rPr>
      </w:pPr>
    </w:p>
    <w:p>
      <w:pPr>
        <w:ind w:right="140" w:firstLine="921"/>
        <w:spacing w:after="0" w:line="255" w:lineRule="auto"/>
        <w:tabs>
          <w:tab w:leader="none" w:pos="116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121" w:lineRule="exact"/>
        <w:rPr>
          <w:sz w:val="20"/>
          <w:szCs w:val="20"/>
          <w:color w:val="auto"/>
        </w:rPr>
      </w:pPr>
    </w:p>
    <w:p>
      <w:pPr>
        <w:jc w:val="both"/>
        <w:ind w:right="440" w:firstLine="921"/>
        <w:spacing w:after="0" w:line="259" w:lineRule="auto"/>
        <w:tabs>
          <w:tab w:leader="none" w:pos="115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69" w:right="279" w:bottom="1440" w:gutter="0" w:footer="0" w:header="0"/>
        </w:sectPr>
      </w:pPr>
    </w:p>
    <w:bookmarkStart w:id="533" w:name="page534"/>
    <w:bookmarkEnd w:id="533"/>
    <w:p>
      <w:pPr>
        <w:ind w:firstLine="921"/>
        <w:spacing w:after="0" w:line="255" w:lineRule="auto"/>
        <w:tabs>
          <w:tab w:leader="none" w:pos="1168"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9"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Bank, without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6.9 Access to Collateral; Books and Records</w:t>
      </w:r>
      <w:r>
        <w:rPr>
          <w:rFonts w:ascii="Arial" w:cs="Arial" w:eastAsia="Arial" w:hAnsi="Arial"/>
          <w:sz w:val="18"/>
          <w:szCs w:val="18"/>
          <w:color w:val="auto"/>
        </w:rPr>
        <w:t>. Allow Bank, or its agents, at reasonable times, on one (1) Business Day’s notice (provided no notice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if an Event of Default has occurred and is continuing), to inspect the Collateral and audit and copy Borrower’s Books. The foregoing inspections and audits shall be at Borrower’s expense.</w:t>
      </w:r>
    </w:p>
    <w:p>
      <w:pPr>
        <w:spacing w:after="0" w:line="17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Bank reasonably requests to perfect or continue Bank’s Lien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211" w:lineRule="exact"/>
        <w:rPr>
          <w:sz w:val="20"/>
          <w:szCs w:val="20"/>
          <w:color w:val="auto"/>
        </w:rPr>
      </w:pPr>
    </w:p>
    <w:p>
      <w:pPr>
        <w:ind w:left="900" w:hanging="446"/>
        <w:spacing w:after="0"/>
        <w:tabs>
          <w:tab w:leader="none" w:pos="90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13"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“Transfer”), or permit any of its Subsidiaries to Transfer,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w:t>
      </w:r>
    </w:p>
    <w:p>
      <w:pPr>
        <w:spacing w:after="0" w:line="2" w:lineRule="exact"/>
        <w:rPr>
          <w:sz w:val="20"/>
          <w:szCs w:val="20"/>
          <w:color w:val="auto"/>
        </w:rPr>
      </w:pPr>
    </w:p>
    <w:p>
      <w:pPr>
        <w:ind w:right="160" w:firstLine="8"/>
        <w:spacing w:after="0" w:line="302" w:lineRule="auto"/>
        <w:tabs>
          <w:tab w:leader="none" w:pos="24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w:t>
      </w:r>
    </w:p>
    <w:p>
      <w:pPr>
        <w:spacing w:after="0" w:line="151"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b w:val="1"/>
          <w:bCs w:val="1"/>
          <w:color w:val="auto"/>
        </w:rPr>
        <w:t xml:space="preserve">7.2 Changes in Business, Management Control, or Business Locations. </w:t>
      </w:r>
      <w:r>
        <w:rPr>
          <w:rFonts w:ascii="Arial" w:cs="Arial" w:eastAsia="Arial" w:hAnsi="Arial"/>
          <w:sz w:val="16"/>
          <w:szCs w:val="16"/>
          <w:color w:val="auto"/>
        </w:rPr>
        <w:t>(a) Engage in or permit any of its Subsidiaries to engage in any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the businesses currently engaged in by Borrower and such Subsidiary, as applicable, or reasonably related thereto; (b) liquidate or dissolve; or</w:t>
      </w:r>
    </w:p>
    <w:p>
      <w:pPr>
        <w:spacing w:after="0" w:line="1" w:lineRule="exact"/>
        <w:rPr>
          <w:sz w:val="20"/>
          <w:szCs w:val="20"/>
          <w:color w:val="auto"/>
        </w:rPr>
      </w:pPr>
    </w:p>
    <w:p>
      <w:pPr>
        <w:ind w:right="440" w:firstLine="8"/>
        <w:spacing w:after="0" w:line="261" w:lineRule="auto"/>
        <w:tabs>
          <w:tab w:leader="none" w:pos="24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fail to provide notice to Bank of any Key Person departing from or ceasing to be employed by Borrower within five (5) days after such Key Person’s departure from Borrower; or (d) permit or suffer any Change in Control.</w:t>
      </w:r>
    </w:p>
    <w:p>
      <w:pPr>
        <w:spacing w:after="0" w:line="184"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each such new office or business location contains less than Fifty Thousand Dollars ($50,000.00) in Borrower’s assets or property) or deliver any portion of the Collateral valued, individually or in the aggregate, in excess of One Hundred Thousand Dollars ($100,000.00)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One Hundred Thousand Dollars ($100,000.00) to a bailee, and Bank and such bailee are not already parties to a bailee agreement governing both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34" w:name="page535"/>
    <w:bookmarkEnd w:id="53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and the location to which Borrower intends to deliver the Collateral, then Borrower will first receive the written consent of Bank, and such bailee shall execute and deliver a bailee agreement in form and substance satisfactory to Bank. If Borrower intends to maintain assets or property valued in excess of One Hundred Thousand Dollars ($100,000.00) at any such leased location, then Borrower shall cause such landlord to execute and deliver a landlord consent in form and substance satisfactory to Bank.</w:t>
      </w:r>
    </w:p>
    <w:p>
      <w:pPr>
        <w:spacing w:after="0" w:line="183"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6.6(b) hereof.</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 xml:space="preserve">7.7 Distributions; Investments. </w:t>
      </w:r>
      <w:r>
        <w:rPr>
          <w:rFonts w:ascii="Arial" w:cs="Arial" w:eastAsia="Arial" w:hAnsi="Arial"/>
          <w:sz w:val="16"/>
          <w:szCs w:val="16"/>
          <w:color w:val="auto"/>
        </w:rPr>
        <w:t>(a) Pay any dividends or make any distribution or payment or redeem, retire or purchase any capital stock;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such repurchase and would not exist after giving effect to such repurchase, provided that the aggregate amount of all such repurchases does not exceed Fifty Thousand Dollars ($50,000.00) per fiscal year; or</w:t>
      </w:r>
    </w:p>
    <w:p>
      <w:pPr>
        <w:spacing w:after="0" w:line="2" w:lineRule="exact"/>
        <w:rPr>
          <w:sz w:val="20"/>
          <w:szCs w:val="20"/>
          <w:color w:val="auto"/>
        </w:rPr>
      </w:pPr>
    </w:p>
    <w:p>
      <w:pPr>
        <w:ind w:right="80" w:firstLine="8"/>
        <w:spacing w:after="0" w:line="261" w:lineRule="auto"/>
        <w:tabs>
          <w:tab w:leader="none" w:pos="25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directly or indirectly make any Investment (including, without limitation, by the formation of any Subsidiary) other than Permitted Investments, or permit any of its Subsidiaries to do so.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7.8 Transactions with Affiliates. </w:t>
      </w:r>
      <w:r>
        <w:rPr>
          <w:rFonts w:ascii="Arial" w:cs="Arial" w:eastAsia="Arial" w:hAnsi="Arial"/>
          <w:sz w:val="16"/>
          <w:szCs w:val="16"/>
          <w:color w:val="auto"/>
        </w:rPr>
        <w:t>Directly or indirectly enter into or permit to exist any material transaction with any Affiliate of Borrower, except for</w:t>
      </w:r>
    </w:p>
    <w:p>
      <w:pPr>
        <w:spacing w:after="0" w:line="50" w:lineRule="exact"/>
        <w:rPr>
          <w:sz w:val="20"/>
          <w:szCs w:val="20"/>
          <w:color w:val="auto"/>
        </w:rPr>
      </w:pPr>
    </w:p>
    <w:p>
      <w:pPr>
        <w:ind w:right="260" w:firstLine="8"/>
        <w:spacing w:after="0" w:line="323" w:lineRule="auto"/>
        <w:tabs>
          <w:tab w:leader="none" w:pos="24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transactions that are in the ordinary course of Borrower’s business, upon fair and reasonable terms that are no less favorable to Borrower than would be obtained in an arm’s length transaction with a non-affiliated Person and (b) equity financings of Borrower that do not result in a Change of Control.</w:t>
      </w:r>
    </w:p>
    <w:p>
      <w:pPr>
        <w:spacing w:after="0" w:line="13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 intercreditor,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535" w:name="page536"/>
    <w:bookmarkEnd w:id="53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10" w:lineRule="exact"/>
        <w:rPr>
          <w:sz w:val="20"/>
          <w:szCs w:val="20"/>
          <w:color w:val="auto"/>
        </w:rPr>
      </w:pPr>
    </w:p>
    <w:p>
      <w:pPr>
        <w:ind w:left="900" w:hanging="446"/>
        <w:spacing w:after="0"/>
        <w:tabs>
          <w:tab w:leader="none" w:pos="90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20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121" w:lineRule="exact"/>
        <w:rPr>
          <w:sz w:val="20"/>
          <w:szCs w:val="20"/>
          <w:color w:val="auto"/>
        </w:rPr>
      </w:pPr>
    </w:p>
    <w:p>
      <w:pPr>
        <w:ind w:left="1160" w:hanging="239"/>
        <w:spacing w:after="0"/>
        <w:tabs>
          <w:tab w:leader="none" w:pos="11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Sections 6.2, 6.4, 6.5, 6.6 or 6.7(b), or violates any covenant in Section 7; or</w:t>
      </w:r>
    </w:p>
    <w:p>
      <w:pPr>
        <w:spacing w:after="0" w:line="128" w:lineRule="exact"/>
        <w:rPr>
          <w:rFonts w:ascii="Arial" w:cs="Arial" w:eastAsia="Arial" w:hAnsi="Arial"/>
          <w:sz w:val="17"/>
          <w:szCs w:val="17"/>
          <w:color w:val="auto"/>
        </w:rPr>
      </w:pPr>
    </w:p>
    <w:p>
      <w:pPr>
        <w:ind w:right="20" w:firstLine="921"/>
        <w:spacing w:after="0" w:line="254" w:lineRule="auto"/>
        <w:tabs>
          <w:tab w:leader="none" w:pos="116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(if any) or any other covenants set forth in clause (a) above;</w:t>
      </w:r>
    </w:p>
    <w:p>
      <w:pPr>
        <w:spacing w:after="0" w:line="2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Material Adverse Change. A Material Adverse Change occurs;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121" w:lineRule="exact"/>
        <w:rPr>
          <w:sz w:val="20"/>
          <w:szCs w:val="20"/>
          <w:color w:val="auto"/>
        </w:rPr>
      </w:pPr>
    </w:p>
    <w:p>
      <w:pPr>
        <w:ind w:firstLine="921"/>
        <w:spacing w:after="0" w:line="279" w:lineRule="auto"/>
        <w:tabs>
          <w:tab w:leader="none" w:pos="115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63"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36" w:name="page537"/>
    <w:bookmarkEnd w:id="536"/>
    <w:p>
      <w:pPr>
        <w:ind w:right="12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 Other Agreements</w:t>
      </w:r>
      <w:r>
        <w:rPr>
          <w:rFonts w:ascii="Arial" w:cs="Arial" w:eastAsia="Arial" w:hAnsi="Arial"/>
          <w:sz w:val="18"/>
          <w:szCs w:val="18"/>
          <w:color w:val="auto"/>
        </w:rPr>
        <w:t>. There is, under any agreement to which Borrower is a party with a third party or parties, (a) any default resulting in a right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third party or parties, whether or not exercised, to accelerate the maturity of any Indebtedness in an amount individually or in the aggregate in excess of One Hundred Thousand Dollars ($100,000.00); or (b) any breach or default by Borrower or Guarantor, the result of which could have a material adverse effect on Borrower’s business;</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 One or more fines, penalties or final judgments, orders or decrees for the payment of money in an amount, individually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of at least One Hundred Thousand Dollars ($100,000.00)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8"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 shall for any reason be revoked or invalidated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0"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8.10 Governmental Approvals. </w:t>
      </w:r>
      <w:r>
        <w:rPr>
          <w:rFonts w:ascii="Arial" w:cs="Arial" w:eastAsia="Arial" w:hAnsi="Arial"/>
          <w:sz w:val="16"/>
          <w:szCs w:val="16"/>
          <w:color w:val="auto"/>
        </w:rPr>
        <w:t>Any Governmental Approval shall have been (a) revoked, rescinded, suspended, modified in an adverse manner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89" w:lineRule="exact"/>
        <w:rPr>
          <w:sz w:val="20"/>
          <w:szCs w:val="20"/>
          <w:color w:val="auto"/>
        </w:rPr>
      </w:pPr>
    </w:p>
    <w:p>
      <w:pPr>
        <w:ind w:left="900" w:hanging="446"/>
        <w:spacing w:after="0"/>
        <w:tabs>
          <w:tab w:leader="none" w:pos="90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 demand, do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to the extent not prohibited by applicable law:</w:t>
      </w:r>
    </w:p>
    <w:p>
      <w:pPr>
        <w:spacing w:after="0" w:line="58" w:lineRule="exact"/>
        <w:rPr>
          <w:sz w:val="20"/>
          <w:szCs w:val="20"/>
          <w:color w:val="auto"/>
        </w:rPr>
      </w:pPr>
    </w:p>
    <w:p>
      <w:pPr>
        <w:ind w:right="860" w:firstLine="921"/>
        <w:spacing w:after="0" w:line="277" w:lineRule="auto"/>
        <w:tabs>
          <w:tab w:leader="none" w:pos="115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2" w:lineRule="exact"/>
        <w:rPr>
          <w:rFonts w:ascii="Arial" w:cs="Arial" w:eastAsia="Arial" w:hAnsi="Arial"/>
          <w:sz w:val="16"/>
          <w:szCs w:val="16"/>
          <w:color w:val="auto"/>
        </w:rPr>
      </w:pPr>
    </w:p>
    <w:p>
      <w:pPr>
        <w:ind w:firstLine="921"/>
        <w:spacing w:after="0" w:line="293" w:lineRule="auto"/>
        <w:tabs>
          <w:tab w:leader="none" w:pos="115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537" w:name="page538"/>
    <w:bookmarkEnd w:id="537"/>
    <w:p>
      <w:pPr>
        <w:ind w:left="1180" w:hanging="259"/>
        <w:spacing w:after="0"/>
        <w:tabs>
          <w:tab w:leader="none" w:pos="11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any FX Contracts;</w:t>
      </w:r>
    </w:p>
    <w:p>
      <w:pPr>
        <w:spacing w:after="0" w:line="117" w:lineRule="exact"/>
        <w:rPr>
          <w:rFonts w:ascii="Arial" w:cs="Arial" w:eastAsia="Arial" w:hAnsi="Arial"/>
          <w:sz w:val="18"/>
          <w:szCs w:val="18"/>
          <w:color w:val="auto"/>
        </w:rPr>
      </w:pPr>
    </w:p>
    <w:p>
      <w:pPr>
        <w:ind w:right="80" w:firstLine="921"/>
        <w:spacing w:after="0" w:line="264" w:lineRule="auto"/>
        <w:tabs>
          <w:tab w:leader="none" w:pos="115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73" w:lineRule="exact"/>
        <w:rPr>
          <w:rFonts w:ascii="Arial" w:cs="Arial" w:eastAsia="Arial" w:hAnsi="Arial"/>
          <w:sz w:val="18"/>
          <w:szCs w:val="18"/>
          <w:color w:val="auto"/>
        </w:rPr>
      </w:pPr>
    </w:p>
    <w:p>
      <w:pPr>
        <w:jc w:val="both"/>
        <w:ind w:right="100" w:firstLine="921"/>
        <w:spacing w:after="0" w:line="276" w:lineRule="auto"/>
        <w:tabs>
          <w:tab w:leader="none" w:pos="1138" w:val="left"/>
        </w:tabs>
        <w:numPr>
          <w:ilvl w:val="0"/>
          <w:numId w:val="444"/>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at a location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by Borrower, to exercise any of Bank’s rights or remedies;</w:t>
      </w:r>
    </w:p>
    <w:p>
      <w:pPr>
        <w:spacing w:after="0" w:line="64" w:lineRule="exact"/>
        <w:rPr>
          <w:rFonts w:ascii="Arial" w:cs="Arial" w:eastAsia="Arial" w:hAnsi="Arial"/>
          <w:sz w:val="17"/>
          <w:szCs w:val="17"/>
          <w:color w:val="auto"/>
        </w:rPr>
      </w:pPr>
    </w:p>
    <w:p>
      <w:pPr>
        <w:ind w:right="140" w:firstLine="921"/>
        <w:spacing w:after="0" w:line="277" w:lineRule="auto"/>
        <w:tabs>
          <w:tab w:leader="none" w:pos="11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Bank owing to or for the credit or the account of Borrower;</w:t>
      </w:r>
    </w:p>
    <w:p>
      <w:pPr>
        <w:spacing w:after="0" w:line="62"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80"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538" w:name="page539"/>
    <w:bookmarkEnd w:id="538"/>
    <w:p>
      <w:pPr>
        <w:ind w:right="260" w:firstLine="456"/>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 Protective Payments</w:t>
      </w:r>
      <w:r>
        <w:rPr>
          <w:rFonts w:ascii="Arial" w:cs="Arial" w:eastAsia="Arial" w:hAnsi="Arial"/>
          <w:sz w:val="17"/>
          <w:szCs w:val="17"/>
          <w:color w:val="auto"/>
        </w:rPr>
        <w:t>. 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4"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9.4 Application of Payments and Proceeds Upon Default</w:t>
      </w:r>
      <w:r>
        <w:rPr>
          <w:rFonts w:ascii="Arial" w:cs="Arial" w:eastAsia="Arial" w:hAnsi="Arial"/>
          <w:sz w:val="16"/>
          <w:szCs w:val="16"/>
          <w:color w:val="auto"/>
        </w:rPr>
        <w:t>. If an Event of Default has occurred and is continuing, Bank shall have the right to apply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applicable law and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Bank on which Borrower is liable.</w:t>
      </w:r>
    </w:p>
    <w:p>
      <w:pPr>
        <w:spacing w:after="0" w:line="325" w:lineRule="exact"/>
        <w:rPr>
          <w:sz w:val="20"/>
          <w:szCs w:val="20"/>
          <w:color w:val="auto"/>
        </w:rPr>
      </w:pPr>
    </w:p>
    <w:p>
      <w:pPr>
        <w:ind w:left="900" w:hanging="446"/>
        <w:spacing w:after="0"/>
        <w:tabs>
          <w:tab w:leader="none" w:pos="90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539" w:name="page540"/>
    <w:bookmarkEnd w:id="539"/>
    <w:tbl>
      <w:tblPr>
        <w:tblLayout w:type="fixed"/>
        <w:tblInd w:w="8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If to Borrower:</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AvroBio, Inc.</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700 Technology Square, Suite 101</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Cambridge, Massachusetts 02139</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5"/>
              </w:rPr>
              <w:t>geoff.mackay@avrobio.com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with a copy to:</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Goodwin Procter LLP</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100 Northern Avenue</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Boston, Massachusetts 02210</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Mark D. Smith</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Fax:</w:t>
            </w:r>
          </w:p>
        </w:tc>
        <w:tc>
          <w:tcPr>
            <w:tcW w:w="2340" w:type="dxa"/>
            <w:vAlign w:val="bottom"/>
          </w:tcPr>
          <w:p>
            <w:pPr>
              <w:ind w:left="140"/>
              <w:spacing w:after="0"/>
              <w:rPr>
                <w:sz w:val="20"/>
                <w:szCs w:val="20"/>
                <w:color w:val="auto"/>
              </w:rPr>
            </w:pPr>
            <w:r>
              <w:rPr>
                <w:rFonts w:ascii="Arial" w:cs="Arial" w:eastAsia="Arial" w:hAnsi="Arial"/>
                <w:sz w:val="18"/>
                <w:szCs w:val="18"/>
                <w:color w:val="auto"/>
              </w:rPr>
              <w:t>(617) 801-8835</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1"/>
              </w:rPr>
              <w:t>marksmith@goodwinlaw.com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If to Bank:</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Silicon Valley Bank</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275 Grove Street, Suite 2-200</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Newton, Massachusetts 02466</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Ryan Roller</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rPr>
              <w:t>RRoller@svb.com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with a copy to:</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Riemer &amp; Braunstein LLP</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Three Center Plaza</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Boston, Massachusetts 02108</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David A. Ephraim, Esquire</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Fax:</w:t>
            </w:r>
          </w:p>
        </w:tc>
        <w:tc>
          <w:tcPr>
            <w:tcW w:w="2340" w:type="dxa"/>
            <w:vAlign w:val="bottom"/>
          </w:tcPr>
          <w:p>
            <w:pPr>
              <w:ind w:left="140"/>
              <w:spacing w:after="0"/>
              <w:rPr>
                <w:sz w:val="20"/>
                <w:szCs w:val="20"/>
                <w:color w:val="auto"/>
              </w:rPr>
            </w:pPr>
            <w:r>
              <w:rPr>
                <w:rFonts w:ascii="Arial" w:cs="Arial" w:eastAsia="Arial" w:hAnsi="Arial"/>
                <w:sz w:val="18"/>
                <w:szCs w:val="18"/>
                <w:color w:val="auto"/>
              </w:rPr>
              <w:t>(617) 880-3456</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9"/>
              </w:rPr>
              <w:t>DEphraim@riemerlaw.com</w:t>
            </w: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expressly provided in any of the Loan Documents, 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48" w:lineRule="exact"/>
        <w:rPr>
          <w:sz w:val="20"/>
          <w:szCs w:val="20"/>
          <w:color w:val="auto"/>
        </w:rPr>
      </w:pPr>
    </w:p>
    <w:p>
      <w:pPr>
        <w:ind w:left="900" w:hanging="446"/>
        <w:spacing w:after="0"/>
        <w:tabs>
          <w:tab w:leader="none" w:pos="90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540" w:name="page541"/>
    <w:bookmarkEnd w:id="540"/>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 Termination Prior to Term Loan Maturity Date; Survival</w:t>
      </w:r>
      <w:r>
        <w:rPr>
          <w:rFonts w:ascii="Arial" w:cs="Arial" w:eastAsia="Arial" w:hAnsi="Arial"/>
          <w:sz w:val="16"/>
          <w:szCs w:val="16"/>
          <w:color w:val="auto"/>
        </w:rPr>
        <w:t>. All covenants, representations and warranties made in this Agreement continue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force until this Agreement has terminated pursuant to its terms and all Obligations (other than inchoate indemnity obligations, and any other obligations which, by their terms, are to survive termination of this Agreement)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6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 This Agreement binds and is for the benefit of the successors and permitted assigns of each party. Borrower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 employees, agents, attorneys,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right="200" w:firstLine="456"/>
        <w:spacing w:after="0" w:line="347"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 the agreement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so long as Bank provides Borrower with written notice of such correction and allows Borrower at least ten (10) days to object to such correction.</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9"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541" w:name="page542"/>
    <w:bookmarkEnd w:id="541"/>
    <w:p>
      <w:pPr>
        <w:ind w:right="20" w:firstLine="456"/>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2"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 security for all Obligations to Bank,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Obligations of Borrower then due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 The headings used in this Agreement are for convenience only and shall not affect the interpretation of this Agreement.</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16"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207" w:lineRule="exact"/>
        <w:rPr>
          <w:sz w:val="20"/>
          <w:szCs w:val="20"/>
          <w:color w:val="auto"/>
        </w:rPr>
      </w:pPr>
    </w:p>
    <w:p>
      <w:pPr>
        <w:ind w:left="900" w:hanging="446"/>
        <w:spacing w:after="0"/>
        <w:tabs>
          <w:tab w:leader="none" w:pos="90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542" w:name="page543"/>
    <w:bookmarkEnd w:id="542"/>
    <w:p>
      <w:pPr>
        <w:ind w:right="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 Definitions</w:t>
      </w:r>
      <w:r>
        <w:rPr>
          <w:rFonts w:ascii="Arial" w:cs="Arial" w:eastAsia="Arial" w:hAnsi="Arial"/>
          <w:sz w:val="18"/>
          <w:szCs w:val="18"/>
          <w:color w:val="auto"/>
        </w:rPr>
        <w:t>. 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November 1, 2018; provided that upon the Funding Date of the initial Tranche 3 Advance, the Amortization Date shall mean May, 1, 2019.</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Australian Subsidiary</w:t>
      </w:r>
      <w:r>
        <w:rPr>
          <w:rFonts w:ascii="Arial" w:cs="Arial" w:eastAsia="Arial" w:hAnsi="Arial"/>
          <w:sz w:val="18"/>
          <w:szCs w:val="18"/>
          <w:color w:val="auto"/>
        </w:rPr>
        <w:t>” is AvroBio, Inc., an Australian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 Agreement</w:t>
      </w:r>
      <w:r>
        <w:rPr>
          <w:rFonts w:ascii="Arial" w:cs="Arial" w:eastAsia="Arial" w:hAnsi="Arial"/>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543" w:name="page544"/>
    <w:bookmarkEnd w:id="54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is AvroBio, Inc., a Canadian corporation.</w:t>
      </w:r>
    </w:p>
    <w:p>
      <w:pPr>
        <w:spacing w:after="0" w:line="22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w:t>
      </w:r>
    </w:p>
    <w:p>
      <w:pPr>
        <w:spacing w:after="0" w:line="18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 percent (40.0%)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free and clear of all Liens (except Liens created by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544" w:name="page545"/>
    <w:bookmarkEnd w:id="5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or any other extension of credit by Bank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XXXXXXX738, maintained by Borrower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07"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545" w:name="page546"/>
    <w:bookmarkEnd w:id="5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equal to the original principal amount of the Term Loan Advances extended by Bank to Borrower multiplied by the Final Payment Percentage, due on the earliest to occur of (a) the Term Loan Maturity Date, (b) the acceleration of the Term Loan Advances by Bank pursuant to Section 9.1(a), (c) the prepayment of the Term Loan Advances by Borrower pursuant to Section 2.1.1(d) or 2.1.1(e), (d) the repayment in full of all obligations under the Term Loan Advances, or (e) the termination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Advance, six and three-quarters of one percent (6.75%).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69" w:right="259" w:bottom="1440" w:gutter="0" w:footer="0" w:header="0"/>
        </w:sectPr>
      </w:pPr>
    </w:p>
    <w:bookmarkStart w:id="546" w:name="page547"/>
    <w:bookmarkEnd w:id="546"/>
    <w:p>
      <w:pPr>
        <w:ind w:left="1160" w:hanging="239"/>
        <w:spacing w:after="0"/>
        <w:tabs>
          <w:tab w:leader="none" w:pos="11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Copyrights, Trademarks and Patents;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160" w:hanging="239"/>
        <w:spacing w:after="0"/>
        <w:tabs>
          <w:tab w:leader="none" w:pos="11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Chief Executive Officer, who is Geoff MacKay as of the Effective Date.</w:t>
      </w:r>
    </w:p>
    <w:p>
      <w:pPr>
        <w:spacing w:after="0" w:line="225"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the Stock Pledge Agreement, the Perfection Certificate, any Control Agreement,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65"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right="2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the Prepayment Premium, the Final Payment and other amounts Borrower owes Bank now or later, whether under this Agreement, the other Loan Documents (other than the Warrant), or otherwise, including, without limitation, interest accruing after Insolvency Proceedings begin and debts, liabilities, or obligations of Borrower assigned to Bank, and to perform Borrower’s duties under the Loan Documents (other than the Warrant).</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547" w:name="page548"/>
    <w:bookmarkEnd w:id="547"/>
    <w:p>
      <w:pPr>
        <w:ind w:right="320" w:firstLine="8"/>
        <w:spacing w:after="0" w:line="277" w:lineRule="auto"/>
        <w:tabs>
          <w:tab w:leader="none" w:pos="255"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the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117"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right="40" w:firstLine="921"/>
        <w:spacing w:after="0" w:line="288" w:lineRule="auto"/>
        <w:tabs>
          <w:tab w:leader="none" w:pos="115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Investments by Borrower to (i) Australian Subsidiary for ordinary, necessary and current operating expenses in an amount not to exceed One Million Five Hundred Thousand Dollars ($1,500,000.00) in the aggregate during any twelve (12) month period and (ii) Canadian Subsidiary for ordinary, necessary and current operating expenses in an amount not to exceed Two Hundred Fifty Thousand Dollars ($250,000.00) in the aggregate during any twelve</w:t>
      </w:r>
    </w:p>
    <w:p>
      <w:pPr>
        <w:ind w:right="360" w:firstLine="8"/>
        <w:spacing w:after="0" w:line="261" w:lineRule="auto"/>
        <w:tabs>
          <w:tab w:leader="none" w:pos="34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month period; so long as, in the case of (i) and (ii), an Event of Default does not exist at the time of such Investment and would not result from such Investment;</w:t>
      </w:r>
    </w:p>
    <w:p>
      <w:pPr>
        <w:spacing w:after="0" w:line="75" w:lineRule="exact"/>
        <w:rPr>
          <w:rFonts w:ascii="Arial" w:cs="Arial" w:eastAsia="Arial" w:hAnsi="Arial"/>
          <w:sz w:val="18"/>
          <w:szCs w:val="18"/>
          <w:color w:val="auto"/>
        </w:rPr>
      </w:pPr>
    </w:p>
    <w:p>
      <w:pPr>
        <w:ind w:left="1180" w:hanging="259"/>
        <w:spacing w:after="0"/>
        <w:tabs>
          <w:tab w:leader="none" w:pos="118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right="60" w:firstLine="921"/>
        <w:spacing w:after="0" w:line="264" w:lineRule="auto"/>
        <w:tabs>
          <w:tab w:leader="none" w:pos="1138"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3" w:right="279" w:bottom="1440" w:gutter="0" w:footer="0" w:header="0"/>
        </w:sectPr>
      </w:pPr>
    </w:p>
    <w:bookmarkStart w:id="548" w:name="page549"/>
    <w:bookmarkEnd w:id="548"/>
    <w:p>
      <w:pPr>
        <w:ind w:right="480" w:firstLine="921"/>
        <w:spacing w:after="0" w:line="308" w:lineRule="auto"/>
        <w:tabs>
          <w:tab w:leader="none" w:pos="1168" w:val="left"/>
        </w:tabs>
        <w:numPr>
          <w:ilvl w:val="0"/>
          <w:numId w:val="4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38" w:lineRule="exact"/>
        <w:rPr>
          <w:rFonts w:ascii="Arial" w:cs="Arial" w:eastAsia="Arial" w:hAnsi="Arial"/>
          <w:sz w:val="17"/>
          <w:szCs w:val="17"/>
          <w:color w:val="auto"/>
        </w:rPr>
      </w:pPr>
    </w:p>
    <w:p>
      <w:pPr>
        <w:ind w:right="580" w:firstLine="921"/>
        <w:spacing w:after="0" w:line="342" w:lineRule="auto"/>
        <w:tabs>
          <w:tab w:leader="none" w:pos="1168" w:val="left"/>
        </w:tabs>
        <w:numPr>
          <w:ilvl w:val="0"/>
          <w:numId w:val="455"/>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40" w:lineRule="exact"/>
        <w:rPr>
          <w:rFonts w:ascii="Arial" w:cs="Arial" w:eastAsia="Arial" w:hAnsi="Arial"/>
          <w:sz w:val="16"/>
          <w:szCs w:val="16"/>
          <w:color w:val="auto"/>
        </w:rPr>
      </w:pPr>
    </w:p>
    <w:p>
      <w:pPr>
        <w:ind w:right="220" w:firstLine="921"/>
        <w:spacing w:after="0" w:line="264" w:lineRule="auto"/>
        <w:tabs>
          <w:tab w:leader="none" w:pos="116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ind w:right="120" w:firstLine="921"/>
        <w:spacing w:after="0" w:line="264" w:lineRule="auto"/>
        <w:tabs>
          <w:tab w:leader="none" w:pos="115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acquired or held by Borrower incurred for financing the acquisition of the Equipment securing no more than Fifty Thousand Dollars ($50,000.00)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6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right="480" w:firstLine="921"/>
        <w:spacing w:after="0" w:line="277" w:lineRule="auto"/>
        <w:tabs>
          <w:tab w:leader="none" w:pos="115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right="20" w:firstLine="921"/>
        <w:spacing w:after="0" w:line="342" w:lineRule="auto"/>
        <w:tabs>
          <w:tab w:leader="none" w:pos="1138"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(e),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5" w:lineRule="exact"/>
        <w:rPr>
          <w:rFonts w:ascii="Arial" w:cs="Arial" w:eastAsia="Arial" w:hAnsi="Arial"/>
          <w:sz w:val="16"/>
          <w:szCs w:val="16"/>
          <w:color w:val="auto"/>
        </w:rPr>
      </w:pPr>
    </w:p>
    <w:p>
      <w:pPr>
        <w:ind w:right="80" w:firstLine="921"/>
        <w:spacing w:after="0" w:line="259" w:lineRule="auto"/>
        <w:tabs>
          <w:tab w:leader="none" w:pos="116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prohibiting granting Bank a security interest therein;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non-exclusive license partnerships, and joint ventures of Intellectual Property granted to third parties in the ordinary course of business;</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 and</w:t>
      </w:r>
    </w:p>
    <w:p>
      <w:pPr>
        <w:spacing w:after="0" w:line="102" w:lineRule="exact"/>
        <w:rPr>
          <w:rFonts w:ascii="Arial" w:cs="Arial" w:eastAsia="Arial" w:hAnsi="Arial"/>
          <w:sz w:val="16"/>
          <w:szCs w:val="16"/>
          <w:color w:val="auto"/>
        </w:rPr>
      </w:pPr>
    </w:p>
    <w:p>
      <w:pPr>
        <w:ind w:right="40" w:firstLine="921"/>
        <w:spacing w:after="0" w:line="277" w:lineRule="auto"/>
        <w:tabs>
          <w:tab w:leader="none" w:pos="112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Bank has a first priority perfected security interest in the amounts held in such deposit and/or securities accounts.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3" w:right="299" w:bottom="1440" w:gutter="0" w:footer="0" w:header="0"/>
        </w:sectPr>
      </w:pPr>
    </w:p>
    <w:bookmarkStart w:id="549" w:name="page550"/>
    <w:bookmarkEnd w:id="549"/>
    <w:p>
      <w:pPr>
        <w:ind w:right="44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in an amount equal to:</w:t>
      </w:r>
    </w:p>
    <w:p>
      <w:pPr>
        <w:spacing w:after="0" w:line="121" w:lineRule="exact"/>
        <w:rPr>
          <w:sz w:val="20"/>
          <w:szCs w:val="20"/>
          <w:color w:val="auto"/>
        </w:rPr>
      </w:pPr>
    </w:p>
    <w:p>
      <w:pPr>
        <w:ind w:right="240" w:firstLine="921"/>
        <w:spacing w:after="0" w:line="342" w:lineRule="auto"/>
        <w:tabs>
          <w:tab w:leader="none" w:pos="115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for a prepayment of a Term Loan Advance made on or prior to the first (1st) anniversary of the Funding Date of such Term Loan Advance, one percent (1.0%) of the principal amount of such Term Loan Advance outstanding as of the date immediately and prior to such prepayment;</w:t>
      </w:r>
    </w:p>
    <w:p>
      <w:pPr>
        <w:spacing w:after="0" w:line="15" w:lineRule="exact"/>
        <w:rPr>
          <w:rFonts w:ascii="Arial" w:cs="Arial" w:eastAsia="Arial" w:hAnsi="Arial"/>
          <w:sz w:val="16"/>
          <w:szCs w:val="16"/>
          <w:color w:val="auto"/>
        </w:rPr>
      </w:pPr>
    </w:p>
    <w:p>
      <w:pPr>
        <w:ind w:firstLine="921"/>
        <w:spacing w:after="0" w:line="264" w:lineRule="auto"/>
        <w:tabs>
          <w:tab w:leader="none" w:pos="116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for a prepayment of a Term Loan Advance made after the first (1st) anniversary of the Funding Date of such Term Loan Advance, but prior to the second (2nd) anniversary of the Funding Date of such Term Loan Advance, one-half of one percent (0.5%) of the principal amount of such Term Loan Advance outstanding as of the date immediately prior to such prepayment; and</w:t>
      </w:r>
    </w:p>
    <w:p>
      <w:pPr>
        <w:spacing w:after="0" w:line="73" w:lineRule="exact"/>
        <w:rPr>
          <w:rFonts w:ascii="Arial" w:cs="Arial" w:eastAsia="Arial" w:hAnsi="Arial"/>
          <w:sz w:val="18"/>
          <w:szCs w:val="18"/>
          <w:color w:val="auto"/>
        </w:rPr>
      </w:pPr>
    </w:p>
    <w:p>
      <w:pPr>
        <w:ind w:right="240" w:firstLine="921"/>
        <w:spacing w:after="0" w:line="308" w:lineRule="auto"/>
        <w:tabs>
          <w:tab w:leader="none" w:pos="1158" w:val="left"/>
        </w:tabs>
        <w:numPr>
          <w:ilvl w:val="0"/>
          <w:numId w:val="457"/>
        </w:numPr>
        <w:rPr>
          <w:rFonts w:ascii="Arial" w:cs="Arial" w:eastAsia="Arial" w:hAnsi="Arial"/>
          <w:sz w:val="17"/>
          <w:szCs w:val="17"/>
          <w:color w:val="auto"/>
        </w:rPr>
      </w:pPr>
      <w:r>
        <w:rPr>
          <w:rFonts w:ascii="Arial" w:cs="Arial" w:eastAsia="Arial" w:hAnsi="Arial"/>
          <w:sz w:val="17"/>
          <w:szCs w:val="17"/>
          <w:color w:val="auto"/>
        </w:rPr>
        <w:t>for a prepayment of a Term Loan Advance made after the second (2nd) anniversary of the Funding Date of such Term Loan Advance, zero percent (0.0%) of the principal amount of such Term Loan Advance outstanding as of the date immediately prior to such prepayment.</w:t>
      </w:r>
    </w:p>
    <w:p>
      <w:pPr>
        <w:spacing w:after="0" w:line="14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Notwithstanding the foregoing, provided no Event of Default has occurred and is continuing, the Prepayment Premium shall be waived by Bank if Bank closes on the refinance and redocumentation of this Agreement (in its sole and absolute discretion) prior to the Term Loan Maturity Date.</w:t>
      </w:r>
    </w:p>
    <w:p>
      <w:pPr>
        <w:spacing w:after="0" w:line="120" w:lineRule="exact"/>
        <w:rPr>
          <w:sz w:val="20"/>
          <w:szCs w:val="20"/>
          <w:color w:val="auto"/>
        </w:rPr>
      </w:pPr>
    </w:p>
    <w:p>
      <w:pPr>
        <w:ind w:right="2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Schedule</w:t>
      </w:r>
      <w:r>
        <w:rPr>
          <w:rFonts w:ascii="Arial" w:cs="Arial" w:eastAsia="Arial" w:hAnsi="Arial"/>
          <w:sz w:val="18"/>
          <w:szCs w:val="18"/>
          <w:color w:val="auto"/>
        </w:rPr>
        <w:t>” is thirty (30) months; provided, however, upon the Funding Date of the initial Tranche 3 Advance, the Repayment Schedule shall mean twenty-four (24) months.</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similar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550" w:name="page551"/>
    <w:bookmarkEnd w:id="550"/>
    <w:p>
      <w:pPr>
        <w:ind w:right="1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Second Closing Milestone Achievement</w:t>
      </w:r>
      <w:r>
        <w:rPr>
          <w:rFonts w:ascii="Arial" w:cs="Arial" w:eastAsia="Arial" w:hAnsi="Arial"/>
          <w:sz w:val="17"/>
          <w:szCs w:val="17"/>
          <w:color w:val="auto"/>
        </w:rPr>
        <w:t>” means Borrower has, prior to December 31, 2017 (a) either (i) achieved data reasonably supporting proof of mechanism in the AML program (as defined in the Series A Preferred Stock Purchase Agreement) and a demonstrable adequate safety profile at a dose level at which proof of mechanism was established, or (ii) achieved data reasonably supporting proof of mechanism and adequate engraftment using a non-myeloablative conditioning regimen in the Fabry’s program (as defined in the Series A Preferred Stock Purchase Agreement), (b) established a full commercial-quality and scalable long-range vector supply and manufacturing strategy, and (c) executed a license agreement with the University Health Network on the University Health Network License Terms (as defined in the Series A Preferred Stock Purchase Agreement) or other terms acceptable to the Requisite Board Members (as defined in the Series A Preferred Stock Purchase Agreement) and the Requisite Series A Preferred Holders (as defined in the Series A Preferred Stock Purchase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 Purchase Agreement</w:t>
      </w:r>
      <w:r>
        <w:rPr>
          <w:rFonts w:ascii="Arial" w:cs="Arial" w:eastAsia="Arial" w:hAnsi="Arial"/>
          <w:sz w:val="18"/>
          <w:szCs w:val="18"/>
          <w:color w:val="auto"/>
        </w:rPr>
        <w:t>” means that certain Amended and Restated Series A Preferred Stock Purchase Agreement between Borrower and the Purchasers (as defined therein) dated as of March 30, 2017</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w:t>
      </w:r>
      <w:r>
        <w:rPr>
          <w:rFonts w:ascii="Arial" w:cs="Arial" w:eastAsia="Arial" w:hAnsi="Arial"/>
          <w:sz w:val="18"/>
          <w:szCs w:val="18"/>
          <w:color w:val="auto"/>
        </w:rPr>
        <w:t>” is that certain Stock Pledge Agreement dated as of the Effective Date, by and between Borrower and Bank, as the same may from time to time be amended, restated, modified or otherwise supplemented.</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April 1, 2021.</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1 Draw Period</w:t>
      </w:r>
      <w:r>
        <w:rPr>
          <w:rFonts w:ascii="Arial" w:cs="Arial" w:eastAsia="Arial" w:hAnsi="Arial"/>
          <w:sz w:val="18"/>
          <w:szCs w:val="18"/>
          <w:color w:val="auto"/>
        </w:rPr>
        <w:t>” is the period of time commencing upon the occurrence of the Tranche 1 Milestone Event, and continuing through the earlier to occur of (a) October 31, 2018, or (b) an Event of Default.</w:t>
      </w:r>
    </w:p>
    <w:p>
      <w:pPr>
        <w:spacing w:after="0" w:line="162"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1 Milestone Event</w:t>
      </w:r>
      <w:r>
        <w:rPr>
          <w:rFonts w:ascii="Arial" w:cs="Arial" w:eastAsia="Arial" w:hAnsi="Arial"/>
          <w:sz w:val="18"/>
          <w:szCs w:val="18"/>
          <w:color w:val="auto"/>
        </w:rPr>
        <w:t>” means confirmation by Bank in writing that Borrower received after March 1, 2017, but on or before October 31, 2018, unrestricted and unencumbered net cash proceeds in an amount of Three Million Five Hundred Thousand Dollars ($3,500,000.00) from the issuance and sale by Borrower of its equity securities to investors reasonably acceptable to Bank.</w:t>
      </w:r>
    </w:p>
    <w:p>
      <w:pPr>
        <w:spacing w:after="0" w:line="1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 Draw Period</w:t>
      </w:r>
      <w:r>
        <w:rPr>
          <w:rFonts w:ascii="Arial" w:cs="Arial" w:eastAsia="Arial" w:hAnsi="Arial"/>
          <w:sz w:val="18"/>
          <w:szCs w:val="18"/>
          <w:color w:val="auto"/>
        </w:rPr>
        <w:t>” is the period of time commencing upon the occurrence of each of the following: (a) the Tranche 1 Milestone Event and the funding of the Tranche 1 Advances, and (b) the Tranche 2 Milestone Event, and continuing through the earlier to occur of (i) October 31, 2018, or (ii) an Event of Default.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2 Milestone Event</w:t>
      </w:r>
      <w:r>
        <w:rPr>
          <w:rFonts w:ascii="Arial" w:cs="Arial" w:eastAsia="Arial" w:hAnsi="Arial"/>
          <w:sz w:val="17"/>
          <w:szCs w:val="17"/>
          <w:color w:val="auto"/>
        </w:rPr>
        <w:t>” means confirmation by Bank in writing that either (a) the Second Closing Milestone Achievement has occurred or</w:t>
      </w:r>
    </w:p>
    <w:p>
      <w:pPr>
        <w:spacing w:after="0" w:line="39" w:lineRule="exact"/>
        <w:rPr>
          <w:sz w:val="20"/>
          <w:szCs w:val="20"/>
          <w:color w:val="auto"/>
        </w:rPr>
      </w:pPr>
    </w:p>
    <w:p>
      <w:pPr>
        <w:ind w:right="100" w:firstLine="8"/>
        <w:spacing w:after="0" w:line="255" w:lineRule="auto"/>
        <w:tabs>
          <w:tab w:leader="none" w:pos="25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Borrower received, after the Effective Date, but on or before October 31, 2018, unrestricted and unencumbered net cash proceeds in an amount of at least Seven Million Five Hundred Thousand Dollars ($7,500,000.00) from the issuance and sale by Borrower of its equity securities to investors reasonably acceptable to Bank (excluding funds received in connection with the Tranche 1 Milestone Event).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551" w:name="page552"/>
    <w:bookmarkEnd w:id="551"/>
    <w:p>
      <w:pPr>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Tranche 3 Draw Period</w:t>
      </w:r>
      <w:r>
        <w:rPr>
          <w:rFonts w:ascii="Arial" w:cs="Arial" w:eastAsia="Arial" w:hAnsi="Arial"/>
          <w:sz w:val="18"/>
          <w:szCs w:val="18"/>
          <w:color w:val="auto"/>
        </w:rPr>
        <w:t>” is the period of time commencing upon the occurrence of each of the following: (a) the Tranche 1 Milestone Event and the funding of the Tranche 1 Advances, (b) the Tranche 2 Milestone Event and the funding of the Tranche 2 Advances, and (c) the Tranche 3 Milestone Event, and continuing through the earlier to occur of (i) October 31, 2018, or (ii) an Event of Default.</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3 Milestone Event</w:t>
      </w:r>
      <w:r>
        <w:rPr>
          <w:rFonts w:ascii="Arial" w:cs="Arial" w:eastAsia="Arial" w:hAnsi="Arial"/>
          <w:sz w:val="17"/>
          <w:szCs w:val="17"/>
          <w:color w:val="auto"/>
        </w:rPr>
        <w:t>” means confirmation by Bank in writing, on or before October 31, 2018, that (a) Borrower received, after the Effective Date, but on or before October 31, 2018, unrestricted and unencumbered net cash proceeds in an amount of Six Million Five Hundred Thousand Dollars ($6,500,000.00) from the issuance and sale by Borrower of its equity securities to investors reasonably acceptable to Bank (excluding funds received in connection with the Tranche 1 Milestone Event and the Tranche 2 Milestone Event) and (b) Borrower received a signed and enforceable term sheet from one or more investor parties, acceptable to Bank in its sole but reasonable discretion, in favor of and accepted by Borrower, evidencing such investor’s or such investors’ commitment to provide financing to Borrower, which would result in the receipt by Borrower on or before March 31, 2018 of unrestricted and unencumbered net cash proceeds equal to twelve (12) months of operating expenses for the next twelve (12) successive months based on the most recent Board-approved plan of Borrower presented to and accepted by Bank.</w:t>
      </w:r>
    </w:p>
    <w:p>
      <w:pPr>
        <w:spacing w:after="0" w:line="17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that certain warrant to purchase stock between Borrower and Bank dated as of the Effective Date, as may be amended, modified, supplemented or restated from time to time.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70" w:right="339" w:bottom="1440" w:gutter="0" w:footer="0" w:header="0"/>
        </w:sectPr>
      </w:pPr>
    </w:p>
    <w:bookmarkStart w:id="552" w:name="page553"/>
    <w:bookmarkEnd w:id="55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a sealed instrument under the laws of the Commonwealth</w:t>
      </w:r>
      <w:r>
        <w:rPr>
          <w:rFonts w:ascii="Arial" w:cs="Arial" w:eastAsia="Arial" w:hAnsi="Arial"/>
          <w:sz w:val="18"/>
          <w:szCs w:val="18"/>
          <w:b w:val="1"/>
          <w:bCs w:val="1"/>
          <w:color w:val="auto"/>
        </w:rPr>
        <w:t xml:space="preserve"> </w:t>
      </w:r>
      <w:r>
        <w:rPr>
          <w:rFonts w:ascii="Arial" w:cs="Arial" w:eastAsia="Arial" w:hAnsi="Arial"/>
          <w:sz w:val="18"/>
          <w:szCs w:val="18"/>
          <w:color w:val="auto"/>
        </w:rPr>
        <w:t>of Massachusetts as of the Effective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Geoffrey MacKay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Geoffrey MacKay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 CEO, Treasurer and 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Kelly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Thomas E. Kelly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1380"/>
          </w:cols>
          <w:pgMar w:left="240" w:top="269" w:right="279" w:bottom="1440" w:gutter="0" w:footer="0" w:header="0"/>
        </w:sectPr>
      </w:pPr>
    </w:p>
    <w:bookmarkStart w:id="553" w:name="page554"/>
    <w:bookmarkEnd w:id="55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Collateral does not include (a) with respect to stock in Australian Subsidiary and Canadian Subsidiary, more than sixty-five percent (65.0%) of the presently existing and hereafter arising issued and outstanding shares of capital stock owned by Borrower of each of Australian Subsidiary or Canadian Subsidiary which shares entitle the holder thereof to vote for directors or any other matter or (b)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554" w:name="page555"/>
    <w:bookmarkEnd w:id="554"/>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3400" w:type="dxa"/>
            <w:vAlign w:val="bottom"/>
          </w:tcPr>
          <w:p>
            <w:pPr>
              <w:spacing w:after="0"/>
              <w:rPr>
                <w:sz w:val="24"/>
                <w:szCs w:val="24"/>
                <w:color w:val="auto"/>
              </w:rPr>
            </w:pPr>
          </w:p>
        </w:tc>
        <w:tc>
          <w:tcPr>
            <w:tcW w:w="392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rPr>
              <w:t>COMPLIANCE CERTIFICATE</w:t>
            </w: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8"/>
        </w:trPr>
        <w:tc>
          <w:tcPr>
            <w:tcW w:w="3400" w:type="dxa"/>
            <w:vAlign w:val="bottom"/>
          </w:tcPr>
          <w:p>
            <w:pPr>
              <w:spacing w:after="0"/>
              <w:rPr>
                <w:sz w:val="20"/>
                <w:szCs w:val="20"/>
                <w:color w:val="auto"/>
              </w:rPr>
            </w:pPr>
            <w:r>
              <w:rPr>
                <w:rFonts w:ascii="Arial" w:cs="Arial" w:eastAsia="Arial" w:hAnsi="Arial"/>
                <w:sz w:val="18"/>
                <w:szCs w:val="18"/>
                <w:color w:val="auto"/>
              </w:rPr>
              <w:t>TO: SILICON VALLEY BANK</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w w:val="88"/>
              </w:rPr>
              <w:t>Date: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FROM: AVROBIO, INC.</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-162560</wp:posOffset>
            </wp:positionV>
            <wp:extent cx="128587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undersigned authorized officer of AVROBIO, INC. (“Borrower”) certifies that under the terms and conditions of the Loan and Security Agreement between Borrower and Bank (the “Agreement”):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Reporting Covenants</w:t>
            </w:r>
          </w:p>
        </w:tc>
        <w:tc>
          <w:tcPr>
            <w:tcW w:w="3780" w:type="dxa"/>
            <w:vAlign w:val="bottom"/>
            <w:gridSpan w:val="2"/>
          </w:tcPr>
          <w:p>
            <w:pPr>
              <w:ind w:left="1560"/>
              <w:spacing w:after="0"/>
              <w:rPr>
                <w:sz w:val="20"/>
                <w:szCs w:val="20"/>
                <w:color w:val="auto"/>
              </w:rPr>
            </w:pPr>
            <w:r>
              <w:rPr>
                <w:rFonts w:ascii="Arial" w:cs="Arial" w:eastAsia="Arial" w:hAnsi="Arial"/>
                <w:sz w:val="14"/>
                <w:szCs w:val="14"/>
                <w:b w:val="1"/>
                <w:bCs w:val="1"/>
                <w:color w:val="auto"/>
              </w:rPr>
              <w:t>Required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Complies</w:t>
            </w:r>
          </w:p>
        </w:tc>
      </w:tr>
      <w:tr>
        <w:trPr>
          <w:trHeight w:val="182"/>
        </w:trPr>
        <w:tc>
          <w:tcPr>
            <w:tcW w:w="20" w:type="dxa"/>
            <w:vAlign w:val="bottom"/>
          </w:tcPr>
          <w:p>
            <w:pPr>
              <w:spacing w:after="0"/>
              <w:rPr>
                <w:sz w:val="15"/>
                <w:szCs w:val="15"/>
                <w:color w:val="auto"/>
              </w:rPr>
            </w:pPr>
          </w:p>
        </w:tc>
        <w:tc>
          <w:tcPr>
            <w:tcW w:w="1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5"/>
              </w:rPr>
              <w:t>Monthly financial</w:t>
            </w:r>
          </w:p>
        </w:tc>
        <w:tc>
          <w:tcPr>
            <w:tcW w:w="2800" w:type="dxa"/>
            <w:vAlign w:val="bottom"/>
          </w:tcPr>
          <w:p>
            <w:pPr>
              <w:ind w:left="20"/>
              <w:spacing w:after="0" w:line="182" w:lineRule="exact"/>
              <w:rPr>
                <w:sz w:val="20"/>
                <w:szCs w:val="20"/>
                <w:color w:val="auto"/>
              </w:rPr>
            </w:pPr>
            <w:r>
              <w:rPr>
                <w:rFonts w:ascii="Arial" w:cs="Arial" w:eastAsia="Arial" w:hAnsi="Arial"/>
                <w:sz w:val="18"/>
                <w:szCs w:val="18"/>
                <w:color w:val="auto"/>
              </w:rPr>
              <w:t>statements with</w:t>
            </w:r>
          </w:p>
        </w:tc>
        <w:tc>
          <w:tcPr>
            <w:tcW w:w="36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Yes No</w:t>
            </w: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Compliance Certificate</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Annual financial statement (CPA Audited) + CC</w:t>
            </w:r>
          </w:p>
        </w:tc>
        <w:tc>
          <w:tcPr>
            <w:tcW w:w="3780" w:type="dxa"/>
            <w:vAlign w:val="bottom"/>
            <w:gridSpan w:val="2"/>
          </w:tcPr>
          <w:p>
            <w:pPr>
              <w:spacing w:after="0"/>
              <w:rPr>
                <w:sz w:val="20"/>
                <w:szCs w:val="20"/>
                <w:color w:val="auto"/>
              </w:rPr>
            </w:pPr>
            <w:r>
              <w:rPr>
                <w:rFonts w:ascii="Arial" w:cs="Arial" w:eastAsia="Arial" w:hAnsi="Arial"/>
                <w:sz w:val="18"/>
                <w:szCs w:val="18"/>
                <w:color w:val="auto"/>
              </w:rPr>
              <w:t>FYE within 180 days</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Board-Approved Projections</w:t>
            </w:r>
          </w:p>
        </w:tc>
        <w:tc>
          <w:tcPr>
            <w:tcW w:w="3780" w:type="dxa"/>
            <w:vAlign w:val="bottom"/>
            <w:gridSpan w:val="2"/>
          </w:tcPr>
          <w:p>
            <w:pPr>
              <w:spacing w:after="0"/>
              <w:rPr>
                <w:sz w:val="20"/>
                <w:szCs w:val="20"/>
                <w:color w:val="auto"/>
              </w:rPr>
            </w:pPr>
            <w:r>
              <w:rPr>
                <w:rFonts w:ascii="Arial" w:cs="Arial" w:eastAsia="Arial" w:hAnsi="Arial"/>
                <w:sz w:val="18"/>
                <w:szCs w:val="18"/>
                <w:color w:val="auto"/>
              </w:rPr>
              <w:t>FYE within 60 days and</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contemporaneously with any material changes</w:t>
            </w:r>
          </w:p>
        </w:tc>
        <w:tc>
          <w:tcPr>
            <w:tcW w:w="35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thereto</w:t>
            </w:r>
          </w:p>
        </w:tc>
        <w:tc>
          <w:tcPr>
            <w:tcW w:w="3520" w:type="dxa"/>
            <w:vAlign w:val="bottom"/>
          </w:tcPr>
          <w:p>
            <w:pPr>
              <w:spacing w:after="0"/>
              <w:rPr>
                <w:sz w:val="19"/>
                <w:szCs w:val="19"/>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10-Q, 10-K and 8-K</w:t>
            </w:r>
          </w:p>
        </w:tc>
        <w:tc>
          <w:tcPr>
            <w:tcW w:w="3780" w:type="dxa"/>
            <w:vAlign w:val="bottom"/>
            <w:gridSpan w:val="2"/>
          </w:tcPr>
          <w:p>
            <w:pPr>
              <w:spacing w:after="0"/>
              <w:rPr>
                <w:sz w:val="20"/>
                <w:szCs w:val="20"/>
                <w:color w:val="auto"/>
              </w:rPr>
            </w:pPr>
            <w:r>
              <w:rPr>
                <w:rFonts w:ascii="Arial" w:cs="Arial" w:eastAsia="Arial" w:hAnsi="Arial"/>
                <w:sz w:val="18"/>
                <w:szCs w:val="18"/>
                <w:color w:val="auto"/>
              </w:rPr>
              <w:t>Within 5 days after filing with SEC</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60"/>
        </w:trPr>
        <w:tc>
          <w:tcPr>
            <w:tcW w:w="10540" w:type="dxa"/>
            <w:vAlign w:val="bottom"/>
            <w:gridSpan w:val="3"/>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and to the Operating Documents of Borrower or any</w:t>
            </w:r>
          </w:p>
        </w:tc>
        <w:tc>
          <w:tcPr>
            <w:tcW w:w="480" w:type="dxa"/>
            <w:vAlign w:val="bottom"/>
          </w:tcPr>
          <w:p>
            <w:pPr>
              <w:ind w:left="60"/>
              <w:spacing w:after="0"/>
              <w:rPr>
                <w:sz w:val="20"/>
                <w:szCs w:val="20"/>
                <w:color w:val="auto"/>
              </w:rPr>
            </w:pPr>
            <w:r>
              <w:rPr>
                <w:rFonts w:ascii="Arial" w:cs="Arial" w:eastAsia="Arial" w:hAnsi="Arial"/>
                <w:sz w:val="18"/>
                <w:szCs w:val="18"/>
                <w:color w:val="auto"/>
              </w:rPr>
              <w:t>Yes</w:t>
            </w:r>
          </w:p>
        </w:tc>
        <w:tc>
          <w:tcPr>
            <w:tcW w:w="40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230"/>
        </w:trPr>
        <w:tc>
          <w:tcPr>
            <w:tcW w:w="10540" w:type="dxa"/>
            <w:vAlign w:val="bottom"/>
            <w:gridSpan w:val="3"/>
          </w:tcPr>
          <w:p>
            <w:pPr>
              <w:spacing w:after="0"/>
              <w:rPr>
                <w:sz w:val="20"/>
                <w:szCs w:val="20"/>
                <w:color w:val="auto"/>
              </w:rPr>
            </w:pPr>
            <w:r>
              <w:rPr>
                <w:rFonts w:ascii="Arial" w:cs="Arial" w:eastAsia="Arial" w:hAnsi="Arial"/>
                <w:sz w:val="18"/>
                <w:szCs w:val="18"/>
                <w:color w:val="auto"/>
              </w:rPr>
              <w:t>of its Subsidiaries? If yes, provide copies of any such amendments or changes with this Compliance Certificate.</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6"/>
        </w:trPr>
        <w:tc>
          <w:tcPr>
            <w:tcW w:w="180" w:type="dxa"/>
            <w:vAlign w:val="bottom"/>
          </w:tcPr>
          <w:p>
            <w:pPr>
              <w:spacing w:after="0"/>
              <w:rPr>
                <w:sz w:val="24"/>
                <w:szCs w:val="24"/>
                <w:color w:val="auto"/>
              </w:rPr>
            </w:pP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b w:val="1"/>
          <w:bCs w:val="1"/>
          <w:color w:val="auto"/>
        </w:rPr>
        <w:t>AVROBIO, INC.</w:t>
      </w:r>
      <w:r>
        <w:rPr>
          <w:sz w:val="20"/>
          <w:szCs w:val="20"/>
          <w:color w:val="auto"/>
        </w:rPr>
        <w:tab/>
      </w:r>
      <w:r>
        <w:rPr>
          <w:rFonts w:ascii="Arial" w:cs="Arial" w:eastAsia="Arial" w:hAnsi="Arial"/>
          <w:sz w:val="17"/>
          <w:szCs w:val="17"/>
          <w:b w:val="1"/>
          <w:bCs w:val="1"/>
          <w:color w:val="auto"/>
        </w:rPr>
        <w:t>BANK USE ONLY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7" w:right="239" w:bottom="1440" w:gutter="0" w:footer="0" w:header="0"/>
        </w:sectPr>
      </w:pPr>
    </w:p>
    <w:bookmarkStart w:id="555" w:name="page556"/>
    <w:bookmarkEnd w:id="555"/>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-4445</wp:posOffset>
            </wp:positionV>
            <wp:extent cx="168592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-19050</wp:posOffset>
            </wp:positionV>
            <wp:extent cx="174307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-215900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-10160</wp:posOffset>
            </wp:positionV>
            <wp:extent cx="128587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p>
    <w:p>
      <w:pPr>
        <w:jc w:val="right"/>
        <w:ind w:right="1119"/>
        <w:spacing w:after="0"/>
        <w:rPr>
          <w:sz w:val="20"/>
          <w:szCs w:val="20"/>
          <w:color w:val="auto"/>
        </w:rPr>
      </w:pPr>
      <w:r>
        <w:rPr>
          <w:rFonts w:ascii="Arial" w:cs="Arial" w:eastAsia="Arial" w:hAnsi="Arial"/>
          <w:sz w:val="15"/>
          <w:szCs w:val="15"/>
          <w:color w:val="auto"/>
        </w:rPr>
        <w:t>AUTHORIZED SIGNER</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-10160</wp:posOffset>
            </wp:positionV>
            <wp:extent cx="162877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-10160</wp:posOffset>
            </wp:positionV>
            <wp:extent cx="145732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 w:lineRule="exact"/>
        <w:rPr>
          <w:sz w:val="20"/>
          <w:szCs w:val="20"/>
          <w:color w:val="auto"/>
        </w:rPr>
      </w:pPr>
    </w:p>
    <w:p>
      <w:pPr>
        <w:jc w:val="right"/>
        <w:ind w:right="1119"/>
        <w:spacing w:after="0"/>
        <w:rPr>
          <w:sz w:val="20"/>
          <w:szCs w:val="20"/>
          <w:color w:val="auto"/>
        </w:rPr>
      </w:pPr>
      <w:r>
        <w:rPr>
          <w:rFonts w:ascii="Arial" w:cs="Arial" w:eastAsia="Arial" w:hAnsi="Arial"/>
          <w:sz w:val="15"/>
          <w:szCs w:val="15"/>
          <w:color w:val="auto"/>
        </w:rPr>
        <w:t>AUTHORIZED SIGNER</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-10160</wp:posOffset>
            </wp:positionV>
            <wp:extent cx="162877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11" w:lineRule="exact"/>
        <w:rPr>
          <w:sz w:val="20"/>
          <w:szCs w:val="20"/>
          <w:color w:val="auto"/>
        </w:rPr>
      </w:pPr>
    </w:p>
    <w:p>
      <w:pPr>
        <w:ind w:left="400"/>
        <w:spacing w:after="0"/>
        <w:tabs>
          <w:tab w:leader="none" w:pos="21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6"/>
          <w:szCs w:val="16"/>
          <w:color w:val="auto"/>
        </w:rPr>
        <w:t>Yes  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940" w:space="720"/>
            <w:col w:w="4559"/>
          </w:cols>
          <w:pgMar w:left="240" w:top="274" w:right="1440" w:bottom="1440" w:gutter="0" w:footer="0" w:header="0"/>
        </w:sectPr>
      </w:pPr>
    </w:p>
    <w:bookmarkStart w:id="556" w:name="page557"/>
    <w:bookmarkEnd w:id="556"/>
    <w:tbl>
      <w:tblPr>
        <w:tblLayout w:type="fixed"/>
        <w:tblInd w:w="1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EXHIBIT C – LOAN PAYMENT/ADVANCE REQUEST FORM</w:t>
            </w:r>
          </w:p>
        </w:tc>
        <w:tc>
          <w:tcPr>
            <w:tcW w:w="3200" w:type="dxa"/>
            <w:vAlign w:val="bottom"/>
            <w:gridSpan w:val="4"/>
          </w:tcPr>
          <w:p>
            <w:pPr>
              <w:spacing w:after="0"/>
              <w:rPr>
                <w:sz w:val="17"/>
                <w:szCs w:val="17"/>
                <w:color w:val="auto"/>
              </w:rPr>
            </w:pPr>
          </w:p>
        </w:tc>
      </w:tr>
      <w:tr>
        <w:trPr>
          <w:trHeight w:val="345"/>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ASTERN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p>
        </w:tc>
      </w:tr>
      <w:tr>
        <w:trPr>
          <w:trHeight w:val="392"/>
        </w:trPr>
        <w:tc>
          <w:tcPr>
            <w:tcW w:w="148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6"/>
          </w:tcPr>
          <w:p>
            <w:pPr>
              <w:ind w:left="1400"/>
              <w:spacing w:after="0"/>
              <w:rPr>
                <w:sz w:val="20"/>
                <w:szCs w:val="20"/>
                <w:color w:val="auto"/>
              </w:rPr>
            </w:pPr>
            <w:r>
              <w:rPr>
                <w:rFonts w:ascii="Arial" w:cs="Arial" w:eastAsia="Arial" w:hAnsi="Arial"/>
                <w:sz w:val="18"/>
                <w:szCs w:val="18"/>
                <w:color w:val="auto"/>
              </w:rPr>
              <w:t>Date:</w:t>
            </w:r>
          </w:p>
        </w:tc>
      </w:tr>
      <w:tr>
        <w:trPr>
          <w:trHeight w:val="260"/>
        </w:trPr>
        <w:tc>
          <w:tcPr>
            <w:tcW w:w="8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r>
      <w:tr>
        <w:trPr>
          <w:trHeight w:val="213"/>
        </w:trPr>
        <w:tc>
          <w:tcPr>
            <w:tcW w:w="148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560" w:type="dxa"/>
            <w:vAlign w:val="bottom"/>
            <w:gridSpan w:val="3"/>
          </w:tcPr>
          <w:p>
            <w:pPr>
              <w:ind w:left="260"/>
              <w:spacing w:after="0"/>
              <w:rPr>
                <w:sz w:val="20"/>
                <w:szCs w:val="20"/>
                <w:color w:val="auto"/>
              </w:rPr>
            </w:pPr>
            <w:r>
              <w:rPr>
                <w:rFonts w:ascii="Arial" w:cs="Arial" w:eastAsia="Arial" w:hAnsi="Arial"/>
                <w:sz w:val="18"/>
                <w:szCs w:val="18"/>
                <w:color w:val="auto"/>
                <w:w w:val="99"/>
              </w:rPr>
              <w:t>AVROBIO, INC.</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196"/>
        </w:trPr>
        <w:tc>
          <w:tcPr>
            <w:tcW w:w="1480" w:type="dxa"/>
            <w:vAlign w:val="bottom"/>
            <w:tcBorders>
              <w:lef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From Account #</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right w:val="single" w:sz="8" w:color="auto"/>
            </w:tcBorders>
            <w:gridSpan w:val="9"/>
          </w:tcPr>
          <w:p>
            <w:pPr>
              <w:ind w:left="540"/>
              <w:spacing w:after="0" w:line="196" w:lineRule="exact"/>
              <w:rPr>
                <w:sz w:val="20"/>
                <w:szCs w:val="20"/>
                <w:color w:val="auto"/>
              </w:rPr>
            </w:pPr>
            <w:r>
              <w:rPr>
                <w:rFonts w:ascii="Arial" w:cs="Arial" w:eastAsia="Arial" w:hAnsi="Arial"/>
                <w:sz w:val="18"/>
                <w:szCs w:val="18"/>
                <w:color w:val="auto"/>
              </w:rPr>
              <w:t>To Account #</w:t>
            </w:r>
          </w:p>
        </w:tc>
      </w:tr>
      <w:tr>
        <w:trPr>
          <w:trHeight w:val="237"/>
        </w:trPr>
        <w:tc>
          <w:tcPr>
            <w:tcW w:w="86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rPr>
              <w:t>(Deposit Account #)</w:t>
            </w: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gridSpan w:val="4"/>
          </w:tcPr>
          <w:p>
            <w:pPr>
              <w:ind w:left="760"/>
              <w:spacing w:after="0"/>
              <w:rPr>
                <w:sz w:val="20"/>
                <w:szCs w:val="20"/>
                <w:color w:val="auto"/>
              </w:rPr>
            </w:pPr>
            <w:r>
              <w:rPr>
                <w:rFonts w:ascii="Arial" w:cs="Arial" w:eastAsia="Arial" w:hAnsi="Arial"/>
                <w:sz w:val="18"/>
                <w:szCs w:val="18"/>
                <w:color w:val="auto"/>
              </w:rPr>
              <w:t>(Loan Account #)</w:t>
            </w:r>
          </w:p>
        </w:tc>
        <w:tc>
          <w:tcPr>
            <w:tcW w:w="1960" w:type="dxa"/>
            <w:vAlign w:val="bottom"/>
            <w:tcBorders>
              <w:right w:val="single" w:sz="8" w:color="auto"/>
            </w:tcBorders>
            <w:gridSpan w:val="2"/>
          </w:tcPr>
          <w:p>
            <w:pPr>
              <w:spacing w:after="0"/>
              <w:rPr>
                <w:sz w:val="20"/>
                <w:szCs w:val="20"/>
                <w:color w:val="auto"/>
              </w:rPr>
            </w:pPr>
          </w:p>
        </w:tc>
      </w:tr>
      <w:tr>
        <w:trPr>
          <w:trHeight w:val="284"/>
        </w:trPr>
        <w:tc>
          <w:tcPr>
            <w:tcW w:w="8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7"/>
              </w:rPr>
              <w:t>Principal $</w:t>
            </w:r>
          </w:p>
        </w:tc>
        <w:tc>
          <w:tcPr>
            <w:tcW w:w="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right w:val="single" w:sz="8" w:color="auto"/>
            </w:tcBorders>
            <w:gridSpan w:val="9"/>
          </w:tcPr>
          <w:p>
            <w:pPr>
              <w:ind w:left="560"/>
              <w:spacing w:after="0"/>
              <w:rPr>
                <w:sz w:val="20"/>
                <w:szCs w:val="20"/>
                <w:color w:val="auto"/>
              </w:rPr>
            </w:pPr>
            <w:r>
              <w:rPr>
                <w:rFonts w:ascii="Arial" w:cs="Arial" w:eastAsia="Arial" w:hAnsi="Arial"/>
                <w:sz w:val="18"/>
                <w:szCs w:val="18"/>
                <w:color w:val="auto"/>
              </w:rPr>
              <w:t>and/or Interest $</w:t>
            </w:r>
          </w:p>
        </w:tc>
      </w:tr>
      <w:tr>
        <w:trPr>
          <w:trHeight w:val="20"/>
        </w:trPr>
        <w:tc>
          <w:tcPr>
            <w:tcW w:w="860" w:type="dxa"/>
            <w:vAlign w:val="bottom"/>
            <w:tcBorders>
              <w:lef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right w:val="single" w:sz="8" w:color="auto"/>
            </w:tcBorders>
            <w:gridSpan w:val="2"/>
          </w:tcPr>
          <w:p>
            <w:pPr>
              <w:spacing w:after="0" w:line="20" w:lineRule="exact"/>
              <w:rPr>
                <w:sz w:val="1"/>
                <w:szCs w:val="1"/>
                <w:color w:val="auto"/>
              </w:rPr>
            </w:pPr>
          </w:p>
        </w:tc>
      </w:tr>
      <w:tr>
        <w:trPr>
          <w:trHeight w:val="196"/>
        </w:trPr>
        <w:tc>
          <w:tcPr>
            <w:tcW w:w="3220" w:type="dxa"/>
            <w:vAlign w:val="bottom"/>
            <w:tcBorders>
              <w:left w:val="single" w:sz="8" w:color="auto"/>
            </w:tcBorders>
            <w:gridSpan w:val="8"/>
          </w:tcPr>
          <w:p>
            <w:pPr>
              <w:ind w:left="20"/>
              <w:spacing w:after="0" w:line="196" w:lineRule="exact"/>
              <w:rPr>
                <w:sz w:val="20"/>
                <w:szCs w:val="20"/>
                <w:color w:val="auto"/>
              </w:rPr>
            </w:pPr>
            <w:r>
              <w:rPr>
                <w:rFonts w:ascii="Arial" w:cs="Arial" w:eastAsia="Arial" w:hAnsi="Arial"/>
                <w:sz w:val="18"/>
                <w:szCs w:val="18"/>
                <w:color w:val="auto"/>
              </w:rPr>
              <w:t>Authorized Signature: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right w:val="single" w:sz="8" w:color="auto"/>
            </w:tcBorders>
            <w:gridSpan w:val="9"/>
          </w:tcPr>
          <w:p>
            <w:pPr>
              <w:ind w:left="1020"/>
              <w:spacing w:after="0" w:line="196" w:lineRule="exact"/>
              <w:rPr>
                <w:sz w:val="20"/>
                <w:szCs w:val="20"/>
                <w:color w:val="auto"/>
              </w:rPr>
            </w:pPr>
            <w:r>
              <w:rPr>
                <w:rFonts w:ascii="Arial" w:cs="Arial" w:eastAsia="Arial" w:hAnsi="Arial"/>
                <w:sz w:val="18"/>
                <w:szCs w:val="18"/>
                <w:color w:val="auto"/>
              </w:rPr>
              <w:t>Phone Number:</w:t>
            </w:r>
          </w:p>
        </w:tc>
      </w:tr>
      <w:tr>
        <w:trPr>
          <w:trHeight w:val="196"/>
        </w:trPr>
        <w:tc>
          <w:tcPr>
            <w:tcW w:w="1480" w:type="dxa"/>
            <w:vAlign w:val="bottom"/>
            <w:tcBorders>
              <w:lef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Print Name/Title:</w:t>
            </w: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r>
      <w:tr>
        <w:trPr>
          <w:trHeight w:val="71"/>
        </w:trPr>
        <w:tc>
          <w:tcPr>
            <w:tcW w:w="860" w:type="dxa"/>
            <w:vAlign w:val="bottom"/>
            <w:tcBorders>
              <w:left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19335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193357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tbl>
      <w:tblPr>
        <w:tblLayout w:type="fixed"/>
        <w:tblInd w:w="20" w:type="dxa"/>
        <w:tblCellMar>
          <w:top w:w="0" w:type="dxa"/>
          <w:left w:w="0" w:type="dxa"/>
          <w:bottom w:w="0" w:type="dxa"/>
          <w:right w:w="0" w:type="dxa"/>
        </w:tblCellMar>
      </w:tblP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From Account #</w:t>
            </w:r>
          </w:p>
        </w:tc>
        <w:tc>
          <w:tcPr>
            <w:tcW w:w="260" w:type="dxa"/>
            <w:vAlign w:val="bottom"/>
          </w:tcPr>
          <w:p>
            <w:pPr>
              <w:spacing w:after="0"/>
              <w:rPr>
                <w:sz w:val="16"/>
                <w:szCs w:val="16"/>
                <w:color w:val="auto"/>
              </w:rPr>
            </w:pPr>
          </w:p>
        </w:tc>
        <w:tc>
          <w:tcPr>
            <w:tcW w:w="5140" w:type="dxa"/>
            <w:vAlign w:val="bottom"/>
            <w:gridSpan w:val="2"/>
          </w:tcPr>
          <w:p>
            <w:pPr>
              <w:ind w:left="280"/>
              <w:spacing w:after="0" w:line="185" w:lineRule="exact"/>
              <w:rPr>
                <w:sz w:val="20"/>
                <w:szCs w:val="20"/>
                <w:color w:val="auto"/>
              </w:rPr>
            </w:pPr>
            <w:r>
              <w:rPr>
                <w:rFonts w:ascii="Arial" w:cs="Arial" w:eastAsia="Arial" w:hAnsi="Arial"/>
                <w:sz w:val="18"/>
                <w:szCs w:val="18"/>
                <w:color w:val="auto"/>
              </w:rPr>
              <w:t>To Account #</w:t>
            </w:r>
          </w:p>
        </w:tc>
      </w:tr>
      <w:tr>
        <w:trPr>
          <w:trHeight w:val="237"/>
        </w:trPr>
        <w:tc>
          <w:tcPr>
            <w:tcW w:w="1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(Loan Account #)</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(Deposit Account #)</w:t>
            </w:r>
          </w:p>
        </w:tc>
      </w:tr>
      <w:tr>
        <w:trPr>
          <w:trHeight w:val="284"/>
        </w:trPr>
        <w:tc>
          <w:tcPr>
            <w:tcW w:w="3920" w:type="dxa"/>
            <w:vAlign w:val="bottom"/>
            <w:gridSpan w:val="3"/>
          </w:tcPr>
          <w:p>
            <w:pPr>
              <w:spacing w:after="0"/>
              <w:rPr>
                <w:sz w:val="20"/>
                <w:szCs w:val="20"/>
                <w:color w:val="auto"/>
              </w:rPr>
            </w:pPr>
            <w:r>
              <w:rPr>
                <w:rFonts w:ascii="Arial" w:cs="Arial" w:eastAsia="Arial" w:hAnsi="Arial"/>
                <w:sz w:val="18"/>
                <w:szCs w:val="18"/>
                <w:color w:val="auto"/>
              </w:rPr>
              <w:t>Amount of Advance $</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 w:right="24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w w:val="93"/>
              </w:rPr>
              <w:t>Authorized Signature:</w:t>
            </w:r>
          </w:p>
        </w:tc>
        <w:tc>
          <w:tcPr>
            <w:tcW w:w="2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ind w:left="1300"/>
              <w:spacing w:after="0"/>
              <w:rPr>
                <w:sz w:val="20"/>
                <w:szCs w:val="20"/>
                <w:color w:val="auto"/>
              </w:rPr>
            </w:pPr>
            <w:r>
              <w:rPr>
                <w:rFonts w:ascii="Arial" w:cs="Arial" w:eastAsia="Arial" w:hAnsi="Arial"/>
                <w:sz w:val="18"/>
                <w:szCs w:val="18"/>
                <w:color w:val="auto"/>
                <w:w w:val="87"/>
              </w:rPr>
              <w:t>Phone Number:</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75717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75717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Deadline for same day processing is noon, Pacific Time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gridSpan w:val="3"/>
          </w:tcPr>
          <w:p>
            <w:pPr>
              <w:spacing w:after="0"/>
              <w:rPr>
                <w:sz w:val="20"/>
                <w:szCs w:val="20"/>
                <w:color w:val="auto"/>
              </w:rPr>
            </w:pPr>
            <w:r>
              <w:rPr>
                <w:rFonts w:ascii="Arial" w:cs="Arial" w:eastAsia="Arial" w:hAnsi="Arial"/>
                <w:sz w:val="18"/>
                <w:szCs w:val="18"/>
                <w:color w:val="auto"/>
                <w:w w:val="96"/>
              </w:rPr>
              <w:t>Beneficiary Name:</w:t>
            </w:r>
          </w:p>
        </w:tc>
        <w:tc>
          <w:tcPr>
            <w:tcW w:w="3060" w:type="dxa"/>
            <w:vAlign w:val="bottom"/>
            <w:tcBorders>
              <w:bottom w:val="single" w:sz="8" w:color="auto"/>
            </w:tcBorders>
            <w:gridSpan w:val="7"/>
          </w:tcPr>
          <w:p>
            <w:pPr>
              <w:spacing w:after="0"/>
              <w:rPr>
                <w:sz w:val="18"/>
                <w:szCs w:val="18"/>
                <w:color w:val="auto"/>
              </w:rPr>
            </w:pPr>
          </w:p>
        </w:tc>
        <w:tc>
          <w:tcPr>
            <w:tcW w:w="1860" w:type="dxa"/>
            <w:vAlign w:val="bottom"/>
            <w:gridSpan w:val="3"/>
          </w:tcPr>
          <w:p>
            <w:pPr>
              <w:ind w:left="500"/>
              <w:spacing w:after="0"/>
              <w:rPr>
                <w:sz w:val="20"/>
                <w:szCs w:val="20"/>
                <w:color w:val="auto"/>
              </w:rPr>
            </w:pPr>
            <w:r>
              <w:rPr>
                <w:rFonts w:ascii="Arial" w:cs="Arial" w:eastAsia="Arial" w:hAnsi="Arial"/>
                <w:sz w:val="18"/>
                <w:szCs w:val="18"/>
                <w:color w:val="auto"/>
                <w:w w:val="92"/>
              </w:rPr>
              <w:t>Amount of Wire: $</w:t>
            </w:r>
          </w:p>
        </w:tc>
        <w:tc>
          <w:tcPr>
            <w:tcW w:w="2960" w:type="dxa"/>
            <w:vAlign w:val="bottom"/>
            <w:tcBorders>
              <w:bottom w:val="single" w:sz="8" w:color="auto"/>
            </w:tcBorders>
            <w:gridSpan w:val="4"/>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w w:val="95"/>
              </w:rPr>
              <w:t>Beneficiary Bank:</w:t>
            </w:r>
          </w:p>
        </w:tc>
        <w:tc>
          <w:tcPr>
            <w:tcW w:w="3100" w:type="dxa"/>
            <w:vAlign w:val="bottom"/>
            <w:tcBorders>
              <w:bottom w:val="single" w:sz="8" w:color="auto"/>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182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94"/>
              </w:rPr>
              <w:t>Account Number:</w:t>
            </w:r>
          </w:p>
        </w:tc>
        <w:tc>
          <w:tcPr>
            <w:tcW w:w="3000" w:type="dxa"/>
            <w:vAlign w:val="bottom"/>
            <w:tcBorders>
              <w:bottom w:val="single" w:sz="8" w:color="auto"/>
            </w:tcBorders>
            <w:gridSpan w:val="5"/>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w w:val="93"/>
              </w:rPr>
              <w:t>City and State:</w:t>
            </w:r>
          </w:p>
        </w:tc>
        <w:tc>
          <w:tcPr>
            <w:tcW w:w="3320" w:type="dxa"/>
            <w:vAlign w:val="bottom"/>
            <w:tcBorders>
              <w:bottom w:val="single" w:sz="8" w:color="auto"/>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580" w:type="dxa"/>
            <w:vAlign w:val="bottom"/>
            <w:gridSpan w:val="5"/>
          </w:tcPr>
          <w:p>
            <w:pPr>
              <w:spacing w:after="0" w:line="196" w:lineRule="exact"/>
              <w:rPr>
                <w:sz w:val="20"/>
                <w:szCs w:val="20"/>
                <w:color w:val="auto"/>
              </w:rPr>
            </w:pPr>
            <w:r>
              <w:rPr>
                <w:rFonts w:ascii="Arial" w:cs="Arial" w:eastAsia="Arial" w:hAnsi="Arial"/>
                <w:sz w:val="18"/>
                <w:szCs w:val="18"/>
                <w:color w:val="auto"/>
                <w:w w:val="95"/>
              </w:rPr>
              <w:t>Beneficiary Bank Transit (ABA) #:</w:t>
            </w:r>
          </w:p>
        </w:tc>
        <w:tc>
          <w:tcPr>
            <w:tcW w:w="1900" w:type="dxa"/>
            <w:vAlign w:val="bottom"/>
            <w:tcBorders>
              <w:bottom w:val="single" w:sz="8" w:color="auto"/>
            </w:tcBorders>
            <w:gridSpan w:val="4"/>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gridSpan w:val="4"/>
          </w:tcPr>
          <w:p>
            <w:pPr>
              <w:ind w:left="320"/>
              <w:spacing w:after="0" w:line="196" w:lineRule="exact"/>
              <w:rPr>
                <w:sz w:val="20"/>
                <w:szCs w:val="20"/>
                <w:color w:val="auto"/>
              </w:rPr>
            </w:pPr>
            <w:r>
              <w:rPr>
                <w:rFonts w:ascii="Arial" w:cs="Arial" w:eastAsia="Arial" w:hAnsi="Arial"/>
                <w:sz w:val="18"/>
                <w:szCs w:val="18"/>
                <w:color w:val="auto"/>
                <w:w w:val="93"/>
              </w:rPr>
              <w:t>Beneficiary Bank Code (Swift, Sort, Chip, etc.):</w:t>
            </w:r>
          </w:p>
        </w:tc>
        <w:tc>
          <w:tcPr>
            <w:tcW w:w="940" w:type="dxa"/>
            <w:vAlign w:val="bottom"/>
            <w:tcBorders>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0"/>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7"/>
          </w:tcPr>
          <w:p>
            <w:pPr>
              <w:ind w:left="940"/>
              <w:spacing w:after="0"/>
              <w:rPr>
                <w:sz w:val="20"/>
                <w:szCs w:val="20"/>
                <w:color w:val="auto"/>
              </w:rPr>
            </w:pPr>
            <w:r>
              <w:rPr>
                <w:rFonts w:ascii="Arial" w:cs="Arial" w:eastAsia="Arial" w:hAnsi="Arial"/>
                <w:sz w:val="18"/>
                <w:szCs w:val="18"/>
                <w:b w:val="1"/>
                <w:bCs w:val="1"/>
                <w:color w:val="auto"/>
              </w:rPr>
              <w:t>(For International Wire Only)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460" w:type="dxa"/>
            <w:vAlign w:val="bottom"/>
            <w:gridSpan w:val="3"/>
          </w:tcPr>
          <w:p>
            <w:pPr>
              <w:spacing w:after="0" w:line="190" w:lineRule="exact"/>
              <w:rPr>
                <w:sz w:val="20"/>
                <w:szCs w:val="20"/>
                <w:color w:val="auto"/>
              </w:rPr>
            </w:pPr>
            <w:r>
              <w:rPr>
                <w:rFonts w:ascii="Arial" w:cs="Arial" w:eastAsia="Arial" w:hAnsi="Arial"/>
                <w:sz w:val="18"/>
                <w:szCs w:val="18"/>
                <w:color w:val="auto"/>
                <w:w w:val="93"/>
              </w:rPr>
              <w:t>Intermediary Bank:</w:t>
            </w:r>
          </w:p>
        </w:tc>
        <w:tc>
          <w:tcPr>
            <w:tcW w:w="2380" w:type="dxa"/>
            <w:vAlign w:val="bottom"/>
            <w:tcBorders>
              <w:bottom w:val="single" w:sz="8" w:color="auto"/>
            </w:tcBorders>
            <w:gridSpan w:val="3"/>
          </w:tcPr>
          <w:p>
            <w:pPr>
              <w:spacing w:after="0"/>
              <w:rPr>
                <w:sz w:val="16"/>
                <w:szCs w:val="16"/>
                <w:color w:val="auto"/>
              </w:rPr>
            </w:pPr>
          </w:p>
        </w:tc>
        <w:tc>
          <w:tcPr>
            <w:tcW w:w="680" w:type="dxa"/>
            <w:vAlign w:val="bottom"/>
            <w:gridSpan w:val="4"/>
          </w:tcPr>
          <w:p>
            <w:pPr>
              <w:spacing w:after="0"/>
              <w:rPr>
                <w:sz w:val="16"/>
                <w:szCs w:val="16"/>
                <w:color w:val="auto"/>
              </w:rPr>
            </w:pPr>
          </w:p>
        </w:tc>
        <w:tc>
          <w:tcPr>
            <w:tcW w:w="1620" w:type="dxa"/>
            <w:vAlign w:val="bottom"/>
          </w:tcPr>
          <w:p>
            <w:pPr>
              <w:ind w:left="360"/>
              <w:spacing w:after="0" w:line="190" w:lineRule="exact"/>
              <w:rPr>
                <w:sz w:val="20"/>
                <w:szCs w:val="20"/>
                <w:color w:val="auto"/>
              </w:rPr>
            </w:pPr>
            <w:r>
              <w:rPr>
                <w:rFonts w:ascii="Arial" w:cs="Arial" w:eastAsia="Arial" w:hAnsi="Arial"/>
                <w:sz w:val="18"/>
                <w:szCs w:val="18"/>
                <w:color w:val="auto"/>
                <w:w w:val="96"/>
              </w:rPr>
              <w:t>Transit (ABA) #:</w:t>
            </w:r>
          </w:p>
        </w:tc>
        <w:tc>
          <w:tcPr>
            <w:tcW w:w="3120" w:type="dxa"/>
            <w:vAlign w:val="bottom"/>
            <w:tcBorders>
              <w:bottom w:val="single" w:sz="8" w:color="auto"/>
            </w:tcBorders>
            <w:gridSpan w:val="4"/>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00" w:type="dxa"/>
            <w:vAlign w:val="bottom"/>
            <w:gridSpan w:val="4"/>
          </w:tcPr>
          <w:p>
            <w:pPr>
              <w:spacing w:after="0" w:line="196" w:lineRule="exact"/>
              <w:rPr>
                <w:sz w:val="20"/>
                <w:szCs w:val="20"/>
                <w:color w:val="auto"/>
              </w:rPr>
            </w:pPr>
            <w:r>
              <w:rPr>
                <w:rFonts w:ascii="Arial" w:cs="Arial" w:eastAsia="Arial" w:hAnsi="Arial"/>
                <w:sz w:val="18"/>
                <w:szCs w:val="18"/>
                <w:color w:val="auto"/>
                <w:w w:val="93"/>
              </w:rPr>
              <w:t>For Further Credit to:</w:t>
            </w:r>
          </w:p>
        </w:tc>
        <w:tc>
          <w:tcPr>
            <w:tcW w:w="2920" w:type="dxa"/>
            <w:vAlign w:val="bottom"/>
            <w:tcBorders>
              <w:bottom w:val="single" w:sz="8" w:color="auto"/>
            </w:tcBorders>
            <w:gridSpan w:val="6"/>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520" w:type="dxa"/>
            <w:vAlign w:val="bottom"/>
            <w:gridSpan w:val="10"/>
          </w:tcPr>
          <w:p>
            <w:pPr>
              <w:spacing w:after="0" w:line="196" w:lineRule="exact"/>
              <w:rPr>
                <w:sz w:val="20"/>
                <w:szCs w:val="20"/>
                <w:color w:val="auto"/>
              </w:rPr>
            </w:pPr>
            <w:r>
              <w:rPr>
                <w:rFonts w:ascii="Arial" w:cs="Arial" w:eastAsia="Arial" w:hAnsi="Arial"/>
                <w:sz w:val="18"/>
                <w:szCs w:val="18"/>
                <w:color w:val="auto"/>
              </w:rPr>
              <w:t>Special Instruction:</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right="44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ind w:left="20"/>
              <w:spacing w:after="0"/>
              <w:rPr>
                <w:sz w:val="20"/>
                <w:szCs w:val="20"/>
                <w:color w:val="auto"/>
              </w:rPr>
            </w:pPr>
            <w:r>
              <w:rPr>
                <w:rFonts w:ascii="Arial" w:cs="Arial" w:eastAsia="Arial" w:hAnsi="Arial"/>
                <w:sz w:val="18"/>
                <w:szCs w:val="18"/>
                <w:color w:val="auto"/>
                <w:w w:val="93"/>
              </w:rPr>
              <w:t>Authorized Signature:</w:t>
            </w:r>
          </w:p>
        </w:tc>
        <w:tc>
          <w:tcPr>
            <w:tcW w:w="2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3"/>
          </w:tcPr>
          <w:p>
            <w:pPr>
              <w:ind w:left="400"/>
              <w:spacing w:after="0"/>
              <w:rPr>
                <w:sz w:val="20"/>
                <w:szCs w:val="20"/>
                <w:color w:val="auto"/>
              </w:rPr>
            </w:pPr>
            <w:r>
              <w:rPr>
                <w:rFonts w:ascii="Arial" w:cs="Arial" w:eastAsia="Arial" w:hAnsi="Arial"/>
                <w:sz w:val="18"/>
                <w:szCs w:val="18"/>
                <w:color w:val="auto"/>
                <w:w w:val="92"/>
              </w:rPr>
              <w:t>2</w:t>
            </w:r>
            <w:r>
              <w:rPr>
                <w:rFonts w:ascii="Arial" w:cs="Arial" w:eastAsia="Arial" w:hAnsi="Arial"/>
                <w:sz w:val="15"/>
                <w:szCs w:val="15"/>
                <w:color w:val="auto"/>
                <w:w w:val="92"/>
              </w:rPr>
              <w:t>nd</w:t>
            </w:r>
            <w:r>
              <w:rPr>
                <w:rFonts w:ascii="Arial" w:cs="Arial" w:eastAsia="Arial" w:hAnsi="Arial"/>
                <w:sz w:val="18"/>
                <w:szCs w:val="18"/>
                <w:color w:val="auto"/>
                <w:w w:val="92"/>
              </w:rPr>
              <w:t xml:space="preserve"> Signature (if required):</w:t>
            </w:r>
          </w:p>
        </w:tc>
        <w:tc>
          <w:tcPr>
            <w:tcW w:w="2200" w:type="dxa"/>
            <w:vAlign w:val="bottom"/>
            <w:tcBorders>
              <w:bottom w:val="single" w:sz="8" w:color="auto"/>
            </w:tcBorders>
          </w:tcPr>
          <w:p>
            <w:pPr>
              <w:spacing w:after="0"/>
              <w:rPr>
                <w:sz w:val="18"/>
                <w:szCs w:val="18"/>
                <w:color w:val="auto"/>
              </w:rPr>
            </w:pPr>
          </w:p>
        </w:tc>
        <w:tc>
          <w:tcPr>
            <w:tcW w:w="2420" w:type="dxa"/>
            <w:vAlign w:val="bottom"/>
            <w:gridSpan w:val="3"/>
          </w:tcPr>
          <w:p>
            <w:pPr>
              <w:spacing w:after="0"/>
              <w:rPr>
                <w:sz w:val="18"/>
                <w:szCs w:val="18"/>
                <w:color w:val="auto"/>
              </w:rPr>
            </w:pPr>
          </w:p>
        </w:tc>
      </w:tr>
      <w:tr>
        <w:trPr>
          <w:trHeight w:val="196"/>
        </w:trPr>
        <w:tc>
          <w:tcPr>
            <w:tcW w:w="13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6"/>
              </w:rPr>
              <w:t>Print Name/Title:</w:t>
            </w:r>
          </w:p>
        </w:tc>
        <w:tc>
          <w:tcPr>
            <w:tcW w:w="2920" w:type="dxa"/>
            <w:vAlign w:val="bottom"/>
            <w:tcBorders>
              <w:bottom w:val="single" w:sz="8" w:color="auto"/>
            </w:tcBorders>
            <w:gridSpan w:val="3"/>
          </w:tcPr>
          <w:p>
            <w:pPr>
              <w:spacing w:after="0"/>
              <w:rPr>
                <w:sz w:val="17"/>
                <w:szCs w:val="17"/>
                <w:color w:val="auto"/>
              </w:rPr>
            </w:pPr>
          </w:p>
        </w:tc>
        <w:tc>
          <w:tcPr>
            <w:tcW w:w="2400" w:type="dxa"/>
            <w:vAlign w:val="bottom"/>
            <w:gridSpan w:val="2"/>
          </w:tcPr>
          <w:p>
            <w:pPr>
              <w:spacing w:after="0"/>
              <w:rPr>
                <w:sz w:val="17"/>
                <w:szCs w:val="17"/>
                <w:color w:val="auto"/>
              </w:rPr>
            </w:pPr>
          </w:p>
        </w:tc>
      </w:tr>
      <w:tr>
        <w:trPr>
          <w:trHeight w:val="196"/>
        </w:trPr>
        <w:tc>
          <w:tcPr>
            <w:tcW w:w="16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Telephone #:</w:t>
            </w: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7"/>
          </w:tcPr>
          <w:p>
            <w:pPr>
              <w:jc w:val="right"/>
              <w:ind w:right="5660"/>
              <w:spacing w:after="0" w:line="196" w:lineRule="exact"/>
              <w:rPr>
                <w:sz w:val="20"/>
                <w:szCs w:val="20"/>
                <w:color w:val="auto"/>
              </w:rPr>
            </w:pPr>
            <w:r>
              <w:rPr>
                <w:rFonts w:ascii="Arial" w:cs="Arial" w:eastAsia="Arial" w:hAnsi="Arial"/>
                <w:sz w:val="18"/>
                <w:szCs w:val="18"/>
                <w:color w:val="auto"/>
              </w:rPr>
              <w:t>Telephone #:</w:t>
            </w:r>
          </w:p>
        </w:tc>
      </w:tr>
      <w:tr>
        <w:trPr>
          <w:trHeight w:val="71"/>
        </w:trPr>
        <w:tc>
          <w:tcPr>
            <w:tcW w:w="960" w:type="dxa"/>
            <w:vAlign w:val="bottom"/>
            <w:tcBorders>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7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22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r>
      <w:tr>
        <w:trPr>
          <w:trHeight w:val="361"/>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4"/>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color w:val="auto"/>
        </w:rPr>
        <w:t>Exhibit 21.1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List of Subsidiaries</w:t>
            </w:r>
          </w:p>
        </w:tc>
        <w:tc>
          <w:tcPr>
            <w:tcW w:w="4960" w:type="dxa"/>
            <w:vAlign w:val="bottom"/>
          </w:tcPr>
          <w:p>
            <w:pPr>
              <w:spacing w:after="0"/>
              <w:rPr>
                <w:sz w:val="17"/>
                <w:szCs w:val="17"/>
                <w:color w:val="auto"/>
              </w:rPr>
            </w:pPr>
          </w:p>
        </w:tc>
      </w:tr>
      <w:tr>
        <w:trPr>
          <w:trHeight w:val="426"/>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AvroBio,</w:t>
            </w:r>
          </w:p>
        </w:tc>
        <w:tc>
          <w:tcPr>
            <w:tcW w:w="2880" w:type="dxa"/>
            <w:vAlign w:val="bottom"/>
          </w:tcPr>
          <w:p>
            <w:pPr>
              <w:ind w:left="60"/>
              <w:spacing w:after="0" w:line="195" w:lineRule="exact"/>
              <w:rPr>
                <w:sz w:val="20"/>
                <w:szCs w:val="20"/>
                <w:color w:val="auto"/>
              </w:rPr>
            </w:pPr>
            <w:r>
              <w:rPr>
                <w:rFonts w:ascii="Arial" w:cs="Arial" w:eastAsia="Arial" w:hAnsi="Arial"/>
                <w:sz w:val="18"/>
                <w:szCs w:val="18"/>
                <w:color w:val="auto"/>
              </w:rPr>
              <w:t>Inc.</w:t>
            </w:r>
          </w:p>
        </w:tc>
        <w:tc>
          <w:tcPr>
            <w:tcW w:w="78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Ontario, Canada</w:t>
            </w: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AvroBio Australia PTY LTD</w:t>
            </w:r>
          </w:p>
        </w:tc>
        <w:tc>
          <w:tcPr>
            <w:tcW w:w="7880" w:type="dxa"/>
            <w:vAlign w:val="bottom"/>
            <w:gridSpan w:val="3"/>
          </w:tcPr>
          <w:p>
            <w:pPr>
              <w:spacing w:after="0"/>
              <w:rPr>
                <w:sz w:val="20"/>
                <w:szCs w:val="20"/>
                <w:color w:val="auto"/>
              </w:rPr>
            </w:pPr>
            <w:r>
              <w:rPr>
                <w:rFonts w:ascii="Arial" w:cs="Arial" w:eastAsia="Arial" w:hAnsi="Arial"/>
                <w:sz w:val="18"/>
                <w:szCs w:val="18"/>
                <w:color w:val="auto"/>
              </w:rPr>
              <w:t>Australia</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24DBC"/>
    <w:multiLevelType w:val="hybridMultilevel"/>
    <w:lvl w:ilvl="0">
      <w:lvlJc w:val="left"/>
      <w:lvlText w:val="(%1)"/>
      <w:numFmt w:val="decimal"/>
      <w:start w:val="1"/>
    </w:lvl>
  </w:abstractNum>
  <w:abstractNum w:abstractNumId="1">
    <w:nsid w:val="75B52783"/>
    <w:multiLevelType w:val="hybridMultilevel"/>
    <w:lvl w:ilvl="0">
      <w:lvlJc w:val="left"/>
      <w:lvlText w:val="(%1)"/>
      <w:numFmt w:val="decimal"/>
      <w:start w:val="1"/>
    </w:lvl>
  </w:abstractNum>
  <w:abstractNum w:abstractNumId="2">
    <w:nsid w:val="57CE66B4"/>
    <w:multiLevelType w:val="hybridMultilevel"/>
    <w:lvl w:ilvl="0">
      <w:lvlJc w:val="left"/>
      <w:lvlText w:val="•"/>
      <w:numFmt w:val="bullet"/>
      <w:start w:val="1"/>
    </w:lvl>
  </w:abstractNum>
  <w:abstractNum w:abstractNumId="3">
    <w:nsid w:val="67A70B69"/>
    <w:multiLevelType w:val="hybridMultilevel"/>
    <w:lvl w:ilvl="0">
      <w:lvlJc w:val="left"/>
      <w:lvlText w:val="•"/>
      <w:numFmt w:val="bullet"/>
      <w:start w:val="1"/>
    </w:lvl>
  </w:abstractNum>
  <w:abstractNum w:abstractNumId="4">
    <w:nsid w:val="5953172F"/>
    <w:multiLevelType w:val="hybridMultilevel"/>
    <w:lvl w:ilvl="0">
      <w:lvlJc w:val="left"/>
      <w:lvlText w:val="•"/>
      <w:numFmt w:val="bullet"/>
      <w:start w:val="1"/>
    </w:lvl>
  </w:abstractNum>
  <w:abstractNum w:abstractNumId="5">
    <w:nsid w:val="27EDFE3A"/>
    <w:multiLevelType w:val="hybridMultilevel"/>
    <w:lvl w:ilvl="0">
      <w:lvlJc w:val="left"/>
      <w:lvlText w:val="•"/>
      <w:numFmt w:val="bullet"/>
      <w:start w:val="1"/>
    </w:lvl>
  </w:abstractNum>
  <w:abstractNum w:abstractNumId="6">
    <w:nsid w:val="52AC7DFF"/>
    <w:multiLevelType w:val="hybridMultilevel"/>
    <w:lvl w:ilvl="0">
      <w:lvlJc w:val="left"/>
      <w:lvlText w:val="•"/>
      <w:numFmt w:val="bullet"/>
      <w:start w:val="1"/>
    </w:lvl>
  </w:abstractNum>
  <w:abstractNum w:abstractNumId="7">
    <w:nsid w:val="C4C3AF"/>
    <w:multiLevelType w:val="hybridMultilevel"/>
    <w:lvl w:ilvl="0">
      <w:lvlJc w:val="left"/>
      <w:lvlText w:val="•"/>
      <w:numFmt w:val="bullet"/>
      <w:start w:val="1"/>
    </w:lvl>
  </w:abstractNum>
  <w:abstractNum w:abstractNumId="8">
    <w:nsid w:val="44380727"/>
    <w:multiLevelType w:val="hybridMultilevel"/>
    <w:lvl w:ilvl="0">
      <w:lvlJc w:val="left"/>
      <w:lvlText w:val="(%1)"/>
      <w:numFmt w:val="decimal"/>
      <w:start w:val="1"/>
    </w:lvl>
  </w:abstractNum>
  <w:abstractNum w:abstractNumId="9">
    <w:nsid w:val="6C053B16"/>
    <w:multiLevelType w:val="hybridMultilevel"/>
    <w:lvl w:ilvl="0">
      <w:lvlJc w:val="left"/>
      <w:lvlText w:val="(%1)"/>
      <w:numFmt w:val="decimal"/>
      <w:start w:val="1"/>
    </w:lvl>
  </w:abstractNum>
  <w:abstractNum w:abstractNumId="10">
    <w:nsid w:val="4F294393"/>
    <w:multiLevelType w:val="hybridMultilevel"/>
    <w:lvl w:ilvl="0">
      <w:lvlJc w:val="left"/>
      <w:lvlText w:val="•"/>
      <w:numFmt w:val="bullet"/>
      <w:start w:val="1"/>
    </w:lvl>
  </w:abstractNum>
  <w:abstractNum w:abstractNumId="11">
    <w:nsid w:val="5243BFAC"/>
    <w:multiLevelType w:val="hybridMultilevel"/>
    <w:lvl w:ilvl="0">
      <w:lvlJc w:val="left"/>
      <w:lvlText w:val="•"/>
      <w:numFmt w:val="bullet"/>
      <w:start w:val="1"/>
    </w:lvl>
  </w:abstractNum>
  <w:abstractNum w:abstractNumId="12">
    <w:nsid w:val="425EB207"/>
    <w:multiLevelType w:val="hybridMultilevel"/>
    <w:lvl w:ilvl="0">
      <w:lvlJc w:val="left"/>
      <w:lvlText w:val="•"/>
      <w:numFmt w:val="bullet"/>
      <w:start w:val="1"/>
    </w:lvl>
  </w:abstractNum>
  <w:abstractNum w:abstractNumId="13">
    <w:nsid w:val="334A6F1F"/>
    <w:multiLevelType w:val="hybridMultilevel"/>
    <w:lvl w:ilvl="0">
      <w:lvlJc w:val="left"/>
      <w:lvlText w:val="•"/>
      <w:numFmt w:val="bullet"/>
      <w:start w:val="1"/>
    </w:lvl>
  </w:abstractNum>
  <w:abstractNum w:abstractNumId="14">
    <w:nsid w:val="2E5B12B8"/>
    <w:multiLevelType w:val="hybridMultilevel"/>
    <w:lvl w:ilvl="0">
      <w:lvlJc w:val="left"/>
      <w:lvlText w:val="•"/>
      <w:numFmt w:val="bullet"/>
      <w:start w:val="1"/>
    </w:lvl>
  </w:abstractNum>
  <w:abstractNum w:abstractNumId="15">
    <w:nsid w:val="5C03D76D"/>
    <w:multiLevelType w:val="hybridMultilevel"/>
    <w:lvl w:ilvl="0">
      <w:lvlJc w:val="left"/>
      <w:lvlText w:val="•"/>
      <w:numFmt w:val="bullet"/>
      <w:start w:val="1"/>
    </w:lvl>
  </w:abstractNum>
  <w:abstractNum w:abstractNumId="16">
    <w:nsid w:val="66A48D11"/>
    <w:multiLevelType w:val="hybridMultilevel"/>
    <w:lvl w:ilvl="0">
      <w:lvlJc w:val="left"/>
      <w:lvlText w:val="•"/>
      <w:numFmt w:val="bullet"/>
      <w:start w:val="1"/>
    </w:lvl>
  </w:abstractNum>
  <w:abstractNum w:abstractNumId="17">
    <w:nsid w:val="56C28E34"/>
    <w:multiLevelType w:val="hybridMultilevel"/>
    <w:lvl w:ilvl="0">
      <w:lvlJc w:val="left"/>
      <w:lvlText w:val="•"/>
      <w:numFmt w:val="bullet"/>
      <w:start w:val="1"/>
    </w:lvl>
  </w:abstractNum>
  <w:abstractNum w:abstractNumId="18">
    <w:nsid w:val="13916F2D"/>
    <w:multiLevelType w:val="hybridMultilevel"/>
    <w:lvl w:ilvl="0">
      <w:lvlJc w:val="left"/>
      <w:lvlText w:val="•"/>
      <w:numFmt w:val="bullet"/>
      <w:start w:val="1"/>
    </w:lvl>
  </w:abstractNum>
  <w:abstractNum w:abstractNumId="19">
    <w:nsid w:val="435D38D"/>
    <w:multiLevelType w:val="hybridMultilevel"/>
    <w:lvl w:ilvl="0">
      <w:lvlJc w:val="left"/>
      <w:lvlText w:val="(%1)"/>
      <w:numFmt w:val="decimal"/>
      <w:start w:val="2"/>
    </w:lvl>
  </w:abstractNum>
  <w:abstractNum w:abstractNumId="20">
    <w:nsid w:val="822C0EF"/>
    <w:multiLevelType w:val="hybridMultilevel"/>
    <w:lvl w:ilvl="0">
      <w:lvlJc w:val="left"/>
      <w:lvlText w:val="•"/>
      <w:numFmt w:val="bullet"/>
      <w:start w:val="1"/>
    </w:lvl>
  </w:abstractNum>
  <w:abstractNum w:abstractNumId="21">
    <w:nsid w:val="57C5BB4F"/>
    <w:multiLevelType w:val="hybridMultilevel"/>
    <w:lvl w:ilvl="0">
      <w:lvlJc w:val="left"/>
      <w:lvlText w:val="•"/>
      <w:numFmt w:val="bullet"/>
      <w:start w:val="1"/>
    </w:lvl>
  </w:abstractNum>
  <w:abstractNum w:abstractNumId="22">
    <w:nsid w:val="1803D089"/>
    <w:multiLevelType w:val="hybridMultilevel"/>
    <w:lvl w:ilvl="0">
      <w:lvlJc w:val="left"/>
      <w:lvlText w:val="•"/>
      <w:numFmt w:val="bullet"/>
      <w:start w:val="1"/>
    </w:lvl>
  </w:abstractNum>
  <w:abstractNum w:abstractNumId="23">
    <w:nsid w:val="4F3A06D4"/>
    <w:multiLevelType w:val="hybridMultilevel"/>
    <w:lvl w:ilvl="0">
      <w:lvlJc w:val="left"/>
      <w:lvlText w:val="•"/>
      <w:numFmt w:val="bullet"/>
      <w:start w:val="1"/>
    </w:lvl>
  </w:abstractNum>
  <w:abstractNum w:abstractNumId="24">
    <w:nsid w:val="59A377B6"/>
    <w:multiLevelType w:val="hybridMultilevel"/>
    <w:lvl w:ilvl="0">
      <w:lvlJc w:val="left"/>
      <w:lvlText w:val="•"/>
      <w:numFmt w:val="bullet"/>
      <w:start w:val="1"/>
    </w:lvl>
  </w:abstractNum>
  <w:abstractNum w:abstractNumId="25">
    <w:nsid w:val="48AEB063"/>
    <w:multiLevelType w:val="hybridMultilevel"/>
    <w:lvl w:ilvl="0">
      <w:lvlJc w:val="left"/>
      <w:lvlText w:val="•"/>
      <w:numFmt w:val="bullet"/>
      <w:start w:val="1"/>
    </w:lvl>
  </w:abstractNum>
  <w:abstractNum w:abstractNumId="26">
    <w:nsid w:val="24E135"/>
    <w:multiLevelType w:val="hybridMultilevel"/>
    <w:lvl w:ilvl="0">
      <w:lvlJc w:val="left"/>
      <w:lvlText w:val="•"/>
      <w:numFmt w:val="bullet"/>
      <w:start w:val="1"/>
    </w:lvl>
  </w:abstractNum>
  <w:abstractNum w:abstractNumId="27">
    <w:nsid w:val="BB13C1"/>
    <w:multiLevelType w:val="hybridMultilevel"/>
    <w:lvl w:ilvl="0">
      <w:lvlJc w:val="left"/>
      <w:lvlText w:val="•"/>
      <w:numFmt w:val="bullet"/>
      <w:start w:val="1"/>
    </w:lvl>
  </w:abstractNum>
  <w:abstractNum w:abstractNumId="28">
    <w:nsid w:val="271210C7"/>
    <w:multiLevelType w:val="hybridMultilevel"/>
    <w:lvl w:ilvl="0">
      <w:lvlJc w:val="left"/>
      <w:lvlText w:val="•"/>
      <w:numFmt w:val="bullet"/>
      <w:start w:val="1"/>
    </w:lvl>
  </w:abstractNum>
  <w:abstractNum w:abstractNumId="29">
    <w:nsid w:val="217B22E4"/>
    <w:multiLevelType w:val="hybridMultilevel"/>
    <w:lvl w:ilvl="0">
      <w:lvlJc w:val="left"/>
      <w:lvlText w:val="•"/>
      <w:numFmt w:val="bullet"/>
      <w:start w:val="1"/>
    </w:lvl>
  </w:abstractNum>
  <w:abstractNum w:abstractNumId="30">
    <w:nsid w:val="53E31A24"/>
    <w:multiLevelType w:val="hybridMultilevel"/>
    <w:lvl w:ilvl="0">
      <w:lvlJc w:val="left"/>
      <w:lvlText w:val="•"/>
      <w:numFmt w:val="bullet"/>
      <w:start w:val="1"/>
    </w:lvl>
  </w:abstractNum>
  <w:abstractNum w:abstractNumId="31">
    <w:nsid w:val="6DC45E83"/>
    <w:multiLevelType w:val="hybridMultilevel"/>
    <w:lvl w:ilvl="0">
      <w:lvlJc w:val="left"/>
      <w:lvlText w:val="•"/>
      <w:numFmt w:val="bullet"/>
      <w:start w:val="1"/>
    </w:lvl>
  </w:abstractNum>
  <w:abstractNum w:abstractNumId="32">
    <w:nsid w:val="17304A67"/>
    <w:multiLevelType w:val="hybridMultilevel"/>
    <w:lvl w:ilvl="0">
      <w:lvlJc w:val="left"/>
      <w:lvlText w:val="•"/>
      <w:numFmt w:val="bullet"/>
      <w:start w:val="1"/>
    </w:lvl>
  </w:abstractNum>
  <w:abstractNum w:abstractNumId="33">
    <w:nsid w:val="2BB180D8"/>
    <w:multiLevelType w:val="hybridMultilevel"/>
    <w:lvl w:ilvl="0">
      <w:lvlJc w:val="left"/>
      <w:lvlText w:val="•"/>
      <w:numFmt w:val="bullet"/>
      <w:start w:val="1"/>
    </w:lvl>
  </w:abstractNum>
  <w:abstractNum w:abstractNumId="34">
    <w:nsid w:val="556B69ED"/>
    <w:multiLevelType w:val="hybridMultilevel"/>
    <w:lvl w:ilvl="0">
      <w:lvlJc w:val="left"/>
      <w:lvlText w:val="•"/>
      <w:numFmt w:val="bullet"/>
      <w:start w:val="1"/>
    </w:lvl>
  </w:abstractNum>
  <w:abstractNum w:abstractNumId="35">
    <w:nsid w:val="70836196"/>
    <w:multiLevelType w:val="hybridMultilevel"/>
    <w:lvl w:ilvl="0">
      <w:lvlJc w:val="left"/>
      <w:lvlText w:val="•"/>
      <w:numFmt w:val="bullet"/>
      <w:start w:val="1"/>
    </w:lvl>
  </w:abstractNum>
  <w:abstractNum w:abstractNumId="36">
    <w:nsid w:val="539F7F12"/>
    <w:multiLevelType w:val="hybridMultilevel"/>
    <w:lvl w:ilvl="0">
      <w:lvlJc w:val="left"/>
      <w:lvlText w:val="•"/>
      <w:numFmt w:val="bullet"/>
      <w:start w:val="1"/>
    </w:lvl>
  </w:abstractNum>
  <w:abstractNum w:abstractNumId="37">
    <w:nsid w:val="2817E7EC"/>
    <w:multiLevelType w:val="hybridMultilevel"/>
    <w:lvl w:ilvl="0">
      <w:lvlJc w:val="left"/>
      <w:lvlText w:val="•"/>
      <w:numFmt w:val="bullet"/>
      <w:start w:val="1"/>
    </w:lvl>
  </w:abstractNum>
  <w:abstractNum w:abstractNumId="38">
    <w:nsid w:val="71482545"/>
    <w:multiLevelType w:val="hybridMultilevel"/>
    <w:lvl w:ilvl="0">
      <w:lvlJc w:val="left"/>
      <w:lvlText w:val="•"/>
      <w:numFmt w:val="bullet"/>
      <w:start w:val="1"/>
    </w:lvl>
  </w:abstractNum>
  <w:abstractNum w:abstractNumId="39">
    <w:nsid w:val="17D78639"/>
    <w:multiLevelType w:val="hybridMultilevel"/>
    <w:lvl w:ilvl="0">
      <w:lvlJc w:val="left"/>
      <w:lvlText w:val="$"/>
      <w:numFmt w:val="bullet"/>
      <w:start w:val="1"/>
    </w:lvl>
  </w:abstractNum>
  <w:abstractNum w:abstractNumId="40">
    <w:nsid w:val="141D2302"/>
    <w:multiLevelType w:val="hybridMultilevel"/>
    <w:lvl w:ilvl="0">
      <w:lvlJc w:val="left"/>
      <w:lvlText w:val="•"/>
      <w:numFmt w:val="bullet"/>
      <w:start w:val="1"/>
    </w:lvl>
  </w:abstractNum>
  <w:abstractNum w:abstractNumId="41">
    <w:nsid w:val="407168D8"/>
    <w:multiLevelType w:val="hybridMultilevel"/>
    <w:lvl w:ilvl="0">
      <w:lvlJc w:val="left"/>
      <w:lvlText w:val="•"/>
      <w:numFmt w:val="bullet"/>
      <w:start w:val="1"/>
    </w:lvl>
    <w:lvl w:ilvl="1">
      <w:lvlJc w:val="left"/>
      <w:lvlText w:val="•"/>
      <w:numFmt w:val="bullet"/>
      <w:start w:val="1"/>
    </w:lvl>
  </w:abstractNum>
  <w:abstractNum w:abstractNumId="42">
    <w:nsid w:val="6A1B45E5"/>
    <w:multiLevelType w:val="hybridMultilevel"/>
    <w:lvl w:ilvl="0">
      <w:lvlJc w:val="left"/>
      <w:lvlText w:val="•"/>
      <w:numFmt w:val="bullet"/>
      <w:start w:val="1"/>
    </w:lvl>
  </w:abstractNum>
  <w:abstractNum w:abstractNumId="43">
    <w:nsid w:val="567BD50A"/>
    <w:multiLevelType w:val="hybridMultilevel"/>
    <w:lvl w:ilvl="0">
      <w:lvlJc w:val="left"/>
      <w:lvlText w:val="•"/>
      <w:numFmt w:val="bullet"/>
      <w:start w:val="1"/>
    </w:lvl>
  </w:abstractNum>
  <w:abstractNum w:abstractNumId="44">
    <w:nsid w:val="73BBD7F8"/>
    <w:multiLevelType w:val="hybridMultilevel"/>
    <w:lvl w:ilvl="0">
      <w:lvlJc w:val="left"/>
      <w:lvlText w:val="•"/>
      <w:numFmt w:val="bullet"/>
      <w:start w:val="1"/>
    </w:lvl>
  </w:abstractNum>
  <w:abstractNum w:abstractNumId="45">
    <w:nsid w:val="1876589D"/>
    <w:multiLevelType w:val="hybridMultilevel"/>
    <w:lvl w:ilvl="0">
      <w:lvlJc w:val="left"/>
      <w:lvlText w:val="%"/>
      <w:numFmt w:val="bullet"/>
      <w:start w:val="1"/>
    </w:lvl>
  </w:abstractNum>
  <w:abstractNum w:abstractNumId="46">
    <w:nsid w:val="327FAC77"/>
    <w:multiLevelType w:val="hybridMultilevel"/>
    <w:lvl w:ilvl="0">
      <w:lvlJc w:val="left"/>
      <w:lvlText w:val="•"/>
      <w:numFmt w:val="bullet"/>
      <w:start w:val="1"/>
    </w:lvl>
  </w:abstractNum>
  <w:abstractNum w:abstractNumId="47">
    <w:nsid w:val="5A606509"/>
    <w:multiLevelType w:val="hybridMultilevel"/>
    <w:lvl w:ilvl="0">
      <w:lvlJc w:val="left"/>
      <w:lvlText w:val="(%1)"/>
      <w:numFmt w:val="decimal"/>
      <w:start w:val="1"/>
    </w:lvl>
  </w:abstractNum>
  <w:abstractNum w:abstractNumId="48">
    <w:nsid w:val="6F38E6D1"/>
    <w:multiLevelType w:val="hybridMultilevel"/>
    <w:lvl w:ilvl="0">
      <w:lvlJc w:val="left"/>
      <w:lvlText w:val="(%1)"/>
      <w:numFmt w:val="decimal"/>
      <w:start w:val="1"/>
    </w:lvl>
  </w:abstractNum>
  <w:abstractNum w:abstractNumId="49">
    <w:nsid w:val="46111BA5"/>
    <w:multiLevelType w:val="hybridMultilevel"/>
    <w:lvl w:ilvl="0">
      <w:lvlJc w:val="left"/>
      <w:lvlText w:val="•"/>
      <w:numFmt w:val="bullet"/>
      <w:start w:val="1"/>
    </w:lvl>
  </w:abstractNum>
  <w:abstractNum w:abstractNumId="50">
    <w:nsid w:val="5E963896"/>
    <w:multiLevelType w:val="hybridMultilevel"/>
    <w:lvl w:ilvl="0">
      <w:lvlJc w:val="left"/>
      <w:lvlText w:val="•"/>
      <w:numFmt w:val="bullet"/>
      <w:start w:val="1"/>
    </w:lvl>
  </w:abstractNum>
  <w:abstractNum w:abstractNumId="51">
    <w:nsid w:val="775BA7C1"/>
    <w:multiLevelType w:val="hybridMultilevel"/>
    <w:lvl w:ilvl="0">
      <w:lvlJc w:val="left"/>
      <w:lvlText w:val="•"/>
      <w:numFmt w:val="bullet"/>
      <w:start w:val="1"/>
    </w:lvl>
  </w:abstractNum>
  <w:abstractNum w:abstractNumId="52">
    <w:nsid w:val="1DD6D6F4"/>
    <w:multiLevelType w:val="hybridMultilevel"/>
    <w:lvl w:ilvl="0">
      <w:lvlJc w:val="left"/>
      <w:lvlText w:val="•"/>
      <w:numFmt w:val="bullet"/>
      <w:start w:val="1"/>
    </w:lvl>
  </w:abstractNum>
  <w:abstractNum w:abstractNumId="53">
    <w:nsid w:val="769A091F"/>
    <w:multiLevelType w:val="hybridMultilevel"/>
    <w:lvl w:ilvl="0">
      <w:lvlJc w:val="left"/>
      <w:lvlText w:val="•"/>
      <w:numFmt w:val="bullet"/>
      <w:start w:val="1"/>
    </w:lvl>
  </w:abstractNum>
  <w:abstractNum w:abstractNumId="54">
    <w:nsid w:val="4695AE95"/>
    <w:multiLevelType w:val="hybridMultilevel"/>
    <w:lvl w:ilvl="0">
      <w:lvlJc w:val="left"/>
      <w:lvlText w:val="(%1)"/>
      <w:numFmt w:val="decimal"/>
      <w:start w:val="1"/>
    </w:lvl>
  </w:abstractNum>
  <w:abstractNum w:abstractNumId="55">
    <w:nsid w:val="777A4EAA"/>
    <w:multiLevelType w:val="hybridMultilevel"/>
    <w:lvl w:ilvl="0">
      <w:lvlJc w:val="left"/>
      <w:lvlText w:val="•"/>
      <w:numFmt w:val="bullet"/>
      <w:start w:val="1"/>
    </w:lvl>
  </w:abstractNum>
  <w:abstractNum w:abstractNumId="56">
    <w:nsid w:val="3F48B982"/>
    <w:multiLevelType w:val="hybridMultilevel"/>
    <w:lvl w:ilvl="0">
      <w:lvlJc w:val="left"/>
      <w:lvlText w:val="•"/>
      <w:numFmt w:val="bullet"/>
      <w:start w:val="1"/>
    </w:lvl>
  </w:abstractNum>
  <w:abstractNum w:abstractNumId="57">
    <w:nsid w:val="46BA8FCA"/>
    <w:multiLevelType w:val="hybridMultilevel"/>
    <w:lvl w:ilvl="0">
      <w:lvlJc w:val="left"/>
      <w:lvlText w:val="•"/>
      <w:numFmt w:val="bullet"/>
      <w:start w:val="1"/>
    </w:lvl>
  </w:abstractNum>
  <w:abstractNum w:abstractNumId="58">
    <w:nsid w:val="7835626C"/>
    <w:multiLevelType w:val="hybridMultilevel"/>
    <w:lvl w:ilvl="0">
      <w:lvlJc w:val="left"/>
      <w:lvlText w:val="•"/>
      <w:numFmt w:val="bullet"/>
      <w:start w:val="1"/>
    </w:lvl>
  </w:abstractNum>
  <w:abstractNum w:abstractNumId="59">
    <w:nsid w:val="665ACA49"/>
    <w:multiLevelType w:val="hybridMultilevel"/>
    <w:lvl w:ilvl="0">
      <w:lvlJc w:val="left"/>
      <w:lvlText w:val="•"/>
      <w:numFmt w:val="bullet"/>
      <w:start w:val="1"/>
    </w:lvl>
  </w:abstractNum>
  <w:abstractNum w:abstractNumId="60">
    <w:nsid w:val="6835B2AE"/>
    <w:multiLevelType w:val="hybridMultilevel"/>
    <w:lvl w:ilvl="0">
      <w:lvlJc w:val="left"/>
      <w:lvlText w:val="•"/>
      <w:numFmt w:val="bullet"/>
      <w:start w:val="1"/>
    </w:lvl>
  </w:abstractNum>
  <w:abstractNum w:abstractNumId="61">
    <w:nsid w:val="4C187C90"/>
    <w:multiLevelType w:val="hybridMultilevel"/>
    <w:lvl w:ilvl="0">
      <w:lvlJc w:val="left"/>
      <w:lvlText w:val="•"/>
      <w:numFmt w:val="bullet"/>
      <w:start w:val="1"/>
    </w:lvl>
  </w:abstractNum>
  <w:abstractNum w:abstractNumId="62">
    <w:nsid w:val="541F28CD"/>
    <w:multiLevelType w:val="hybridMultilevel"/>
    <w:lvl w:ilvl="0">
      <w:lvlJc w:val="left"/>
      <w:lvlText w:val="•"/>
      <w:numFmt w:val="bullet"/>
      <w:start w:val="1"/>
    </w:lvl>
  </w:abstractNum>
  <w:abstractNum w:abstractNumId="63">
    <w:nsid w:val="7F65FD16"/>
    <w:multiLevelType w:val="hybridMultilevel"/>
    <w:lvl w:ilvl="0">
      <w:lvlJc w:val="left"/>
      <w:lvlText w:val="•"/>
      <w:numFmt w:val="bullet"/>
      <w:start w:val="1"/>
    </w:lvl>
  </w:abstractNum>
  <w:abstractNum w:abstractNumId="64">
    <w:nsid w:val="77C9FD68"/>
    <w:multiLevelType w:val="hybridMultilevel"/>
    <w:lvl w:ilvl="0">
      <w:lvlJc w:val="left"/>
      <w:lvlText w:val="•"/>
      <w:numFmt w:val="bullet"/>
      <w:start w:val="1"/>
    </w:lvl>
  </w:abstractNum>
  <w:abstractNum w:abstractNumId="65">
    <w:nsid w:val="298A92BA"/>
    <w:multiLevelType w:val="hybridMultilevel"/>
    <w:lvl w:ilvl="0">
      <w:lvlJc w:val="left"/>
      <w:lvlText w:val="•"/>
      <w:numFmt w:val="bullet"/>
      <w:start w:val="1"/>
    </w:lvl>
  </w:abstractNum>
  <w:abstractNum w:abstractNumId="66">
    <w:nsid w:val="6FE95EAC"/>
    <w:multiLevelType w:val="hybridMultilevel"/>
    <w:lvl w:ilvl="0">
      <w:lvlJc w:val="left"/>
      <w:lvlText w:val="•"/>
      <w:numFmt w:val="bullet"/>
      <w:start w:val="1"/>
    </w:lvl>
  </w:abstractNum>
  <w:abstractNum w:abstractNumId="67">
    <w:nsid w:val="4B697C7A"/>
    <w:multiLevelType w:val="hybridMultilevel"/>
    <w:lvl w:ilvl="0">
      <w:lvlJc w:val="left"/>
      <w:lvlText w:val="•"/>
      <w:numFmt w:val="bullet"/>
      <w:start w:val="1"/>
    </w:lvl>
  </w:abstractNum>
  <w:abstractNum w:abstractNumId="68">
    <w:nsid w:val="51A27AA6"/>
    <w:multiLevelType w:val="hybridMultilevel"/>
    <w:lvl w:ilvl="0">
      <w:lvlJc w:val="left"/>
      <w:lvlText w:val="•"/>
      <w:numFmt w:val="bullet"/>
      <w:start w:val="1"/>
    </w:lvl>
  </w:abstractNum>
  <w:abstractNum w:abstractNumId="69">
    <w:nsid w:val="613183F2"/>
    <w:multiLevelType w:val="hybridMultilevel"/>
    <w:lvl w:ilvl="0">
      <w:lvlJc w:val="left"/>
      <w:lvlText w:val="•"/>
      <w:numFmt w:val="bullet"/>
      <w:start w:val="1"/>
    </w:lvl>
  </w:abstractNum>
  <w:abstractNum w:abstractNumId="70">
    <w:nsid w:val="634102B4"/>
    <w:multiLevelType w:val="hybridMultilevel"/>
    <w:lvl w:ilvl="0">
      <w:lvlJc w:val="left"/>
      <w:lvlText w:val="•"/>
      <w:numFmt w:val="bullet"/>
      <w:start w:val="1"/>
    </w:lvl>
  </w:abstractNum>
  <w:abstractNum w:abstractNumId="71">
    <w:nsid w:val="65BF9DA8"/>
    <w:multiLevelType w:val="hybridMultilevel"/>
    <w:lvl w:ilvl="0">
      <w:lvlJc w:val="left"/>
      <w:lvlText w:val="(%1)"/>
      <w:numFmt w:val="decimal"/>
      <w:start w:val="1"/>
    </w:lvl>
  </w:abstractNum>
  <w:abstractNum w:abstractNumId="72">
    <w:nsid w:val="21A2ECCA"/>
    <w:multiLevelType w:val="hybridMultilevel"/>
    <w:lvl w:ilvl="0">
      <w:lvlJc w:val="left"/>
      <w:lvlText w:val="•"/>
      <w:numFmt w:val="bullet"/>
      <w:start w:val="1"/>
    </w:lvl>
  </w:abstractNum>
  <w:abstractNum w:abstractNumId="73">
    <w:nsid w:val="4D5C4899"/>
    <w:multiLevelType w:val="hybridMultilevel"/>
    <w:lvl w:ilvl="0">
      <w:lvlJc w:val="left"/>
      <w:lvlText w:val="•"/>
      <w:numFmt w:val="bullet"/>
      <w:start w:val="1"/>
    </w:lvl>
  </w:abstractNum>
  <w:abstractNum w:abstractNumId="74">
    <w:nsid w:val="3C3B72B2"/>
    <w:multiLevelType w:val="hybridMultilevel"/>
    <w:lvl w:ilvl="0">
      <w:lvlJc w:val="left"/>
      <w:lvlText w:val="•"/>
      <w:numFmt w:val="bullet"/>
      <w:start w:val="1"/>
    </w:lvl>
  </w:abstractNum>
  <w:abstractNum w:abstractNumId="75">
    <w:nsid w:val="155EC4C2"/>
    <w:multiLevelType w:val="hybridMultilevel"/>
    <w:lvl w:ilvl="0">
      <w:lvlJc w:val="left"/>
      <w:lvlText w:val="•"/>
      <w:numFmt w:val="bullet"/>
      <w:start w:val="1"/>
    </w:lvl>
  </w:abstractNum>
  <w:abstractNum w:abstractNumId="76">
    <w:nsid w:val="65D2A137"/>
    <w:multiLevelType w:val="hybridMultilevel"/>
    <w:lvl w:ilvl="0">
      <w:lvlJc w:val="left"/>
      <w:lvlText w:val="•"/>
      <w:numFmt w:val="bullet"/>
      <w:start w:val="1"/>
    </w:lvl>
  </w:abstractNum>
  <w:abstractNum w:abstractNumId="77">
    <w:nsid w:val="6EBB1F2A"/>
    <w:multiLevelType w:val="hybridMultilevel"/>
    <w:lvl w:ilvl="0">
      <w:lvlJc w:val="left"/>
      <w:lvlText w:val="•"/>
      <w:numFmt w:val="bullet"/>
      <w:start w:val="1"/>
    </w:lvl>
  </w:abstractNum>
  <w:abstractNum w:abstractNumId="78">
    <w:nsid w:val="6FBF29CB"/>
    <w:multiLevelType w:val="hybridMultilevel"/>
    <w:lvl w:ilvl="0">
      <w:lvlJc w:val="left"/>
      <w:lvlText w:val="(%1)"/>
      <w:numFmt w:val="decimal"/>
      <w:start w:val="1"/>
    </w:lvl>
  </w:abstractNum>
  <w:abstractNum w:abstractNumId="79">
    <w:nsid w:val="550B8808"/>
    <w:multiLevelType w:val="hybridMultilevel"/>
    <w:lvl w:ilvl="0">
      <w:lvlJc w:val="left"/>
      <w:lvlText w:val="(%1)"/>
      <w:numFmt w:val="decimal"/>
      <w:start w:val="1"/>
    </w:lvl>
  </w:abstractNum>
  <w:abstractNum w:abstractNumId="80">
    <w:nsid w:val="34CC3ACF"/>
    <w:multiLevelType w:val="hybridMultilevel"/>
    <w:lvl w:ilvl="0">
      <w:lvlJc w:val="left"/>
      <w:lvlText w:val="(%1)"/>
      <w:numFmt w:val="lowerRoman"/>
      <w:start w:val="1"/>
    </w:lvl>
  </w:abstractNum>
  <w:abstractNum w:abstractNumId="81">
    <w:nsid w:val="4E556261"/>
    <w:multiLevelType w:val="hybridMultilevel"/>
    <w:lvl w:ilvl="0">
      <w:lvlJc w:val="left"/>
      <w:lvlText w:val="(%1)"/>
      <w:numFmt w:val="lowerRoman"/>
      <w:start w:val="2"/>
    </w:lvl>
  </w:abstractNum>
  <w:abstractNum w:abstractNumId="82">
    <w:nsid w:val="4C672FC9"/>
    <w:multiLevelType w:val="hybridMultilevel"/>
    <w:lvl w:ilvl="0">
      <w:lvlJc w:val="left"/>
      <w:lvlText w:val="(%1)"/>
      <w:numFmt w:val="decimal"/>
      <w:start w:val="1"/>
    </w:lvl>
  </w:abstractNum>
  <w:abstractNum w:abstractNumId="83">
    <w:nsid w:val="52A311C3"/>
    <w:multiLevelType w:val="hybridMultilevel"/>
    <w:lvl w:ilvl="0">
      <w:lvlJc w:val="left"/>
      <w:lvlText w:val="(%1)"/>
      <w:numFmt w:val="decimal"/>
      <w:start w:val="1"/>
    </w:lvl>
  </w:abstractNum>
  <w:abstractNum w:abstractNumId="84">
    <w:nsid w:val="44EF6B80"/>
    <w:multiLevelType w:val="hybridMultilevel"/>
    <w:lvl w:ilvl="0">
      <w:lvlJc w:val="left"/>
      <w:lvlText w:val="(%1)"/>
      <w:numFmt w:val="decimal"/>
      <w:start w:val="1"/>
    </w:lvl>
  </w:abstractNum>
  <w:abstractNum w:abstractNumId="85">
    <w:nsid w:val="12FCDE5E"/>
    <w:multiLevelType w:val="hybridMultilevel"/>
    <w:lvl w:ilvl="0">
      <w:lvlJc w:val="left"/>
      <w:lvlText w:val="(%1)"/>
      <w:numFmt w:val="decimal"/>
      <w:start w:val="4"/>
    </w:lvl>
  </w:abstractNum>
  <w:abstractNum w:abstractNumId="86">
    <w:nsid w:val="4A1D606E"/>
    <w:multiLevelType w:val="hybridMultilevel"/>
    <w:lvl w:ilvl="0">
      <w:lvlJc w:val="left"/>
      <w:lvlText w:val="(%1)"/>
      <w:numFmt w:val="decimal"/>
      <w:start w:val="1"/>
    </w:lvl>
  </w:abstractNum>
  <w:abstractNum w:abstractNumId="87">
    <w:nsid w:val="4382503"/>
    <w:multiLevelType w:val="hybridMultilevel"/>
    <w:lvl w:ilvl="0">
      <w:lvlJc w:val="left"/>
      <w:lvlText w:val="•"/>
      <w:numFmt w:val="bullet"/>
      <w:start w:val="1"/>
    </w:lvl>
  </w:abstractNum>
  <w:abstractNum w:abstractNumId="88">
    <w:nsid w:val="59B76E28"/>
    <w:multiLevelType w:val="hybridMultilevel"/>
    <w:lvl w:ilvl="0">
      <w:lvlJc w:val="left"/>
      <w:lvlText w:val="*"/>
      <w:numFmt w:val="bullet"/>
      <w:start w:val="1"/>
    </w:lvl>
  </w:abstractNum>
  <w:abstractNum w:abstractNumId="89">
    <w:nsid w:val="4252C2DA"/>
    <w:multiLevelType w:val="hybridMultilevel"/>
    <w:lvl w:ilvl="0">
      <w:lvlJc w:val="left"/>
      <w:lvlText w:val="(%1)"/>
      <w:numFmt w:val="decimal"/>
      <w:start w:val="1"/>
    </w:lvl>
  </w:abstractNum>
  <w:abstractNum w:abstractNumId="90">
    <w:nsid w:val="6A92EF4C"/>
    <w:multiLevelType w:val="hybridMultilevel"/>
    <w:lvl w:ilvl="0">
      <w:lvlJc w:val="left"/>
      <w:lvlText w:val="(%1)"/>
      <w:numFmt w:val="decimal"/>
      <w:start w:val="7"/>
    </w:lvl>
  </w:abstractNum>
  <w:abstractNum w:abstractNumId="91">
    <w:nsid w:val="41ED20D7"/>
    <w:multiLevelType w:val="hybridMultilevel"/>
    <w:lvl w:ilvl="0">
      <w:lvlJc w:val="left"/>
      <w:lvlText w:val="(%1)"/>
      <w:numFmt w:val="lowerRoman"/>
      <w:start w:val="1"/>
    </w:lvl>
  </w:abstractNum>
  <w:abstractNum w:abstractNumId="92">
    <w:nsid w:val="E6B3F6A"/>
    <w:multiLevelType w:val="hybridMultilevel"/>
    <w:lvl w:ilvl="0">
      <w:lvlJc w:val="left"/>
      <w:lvlText w:val="(%1)"/>
      <w:numFmt w:val="decimal"/>
      <w:start w:val="1"/>
    </w:lvl>
  </w:abstractNum>
  <w:abstractNum w:abstractNumId="93">
    <w:nsid w:val="3EB21819"/>
    <w:multiLevelType w:val="hybridMultilevel"/>
    <w:lvl w:ilvl="0">
      <w:lvlJc w:val="left"/>
      <w:lvlText w:val="•"/>
      <w:numFmt w:val="bullet"/>
      <w:start w:val="1"/>
    </w:lvl>
  </w:abstractNum>
  <w:abstractNum w:abstractNumId="94">
    <w:nsid w:val="41531DED"/>
    <w:multiLevelType w:val="hybridMultilevel"/>
    <w:lvl w:ilvl="0">
      <w:lvlJc w:val="left"/>
      <w:lvlText w:val="•"/>
      <w:numFmt w:val="bullet"/>
      <w:start w:val="1"/>
    </w:lvl>
  </w:abstractNum>
  <w:abstractNum w:abstractNumId="95">
    <w:nsid w:val="6353CD2"/>
    <w:multiLevelType w:val="hybridMultilevel"/>
    <w:lvl w:ilvl="0">
      <w:lvlJc w:val="left"/>
      <w:lvlText w:val="(%1)"/>
      <w:numFmt w:val="lowerRoman"/>
      <w:start w:val="1"/>
    </w:lvl>
  </w:abstractNum>
  <w:abstractNum w:abstractNumId="96">
    <w:nsid w:val="683CAAD3"/>
    <w:multiLevelType w:val="hybridMultilevel"/>
    <w:lvl w:ilvl="0">
      <w:lvlJc w:val="left"/>
      <w:lvlText w:val="•"/>
      <w:numFmt w:val="bullet"/>
      <w:start w:val="1"/>
    </w:lvl>
  </w:abstractNum>
  <w:abstractNum w:abstractNumId="97">
    <w:nsid w:val="313C7C99"/>
    <w:multiLevelType w:val="hybridMultilevel"/>
    <w:lvl w:ilvl="0">
      <w:lvlJc w:val="left"/>
      <w:lvlText w:val="•"/>
      <w:numFmt w:val="bullet"/>
      <w:start w:val="1"/>
    </w:lvl>
  </w:abstractNum>
  <w:abstractNum w:abstractNumId="98">
    <w:nsid w:val="519EB94C"/>
    <w:multiLevelType w:val="hybridMultilevel"/>
    <w:lvl w:ilvl="0">
      <w:lvlJc w:val="left"/>
      <w:lvlText w:val="•"/>
      <w:numFmt w:val="bullet"/>
      <w:start w:val="1"/>
    </w:lvl>
  </w:abstractNum>
  <w:abstractNum w:abstractNumId="99">
    <w:nsid w:val="39DF2579"/>
    <w:multiLevelType w:val="hybridMultilevel"/>
    <w:lvl w:ilvl="0">
      <w:lvlJc w:val="left"/>
      <w:lvlText w:val="•"/>
      <w:numFmt w:val="bullet"/>
      <w:start w:val="1"/>
    </w:lvl>
  </w:abstractNum>
  <w:abstractNum w:abstractNumId="100">
    <w:nsid w:val="126E008B"/>
    <w:multiLevelType w:val="hybridMultilevel"/>
    <w:lvl w:ilvl="0">
      <w:lvlJc w:val="left"/>
      <w:lvlText w:val="•"/>
      <w:numFmt w:val="bullet"/>
      <w:start w:val="1"/>
    </w:lvl>
  </w:abstractNum>
  <w:abstractNum w:abstractNumId="101">
    <w:nsid w:val="34DFBC00"/>
    <w:multiLevelType w:val="hybridMultilevel"/>
    <w:lvl w:ilvl="0">
      <w:lvlJc w:val="left"/>
      <w:lvlText w:val="•"/>
      <w:numFmt w:val="bullet"/>
      <w:start w:val="1"/>
    </w:lvl>
  </w:abstractNum>
  <w:abstractNum w:abstractNumId="102">
    <w:nsid w:val="1F9EC322"/>
    <w:multiLevelType w:val="hybridMultilevel"/>
    <w:lvl w:ilvl="0">
      <w:lvlJc w:val="left"/>
      <w:lvlText w:val="•"/>
      <w:numFmt w:val="bullet"/>
      <w:start w:val="1"/>
    </w:lvl>
  </w:abstractNum>
  <w:abstractNum w:abstractNumId="103">
    <w:nsid w:val="3410ED56"/>
    <w:multiLevelType w:val="hybridMultilevel"/>
    <w:lvl w:ilvl="0">
      <w:lvlJc w:val="left"/>
      <w:lvlText w:val="•"/>
      <w:numFmt w:val="bullet"/>
      <w:start w:val="1"/>
    </w:lvl>
  </w:abstractNum>
  <w:abstractNum w:abstractNumId="104">
    <w:nsid w:val="23C049A"/>
    <w:multiLevelType w:val="hybridMultilevel"/>
    <w:lvl w:ilvl="0">
      <w:lvlJc w:val="left"/>
      <w:lvlText w:val="•"/>
      <w:numFmt w:val="bullet"/>
      <w:start w:val="1"/>
    </w:lvl>
  </w:abstractNum>
  <w:abstractNum w:abstractNumId="105">
    <w:nsid w:val="5BDA35D4"/>
    <w:multiLevelType w:val="hybridMultilevel"/>
    <w:lvl w:ilvl="0">
      <w:lvlJc w:val="left"/>
      <w:lvlText w:val="•"/>
      <w:numFmt w:val="bullet"/>
      <w:start w:val="1"/>
    </w:lvl>
  </w:abstractNum>
  <w:abstractNum w:abstractNumId="106">
    <w:nsid w:val="496FB218"/>
    <w:multiLevelType w:val="hybridMultilevel"/>
    <w:lvl w:ilvl="0">
      <w:lvlJc w:val="left"/>
      <w:lvlText w:val="(%1)"/>
      <w:numFmt w:val="lowerLetter"/>
      <w:start w:val="1"/>
    </w:lvl>
  </w:abstractNum>
  <w:abstractNum w:abstractNumId="107">
    <w:nsid w:val="680EA5D1"/>
    <w:multiLevelType w:val="hybridMultilevel"/>
    <w:lvl w:ilvl="0">
      <w:lvlJc w:val="left"/>
      <w:lvlText w:val="(%1)"/>
      <w:numFmt w:val="lowerLetter"/>
      <w:start w:val="1"/>
    </w:lvl>
  </w:abstractNum>
  <w:abstractNum w:abstractNumId="108">
    <w:nsid w:val="4A9554FE"/>
    <w:multiLevelType w:val="hybridMultilevel"/>
    <w:lvl w:ilvl="0">
      <w:lvlJc w:val="left"/>
      <w:lvlText w:val="%1."/>
      <w:numFmt w:val="decimal"/>
      <w:start w:val="2"/>
    </w:lvl>
  </w:abstractNum>
  <w:abstractNum w:abstractNumId="109">
    <w:nsid w:val="392EDBE4"/>
    <w:multiLevelType w:val="hybridMultilevel"/>
    <w:lvl w:ilvl="0">
      <w:lvlJc w:val="left"/>
      <w:lvlText w:val="•"/>
      <w:numFmt w:val="bullet"/>
      <w:start w:val="1"/>
    </w:lvl>
  </w:abstractNum>
  <w:abstractNum w:abstractNumId="110">
    <w:nsid w:val="3D1A2DD9"/>
    <w:multiLevelType w:val="hybridMultilevel"/>
    <w:lvl w:ilvl="0">
      <w:lvlJc w:val="left"/>
      <w:lvlText w:val="$"/>
      <w:numFmt w:val="bullet"/>
      <w:start w:val="1"/>
    </w:lvl>
  </w:abstractNum>
  <w:abstractNum w:abstractNumId="111">
    <w:nsid w:val="7F618FCD"/>
    <w:multiLevelType w:val="hybridMultilevel"/>
    <w:lvl w:ilvl="0">
      <w:lvlJc w:val="left"/>
      <w:lvlText w:val="$"/>
      <w:numFmt w:val="bullet"/>
      <w:start w:val="1"/>
    </w:lvl>
  </w:abstractNum>
  <w:abstractNum w:abstractNumId="112">
    <w:nsid w:val="7843E45"/>
    <w:multiLevelType w:val="hybridMultilevel"/>
    <w:lvl w:ilvl="0">
      <w:lvlJc w:val="left"/>
      <w:lvlText w:val="%1."/>
      <w:numFmt w:val="decimal"/>
      <w:start w:val="11"/>
    </w:lvl>
  </w:abstractNum>
  <w:abstractNum w:abstractNumId="113">
    <w:nsid w:val="9815DA3"/>
    <w:multiLevelType w:val="hybridMultilevel"/>
    <w:lvl w:ilvl="0">
      <w:lvlJc w:val="left"/>
      <w:lvlText w:val="(%1)"/>
      <w:numFmt w:val="lowerRoman"/>
      <w:start w:val="3"/>
    </w:lvl>
  </w:abstractNum>
  <w:abstractNum w:abstractNumId="114">
    <w:nsid w:val="5204A191"/>
    <w:multiLevelType w:val="hybridMultilevel"/>
    <w:lvl w:ilvl="0">
      <w:lvlJc w:val="left"/>
      <w:lvlText w:val="%1."/>
      <w:numFmt w:val="decimal"/>
      <w:start w:val="14"/>
    </w:lvl>
  </w:abstractNum>
  <w:abstractNum w:abstractNumId="115">
    <w:nsid w:val="4C73A9C6"/>
    <w:multiLevelType w:val="hybridMultilevel"/>
    <w:lvl w:ilvl="0">
      <w:lvlJc w:val="left"/>
      <w:lvlText w:val="%1."/>
      <w:numFmt w:val="decimal"/>
      <w:start w:val="15"/>
    </w:lvl>
  </w:abstractNum>
  <w:abstractNum w:abstractNumId="116">
    <w:nsid w:val="1C7E3C01"/>
    <w:multiLevelType w:val="hybridMultilevel"/>
    <w:lvl w:ilvl="0">
      <w:lvlJc w:val="left"/>
      <w:lvlText w:val="•"/>
      <w:numFmt w:val="bullet"/>
      <w:start w:val="1"/>
    </w:lvl>
  </w:abstractNum>
  <w:abstractNum w:abstractNumId="117">
    <w:nsid w:val="1C2201FF"/>
    <w:multiLevelType w:val="hybridMultilevel"/>
    <w:lvl w:ilvl="0">
      <w:lvlJc w:val="left"/>
      <w:lvlText w:val="•"/>
      <w:numFmt w:val="bullet"/>
      <w:start w:val="1"/>
    </w:lvl>
  </w:abstractNum>
  <w:abstractNum w:abstractNumId="118">
    <w:nsid w:val="50ABCEC9"/>
    <w:multiLevelType w:val="hybridMultilevel"/>
    <w:lvl w:ilvl="0">
      <w:lvlJc w:val="left"/>
      <w:lvlText w:val="*"/>
      <w:numFmt w:val="bullet"/>
      <w:start w:val="1"/>
    </w:lvl>
  </w:abstractNum>
  <w:abstractNum w:abstractNumId="119">
    <w:nsid w:val="7635AA2A"/>
    <w:multiLevelType w:val="hybridMultilevel"/>
    <w:lvl w:ilvl="0">
      <w:lvlJc w:val="left"/>
      <w:lvlText w:val="†"/>
      <w:numFmt w:val="bullet"/>
      <w:start w:val="1"/>
    </w:lvl>
  </w:abstractNum>
  <w:abstractNum w:abstractNumId="120">
    <w:nsid w:val="5E74C4D9"/>
    <w:multiLevelType w:val="hybridMultilevel"/>
    <w:lvl w:ilvl="0">
      <w:lvlJc w:val="left"/>
      <w:lvlText w:val="#"/>
      <w:numFmt w:val="bullet"/>
      <w:start w:val="1"/>
    </w:lvl>
  </w:abstractNum>
  <w:abstractNum w:abstractNumId="121">
    <w:nsid w:val="3B3EBE15"/>
    <w:multiLevelType w:val="hybridMultilevel"/>
    <w:lvl w:ilvl="0">
      <w:lvlJc w:val="left"/>
      <w:lvlText w:val="(%1)"/>
      <w:numFmt w:val="lowerLetter"/>
      <w:start w:val="1"/>
    </w:lvl>
  </w:abstractNum>
  <w:abstractNum w:abstractNumId="122">
    <w:nsid w:val="3822CB01"/>
    <w:multiLevelType w:val="hybridMultilevel"/>
    <w:lvl w:ilvl="0">
      <w:lvlJc w:val="left"/>
      <w:lvlText w:val="%1."/>
      <w:numFmt w:val="decimal"/>
      <w:start w:val="1"/>
    </w:lvl>
  </w:abstractNum>
  <w:abstractNum w:abstractNumId="123">
    <w:nsid w:val="6CE00443"/>
    <w:multiLevelType w:val="hybridMultilevel"/>
    <w:lvl w:ilvl="0">
      <w:lvlJc w:val="left"/>
      <w:lvlText w:val="%1"/>
      <w:numFmt w:val="upperLetter"/>
      <w:start w:val="1"/>
    </w:lvl>
    <w:lvl w:ilvl="1">
      <w:lvlJc w:val="left"/>
      <w:lvlText w:val="%2."/>
      <w:numFmt w:val="decimal"/>
      <w:start w:val="1"/>
    </w:lvl>
  </w:abstractNum>
  <w:abstractNum w:abstractNumId="124">
    <w:nsid w:val="79F0D62F"/>
    <w:multiLevelType w:val="hybridMultilevel"/>
    <w:lvl w:ilvl="0">
      <w:lvlJc w:val="left"/>
      <w:lvlText w:val="%1."/>
      <w:numFmt w:val="upperLetter"/>
      <w:start w:val="2"/>
    </w:lvl>
    <w:lvl w:ilvl="1">
      <w:lvlJc w:val="left"/>
      <w:lvlText w:val="%2"/>
      <w:numFmt w:val="decimal"/>
      <w:start w:val="1"/>
    </w:lvl>
  </w:abstractNum>
  <w:abstractNum w:abstractNumId="125">
    <w:nsid w:val="7975E8EE"/>
    <w:multiLevelType w:val="hybridMultilevel"/>
    <w:lvl w:ilvl="0">
      <w:lvlJc w:val="left"/>
      <w:lvlText w:val="%1."/>
      <w:numFmt w:val="decimal"/>
      <w:start w:val="1"/>
    </w:lvl>
  </w:abstractNum>
  <w:abstractNum w:abstractNumId="126">
    <w:nsid w:val="73154115"/>
    <w:multiLevelType w:val="hybridMultilevel"/>
    <w:lvl w:ilvl="0">
      <w:lvlJc w:val="left"/>
      <w:lvlText w:val="%1."/>
      <w:numFmt w:val="decimal"/>
      <w:start w:val="2"/>
    </w:lvl>
  </w:abstractNum>
  <w:abstractNum w:abstractNumId="127">
    <w:nsid w:val="622D8102"/>
    <w:multiLevelType w:val="hybridMultilevel"/>
    <w:lvl w:ilvl="0">
      <w:lvlJc w:val="left"/>
      <w:lvlText w:val="(%1)"/>
      <w:numFmt w:val="lowerLetter"/>
      <w:start w:val="1"/>
    </w:lvl>
    <w:lvl w:ilvl="1">
      <w:lvlJc w:val="left"/>
      <w:lvlText w:val="(%2)"/>
      <w:numFmt w:val="lowerRoman"/>
      <w:start w:val="1"/>
    </w:lvl>
  </w:abstractNum>
  <w:abstractNum w:abstractNumId="128">
    <w:nsid w:val="2AB26587"/>
    <w:multiLevelType w:val="hybridMultilevel"/>
    <w:lvl w:ilvl="0">
      <w:lvlJc w:val="left"/>
      <w:lvlText w:val="(%1)"/>
      <w:numFmt w:val="decimal"/>
      <w:start w:val="2"/>
    </w:lvl>
  </w:abstractNum>
  <w:abstractNum w:abstractNumId="129">
    <w:nsid w:val="44B3FA61"/>
    <w:multiLevelType w:val="hybridMultilevel"/>
    <w:lvl w:ilvl="0">
      <w:lvlJc w:val="left"/>
      <w:lvlText w:val="(%1)"/>
      <w:numFmt w:val="lowerLetter"/>
      <w:start w:val="2"/>
    </w:lvl>
  </w:abstractNum>
  <w:abstractNum w:abstractNumId="130">
    <w:nsid w:val="1C0CA67C"/>
    <w:multiLevelType w:val="hybridMultilevel"/>
    <w:lvl w:ilvl="0">
      <w:lvlJc w:val="left"/>
      <w:lvlText w:val="%1"/>
      <w:numFmt w:val="lowerLetter"/>
      <w:start w:val="1"/>
    </w:lvl>
    <w:lvl w:ilvl="1">
      <w:lvlJc w:val="left"/>
      <w:lvlText w:val="(%2)"/>
      <w:numFmt w:val="lowerLetter"/>
      <w:start w:val="1"/>
    </w:lvl>
  </w:abstractNum>
  <w:abstractNum w:abstractNumId="131">
    <w:nsid w:val="3D206613"/>
    <w:multiLevelType w:val="hybridMultilevel"/>
    <w:lvl w:ilvl="0">
      <w:lvlJc w:val="left"/>
      <w:lvlText w:val="(%1)"/>
      <w:numFmt w:val="lowerLetter"/>
      <w:start w:val="61"/>
    </w:lvl>
    <w:lvl w:ilvl="1">
      <w:lvlJc w:val="left"/>
      <w:lvlText w:val="%2"/>
      <w:numFmt w:val="lowerLetter"/>
      <w:start w:val="1"/>
    </w:lvl>
  </w:abstractNum>
  <w:abstractNum w:abstractNumId="132">
    <w:nsid w:val="7993B66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33">
    <w:nsid w:val="3BAB699E"/>
    <w:multiLevelType w:val="hybridMultilevel"/>
    <w:lvl w:ilvl="0">
      <w:lvlJc w:val="left"/>
      <w:lvlText w:val="%1."/>
      <w:numFmt w:val="decimal"/>
      <w:start w:val="3"/>
    </w:lvl>
  </w:abstractNum>
  <w:abstractNum w:abstractNumId="134">
    <w:nsid w:val="71315369"/>
    <w:multiLevelType w:val="hybridMultilevel"/>
    <w:lvl w:ilvl="0">
      <w:lvlJc w:val="left"/>
      <w:lvlText w:val="(%1)"/>
      <w:numFmt w:val="lowerLetter"/>
      <w:start w:val="25"/>
    </w:lvl>
  </w:abstractNum>
  <w:abstractNum w:abstractNumId="135">
    <w:nsid w:val="7BCFBAFC"/>
    <w:multiLevelType w:val="hybridMultilevel"/>
    <w:lvl w:ilvl="0">
      <w:lvlJc w:val="left"/>
      <w:lvlText w:val="%1."/>
      <w:numFmt w:val="decimal"/>
      <w:start w:val="4"/>
    </w:lvl>
  </w:abstractNum>
  <w:abstractNum w:abstractNumId="136">
    <w:nsid w:val="17859F72"/>
    <w:multiLevelType w:val="hybridMultilevel"/>
    <w:lvl w:ilvl="0">
      <w:lvlJc w:val="left"/>
      <w:lvlText w:val="(%1)"/>
      <w:numFmt w:val="lowerLetter"/>
      <w:start w:val="2"/>
    </w:lvl>
  </w:abstractNum>
  <w:abstractNum w:abstractNumId="137">
    <w:nsid w:val="3AA10581"/>
    <w:multiLevelType w:val="hybridMultilevel"/>
    <w:lvl w:ilvl="0">
      <w:lvlJc w:val="left"/>
      <w:lvlText w:val="(%1)"/>
      <w:numFmt w:val="lowerLetter"/>
      <w:start w:val="3"/>
    </w:lvl>
    <w:lvl w:ilvl="1">
      <w:lvlJc w:val="left"/>
      <w:lvlText w:val="(%2)"/>
      <w:numFmt w:val="lowerRoman"/>
      <w:start w:val="1"/>
    </w:lvl>
  </w:abstractNum>
  <w:abstractNum w:abstractNumId="138">
    <w:nsid w:val="63DE60CD"/>
    <w:multiLevelType w:val="hybridMultilevel"/>
    <w:lvl w:ilvl="0">
      <w:lvlJc w:val="left"/>
      <w:lvlText w:val="(%1)"/>
      <w:numFmt w:val="lowerRoman"/>
      <w:start w:val="6"/>
    </w:lvl>
  </w:abstractNum>
  <w:abstractNum w:abstractNumId="139">
    <w:nsid w:val="621AF471"/>
    <w:multiLevelType w:val="hybridMultilevel"/>
    <w:lvl w:ilvl="0">
      <w:lvlJc w:val="left"/>
      <w:lvlText w:val="(%1)"/>
      <w:numFmt w:val="lowerLetter"/>
      <w:start w:val="1"/>
    </w:lvl>
  </w:abstractNum>
  <w:abstractNum w:abstractNumId="140">
    <w:nsid w:val="73CFE165"/>
    <w:multiLevelType w:val="hybridMultilevel"/>
    <w:lvl w:ilvl="0">
      <w:lvlJc w:val="left"/>
      <w:lvlText w:val="(%1)"/>
      <w:numFmt w:val="lowerLetter"/>
      <w:start w:val="2"/>
    </w:lvl>
  </w:abstractNum>
  <w:abstractNum w:abstractNumId="141">
    <w:nsid w:val="20F88EA6"/>
    <w:multiLevelType w:val="hybridMultilevel"/>
    <w:lvl w:ilvl="0">
      <w:lvlJc w:val="left"/>
      <w:lvlText w:val="(%1)"/>
      <w:numFmt w:val="lowerLetter"/>
      <w:start w:val="1"/>
    </w:lvl>
  </w:abstractNum>
  <w:abstractNum w:abstractNumId="142">
    <w:nsid w:val="617C843E"/>
    <w:multiLevelType w:val="hybridMultilevel"/>
    <w:lvl w:ilvl="0">
      <w:lvlJc w:val="left"/>
      <w:lvlText w:val="(%1)"/>
      <w:numFmt w:val="lowerLetter"/>
      <w:start w:val="1"/>
    </w:lvl>
    <w:lvl w:ilvl="1">
      <w:lvlJc w:val="left"/>
      <w:lvlText w:val="(%2)"/>
      <w:numFmt w:val="lowerRoman"/>
      <w:start w:val="1"/>
    </w:lvl>
  </w:abstractNum>
  <w:abstractNum w:abstractNumId="143">
    <w:nsid w:val="7B541FAB"/>
    <w:multiLevelType w:val="hybridMultilevel"/>
    <w:lvl w:ilvl="0">
      <w:lvlJc w:val="left"/>
      <w:lvlText w:val="(%1)"/>
      <w:numFmt w:val="lowerRoman"/>
      <w:start w:val="2"/>
    </w:lvl>
  </w:abstractNum>
  <w:abstractNum w:abstractNumId="144">
    <w:nsid w:val="2A79EC49"/>
    <w:multiLevelType w:val="hybridMultilevel"/>
    <w:lvl w:ilvl="0">
      <w:lvlJc w:val="left"/>
      <w:lvlText w:val="(%1)"/>
      <w:numFmt w:val="decimal"/>
      <w:start w:val="1"/>
    </w:lvl>
  </w:abstractNum>
  <w:abstractNum w:abstractNumId="145">
    <w:nsid w:val="338125CF"/>
    <w:multiLevelType w:val="hybridMultilevel"/>
    <w:lvl w:ilvl="0">
      <w:lvlJc w:val="left"/>
      <w:lvlText w:val="(%1)"/>
      <w:numFmt w:val="decimal"/>
      <w:start w:val="2"/>
    </w:lvl>
  </w:abstractNum>
  <w:abstractNum w:abstractNumId="146">
    <w:nsid w:val="47C7C971"/>
    <w:multiLevelType w:val="hybridMultilevel"/>
    <w:lvl w:ilvl="0">
      <w:lvlJc w:val="left"/>
      <w:lvlText w:val="(%1)"/>
      <w:numFmt w:val="decimal"/>
      <w:start w:val="10"/>
    </w:lvl>
  </w:abstractNum>
  <w:abstractNum w:abstractNumId="147">
    <w:nsid w:val="46F8284B"/>
    <w:multiLevelType w:val="hybridMultilevel"/>
    <w:lvl w:ilvl="0">
      <w:lvlJc w:val="left"/>
      <w:lvlText w:val="(%1)"/>
      <w:numFmt w:val="lowerLetter"/>
      <w:start w:val="1"/>
    </w:lvl>
  </w:abstractNum>
  <w:abstractNum w:abstractNumId="148">
    <w:nsid w:val="4FA327CE"/>
    <w:multiLevelType w:val="hybridMultilevel"/>
    <w:lvl w:ilvl="0">
      <w:lvlJc w:val="left"/>
      <w:lvlText w:val="%1."/>
      <w:numFmt w:val="decimal"/>
      <w:start w:val="5"/>
    </w:lvl>
  </w:abstractNum>
  <w:abstractNum w:abstractNumId="149">
    <w:nsid w:val="1873983A"/>
    <w:multiLevelType w:val="hybridMultilevel"/>
    <w:lvl w:ilvl="0">
      <w:lvlJc w:val="left"/>
      <w:lvlText w:val="(%1)"/>
      <w:numFmt w:val="lowerRoman"/>
      <w:start w:val="1"/>
    </w:lvl>
  </w:abstractNum>
  <w:abstractNum w:abstractNumId="150">
    <w:nsid w:val="3D2DD275"/>
    <w:multiLevelType w:val="hybridMultilevel"/>
    <w:lvl w:ilvl="0">
      <w:lvlJc w:val="left"/>
      <w:lvlText w:val="%1."/>
      <w:numFmt w:val="decimal"/>
      <w:start w:val="6"/>
    </w:lvl>
  </w:abstractNum>
  <w:abstractNum w:abstractNumId="151">
    <w:nsid w:val="2E17ECA7"/>
    <w:multiLevelType w:val="hybridMultilevel"/>
    <w:lvl w:ilvl="0">
      <w:lvlJc w:val="left"/>
      <w:lvlText w:val="(%1)"/>
      <w:numFmt w:val="lowerLetter"/>
      <w:start w:val="1"/>
    </w:lvl>
  </w:abstractNum>
  <w:abstractNum w:abstractNumId="152">
    <w:nsid w:val="53B2564F"/>
    <w:multiLevelType w:val="hybridMultilevel"/>
    <w:lvl w:ilvl="0">
      <w:lvlJc w:val="left"/>
      <w:lvlText w:val="%1."/>
      <w:numFmt w:val="decimal"/>
      <w:start w:val="7"/>
    </w:lvl>
  </w:abstractNum>
  <w:abstractNum w:abstractNumId="153">
    <w:nsid w:val="75509D76"/>
    <w:multiLevelType w:val="hybridMultilevel"/>
    <w:lvl w:ilvl="0">
      <w:lvlJc w:val="left"/>
      <w:lvlText w:val="%1."/>
      <w:numFmt w:val="decimal"/>
      <w:start w:val="3"/>
    </w:lvl>
  </w:abstractNum>
  <w:abstractNum w:abstractNumId="154">
    <w:nsid w:val="1AF7F0EA"/>
    <w:multiLevelType w:val="hybridMultilevel"/>
    <w:lvl w:ilvl="0">
      <w:lvlJc w:val="left"/>
      <w:lvlText w:val="%1."/>
      <w:numFmt w:val="decimal"/>
      <w:start w:val="1"/>
    </w:lvl>
    <w:lvl w:ilvl="1">
      <w:lvlJc w:val="left"/>
      <w:lvlText w:val="(%2)"/>
      <w:numFmt w:val="lowerLetter"/>
      <w:start w:val="1"/>
    </w:lvl>
  </w:abstractNum>
  <w:abstractNum w:abstractNumId="155">
    <w:nsid w:val="4DA32C7E"/>
    <w:multiLevelType w:val="hybridMultilevel"/>
    <w:lvl w:ilvl="0">
      <w:lvlJc w:val="left"/>
      <w:lvlText w:val="(%1)"/>
      <w:numFmt w:val="lowerLetter"/>
      <w:start w:val="4"/>
    </w:lvl>
  </w:abstractNum>
  <w:abstractNum w:abstractNumId="156">
    <w:nsid w:val="6EC68664"/>
    <w:multiLevelType w:val="hybridMultilevel"/>
    <w:lvl w:ilvl="0">
      <w:lvlJc w:val="left"/>
      <w:lvlText w:val="%1"/>
      <w:numFmt w:val="decimal"/>
      <w:start w:val="1"/>
    </w:lvl>
    <w:lvl w:ilvl="1">
      <w:lvlJc w:val="left"/>
      <w:lvlText w:val="(%2)"/>
      <w:numFmt w:val="lowerLetter"/>
      <w:start w:val="9"/>
    </w:lvl>
  </w:abstractNum>
  <w:abstractNum w:abstractNumId="157">
    <w:nsid w:val="E0D31FF"/>
    <w:multiLevelType w:val="hybridMultilevel"/>
    <w:lvl w:ilvl="0">
      <w:lvlJc w:val="left"/>
      <w:lvlText w:val="%1."/>
      <w:numFmt w:val="decimal"/>
      <w:start w:val="2"/>
    </w:lvl>
    <w:lvl w:ilvl="1">
      <w:lvlJc w:val="left"/>
      <w:lvlText w:val="(%2)"/>
      <w:numFmt w:val="lowerLetter"/>
      <w:start w:val="1"/>
    </w:lvl>
  </w:abstractNum>
  <w:abstractNum w:abstractNumId="158">
    <w:nsid w:val="2FD0AD81"/>
    <w:multiLevelType w:val="hybridMultilevel"/>
    <w:lvl w:ilvl="0">
      <w:lvlJc w:val="left"/>
      <w:lvlText w:val="(%1)"/>
      <w:numFmt w:val="lowerLetter"/>
      <w:start w:val="3"/>
    </w:lvl>
  </w:abstractNum>
  <w:abstractNum w:abstractNumId="159">
    <w:nsid w:val="1978EBEB"/>
    <w:multiLevelType w:val="hybridMultilevel"/>
    <w:lvl w:ilvl="0">
      <w:lvlJc w:val="left"/>
      <w:lvlText w:val="(%1)"/>
      <w:numFmt w:val="lowerLetter"/>
      <w:start w:val="10"/>
    </w:lvl>
  </w:abstractNum>
  <w:abstractNum w:abstractNumId="160">
    <w:nsid w:val="52C12C61"/>
    <w:multiLevelType w:val="hybridMultilevel"/>
    <w:lvl w:ilvl="0">
      <w:lvlJc w:val="left"/>
      <w:lvlText w:val="(%1)"/>
      <w:numFmt w:val="lowerRoman"/>
      <w:start w:val="1"/>
    </w:lvl>
  </w:abstractNum>
  <w:abstractNum w:abstractNumId="161">
    <w:nsid w:val="4BDD53FD"/>
    <w:multiLevelType w:val="hybridMultilevel"/>
    <w:lvl w:ilvl="0">
      <w:lvlJc w:val="left"/>
      <w:lvlText w:val="%1."/>
      <w:numFmt w:val="decimal"/>
      <w:start w:val="3"/>
    </w:lvl>
    <w:lvl w:ilvl="1">
      <w:lvlJc w:val="left"/>
      <w:lvlText w:val="(%2)"/>
      <w:numFmt w:val="lowerLetter"/>
      <w:start w:val="1"/>
    </w:lvl>
  </w:abstractNum>
  <w:abstractNum w:abstractNumId="162">
    <w:nsid w:val="569951FE"/>
    <w:multiLevelType w:val="hybridMultilevel"/>
    <w:lvl w:ilvl="0">
      <w:lvlJc w:val="left"/>
      <w:lvlText w:val="(%1)"/>
      <w:numFmt w:val="lowerLetter"/>
      <w:start w:val="2"/>
    </w:lvl>
  </w:abstractNum>
  <w:abstractNum w:abstractNumId="163">
    <w:nsid w:val="4C54E2C3"/>
    <w:multiLevelType w:val="hybridMultilevel"/>
    <w:lvl w:ilvl="0">
      <w:lvlJc w:val="left"/>
      <w:lvlText w:val="(%1)"/>
      <w:numFmt w:val="lowerLetter"/>
      <w:start w:val="8"/>
    </w:lvl>
  </w:abstractNum>
  <w:abstractNum w:abstractNumId="164">
    <w:nsid w:val="788BD9B"/>
    <w:multiLevelType w:val="hybridMultilevel"/>
    <w:lvl w:ilvl="0">
      <w:lvlJc w:val="left"/>
      <w:lvlText w:val="(%1)"/>
      <w:numFmt w:val="lowerLetter"/>
      <w:start w:val="10"/>
    </w:lvl>
  </w:abstractNum>
  <w:abstractNum w:abstractNumId="165">
    <w:nsid w:val="47CAA567"/>
    <w:multiLevelType w:val="hybridMultilevel"/>
    <w:lvl w:ilvl="0">
      <w:lvlJc w:val="left"/>
      <w:lvlText w:val="(%1)"/>
      <w:numFmt w:val="lowerLetter"/>
      <w:start w:val="12"/>
    </w:lvl>
  </w:abstractNum>
  <w:abstractNum w:abstractNumId="166">
    <w:nsid w:val="48249DBF"/>
    <w:multiLevelType w:val="hybridMultilevel"/>
    <w:lvl w:ilvl="0">
      <w:lvlJc w:val="left"/>
      <w:lvlText w:val="%1"/>
      <w:numFmt w:val="decimal"/>
      <w:start w:val="1"/>
    </w:lvl>
    <w:lvl w:ilvl="1">
      <w:lvlJc w:val="left"/>
      <w:lvlText w:val="(%2)"/>
      <w:numFmt w:val="lowerLetter"/>
      <w:start w:val="13"/>
    </w:lvl>
  </w:abstractNum>
  <w:abstractNum w:abstractNumId="167">
    <w:nsid w:val="1F0E5D0D"/>
    <w:multiLevelType w:val="hybridMultilevel"/>
    <w:lvl w:ilvl="0">
      <w:lvlJc w:val="left"/>
      <w:lvlText w:val="%1."/>
      <w:numFmt w:val="decimal"/>
      <w:start w:val="4"/>
    </w:lvl>
    <w:lvl w:ilvl="1">
      <w:lvlJc w:val="left"/>
      <w:lvlText w:val="(%2)"/>
      <w:numFmt w:val="lowerLetter"/>
      <w:start w:val="1"/>
    </w:lvl>
  </w:abstractNum>
  <w:abstractNum w:abstractNumId="168">
    <w:nsid w:val="26BAAE9"/>
    <w:multiLevelType w:val="hybridMultilevel"/>
    <w:lvl w:ilvl="0">
      <w:lvlJc w:val="left"/>
      <w:lvlText w:val="(%1)"/>
      <w:numFmt w:val="lowerLetter"/>
      <w:start w:val="2"/>
    </w:lvl>
  </w:abstractNum>
  <w:abstractNum w:abstractNumId="169">
    <w:nsid w:val="2C02FE8C"/>
    <w:multiLevelType w:val="hybridMultilevel"/>
    <w:lvl w:ilvl="0">
      <w:lvlJc w:val="left"/>
      <w:lvlText w:val="(%1)"/>
      <w:numFmt w:val="lowerLetter"/>
      <w:start w:val="4"/>
    </w:lvl>
  </w:abstractNum>
  <w:abstractNum w:abstractNumId="170">
    <w:nsid w:val="129517E"/>
    <w:multiLevelType w:val="hybridMultilevel"/>
    <w:lvl w:ilvl="0">
      <w:lvlJc w:val="left"/>
      <w:lvlText w:val="(%1)"/>
      <w:numFmt w:val="lowerLetter"/>
      <w:start w:val="5"/>
    </w:lvl>
  </w:abstractNum>
  <w:abstractNum w:abstractNumId="171">
    <w:nsid w:val="763B8C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2">
    <w:nsid w:val="4CFB8D32"/>
    <w:multiLevelType w:val="hybridMultilevel"/>
    <w:lvl w:ilvl="0">
      <w:lvlJc w:val="left"/>
      <w:lvlText w:val="%1"/>
      <w:numFmt w:val="lowerLetter"/>
      <w:start w:val="1"/>
    </w:lvl>
    <w:lvl w:ilvl="1">
      <w:lvlJc w:val="left"/>
      <w:lvlText w:val="(%2)"/>
      <w:numFmt w:val="lowerRoman"/>
      <w:start w:val="7"/>
    </w:lvl>
  </w:abstractNum>
  <w:abstractNum w:abstractNumId="173">
    <w:nsid w:val="62A5D5BD"/>
    <w:multiLevelType w:val="hybridMultilevel"/>
    <w:lvl w:ilvl="0">
      <w:lvlJc w:val="left"/>
      <w:lvlText w:val="(%1)"/>
      <w:numFmt w:val="lowerLetter"/>
      <w:start w:val="2"/>
    </w:lvl>
    <w:lvl w:ilvl="1">
      <w:lvlJc w:val="left"/>
      <w:lvlText w:val="(%2)"/>
      <w:numFmt w:val="lowerRoman"/>
      <w:start w:val="1"/>
    </w:lvl>
  </w:abstractNum>
  <w:abstractNum w:abstractNumId="174">
    <w:nsid w:val="718FABF9"/>
    <w:multiLevelType w:val="hybridMultilevel"/>
    <w:lvl w:ilvl="0">
      <w:lvlJc w:val="left"/>
      <w:lvlText w:val="%1"/>
      <w:numFmt w:val="lowerLetter"/>
      <w:start w:val="1"/>
    </w:lvl>
    <w:lvl w:ilvl="1">
      <w:lvlJc w:val="left"/>
      <w:lvlText w:val="(%2)"/>
      <w:numFmt w:val="lowerRoman"/>
      <w:start w:val="3"/>
    </w:lvl>
  </w:abstractNum>
  <w:abstractNum w:abstractNumId="175">
    <w:nsid w:val="7775797C"/>
    <w:multiLevelType w:val="hybridMultilevel"/>
    <w:lvl w:ilvl="0">
      <w:lvlJc w:val="left"/>
      <w:lvlText w:val="(%1)"/>
      <w:numFmt w:val="lowerLetter"/>
      <w:start w:val="3"/>
    </w:lvl>
    <w:lvl w:ilvl="1">
      <w:lvlJc w:val="left"/>
      <w:lvlText w:val="%2"/>
      <w:numFmt w:val="lowerRoman"/>
      <w:start w:val="1"/>
    </w:lvl>
  </w:abstractNum>
  <w:abstractNum w:abstractNumId="176">
    <w:nsid w:val="1626FB8C"/>
    <w:multiLevelType w:val="hybridMultilevel"/>
    <w:lvl w:ilvl="0">
      <w:lvlJc w:val="left"/>
      <w:lvlText w:val="(%1)"/>
      <w:numFmt w:val="lowerLetter"/>
      <w:start w:val="5"/>
    </w:lvl>
    <w:lvl w:ilvl="1">
      <w:lvlJc w:val="left"/>
      <w:lvlText w:val="(%2)"/>
      <w:numFmt w:val="lowerRoman"/>
      <w:start w:val="1"/>
    </w:lvl>
  </w:abstractNum>
  <w:abstractNum w:abstractNumId="177">
    <w:nsid w:val="3957756A"/>
    <w:multiLevelType w:val="hybridMultilevel"/>
    <w:lvl w:ilvl="0">
      <w:lvlJc w:val="left"/>
      <w:lvlText w:val="(%1)"/>
      <w:numFmt w:val="lowerLetter"/>
      <w:start w:val="6"/>
    </w:lvl>
    <w:lvl w:ilvl="1">
      <w:lvlJc w:val="left"/>
      <w:lvlText w:val="(%2)"/>
      <w:numFmt w:val="lowerRoman"/>
      <w:start w:val="1"/>
    </w:lvl>
  </w:abstractNum>
  <w:abstractNum w:abstractNumId="178">
    <w:nsid w:val="3E6DA1C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79">
    <w:nsid w:val="65CA235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80">
    <w:nsid w:val="51CB0DA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81">
    <w:nsid w:val="7B9B743C"/>
    <w:multiLevelType w:val="hybridMultilevel"/>
    <w:lvl w:ilvl="0">
      <w:lvlJc w:val="left"/>
      <w:lvlText w:val="(%1)"/>
      <w:numFmt w:val="lowerLetter"/>
      <w:start w:val="5"/>
    </w:lvl>
  </w:abstractNum>
  <w:abstractNum w:abstractNumId="182">
    <w:nsid w:val="13E2100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3">
    <w:nsid w:val="257D63F4"/>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abstractNum>
  <w:abstractNum w:abstractNumId="184">
    <w:nsid w:val="70EC11B2"/>
    <w:multiLevelType w:val="hybridMultilevel"/>
    <w:lvl w:ilvl="0">
      <w:lvlJc w:val="left"/>
      <w:lvlText w:val="%1"/>
      <w:numFmt w:val="lowerLetter"/>
      <w:start w:val="1"/>
    </w:lvl>
    <w:lvl w:ilvl="1">
      <w:lvlJc w:val="left"/>
      <w:lvlText w:val="(%2)"/>
      <w:numFmt w:val="lowerLetter"/>
      <w:start w:val="2"/>
    </w:lvl>
  </w:abstractNum>
  <w:abstractNum w:abstractNumId="185">
    <w:nsid w:val="2EDA00ED"/>
    <w:multiLevelType w:val="hybridMultilevel"/>
    <w:lvl w:ilvl="0">
      <w:lvlJc w:val="left"/>
      <w:lvlText w:val="(%1)"/>
      <w:numFmt w:val="lowerLetter"/>
      <w:start w:val="35"/>
    </w:lvl>
    <w:lvl w:ilvl="1">
      <w:lvlJc w:val="left"/>
      <w:lvlText w:val="(%2)"/>
      <w:numFmt w:val="lowerLetter"/>
      <w:start w:val="3"/>
    </w:lvl>
  </w:abstractNum>
  <w:abstractNum w:abstractNumId="186">
    <w:nsid w:val="73209072"/>
    <w:multiLevelType w:val="hybridMultilevel"/>
    <w:lvl w:ilvl="0">
      <w:lvlJc w:val="left"/>
      <w:lvlText w:val="(%1)"/>
      <w:numFmt w:val="lowerLetter"/>
      <w:start w:val="1"/>
    </w:lvl>
  </w:abstractNum>
  <w:abstractNum w:abstractNumId="187">
    <w:nsid w:val="5FB29816"/>
    <w:multiLevelType w:val="hybridMultilevel"/>
    <w:lvl w:ilvl="0">
      <w:lvlJc w:val="left"/>
      <w:lvlText w:val="(%1)"/>
      <w:numFmt w:val="lowerLetter"/>
      <w:start w:val="2"/>
    </w:lvl>
  </w:abstractNum>
  <w:abstractNum w:abstractNumId="188">
    <w:nsid w:val="3CE732EC"/>
    <w:multiLevelType w:val="hybridMultilevel"/>
    <w:lvl w:ilvl="0">
      <w:lvlJc w:val="left"/>
      <w:lvlText w:val="(%1)"/>
      <w:numFmt w:val="lowerLetter"/>
      <w:start w:val="1"/>
    </w:lvl>
  </w:abstractNum>
  <w:abstractNum w:abstractNumId="189">
    <w:nsid w:val="22F13DF3"/>
    <w:multiLevelType w:val="hybridMultilevel"/>
    <w:lvl w:ilvl="0">
      <w:lvlJc w:val="left"/>
      <w:lvlText w:val="(%1)"/>
      <w:numFmt w:val="lowerLetter"/>
      <w:start w:val="8"/>
    </w:lvl>
  </w:abstractNum>
  <w:abstractNum w:abstractNumId="190">
    <w:nsid w:val="792B8401"/>
    <w:multiLevelType w:val="hybridMultilevel"/>
    <w:lvl w:ilvl="0">
      <w:lvlJc w:val="left"/>
      <w:lvlText w:val="(%1)"/>
      <w:numFmt w:val="lowerLetter"/>
      <w:start w:val="1"/>
    </w:lvl>
  </w:abstractNum>
  <w:abstractNum w:abstractNumId="191">
    <w:nsid w:val="FA85F4D"/>
    <w:multiLevelType w:val="hybridMultilevel"/>
    <w:lvl w:ilvl="0">
      <w:lvlJc w:val="left"/>
      <w:lvlText w:val="%1"/>
      <w:numFmt w:val="lowerLetter"/>
      <w:start w:val="1"/>
    </w:lvl>
    <w:lvl w:ilvl="1">
      <w:lvlJc w:val="left"/>
      <w:lvlText w:val="(%2)"/>
      <w:numFmt w:val="lowerLetter"/>
      <w:start w:val="3"/>
    </w:lvl>
  </w:abstractNum>
  <w:abstractNum w:abstractNumId="192">
    <w:nsid w:val="6ECE91F0"/>
    <w:multiLevelType w:val="hybridMultilevel"/>
    <w:lvl w:ilvl="0">
      <w:lvlJc w:val="left"/>
      <w:lvlText w:val="(%1)"/>
      <w:numFmt w:val="lowerLetter"/>
      <w:start w:val="35"/>
    </w:lvl>
    <w:lvl w:ilvl="1">
      <w:lvlJc w:val="left"/>
      <w:lvlText w:val="%2"/>
      <w:numFmt w:val="lowerLetter"/>
      <w:start w:val="1"/>
    </w:lvl>
  </w:abstractNum>
  <w:abstractNum w:abstractNumId="193">
    <w:nsid w:val="4FC4D600"/>
    <w:multiLevelType w:val="hybridMultilevel"/>
    <w:lvl w:ilvl="0">
      <w:lvlJc w:val="left"/>
      <w:lvlText w:val="(%1)"/>
      <w:numFmt w:val="lowerLetter"/>
      <w:start w:val="5"/>
    </w:lvl>
  </w:abstractNum>
  <w:abstractNum w:abstractNumId="194">
    <w:nsid w:val="5BFD4210"/>
    <w:multiLevelType w:val="hybridMultilevel"/>
    <w:lvl w:ilvl="0">
      <w:lvlJc w:val="left"/>
      <w:lvlText w:val="%1"/>
      <w:numFmt w:val="lowerLetter"/>
      <w:start w:val="1"/>
    </w:lvl>
    <w:lvl w:ilvl="1">
      <w:lvlJc w:val="left"/>
      <w:lvlText w:val="(%2)"/>
      <w:numFmt w:val="lowerLetter"/>
      <w:start w:val="1"/>
    </w:lvl>
  </w:abstractNum>
  <w:abstractNum w:abstractNumId="195">
    <w:nsid w:val="76574F8B"/>
    <w:multiLevelType w:val="hybridMultilevel"/>
    <w:lvl w:ilvl="0">
      <w:lvlJc w:val="left"/>
      <w:lvlText w:val="(%1)"/>
      <w:numFmt w:val="lowerLetter"/>
      <w:start w:val="61"/>
    </w:lvl>
    <w:lvl w:ilvl="1">
      <w:lvlJc w:val="left"/>
      <w:lvlText w:val="%2"/>
      <w:numFmt w:val="lowerLetter"/>
      <w:start w:val="1"/>
    </w:lvl>
  </w:abstractNum>
  <w:abstractNum w:abstractNumId="196">
    <w:nsid w:val="178F7B67"/>
    <w:multiLevelType w:val="hybridMultilevel"/>
    <w:lvl w:ilvl="0">
      <w:lvlJc w:val="left"/>
      <w:lvlText w:val="(%1)"/>
      <w:numFmt w:val="lowerLetter"/>
      <w:start w:val="1"/>
    </w:lvl>
  </w:abstractNum>
  <w:abstractNum w:abstractNumId="197">
    <w:nsid w:val="2421DFCF"/>
    <w:multiLevelType w:val="hybridMultilevel"/>
    <w:lvl w:ilvl="0">
      <w:lvlJc w:val="left"/>
      <w:lvlText w:val="(%1)"/>
      <w:numFmt w:val="lowerLetter"/>
      <w:start w:val="3"/>
    </w:lvl>
  </w:abstractNum>
  <w:abstractNum w:abstractNumId="198">
    <w:nsid w:val="1565AC99"/>
    <w:multiLevelType w:val="hybridMultilevel"/>
    <w:lvl w:ilvl="0">
      <w:lvlJc w:val="left"/>
      <w:lvlText w:val="(%1)"/>
      <w:numFmt w:val="lowerLetter"/>
      <w:start w:val="1"/>
    </w:lvl>
  </w:abstractNum>
  <w:abstractNum w:abstractNumId="199">
    <w:nsid w:val="19FB2650"/>
    <w:multiLevelType w:val="hybridMultilevel"/>
    <w:lvl w:ilvl="0">
      <w:lvlJc w:val="left"/>
      <w:lvlText w:val="%1."/>
      <w:numFmt w:val="decimal"/>
      <w:start w:val="3"/>
    </w:lvl>
  </w:abstractNum>
  <w:abstractNum w:abstractNumId="200">
    <w:nsid w:val="5024DE5B"/>
    <w:multiLevelType w:val="hybridMultilevel"/>
    <w:lvl w:ilvl="0">
      <w:lvlJc w:val="left"/>
      <w:lvlText w:val="(%1)"/>
      <w:numFmt w:val="lowerLetter"/>
      <w:start w:val="1"/>
    </w:lvl>
  </w:abstractNum>
  <w:abstractNum w:abstractNumId="201">
    <w:nsid w:val="168EFE17"/>
    <w:multiLevelType w:val="hybridMultilevel"/>
    <w:lvl w:ilvl="0">
      <w:lvlJc w:val="left"/>
      <w:lvlText w:val="(%1)"/>
      <w:numFmt w:val="lowerLetter"/>
      <w:start w:val="3"/>
    </w:lvl>
  </w:abstractNum>
  <w:abstractNum w:abstractNumId="202">
    <w:nsid w:val="1036B29F"/>
    <w:multiLevelType w:val="hybridMultilevel"/>
    <w:lvl w:ilvl="0">
      <w:lvlJc w:val="left"/>
      <w:lvlText w:val="%1."/>
      <w:numFmt w:val="decimal"/>
      <w:start w:val="4"/>
    </w:lvl>
  </w:abstractNum>
  <w:abstractNum w:abstractNumId="203">
    <w:nsid w:val="1D206B8E"/>
    <w:multiLevelType w:val="hybridMultilevel"/>
    <w:lvl w:ilvl="0">
      <w:lvlJc w:val="left"/>
      <w:lvlText w:val="%1"/>
      <w:numFmt w:val="decimal"/>
      <w:start w:val="1"/>
    </w:lvl>
    <w:lvl w:ilvl="1">
      <w:lvlJc w:val="left"/>
      <w:lvlText w:val="(%2)"/>
      <w:numFmt w:val="lowerLetter"/>
      <w:start w:val="1"/>
    </w:lvl>
  </w:abstractNum>
  <w:abstractNum w:abstractNumId="204">
    <w:nsid w:val="7934D3D4"/>
    <w:multiLevelType w:val="hybridMultilevel"/>
    <w:lvl w:ilvl="0">
      <w:lvlJc w:val="left"/>
      <w:lvlText w:val="(%1)"/>
      <w:numFmt w:val="decimal"/>
      <w:start w:val="10"/>
    </w:lvl>
    <w:lvl w:ilvl="1">
      <w:lvlJc w:val="left"/>
      <w:lvlText w:val="%2"/>
      <w:numFmt w:val="lowerLetter"/>
      <w:start w:val="1"/>
    </w:lvl>
  </w:abstractNum>
  <w:abstractNum w:abstractNumId="205">
    <w:nsid w:val="1C65E98"/>
    <w:multiLevelType w:val="hybridMultilevel"/>
    <w:lvl w:ilvl="0">
      <w:lvlJc w:val="left"/>
      <w:lvlText w:val="(%1)"/>
      <w:numFmt w:val="lowerLetter"/>
      <w:start w:val="3"/>
    </w:lvl>
  </w:abstractNum>
  <w:abstractNum w:abstractNumId="206">
    <w:nsid w:val="1495E50A"/>
    <w:multiLevelType w:val="hybridMultilevel"/>
    <w:lvl w:ilvl="0">
      <w:lvlJc w:val="left"/>
      <w:lvlText w:val="%1."/>
      <w:numFmt w:val="decimal"/>
      <w:start w:val="5"/>
    </w:lvl>
  </w:abstractNum>
  <w:abstractNum w:abstractNumId="207">
    <w:nsid w:val="F5BCF61"/>
    <w:multiLevelType w:val="hybridMultilevel"/>
    <w:lvl w:ilvl="0">
      <w:lvlJc w:val="left"/>
      <w:lvlText w:val="(%1)"/>
      <w:numFmt w:val="lowerLetter"/>
      <w:start w:val="1"/>
    </w:lvl>
  </w:abstractNum>
  <w:abstractNum w:abstractNumId="208">
    <w:nsid w:val="3B1DD403"/>
    <w:multiLevelType w:val="hybridMultilevel"/>
    <w:lvl w:ilvl="0">
      <w:lvlJc w:val="left"/>
      <w:lvlText w:val="(%1)"/>
      <w:numFmt w:val="lowerLetter"/>
      <w:start w:val="2"/>
    </w:lvl>
  </w:abstractNum>
  <w:abstractNum w:abstractNumId="209">
    <w:nsid w:val="530386D1"/>
    <w:multiLevelType w:val="hybridMultilevel"/>
    <w:lvl w:ilvl="0">
      <w:lvlJc w:val="left"/>
      <w:lvlText w:val="%1."/>
      <w:numFmt w:val="decimal"/>
      <w:start w:val="6"/>
    </w:lvl>
  </w:abstractNum>
  <w:abstractNum w:abstractNumId="210">
    <w:nsid w:val="7525F2BC"/>
    <w:multiLevelType w:val="hybridMultilevel"/>
    <w:lvl w:ilvl="0">
      <w:lvlJc w:val="left"/>
      <w:lvlText w:val="%1:"/>
      <w:numFmt w:val="upperLetter"/>
      <w:start w:val="20"/>
    </w:lvl>
  </w:abstractNum>
  <w:abstractNum w:abstractNumId="211">
    <w:nsid w:val="CE8E1A7"/>
    <w:multiLevelType w:val="hybridMultilevel"/>
    <w:lvl w:ilvl="0">
      <w:lvlJc w:val="left"/>
      <w:lvlText w:val="%1:"/>
      <w:numFmt w:val="upperLetter"/>
      <w:start w:val="6"/>
    </w:lvl>
  </w:abstractNum>
  <w:abstractNum w:abstractNumId="212">
    <w:nsid w:val="4E9EFB0D"/>
    <w:multiLevelType w:val="hybridMultilevel"/>
    <w:lvl w:ilvl="0">
      <w:lvlJc w:val="left"/>
      <w:lvlText w:val="%1:"/>
      <w:numFmt w:val="upperLetter"/>
      <w:start w:val="20"/>
    </w:lvl>
  </w:abstractNum>
  <w:abstractNum w:abstractNumId="213">
    <w:nsid w:val="90802BE"/>
    <w:multiLevelType w:val="hybridMultilevel"/>
    <w:lvl w:ilvl="0">
      <w:lvlJc w:val="left"/>
      <w:lvlText w:val="%1:"/>
      <w:numFmt w:val="upperLetter"/>
      <w:start w:val="6"/>
    </w:lvl>
  </w:abstractNum>
  <w:abstractNum w:abstractNumId="214">
    <w:nsid w:val="3266459B"/>
    <w:multiLevelType w:val="hybridMultilevel"/>
    <w:lvl w:ilvl="0">
      <w:lvlJc w:val="left"/>
      <w:lvlText w:val="%1)"/>
      <w:numFmt w:val="decimal"/>
      <w:start w:val="2"/>
    </w:lvl>
  </w:abstractNum>
  <w:abstractNum w:abstractNumId="215">
    <w:nsid w:val="3F8B0CBF"/>
    <w:multiLevelType w:val="hybridMultilevel"/>
    <w:lvl w:ilvl="0">
      <w:lvlJc w:val="left"/>
      <w:lvlText w:val="(%1)"/>
      <w:numFmt w:val="decimal"/>
      <w:start w:val="1"/>
    </w:lvl>
  </w:abstractNum>
  <w:abstractNum w:abstractNumId="216">
    <w:nsid w:val="37E203AB"/>
    <w:multiLevelType w:val="hybridMultilevel"/>
    <w:lvl w:ilvl="0">
      <w:lvlJc w:val="left"/>
      <w:lvlText w:val="(%1)"/>
      <w:numFmt w:val="decimal"/>
      <w:start w:val="3"/>
    </w:lvl>
  </w:abstractNum>
  <w:abstractNum w:abstractNumId="217">
    <w:nsid w:val="2586D60E"/>
    <w:multiLevelType w:val="hybridMultilevel"/>
    <w:lvl w:ilvl="0">
      <w:lvlJc w:val="left"/>
      <w:lvlText w:val="(%1)"/>
      <w:numFmt w:val="lowerLetter"/>
      <w:start w:val="1"/>
    </w:lvl>
  </w:abstractNum>
  <w:abstractNum w:abstractNumId="218">
    <w:nsid w:val="1F3DA4D5"/>
    <w:multiLevelType w:val="hybridMultilevel"/>
    <w:lvl w:ilvl="0">
      <w:lvlJc w:val="left"/>
      <w:lvlText w:val="(%1)"/>
      <w:numFmt w:val="lowerLetter"/>
      <w:start w:val="4"/>
    </w:lvl>
  </w:abstractNum>
  <w:abstractNum w:abstractNumId="219">
    <w:nsid w:val="74C93698"/>
    <w:multiLevelType w:val="hybridMultilevel"/>
    <w:lvl w:ilvl="0">
      <w:lvlJc w:val="left"/>
      <w:lvlText w:val="(%1)"/>
      <w:numFmt w:val="lowerLetter"/>
      <w:start w:val="1"/>
    </w:lvl>
  </w:abstractNum>
  <w:abstractNum w:abstractNumId="220">
    <w:nsid w:val="48781401"/>
    <w:multiLevelType w:val="hybridMultilevel"/>
    <w:lvl w:ilvl="0">
      <w:lvlJc w:val="left"/>
      <w:lvlText w:val="(%1)"/>
      <w:numFmt w:val="lowerLetter"/>
      <w:start w:val="2"/>
    </w:lvl>
  </w:abstractNum>
  <w:abstractNum w:abstractNumId="221">
    <w:nsid w:val="186928D6"/>
    <w:multiLevelType w:val="hybridMultilevel"/>
    <w:lvl w:ilvl="0">
      <w:lvlJc w:val="left"/>
      <w:lvlText w:val="(%1)"/>
      <w:numFmt w:val="lowerLetter"/>
      <w:start w:val="1"/>
    </w:lvl>
  </w:abstractNum>
  <w:abstractNum w:abstractNumId="222">
    <w:nsid w:val="47195E5"/>
    <w:multiLevelType w:val="hybridMultilevel"/>
    <w:lvl w:ilvl="0">
      <w:lvlJc w:val="left"/>
      <w:lvlText w:val="(%1)"/>
      <w:numFmt w:val="decimal"/>
      <w:start w:val="1"/>
    </w:lvl>
  </w:abstractNum>
  <w:abstractNum w:abstractNumId="223">
    <w:nsid w:val="3746A5F2"/>
    <w:multiLevelType w:val="hybridMultilevel"/>
    <w:lvl w:ilvl="0">
      <w:lvlJc w:val="left"/>
      <w:lvlText w:val="(%1)"/>
      <w:numFmt w:val="lowerLetter"/>
      <w:start w:val="1"/>
    </w:lvl>
  </w:abstractNum>
  <w:abstractNum w:abstractNumId="224">
    <w:nsid w:val="682DFED6"/>
    <w:multiLevelType w:val="hybridMultilevel"/>
    <w:lvl w:ilvl="0">
      <w:lvlJc w:val="left"/>
      <w:lvlText w:val="☐"/>
      <w:numFmt w:val="bullet"/>
      <w:start w:val="1"/>
    </w:lvl>
  </w:abstractNum>
  <w:abstractNum w:abstractNumId="225">
    <w:nsid w:val="606ED7F6"/>
    <w:multiLevelType w:val="hybridMultilevel"/>
    <w:lvl w:ilvl="0">
      <w:lvlJc w:val="left"/>
      <w:lvlText w:val="%1."/>
      <w:numFmt w:val="decimal"/>
      <w:start w:val="2"/>
    </w:lvl>
  </w:abstractNum>
  <w:abstractNum w:abstractNumId="226">
    <w:nsid w:val="2D9DF57D"/>
    <w:multiLevelType w:val="hybridMultilevel"/>
    <w:lvl w:ilvl="0">
      <w:lvlJc w:val="left"/>
      <w:lvlText w:val="%1."/>
      <w:numFmt w:val="decimal"/>
      <w:start w:val="3"/>
    </w:lvl>
  </w:abstractNum>
  <w:abstractNum w:abstractNumId="227">
    <w:nsid w:val="7FBD7A3E"/>
    <w:multiLevelType w:val="hybridMultilevel"/>
    <w:lvl w:ilvl="0">
      <w:lvlJc w:val="left"/>
      <w:lvlText w:val="(%1)"/>
      <w:numFmt w:val="lowerLetter"/>
      <w:start w:val="1"/>
    </w:lvl>
  </w:abstractNum>
  <w:abstractNum w:abstractNumId="228">
    <w:nsid w:val="490B7C5"/>
    <w:multiLevelType w:val="hybridMultilevel"/>
    <w:lvl w:ilvl="0">
      <w:lvlJc w:val="left"/>
      <w:lvlText w:val="(%1)"/>
      <w:numFmt w:val="lowerRoman"/>
      <w:start w:val="1"/>
    </w:lvl>
  </w:abstractNum>
  <w:abstractNum w:abstractNumId="229">
    <w:nsid w:val="4303A216"/>
    <w:multiLevelType w:val="hybridMultilevel"/>
    <w:lvl w:ilvl="0">
      <w:lvlJc w:val="left"/>
      <w:lvlText w:val="(%1)"/>
      <w:numFmt w:val="lowerLetter"/>
      <w:start w:val="3"/>
    </w:lvl>
  </w:abstractNum>
  <w:abstractNum w:abstractNumId="230">
    <w:nsid w:val="19B8A08E"/>
    <w:multiLevelType w:val="hybridMultilevel"/>
    <w:lvl w:ilvl="0">
      <w:lvlJc w:val="left"/>
      <w:lvlText w:val="(%1)"/>
      <w:numFmt w:val="lowerLetter"/>
      <w:start w:val="5"/>
    </w:lvl>
  </w:abstractNum>
  <w:abstractNum w:abstractNumId="231">
    <w:nsid w:val="54B59621"/>
    <w:multiLevelType w:val="hybridMultilevel"/>
    <w:lvl w:ilvl="0">
      <w:lvlJc w:val="left"/>
      <w:lvlText w:val="(%1)"/>
      <w:numFmt w:val="lowerLetter"/>
      <w:start w:val="1"/>
    </w:lvl>
  </w:abstractNum>
  <w:abstractNum w:abstractNumId="232">
    <w:nsid w:val="5992A02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3">
    <w:nsid w:val="29EF532D"/>
    <w:multiLevelType w:val="hybridMultilevel"/>
    <w:lvl w:ilvl="0">
      <w:lvlJc w:val="left"/>
      <w:lvlText w:val="(%1)"/>
      <w:numFmt w:val="lowerRoman"/>
      <w:start w:val="2"/>
    </w:lvl>
    <w:lvl w:ilvl="1">
      <w:lvlJc w:val="left"/>
      <w:lvlText w:val="(%2)"/>
      <w:numFmt w:val="upperLetter"/>
      <w:start w:val="1"/>
    </w:lvl>
  </w:abstractNum>
  <w:abstractNum w:abstractNumId="234">
    <w:nsid w:val="71D601AF"/>
    <w:multiLevelType w:val="hybridMultilevel"/>
    <w:lvl w:ilvl="0">
      <w:lvlJc w:val="left"/>
      <w:lvlText w:val="(%1)"/>
      <w:numFmt w:val="lowerLetter"/>
      <w:start w:val="1"/>
    </w:lvl>
  </w:abstractNum>
  <w:abstractNum w:abstractNumId="235">
    <w:nsid w:val="52C77402"/>
    <w:multiLevelType w:val="hybridMultilevel"/>
    <w:lvl w:ilvl="0">
      <w:lvlJc w:val="left"/>
      <w:lvlText w:val="(%1)"/>
      <w:numFmt w:val="lowerRoman"/>
      <w:start w:val="1"/>
    </w:lvl>
    <w:lvl w:ilvl="1">
      <w:lvlJc w:val="left"/>
      <w:lvlText w:val="(%2)"/>
      <w:numFmt w:val="upperLetter"/>
      <w:start w:val="1"/>
    </w:lvl>
  </w:abstractNum>
  <w:abstractNum w:abstractNumId="236">
    <w:nsid w:val="2BB5B1C6"/>
    <w:multiLevelType w:val="hybridMultilevel"/>
    <w:lvl w:ilvl="0">
      <w:lvlJc w:val="left"/>
      <w:lvlText w:val="(%1)"/>
      <w:numFmt w:val="upperLetter"/>
      <w:start w:val="4"/>
    </w:lvl>
  </w:abstractNum>
  <w:abstractNum w:abstractNumId="237">
    <w:nsid w:val="66BE6B9"/>
    <w:multiLevelType w:val="hybridMultilevel"/>
    <w:lvl w:ilvl="0">
      <w:lvlJc w:val="left"/>
      <w:lvlText w:val="(%1)"/>
      <w:numFmt w:val="lowerLetter"/>
      <w:start w:val="2"/>
    </w:lvl>
  </w:abstractNum>
  <w:abstractNum w:abstractNumId="238">
    <w:nsid w:val="62234363"/>
    <w:multiLevelType w:val="hybridMultilevel"/>
    <w:lvl w:ilvl="0">
      <w:lvlJc w:val="left"/>
      <w:lvlText w:val="(%1)"/>
      <w:numFmt w:val="lowerLetter"/>
      <w:start w:val="3"/>
    </w:lvl>
  </w:abstractNum>
  <w:abstractNum w:abstractNumId="239">
    <w:nsid w:val="66D385C9"/>
    <w:multiLevelType w:val="hybridMultilevel"/>
    <w:lvl w:ilvl="0">
      <w:lvlJc w:val="left"/>
      <w:lvlText w:val="(%1)"/>
      <w:numFmt w:val="lowerLetter"/>
      <w:start w:val="1"/>
    </w:lvl>
  </w:abstractNum>
  <w:abstractNum w:abstractNumId="240">
    <w:nsid w:val="596F6D8A"/>
    <w:multiLevelType w:val="hybridMultilevel"/>
    <w:lvl w:ilvl="0">
      <w:lvlJc w:val="left"/>
      <w:lvlText w:val="(%1)"/>
      <w:numFmt w:val="lowerLetter"/>
      <w:start w:val="3"/>
    </w:lvl>
  </w:abstractNum>
  <w:abstractNum w:abstractNumId="241">
    <w:nsid w:val="5749361F"/>
    <w:multiLevelType w:val="hybridMultilevel"/>
    <w:lvl w:ilvl="0">
      <w:lvlJc w:val="left"/>
      <w:lvlText w:val="(%1)"/>
      <w:numFmt w:val="lowerLetter"/>
      <w:start w:val="1"/>
    </w:lvl>
  </w:abstractNum>
  <w:abstractNum w:abstractNumId="242">
    <w:nsid w:val="73BC6770"/>
    <w:multiLevelType w:val="hybridMultilevel"/>
    <w:lvl w:ilvl="0">
      <w:lvlJc w:val="left"/>
      <w:lvlText w:val="(%1)"/>
      <w:numFmt w:val="lowerLetter"/>
      <w:start w:val="1"/>
    </w:lvl>
    <w:lvl w:ilvl="1">
      <w:lvlJc w:val="left"/>
      <w:lvlText w:val="(%2)"/>
      <w:numFmt w:val="lowerRoman"/>
      <w:start w:val="1"/>
    </w:lvl>
  </w:abstractNum>
  <w:abstractNum w:abstractNumId="243">
    <w:nsid w:val="280E6897"/>
    <w:multiLevelType w:val="hybridMultilevel"/>
    <w:lvl w:ilvl="0">
      <w:lvlJc w:val="left"/>
      <w:lvlText w:val="%1"/>
      <w:numFmt w:val="lowerLetter"/>
      <w:start w:val="1"/>
    </w:lvl>
    <w:lvl w:ilvl="1">
      <w:lvlJc w:val="left"/>
      <w:lvlText w:val="(%2)"/>
      <w:numFmt w:val="upperLetter"/>
      <w:start w:val="1"/>
    </w:lvl>
  </w:abstractNum>
  <w:abstractNum w:abstractNumId="244">
    <w:nsid w:val="605138DE"/>
    <w:multiLevelType w:val="hybridMultilevel"/>
    <w:lvl w:ilvl="0">
      <w:lvlJc w:val="left"/>
      <w:lvlText w:val="(%1)"/>
      <w:numFmt w:val="lowerLetter"/>
      <w:start w:val="2"/>
    </w:lvl>
    <w:lvl w:ilvl="1">
      <w:lvlJc w:val="left"/>
      <w:lvlText w:val="%2"/>
      <w:numFmt w:val="upperLetter"/>
      <w:start w:val="1"/>
    </w:lvl>
  </w:abstractNum>
  <w:abstractNum w:abstractNumId="245">
    <w:nsid w:val="2622AD0C"/>
    <w:multiLevelType w:val="hybridMultilevel"/>
    <w:lvl w:ilvl="0">
      <w:lvlJc w:val="left"/>
      <w:lvlText w:val="(%1)"/>
      <w:numFmt w:val="lowerLetter"/>
      <w:start w:val="3"/>
    </w:lvl>
    <w:lvl w:ilvl="1">
      <w:lvlJc w:val="left"/>
      <w:lvlText w:val="(%2)"/>
      <w:numFmt w:val="lowerRoman"/>
      <w:start w:val="1"/>
    </w:lvl>
  </w:abstractNum>
  <w:abstractNum w:abstractNumId="246">
    <w:nsid w:val="67997556"/>
    <w:multiLevelType w:val="hybridMultilevel"/>
    <w:lvl w:ilvl="0">
      <w:lvlJc w:val="left"/>
      <w:lvlText w:val="%1"/>
      <w:numFmt w:val="lowerLetter"/>
      <w:start w:val="1"/>
    </w:lvl>
    <w:lvl w:ilvl="1">
      <w:lvlJc w:val="left"/>
      <w:lvlText w:val="(%2)"/>
      <w:numFmt w:val="lowerRoman"/>
      <w:start w:val="1"/>
    </w:lvl>
  </w:abstractNum>
  <w:abstractNum w:abstractNumId="247">
    <w:nsid w:val="18333C89"/>
    <w:multiLevelType w:val="hybridMultilevel"/>
    <w:lvl w:ilvl="0">
      <w:lvlJc w:val="left"/>
      <w:lvlText w:val="(%1)"/>
      <w:numFmt w:val="lowerLetter"/>
      <w:start w:val="6"/>
    </w:lvl>
    <w:lvl w:ilvl="1">
      <w:lvlJc w:val="left"/>
      <w:lvlText w:val="%2"/>
      <w:numFmt w:val="lowerRoman"/>
      <w:start w:val="1"/>
    </w:lvl>
  </w:abstractNum>
  <w:abstractNum w:abstractNumId="248">
    <w:nsid w:val="4BA9831A"/>
    <w:multiLevelType w:val="hybridMultilevel"/>
    <w:lvl w:ilvl="0">
      <w:lvlJc w:val="left"/>
      <w:lvlText w:val="(%1)"/>
      <w:numFmt w:val="lowerLetter"/>
      <w:start w:val="1"/>
    </w:lvl>
  </w:abstractNum>
  <w:abstractNum w:abstractNumId="249">
    <w:nsid w:val="6D71A2B"/>
    <w:multiLevelType w:val="hybridMultilevel"/>
    <w:lvl w:ilvl="0">
      <w:lvlJc w:val="left"/>
      <w:lvlText w:val="(%1)"/>
      <w:numFmt w:val="lowerLetter"/>
      <w:start w:val="1"/>
    </w:lvl>
  </w:abstractNum>
  <w:abstractNum w:abstractNumId="250">
    <w:nsid w:val="CFC7321"/>
    <w:multiLevelType w:val="hybridMultilevel"/>
    <w:lvl w:ilvl="0">
      <w:lvlJc w:val="left"/>
      <w:lvlText w:val="(%1)"/>
      <w:numFmt w:val="lowerLetter"/>
      <w:start w:val="6"/>
    </w:lvl>
  </w:abstractNum>
  <w:abstractNum w:abstractNumId="251">
    <w:nsid w:val="1421971B"/>
    <w:multiLevelType w:val="hybridMultilevel"/>
    <w:lvl w:ilvl="0">
      <w:lvlJc w:val="left"/>
      <w:lvlText w:val="(%1)"/>
      <w:numFmt w:val="lowerLetter"/>
      <w:start w:val="7"/>
    </w:lvl>
  </w:abstractNum>
  <w:abstractNum w:abstractNumId="252">
    <w:nsid w:val="1F404301"/>
    <w:multiLevelType w:val="hybridMultilevel"/>
    <w:lvl w:ilvl="0">
      <w:lvlJc w:val="left"/>
      <w:lvlText w:val="%1."/>
      <w:numFmt w:val="decimal"/>
      <w:start w:val="1"/>
    </w:lvl>
    <w:lvl w:ilvl="1">
      <w:lvlJc w:val="left"/>
      <w:lvlText w:val="(%2)"/>
      <w:numFmt w:val="lowerLetter"/>
      <w:start w:val="1"/>
    </w:lvl>
  </w:abstractNum>
  <w:abstractNum w:abstractNumId="253">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4">
    <w:nsid w:val="4B683D0D"/>
    <w:multiLevelType w:val="hybridMultilevel"/>
    <w:lvl w:ilvl="0">
      <w:lvlJc w:val="left"/>
      <w:lvlText w:val="%1"/>
      <w:numFmt w:val="decimal"/>
      <w:start w:val="1"/>
    </w:lvl>
    <w:lvl w:ilvl="1">
      <w:lvlJc w:val="left"/>
      <w:lvlText w:val="(%2)"/>
      <w:numFmt w:val="lowerLetter"/>
      <w:start w:val="4"/>
    </w:lvl>
  </w:abstractNum>
  <w:abstractNum w:abstractNumId="255">
    <w:nsid w:val="76E41D8"/>
    <w:multiLevelType w:val="hybridMultilevel"/>
    <w:lvl w:ilvl="0">
      <w:lvlJc w:val="left"/>
      <w:lvlText w:val="%1."/>
      <w:numFmt w:val="decimal"/>
      <w:start w:val="2"/>
    </w:lvl>
    <w:lvl w:ilvl="1">
      <w:lvlJc w:val="left"/>
      <w:lvlText w:val="(%2)"/>
      <w:numFmt w:val="lowerLetter"/>
      <w:start w:val="1"/>
    </w:lvl>
  </w:abstractNum>
  <w:abstractNum w:abstractNumId="256">
    <w:nsid w:val="71DCE0FD"/>
    <w:multiLevelType w:val="hybridMultilevel"/>
    <w:lvl w:ilvl="0">
      <w:lvlJc w:val="left"/>
      <w:lvlText w:val="%1."/>
      <w:numFmt w:val="decimal"/>
      <w:start w:val="5"/>
    </w:lvl>
    <w:lvl w:ilvl="1">
      <w:lvlJc w:val="left"/>
      <w:lvlText w:val="(%2)"/>
      <w:numFmt w:val="lowerLetter"/>
      <w:start w:val="1"/>
    </w:lvl>
  </w:abstractNum>
  <w:abstractNum w:abstractNumId="257">
    <w:nsid w:val="7906328B"/>
    <w:multiLevelType w:val="hybridMultilevel"/>
    <w:lvl w:ilvl="0">
      <w:lvlJc w:val="left"/>
      <w:lvlText w:val="%1"/>
      <w:numFmt w:val="decimal"/>
      <w:start w:val="1"/>
    </w:lvl>
    <w:lvl w:ilvl="1">
      <w:lvlJc w:val="left"/>
      <w:lvlText w:val="(%2)"/>
      <w:numFmt w:val="lowerLetter"/>
      <w:start w:val="9"/>
    </w:lvl>
  </w:abstractNum>
  <w:abstractNum w:abstractNumId="258">
    <w:nsid w:val="72BBC16"/>
    <w:multiLevelType w:val="hybridMultilevel"/>
    <w:lvl w:ilvl="0">
      <w:lvlJc w:val="left"/>
      <w:lvlText w:val="%1."/>
      <w:numFmt w:val="decimal"/>
      <w:start w:val="7"/>
    </w:lvl>
    <w:lvl w:ilvl="1">
      <w:lvlJc w:val="left"/>
      <w:lvlText w:val="(%2)"/>
      <w:numFmt w:val="lowerLetter"/>
      <w:start w:val="1"/>
    </w:lvl>
  </w:abstractNum>
  <w:abstractNum w:abstractNumId="259">
    <w:nsid w:val="766D98C2"/>
    <w:multiLevelType w:val="hybridMultilevel"/>
    <w:lvl w:ilvl="0">
      <w:lvlJc w:val="left"/>
      <w:lvlText w:val="(%1)"/>
      <w:numFmt w:val="lowerLetter"/>
      <w:start w:val="4"/>
    </w:lvl>
  </w:abstractNum>
  <w:abstractNum w:abstractNumId="260">
    <w:nsid w:val="3C09D4A1"/>
    <w:multiLevelType w:val="hybridMultilevel"/>
    <w:lvl w:ilvl="0">
      <w:lvlJc w:val="left"/>
      <w:lvlText w:val="☐"/>
      <w:numFmt w:val="bullet"/>
      <w:start w:val="1"/>
    </w:lvl>
  </w:abstractNum>
  <w:abstractNum w:abstractNumId="261">
    <w:nsid w:val="20E45CA4"/>
    <w:multiLevelType w:val="hybridMultilevel"/>
    <w:lvl w:ilvl="0">
      <w:lvlJc w:val="left"/>
      <w:lvlText w:val="(%1)"/>
      <w:numFmt w:val="lowerRoman"/>
      <w:start w:val="1"/>
    </w:lvl>
  </w:abstractNum>
  <w:abstractNum w:abstractNumId="262">
    <w:nsid w:val="4B232EE3"/>
    <w:multiLevelType w:val="hybridMultilevel"/>
    <w:lvl w:ilvl="0">
      <w:lvlJc w:val="left"/>
      <w:lvlText w:val="(%1)"/>
      <w:numFmt w:val="lowerRoman"/>
      <w:start w:val="6"/>
    </w:lvl>
  </w:abstractNum>
  <w:abstractNum w:abstractNumId="263">
    <w:nsid w:val="159C74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4">
    <w:nsid w:val="4AD3AFD2"/>
    <w:multiLevelType w:val="hybridMultilevel"/>
    <w:lvl w:ilvl="0">
      <w:lvlJc w:val="left"/>
      <w:lvlText w:val="%1."/>
      <w:numFmt w:val="decimal"/>
      <w:start w:val="2"/>
    </w:lvl>
    <w:lvl w:ilvl="1">
      <w:lvlJc w:val="left"/>
      <w:lvlText w:val="(%2)"/>
      <w:numFmt w:val="lowerLetter"/>
      <w:start w:val="1"/>
    </w:lvl>
  </w:abstractNum>
  <w:abstractNum w:abstractNumId="265">
    <w:nsid w:val="3CF93092"/>
    <w:multiLevelType w:val="hybridMultilevel"/>
    <w:lvl w:ilvl="0">
      <w:lvlJc w:val="left"/>
      <w:lvlText w:val="%1"/>
      <w:numFmt w:val="decimal"/>
      <w:start w:val="1"/>
    </w:lvl>
    <w:lvl w:ilvl="1">
      <w:lvlJc w:val="left"/>
      <w:lvlText w:val="(%2)"/>
      <w:numFmt w:val="lowerLetter"/>
      <w:start w:val="3"/>
    </w:lvl>
  </w:abstractNum>
  <w:abstractNum w:abstractNumId="266">
    <w:nsid w:val="6863E8D2"/>
    <w:multiLevelType w:val="hybridMultilevel"/>
    <w:lvl w:ilvl="0">
      <w:lvlJc w:val="left"/>
      <w:lvlText w:val="%1."/>
      <w:numFmt w:val="decimal"/>
      <w:start w:val="7"/>
    </w:lvl>
    <w:lvl w:ilvl="1">
      <w:lvlJc w:val="left"/>
      <w:lvlText w:val="(%2)"/>
      <w:numFmt w:val="lowerLetter"/>
      <w:start w:val="1"/>
    </w:lvl>
  </w:abstractNum>
  <w:abstractNum w:abstractNumId="267">
    <w:nsid w:val="76896198"/>
    <w:multiLevelType w:val="hybridMultilevel"/>
    <w:lvl w:ilvl="0">
      <w:lvlJc w:val="left"/>
      <w:lvlText w:val="(%1)"/>
      <w:numFmt w:val="lowerLetter"/>
      <w:start w:val="2"/>
    </w:lvl>
  </w:abstractNum>
  <w:abstractNum w:abstractNumId="268">
    <w:nsid w:val="4365174B"/>
    <w:multiLevelType w:val="hybridMultilevel"/>
    <w:lvl w:ilvl="0">
      <w:lvlJc w:val="left"/>
      <w:lvlText w:val="☐"/>
      <w:numFmt w:val="bullet"/>
      <w:start w:val="1"/>
    </w:lvl>
  </w:abstractNum>
  <w:abstractNum w:abstractNumId="269">
    <w:nsid w:val="4A872C35"/>
    <w:multiLevelType w:val="hybridMultilevel"/>
    <w:lvl w:ilvl="0">
      <w:lvlJc w:val="left"/>
      <w:lvlText w:val="(%1)"/>
      <w:numFmt w:val="lowerRoman"/>
      <w:start w:val="1"/>
    </w:lvl>
  </w:abstractNum>
  <w:abstractNum w:abstractNumId="270">
    <w:nsid w:val="5D5CE761"/>
    <w:multiLevelType w:val="hybridMultilevel"/>
    <w:lvl w:ilvl="0">
      <w:lvlJc w:val="left"/>
      <w:lvlText w:val="(%1)"/>
      <w:numFmt w:val="lowerRoman"/>
      <w:start w:val="6"/>
    </w:lvl>
  </w:abstractNum>
  <w:abstractNum w:abstractNumId="271">
    <w:nsid w:val="1CD484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2">
    <w:nsid w:val="21D062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73">
    <w:nsid w:val="51194ED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4">
    <w:nsid w:val="44E2ED6C"/>
    <w:multiLevelType w:val="hybridMultilevel"/>
    <w:lvl w:ilvl="0">
      <w:lvlJc w:val="left"/>
      <w:lvlText w:val="%1"/>
      <w:numFmt w:val="decimal"/>
      <w:start w:val="1"/>
    </w:lvl>
    <w:lvl w:ilvl="1">
      <w:lvlJc w:val="left"/>
      <w:lvlText w:val="(%2)"/>
      <w:numFmt w:val="lowerLetter"/>
      <w:start w:val="4"/>
    </w:lvl>
  </w:abstractNum>
  <w:abstractNum w:abstractNumId="275">
    <w:nsid w:val="2219B33"/>
    <w:multiLevelType w:val="hybridMultilevel"/>
    <w:lvl w:ilvl="0">
      <w:lvlJc w:val="left"/>
      <w:lvlText w:val="%1."/>
      <w:numFmt w:val="decimal"/>
      <w:start w:val="6"/>
    </w:lvl>
    <w:lvl w:ilvl="1">
      <w:lvlJc w:val="left"/>
      <w:lvlText w:val="(%2)"/>
      <w:numFmt w:val="lowerLetter"/>
      <w:start w:val="1"/>
    </w:lvl>
  </w:abstractNum>
  <w:abstractNum w:abstractNumId="276">
    <w:nsid w:val="773BFBDD"/>
    <w:multiLevelType w:val="hybridMultilevel"/>
    <w:lvl w:ilvl="0">
      <w:lvlJc w:val="left"/>
      <w:lvlText w:val="(%1)"/>
      <w:numFmt w:val="lowerLetter"/>
      <w:start w:val="2"/>
    </w:lvl>
  </w:abstractNum>
  <w:abstractNum w:abstractNumId="277">
    <w:nsid w:val="2C7C62C2"/>
    <w:multiLevelType w:val="hybridMultilevel"/>
    <w:lvl w:ilvl="0">
      <w:lvlJc w:val="left"/>
      <w:lvlText w:val="(%1)"/>
      <w:numFmt w:val="lowerLetter"/>
      <w:start w:val="1"/>
    </w:lvl>
  </w:abstractNum>
  <w:abstractNum w:abstractNumId="278">
    <w:nsid w:val="1A54D7BC"/>
    <w:multiLevelType w:val="hybridMultilevel"/>
    <w:lvl w:ilvl="0">
      <w:lvlJc w:val="left"/>
      <w:lvlText w:val="(%1)"/>
      <w:numFmt w:val="lowerLetter"/>
      <w:start w:val="4"/>
    </w:lvl>
  </w:abstractNum>
  <w:abstractNum w:abstractNumId="279">
    <w:nsid w:val="42E57EF7"/>
    <w:multiLevelType w:val="hybridMultilevel"/>
    <w:lvl w:ilvl="0">
      <w:lvlJc w:val="left"/>
      <w:lvlText w:val="(%1)"/>
      <w:numFmt w:val="lowerRoman"/>
      <w:start w:val="1"/>
    </w:lvl>
  </w:abstractNum>
  <w:abstractNum w:abstractNumId="280">
    <w:nsid w:val="33537CED"/>
    <w:multiLevelType w:val="hybridMultilevel"/>
    <w:lvl w:ilvl="0">
      <w:lvlJc w:val="left"/>
      <w:lvlText w:val="(%1)"/>
      <w:numFmt w:val="lowerRoman"/>
      <w:start w:val="2"/>
    </w:lvl>
    <w:lvl w:ilvl="1">
      <w:lvlJc w:val="left"/>
      <w:lvlText w:val="***"/>
      <w:numFmt w:val="bullet"/>
      <w:start w:val="1"/>
    </w:lvl>
  </w:abstractNum>
  <w:abstractNum w:abstractNumId="281">
    <w:nsid w:val="27514ADE"/>
    <w:multiLevelType w:val="hybridMultilevel"/>
    <w:lvl w:ilvl="0">
      <w:lvlJc w:val="left"/>
      <w:lvlText w:val="(%1)"/>
      <w:numFmt w:val="lowerLetter"/>
      <w:start w:val="1"/>
    </w:lvl>
  </w:abstractNum>
  <w:abstractNum w:abstractNumId="282">
    <w:nsid w:val="57071613"/>
    <w:multiLevelType w:val="hybridMultilevel"/>
    <w:lvl w:ilvl="0">
      <w:lvlJc w:val="left"/>
      <w:lvlText w:val="(%1)"/>
      <w:numFmt w:val="lowerLetter"/>
      <w:start w:val="4"/>
    </w:lvl>
    <w:lvl w:ilvl="1">
      <w:lvlJc w:val="left"/>
      <w:lvlText w:val="***"/>
      <w:numFmt w:val="bullet"/>
      <w:start w:val="1"/>
    </w:lvl>
  </w:abstractNum>
  <w:abstractNum w:abstractNumId="283">
    <w:nsid w:val="5293BFEF"/>
    <w:multiLevelType w:val="hybridMultilevel"/>
    <w:lvl w:ilvl="0">
      <w:lvlJc w:val="left"/>
      <w:lvlText w:val="(%1)"/>
      <w:numFmt w:val="lowerLetter"/>
      <w:start w:val="1"/>
    </w:lvl>
  </w:abstractNum>
  <w:abstractNum w:abstractNumId="284">
    <w:nsid w:val="38BF53E5"/>
    <w:multiLevelType w:val="hybridMultilevel"/>
    <w:lvl w:ilvl="0">
      <w:lvlJc w:val="left"/>
      <w:lvlText w:val="[***]"/>
      <w:numFmt w:val="bullet"/>
      <w:start w:val="1"/>
    </w:lvl>
  </w:abstractNum>
  <w:abstractNum w:abstractNumId="285">
    <w:nsid w:val="226F5320"/>
    <w:multiLevelType w:val="hybridMultilevel"/>
    <w:lvl w:ilvl="0">
      <w:lvlJc w:val="left"/>
      <w:lvlText w:val="(%1)"/>
      <w:numFmt w:val="lowerLetter"/>
      <w:start w:val="2"/>
    </w:lvl>
  </w:abstractNum>
  <w:abstractNum w:abstractNumId="286">
    <w:nsid w:val="5A0201C7"/>
    <w:multiLevelType w:val="hybridMultilevel"/>
    <w:lvl w:ilvl="0">
      <w:lvlJc w:val="left"/>
      <w:lvlText w:val="(%1)"/>
      <w:numFmt w:val="lowerLetter"/>
      <w:start w:val="1"/>
    </w:lvl>
  </w:abstractNum>
  <w:abstractNum w:abstractNumId="287">
    <w:nsid w:val="2A9C34E2"/>
    <w:multiLevelType w:val="hybridMultilevel"/>
    <w:lvl w:ilvl="0">
      <w:lvlJc w:val="left"/>
      <w:lvlText w:val="%1."/>
      <w:numFmt w:val="decimal"/>
      <w:start w:val="1"/>
    </w:lvl>
  </w:abstractNum>
  <w:abstractNum w:abstractNumId="288">
    <w:nsid w:val="1B7585AB"/>
    <w:multiLevelType w:val="hybridMultilevel"/>
    <w:lvl w:ilvl="0">
      <w:lvlJc w:val="left"/>
      <w:lvlText w:val="(%1)"/>
      <w:numFmt w:val="lowerRoman"/>
      <w:start w:val="1"/>
    </w:lvl>
  </w:abstractNum>
  <w:abstractNum w:abstractNumId="289">
    <w:nsid w:val="612DBDDD"/>
    <w:multiLevelType w:val="hybridMultilevel"/>
    <w:lvl w:ilvl="0">
      <w:lvlJc w:val="left"/>
      <w:lvlText w:val="%1."/>
      <w:numFmt w:val="decimal"/>
      <w:start w:val="2"/>
    </w:lvl>
  </w:abstractNum>
  <w:abstractNum w:abstractNumId="290">
    <w:nsid w:val="2109CDA4"/>
    <w:multiLevelType w:val="hybridMultilevel"/>
    <w:lvl w:ilvl="0">
      <w:lvlJc w:val="left"/>
      <w:lvlText w:val="%1."/>
      <w:numFmt w:val="decimal"/>
      <w:start w:val="3"/>
    </w:lvl>
  </w:abstractNum>
  <w:abstractNum w:abstractNumId="291">
    <w:nsid w:val="577F5A4D"/>
    <w:multiLevelType w:val="hybridMultilevel"/>
    <w:lvl w:ilvl="0">
      <w:lvlJc w:val="left"/>
      <w:lvlText w:val="%1."/>
      <w:numFmt w:val="decimal"/>
      <w:start w:val="4"/>
    </w:lvl>
  </w:abstractNum>
  <w:abstractNum w:abstractNumId="292">
    <w:nsid w:val="2121A81"/>
    <w:multiLevelType w:val="hybridMultilevel"/>
    <w:lvl w:ilvl="0">
      <w:lvlJc w:val="left"/>
      <w:lvlText w:val="(%1)"/>
      <w:numFmt w:val="lowerLetter"/>
      <w:start w:val="1"/>
    </w:lvl>
    <w:lvl w:ilvl="1">
      <w:lvlJc w:val="left"/>
      <w:lvlText w:val="***"/>
      <w:numFmt w:val="bullet"/>
      <w:start w:val="1"/>
    </w:lvl>
  </w:abstractNum>
  <w:abstractNum w:abstractNumId="293">
    <w:nsid w:val="6C2CFC88"/>
    <w:multiLevelType w:val="hybridMultilevel"/>
    <w:lvl w:ilvl="0">
      <w:lvlJc w:val="left"/>
      <w:lvlText w:val="(%1)"/>
      <w:numFmt w:val="lowerLetter"/>
      <w:start w:val="3"/>
    </w:lvl>
  </w:abstractNum>
  <w:abstractNum w:abstractNumId="294">
    <w:nsid w:val="6D1BCF1C"/>
    <w:multiLevelType w:val="hybridMultilevel"/>
    <w:lvl w:ilvl="0">
      <w:lvlJc w:val="left"/>
      <w:lvlText w:val="%1."/>
      <w:numFmt w:val="decimal"/>
      <w:start w:val="5"/>
    </w:lvl>
  </w:abstractNum>
  <w:abstractNum w:abstractNumId="295">
    <w:nsid w:val="4CE5CA53"/>
    <w:multiLevelType w:val="hybridMultilevel"/>
    <w:lvl w:ilvl="0">
      <w:lvlJc w:val="left"/>
      <w:lvlText w:val="%1."/>
      <w:numFmt w:val="decimal"/>
      <w:start w:val="6"/>
    </w:lvl>
  </w:abstractNum>
  <w:abstractNum w:abstractNumId="296">
    <w:nsid w:val="29262D1A"/>
    <w:multiLevelType w:val="hybridMultilevel"/>
    <w:lvl w:ilvl="0">
      <w:lvlJc w:val="left"/>
      <w:lvlText w:val="%1."/>
      <w:numFmt w:val="decimal"/>
      <w:start w:val="7"/>
    </w:lvl>
  </w:abstractNum>
  <w:abstractNum w:abstractNumId="297">
    <w:nsid w:val="557FB7EE"/>
    <w:multiLevelType w:val="hybridMultilevel"/>
    <w:lvl w:ilvl="0">
      <w:lvlJc w:val="left"/>
      <w:lvlText w:val="(%1)"/>
      <w:numFmt w:val="lowerLetter"/>
      <w:start w:val="1"/>
    </w:lvl>
  </w:abstractNum>
  <w:abstractNum w:abstractNumId="298">
    <w:nsid w:val="436F2BEB"/>
    <w:multiLevelType w:val="hybridMultilevel"/>
    <w:lvl w:ilvl="0">
      <w:lvlJc w:val="left"/>
      <w:lvlText w:val="%1."/>
      <w:numFmt w:val="decimal"/>
      <w:start w:val="8"/>
    </w:lvl>
  </w:abstractNum>
  <w:abstractNum w:abstractNumId="299">
    <w:nsid w:val="6C8B4466"/>
    <w:multiLevelType w:val="hybridMultilevel"/>
    <w:lvl w:ilvl="0">
      <w:lvlJc w:val="left"/>
      <w:lvlText w:val="(%1)"/>
      <w:numFmt w:val="lowerLetter"/>
      <w:start w:val="1"/>
    </w:lvl>
  </w:abstractNum>
  <w:abstractNum w:abstractNumId="300">
    <w:nsid w:val="2006E424"/>
    <w:multiLevelType w:val="hybridMultilevel"/>
    <w:lvl w:ilvl="0">
      <w:lvlJc w:val="left"/>
      <w:lvlText w:val="%1."/>
      <w:numFmt w:val="decimal"/>
      <w:start w:val="9"/>
    </w:lvl>
  </w:abstractNum>
  <w:abstractNum w:abstractNumId="301">
    <w:nsid w:val="20CC134C"/>
    <w:multiLevelType w:val="hybridMultilevel"/>
    <w:lvl w:ilvl="0">
      <w:lvlJc w:val="left"/>
      <w:lvlText w:val="%1."/>
      <w:numFmt w:val="decimal"/>
      <w:start w:val="10"/>
    </w:lvl>
  </w:abstractNum>
  <w:abstractNum w:abstractNumId="302">
    <w:nsid w:val="95FC93B"/>
    <w:multiLevelType w:val="hybridMultilevel"/>
    <w:lvl w:ilvl="0">
      <w:lvlJc w:val="left"/>
      <w:lvlText w:val="%1."/>
      <w:numFmt w:val="decimal"/>
      <w:start w:val="11"/>
    </w:lvl>
  </w:abstractNum>
  <w:abstractNum w:abstractNumId="303">
    <w:nsid w:val="41D74679"/>
    <w:multiLevelType w:val="hybridMultilevel"/>
    <w:lvl w:ilvl="0">
      <w:lvlJc w:val="left"/>
      <w:lvlText w:val="[***]"/>
      <w:numFmt w:val="bullet"/>
      <w:start w:val="1"/>
    </w:lvl>
  </w:abstractNum>
  <w:abstractNum w:abstractNumId="304">
    <w:nsid w:val="71E5621E"/>
    <w:multiLevelType w:val="hybridMultilevel"/>
    <w:lvl w:ilvl="0">
      <w:lvlJc w:val="left"/>
      <w:lvlText w:val="(%1)"/>
      <w:numFmt w:val="lowerLetter"/>
      <w:start w:val="3"/>
    </w:lvl>
  </w:abstractNum>
  <w:abstractNum w:abstractNumId="305">
    <w:nsid w:val="4E42B6A8"/>
    <w:multiLevelType w:val="hybridMultilevel"/>
    <w:lvl w:ilvl="0">
      <w:lvlJc w:val="left"/>
      <w:lvlText w:val="%1."/>
      <w:numFmt w:val="decimal"/>
      <w:start w:val="1"/>
    </w:lvl>
  </w:abstractNum>
  <w:abstractNum w:abstractNumId="306">
    <w:nsid w:val="43F8E1AC"/>
    <w:multiLevelType w:val="hybridMultilevel"/>
    <w:lvl w:ilvl="0">
      <w:lvlJc w:val="left"/>
      <w:lvlText w:val="%1."/>
      <w:numFmt w:val="decimal"/>
      <w:start w:val="2"/>
    </w:lvl>
  </w:abstractNum>
  <w:abstractNum w:abstractNumId="307">
    <w:nsid w:val="69215DFB"/>
    <w:multiLevelType w:val="hybridMultilevel"/>
    <w:lvl w:ilvl="0">
      <w:lvlJc w:val="left"/>
      <w:lvlText w:val="%1."/>
      <w:numFmt w:val="decimal"/>
      <w:start w:val="3"/>
    </w:lvl>
  </w:abstractNum>
  <w:abstractNum w:abstractNumId="308">
    <w:nsid w:val="7ABF196A"/>
    <w:multiLevelType w:val="hybridMultilevel"/>
    <w:lvl w:ilvl="0">
      <w:lvlJc w:val="left"/>
      <w:lvlText w:val="%1."/>
      <w:numFmt w:val="decimal"/>
      <w:start w:val="4"/>
    </w:lvl>
  </w:abstractNum>
  <w:abstractNum w:abstractNumId="309">
    <w:nsid w:val="5E4DB968"/>
    <w:multiLevelType w:val="hybridMultilevel"/>
    <w:lvl w:ilvl="0">
      <w:lvlJc w:val="left"/>
      <w:lvlText w:val="%1."/>
      <w:numFmt w:val="decimal"/>
      <w:start w:val="5"/>
    </w:lvl>
  </w:abstractNum>
  <w:abstractNum w:abstractNumId="310">
    <w:nsid w:val="2C06DCF3"/>
    <w:multiLevelType w:val="hybridMultilevel"/>
    <w:lvl w:ilvl="0">
      <w:lvlJc w:val="left"/>
      <w:lvlText w:val="%1."/>
      <w:numFmt w:val="lowerRoman"/>
      <w:start w:val="1"/>
    </w:lvl>
  </w:abstractNum>
  <w:abstractNum w:abstractNumId="311">
    <w:nsid w:val="2E129658"/>
    <w:multiLevelType w:val="hybridMultilevel"/>
    <w:lvl w:ilvl="0">
      <w:lvlJc w:val="left"/>
      <w:lvlText w:val="1"/>
      <w:numFmt w:val="bullet"/>
      <w:start w:val="1"/>
    </w:lvl>
    <w:lvl w:ilvl="1">
      <w:lvlJc w:val="left"/>
      <w:lvlText w:val="***"/>
      <w:numFmt w:val="bullet"/>
      <w:start w:val="1"/>
    </w:lvl>
  </w:abstractNum>
  <w:abstractNum w:abstractNumId="312">
    <w:nsid w:val="59F0446"/>
    <w:multiLevelType w:val="hybridMultilevel"/>
    <w:lvl w:ilvl="0">
      <w:lvlJc w:val="left"/>
      <w:lvlText w:val="%1."/>
      <w:numFmt w:val="decimal"/>
      <w:start w:val="6"/>
    </w:lvl>
  </w:abstractNum>
  <w:abstractNum w:abstractNumId="313">
    <w:nsid w:val="30DF306"/>
    <w:multiLevelType w:val="hybridMultilevel"/>
    <w:lvl w:ilvl="0">
      <w:lvlJc w:val="left"/>
      <w:lvlText w:val="(%1)"/>
      <w:numFmt w:val="lowerLetter"/>
      <w:start w:val="1"/>
    </w:lvl>
  </w:abstractNum>
  <w:abstractNum w:abstractNumId="314">
    <w:nsid w:val="A65647"/>
    <w:multiLevelType w:val="hybridMultilevel"/>
    <w:lvl w:ilvl="0">
      <w:lvlJc w:val="left"/>
      <w:lvlText w:val="(%1)"/>
      <w:numFmt w:val="lowerLetter"/>
      <w:start w:val="1"/>
    </w:lvl>
  </w:abstractNum>
  <w:abstractNum w:abstractNumId="315">
    <w:nsid w:val="3E5E582B"/>
    <w:multiLevelType w:val="hybridMultilevel"/>
    <w:lvl w:ilvl="0">
      <w:lvlJc w:val="left"/>
      <w:lvlText w:val="(%1)"/>
      <w:numFmt w:val="lowerLetter"/>
      <w:start w:val="2"/>
    </w:lvl>
    <w:lvl w:ilvl="1">
      <w:lvlJc w:val="left"/>
      <w:lvlText w:val="%2."/>
      <w:numFmt w:val="lowerRoman"/>
      <w:start w:val="1"/>
    </w:lvl>
  </w:abstractNum>
  <w:abstractNum w:abstractNumId="316">
    <w:nsid w:val="257D4626"/>
    <w:multiLevelType w:val="hybridMultilevel"/>
    <w:lvl w:ilvl="0">
      <w:lvlJc w:val="left"/>
      <w:lvlText w:val="%1."/>
      <w:numFmt w:val="decimal"/>
      <w:start w:val="7"/>
    </w:lvl>
  </w:abstractNum>
  <w:abstractNum w:abstractNumId="317">
    <w:nsid w:val="5AA8580E"/>
    <w:multiLevelType w:val="hybridMultilevel"/>
    <w:lvl w:ilvl="0">
      <w:lvlJc w:val="left"/>
      <w:lvlText w:val="%1."/>
      <w:numFmt w:val="decimal"/>
      <w:start w:val="8"/>
    </w:lvl>
  </w:abstractNum>
  <w:abstractNum w:abstractNumId="318">
    <w:nsid w:val="68FA8D0D"/>
    <w:multiLevelType w:val="hybridMultilevel"/>
    <w:lvl w:ilvl="0">
      <w:lvlJc w:val="left"/>
      <w:lvlText w:val="%1."/>
      <w:numFmt w:val="lowerRoman"/>
      <w:start w:val="1"/>
    </w:lvl>
  </w:abstractNum>
  <w:abstractNum w:abstractNumId="319">
    <w:nsid w:val="40F2CBD2"/>
    <w:multiLevelType w:val="hybridMultilevel"/>
    <w:lvl w:ilvl="0">
      <w:lvlJc w:val="left"/>
      <w:lvlText w:val="%1."/>
      <w:numFmt w:val="lowerRoman"/>
      <w:start w:val="1"/>
    </w:lvl>
  </w:abstractNum>
  <w:abstractNum w:abstractNumId="320">
    <w:nsid w:val="3BD615EB"/>
    <w:multiLevelType w:val="hybridMultilevel"/>
    <w:lvl w:ilvl="0">
      <w:lvlJc w:val="left"/>
      <w:lvlText w:val="%1."/>
      <w:numFmt w:val="decimal"/>
      <w:start w:val="9"/>
    </w:lvl>
  </w:abstractNum>
  <w:abstractNum w:abstractNumId="321">
    <w:nsid w:val="A045AB2"/>
    <w:multiLevelType w:val="hybridMultilevel"/>
    <w:lvl w:ilvl="0">
      <w:lvlJc w:val="left"/>
      <w:lvlText w:val="%1."/>
      <w:numFmt w:val="decimal"/>
      <w:start w:val="10"/>
    </w:lvl>
  </w:abstractNum>
  <w:abstractNum w:abstractNumId="322">
    <w:nsid w:val="1872261F"/>
    <w:multiLevelType w:val="hybridMultilevel"/>
    <w:lvl w:ilvl="0">
      <w:lvlJc w:val="left"/>
      <w:lvlText w:val="%1."/>
      <w:numFmt w:val="decimal"/>
      <w:start w:val="11"/>
    </w:lvl>
  </w:abstractNum>
  <w:abstractNum w:abstractNumId="323">
    <w:nsid w:val="3DE8306C"/>
    <w:multiLevelType w:val="hybridMultilevel"/>
    <w:lvl w:ilvl="0">
      <w:lvlJc w:val="left"/>
      <w:lvlText w:val="%1."/>
      <w:numFmt w:val="lowerRoman"/>
      <w:start w:val="1"/>
    </w:lvl>
  </w:abstractNum>
  <w:abstractNum w:abstractNumId="324">
    <w:nsid w:val="7631573A"/>
    <w:multiLevelType w:val="hybridMultilevel"/>
    <w:lvl w:ilvl="0">
      <w:lvlJc w:val="left"/>
      <w:lvlText w:val="%1."/>
      <w:numFmt w:val="lowerRoman"/>
      <w:start w:val="1"/>
    </w:lvl>
  </w:abstractNum>
  <w:abstractNum w:abstractNumId="325">
    <w:nsid w:val="58DF53B"/>
    <w:multiLevelType w:val="hybridMultilevel"/>
    <w:lvl w:ilvl="0">
      <w:lvlJc w:val="left"/>
      <w:lvlText w:val="%1."/>
      <w:numFmt w:val="decimal"/>
      <w:start w:val="12"/>
    </w:lvl>
  </w:abstractNum>
  <w:abstractNum w:abstractNumId="326">
    <w:nsid w:val="ACDFAC0"/>
    <w:multiLevelType w:val="hybridMultilevel"/>
    <w:lvl w:ilvl="0">
      <w:lvlJc w:val="left"/>
      <w:lvlText w:val="%1."/>
      <w:numFmt w:val="lowerRoman"/>
      <w:start w:val="1"/>
    </w:lvl>
  </w:abstractNum>
  <w:abstractNum w:abstractNumId="327">
    <w:nsid w:val="1F578454"/>
    <w:multiLevelType w:val="hybridMultilevel"/>
    <w:lvl w:ilvl="0">
      <w:lvlJc w:val="left"/>
      <w:lvlText w:val="%1."/>
      <w:numFmt w:val="decimal"/>
      <w:start w:val="13"/>
    </w:lvl>
  </w:abstractNum>
  <w:abstractNum w:abstractNumId="328">
    <w:nsid w:val="5B0DAD2A"/>
    <w:multiLevelType w:val="hybridMultilevel"/>
    <w:lvl w:ilvl="0">
      <w:lvlJc w:val="left"/>
      <w:lvlText w:val="%1."/>
      <w:numFmt w:val="decimal"/>
      <w:start w:val="15"/>
    </w:lvl>
  </w:abstractNum>
  <w:abstractNum w:abstractNumId="329">
    <w:nsid w:val="4E3D26AB"/>
    <w:multiLevelType w:val="hybridMultilevel"/>
    <w:lvl w:ilvl="0">
      <w:lvlJc w:val="left"/>
      <w:lvlText w:val="%1."/>
      <w:numFmt w:val="decimal"/>
      <w:start w:val="16"/>
    </w:lvl>
  </w:abstractNum>
  <w:abstractNum w:abstractNumId="330">
    <w:nsid w:val="BE2C8BA"/>
    <w:multiLevelType w:val="hybridMultilevel"/>
    <w:lvl w:ilvl="0">
      <w:lvlJc w:val="left"/>
      <w:lvlText w:val="%1."/>
      <w:numFmt w:val="decimal"/>
      <w:start w:val="1"/>
    </w:lvl>
  </w:abstractNum>
  <w:abstractNum w:abstractNumId="331">
    <w:nsid w:val="7B14914E"/>
    <w:multiLevelType w:val="hybridMultilevel"/>
    <w:lvl w:ilvl="0">
      <w:lvlJc w:val="left"/>
      <w:lvlText w:val="(%1)"/>
      <w:numFmt w:val="decimal"/>
      <w:start w:val="1"/>
    </w:lvl>
  </w:abstractNum>
  <w:abstractNum w:abstractNumId="332">
    <w:nsid w:val="6F0939F8"/>
    <w:multiLevelType w:val="hybridMultilevel"/>
    <w:lvl w:ilvl="0">
      <w:lvlJc w:val="left"/>
      <w:lvlText w:val="%1."/>
      <w:numFmt w:val="decimal"/>
      <w:start w:val="2"/>
    </w:lvl>
  </w:abstractNum>
  <w:abstractNum w:abstractNumId="333">
    <w:nsid w:val="154291F6"/>
    <w:multiLevelType w:val="hybridMultilevel"/>
    <w:lvl w:ilvl="0">
      <w:lvlJc w:val="left"/>
      <w:lvlText w:val="%1."/>
      <w:numFmt w:val="decimal"/>
      <w:start w:val="3"/>
    </w:lvl>
  </w:abstractNum>
  <w:abstractNum w:abstractNumId="334">
    <w:nsid w:val="3CEBD7C7"/>
    <w:multiLevelType w:val="hybridMultilevel"/>
    <w:lvl w:ilvl="0">
      <w:lvlJc w:val="left"/>
      <w:lvlText w:val="%1."/>
      <w:numFmt w:val="decimal"/>
      <w:start w:val="4"/>
    </w:lvl>
  </w:abstractNum>
  <w:abstractNum w:abstractNumId="335">
    <w:nsid w:val="60EE9C16"/>
    <w:multiLevelType w:val="hybridMultilevel"/>
    <w:lvl w:ilvl="0">
      <w:lvlJc w:val="left"/>
      <w:lvlText w:val="(%1)"/>
      <w:numFmt w:val="lowerRoman"/>
      <w:start w:val="1"/>
    </w:lvl>
  </w:abstractNum>
  <w:abstractNum w:abstractNumId="336">
    <w:nsid w:val="6385489E"/>
    <w:multiLevelType w:val="hybridMultilevel"/>
    <w:lvl w:ilvl="0">
      <w:lvlJc w:val="left"/>
      <w:lvlText w:val="(%1)"/>
      <w:numFmt w:val="lowerRoman"/>
      <w:start w:val="2"/>
    </w:lvl>
  </w:abstractNum>
  <w:abstractNum w:abstractNumId="337">
    <w:nsid w:val="E4B973"/>
    <w:multiLevelType w:val="hybridMultilevel"/>
    <w:lvl w:ilvl="0">
      <w:lvlJc w:val="left"/>
      <w:lvlText w:val="(%1)"/>
      <w:numFmt w:val="lowerLetter"/>
      <w:start w:val="1"/>
    </w:lvl>
    <w:lvl w:ilvl="1">
      <w:lvlJc w:val="left"/>
      <w:lvlText w:val="***"/>
      <w:numFmt w:val="bullet"/>
      <w:start w:val="1"/>
    </w:lvl>
  </w:abstractNum>
  <w:abstractNum w:abstractNumId="338">
    <w:nsid w:val="4A0FFA11"/>
    <w:multiLevelType w:val="hybridMultilevel"/>
    <w:lvl w:ilvl="0">
      <w:lvlJc w:val="left"/>
      <w:lvlText w:val="(%1)"/>
      <w:numFmt w:val="lowerLetter"/>
      <w:start w:val="3"/>
    </w:lvl>
  </w:abstractNum>
  <w:abstractNum w:abstractNumId="339">
    <w:nsid w:val="5E446208"/>
    <w:multiLevelType w:val="hybridMultilevel"/>
    <w:lvl w:ilvl="0">
      <w:lvlJc w:val="left"/>
      <w:lvlText w:val="%1."/>
      <w:numFmt w:val="decimal"/>
      <w:start w:val="5"/>
    </w:lvl>
  </w:abstractNum>
  <w:abstractNum w:abstractNumId="340">
    <w:nsid w:val="5F3272DB"/>
    <w:multiLevelType w:val="hybridMultilevel"/>
    <w:lvl w:ilvl="0">
      <w:lvlJc w:val="left"/>
      <w:lvlText w:val="%1."/>
      <w:numFmt w:val="decimal"/>
      <w:start w:val="6"/>
    </w:lvl>
  </w:abstractNum>
  <w:abstractNum w:abstractNumId="341">
    <w:nsid w:val="7616D704"/>
    <w:multiLevelType w:val="hybridMultilevel"/>
    <w:lvl w:ilvl="0">
      <w:lvlJc w:val="left"/>
      <w:lvlText w:val="%1."/>
      <w:numFmt w:val="decimal"/>
      <w:start w:val="7"/>
    </w:lvl>
  </w:abstractNum>
  <w:abstractNum w:abstractNumId="342">
    <w:nsid w:val="C56F860"/>
    <w:multiLevelType w:val="hybridMultilevel"/>
    <w:lvl w:ilvl="0">
      <w:lvlJc w:val="left"/>
      <w:lvlText w:val="(%1)"/>
      <w:numFmt w:val="lowerLetter"/>
      <w:start w:val="1"/>
    </w:lvl>
  </w:abstractNum>
  <w:abstractNum w:abstractNumId="343">
    <w:nsid w:val="64D17722"/>
    <w:multiLevelType w:val="hybridMultilevel"/>
    <w:lvl w:ilvl="0">
      <w:lvlJc w:val="left"/>
      <w:lvlText w:val="%1."/>
      <w:numFmt w:val="decimal"/>
      <w:start w:val="8"/>
    </w:lvl>
  </w:abstractNum>
  <w:abstractNum w:abstractNumId="344">
    <w:nsid w:val="7924CA0A"/>
    <w:multiLevelType w:val="hybridMultilevel"/>
    <w:lvl w:ilvl="0">
      <w:lvlJc w:val="left"/>
      <w:lvlText w:val="(%1)"/>
      <w:numFmt w:val="lowerLetter"/>
      <w:start w:val="1"/>
    </w:lvl>
    <w:lvl w:ilvl="1">
      <w:lvlJc w:val="left"/>
      <w:lvlText w:val="***"/>
      <w:numFmt w:val="bullet"/>
      <w:start w:val="1"/>
    </w:lvl>
  </w:abstractNum>
  <w:abstractNum w:abstractNumId="345">
    <w:nsid w:val="CFD4EA7"/>
    <w:multiLevelType w:val="hybridMultilevel"/>
    <w:lvl w:ilvl="0">
      <w:lvlJc w:val="left"/>
      <w:lvlText w:val="%1."/>
      <w:numFmt w:val="decimal"/>
      <w:start w:val="9"/>
    </w:lvl>
  </w:abstractNum>
  <w:abstractNum w:abstractNumId="346">
    <w:nsid w:val="232FCF4D"/>
    <w:multiLevelType w:val="hybridMultilevel"/>
    <w:lvl w:ilvl="0">
      <w:lvlJc w:val="left"/>
      <w:lvlText w:val="1"/>
      <w:numFmt w:val="bullet"/>
      <w:start w:val="1"/>
    </w:lvl>
  </w:abstractNum>
  <w:abstractNum w:abstractNumId="347">
    <w:nsid w:val="1EA21031"/>
    <w:multiLevelType w:val="hybridMultilevel"/>
    <w:lvl w:ilvl="0">
      <w:lvlJc w:val="left"/>
      <w:lvlText w:val="%1."/>
      <w:numFmt w:val="decimal"/>
      <w:start w:val="10"/>
    </w:lvl>
  </w:abstractNum>
  <w:abstractNum w:abstractNumId="348">
    <w:nsid w:val="67A5A6B5"/>
    <w:multiLevelType w:val="hybridMultilevel"/>
    <w:lvl w:ilvl="0">
      <w:lvlJc w:val="left"/>
      <w:lvlText w:val="%1."/>
      <w:numFmt w:val="decimal"/>
      <w:start w:val="11"/>
    </w:lvl>
  </w:abstractNum>
  <w:abstractNum w:abstractNumId="349">
    <w:nsid w:val="C2A5C5B"/>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350">
    <w:nsid w:val="5F94DC03"/>
    <w:multiLevelType w:val="hybridMultilevel"/>
    <w:lvl w:ilvl="0">
      <w:lvlJc w:val="left"/>
      <w:lvlText w:val="(%1)"/>
      <w:numFmt w:val="lowerLetter"/>
      <w:start w:val="2"/>
    </w:lvl>
  </w:abstractNum>
  <w:abstractNum w:abstractNumId="351">
    <w:nsid w:val="237BBCA0"/>
    <w:multiLevelType w:val="hybridMultilevel"/>
    <w:lvl w:ilvl="0">
      <w:lvlJc w:val="left"/>
      <w:lvlText w:val="(%1)"/>
      <w:numFmt w:val="lowerLetter"/>
      <w:start w:val="3"/>
    </w:lvl>
  </w:abstractNum>
  <w:abstractNum w:abstractNumId="352">
    <w:nsid w:val="162EB70D"/>
    <w:multiLevelType w:val="hybridMultilevel"/>
    <w:lvl w:ilvl="0">
      <w:lvlJc w:val="left"/>
      <w:lvlText w:val="%1."/>
      <w:numFmt w:val="decimal"/>
      <w:start w:val="3"/>
    </w:lvl>
    <w:lvl w:ilvl="1">
      <w:lvlJc w:val="left"/>
      <w:lvlText w:val="(%2)"/>
      <w:numFmt w:val="lowerLetter"/>
      <w:start w:val="1"/>
    </w:lvl>
  </w:abstractNum>
  <w:abstractNum w:abstractNumId="353">
    <w:nsid w:val="78070222"/>
    <w:multiLevelType w:val="hybridMultilevel"/>
    <w:lvl w:ilvl="0">
      <w:lvlJc w:val="left"/>
      <w:lvlText w:val="(%1)"/>
      <w:numFmt w:val="lowerLetter"/>
      <w:start w:val="1"/>
    </w:lvl>
  </w:abstractNum>
  <w:abstractNum w:abstractNumId="354">
    <w:nsid w:val="6163ED0D"/>
    <w:multiLevelType w:val="hybridMultilevel"/>
    <w:lvl w:ilvl="0">
      <w:lvlJc w:val="left"/>
      <w:lvlText w:val="(%1)"/>
      <w:numFmt w:val="lowerLetter"/>
      <w:start w:val="14"/>
    </w:lvl>
  </w:abstractNum>
  <w:abstractNum w:abstractNumId="355">
    <w:nsid w:val="C600E47"/>
    <w:multiLevelType w:val="hybridMultilevel"/>
    <w:lvl w:ilvl="0">
      <w:lvlJc w:val="left"/>
      <w:lvlText w:val="(%1)"/>
      <w:numFmt w:val="lowerLetter"/>
      <w:start w:val="2"/>
    </w:lvl>
  </w:abstractNum>
  <w:abstractNum w:abstractNumId="356">
    <w:nsid w:val="7D94F75D"/>
    <w:multiLevelType w:val="hybridMultilevel"/>
    <w:lvl w:ilvl="0">
      <w:lvlJc w:val="left"/>
      <w:lvlText w:val="%1."/>
      <w:numFmt w:val="decimal"/>
      <w:start w:val="6"/>
    </w:lvl>
  </w:abstractNum>
  <w:abstractNum w:abstractNumId="357">
    <w:nsid w:val="6C31E7CD"/>
    <w:multiLevelType w:val="hybridMultilevel"/>
    <w:lvl w:ilvl="0">
      <w:lvlJc w:val="left"/>
      <w:lvlText w:val="%1."/>
      <w:numFmt w:val="decimal"/>
      <w:start w:val="7"/>
    </w:lvl>
    <w:lvl w:ilvl="1">
      <w:lvlJc w:val="left"/>
      <w:lvlText w:val="(%2)"/>
      <w:numFmt w:val="lowerLetter"/>
      <w:start w:val="1"/>
    </w:lvl>
  </w:abstractNum>
  <w:abstractNum w:abstractNumId="358">
    <w:nsid w:val="2BB792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59">
    <w:nsid w:val="58A2A487"/>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60">
    <w:nsid w:val="3A6F0E78"/>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abstractNum>
  <w:abstractNum w:abstractNumId="361">
    <w:nsid w:val="379A5B56"/>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362">
    <w:nsid w:val="53B735D5"/>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363">
    <w:nsid w:val="29784870"/>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abstractNum>
  <w:abstractNum w:abstractNumId="364">
    <w:nsid w:val="4CDCED4C"/>
    <w:multiLevelType w:val="hybridMultilevel"/>
    <w:lvl w:ilvl="0">
      <w:lvlJc w:val="left"/>
      <w:lvlText w:val="(%1)"/>
      <w:numFmt w:val="lowerRoman"/>
      <w:start w:val="8"/>
    </w:lvl>
    <w:lvl w:ilvl="1">
      <w:lvlJc w:val="left"/>
      <w:lvlText w:val="%2."/>
      <w:numFmt w:val="decimal"/>
      <w:start w:val="11"/>
    </w:lvl>
  </w:abstractNum>
  <w:abstractNum w:abstractNumId="365">
    <w:nsid w:val="10A30D9C"/>
    <w:multiLevelType w:val="hybridMultilevel"/>
    <w:lvl w:ilvl="0">
      <w:lvlJc w:val="left"/>
      <w:lvlText w:val="%1."/>
      <w:numFmt w:val="decimal"/>
      <w:start w:val="12"/>
    </w:lvl>
  </w:abstractNum>
  <w:abstractNum w:abstractNumId="366">
    <w:nsid w:val="A66E486"/>
    <w:multiLevelType w:val="hybridMultilevel"/>
    <w:lvl w:ilvl="0">
      <w:lvlJc w:val="left"/>
      <w:lvlText w:val="%1."/>
      <w:numFmt w:val="decimal"/>
      <w:start w:val="13"/>
    </w:lvl>
  </w:abstractNum>
  <w:abstractNum w:abstractNumId="367">
    <w:nsid w:val="306235EA"/>
    <w:multiLevelType w:val="hybridMultilevel"/>
    <w:lvl w:ilvl="0">
      <w:lvlJc w:val="left"/>
      <w:lvlText w:val="%1."/>
      <w:numFmt w:val="decimal"/>
      <w:start w:val="16"/>
    </w:lvl>
  </w:abstractNum>
  <w:abstractNum w:abstractNumId="368">
    <w:nsid w:val="1187C70F"/>
    <w:multiLevelType w:val="hybridMultilevel"/>
    <w:lvl w:ilvl="0">
      <w:lvlJc w:val="left"/>
      <w:lvlText w:val="%1."/>
      <w:numFmt w:val="decimal"/>
      <w:start w:val="18"/>
    </w:lvl>
  </w:abstractNum>
  <w:abstractNum w:abstractNumId="369">
    <w:nsid w:val="5476DE98"/>
    <w:multiLevelType w:val="hybridMultilevel"/>
    <w:lvl w:ilvl="0">
      <w:lvlJc w:val="left"/>
      <w:lvlText w:val="%1."/>
      <w:numFmt w:val="decimal"/>
      <w:start w:val="19"/>
    </w:lvl>
    <w:lvl w:ilvl="1">
      <w:lvlJc w:val="left"/>
      <w:lvlText w:val="(%2)"/>
      <w:numFmt w:val="lowerLetter"/>
      <w:start w:val="1"/>
    </w:lvl>
  </w:abstractNum>
  <w:abstractNum w:abstractNumId="370">
    <w:nsid w:val="EA697F2"/>
    <w:multiLevelType w:val="hybridMultilevel"/>
    <w:lvl w:ilvl="0">
      <w:lvlJc w:val="left"/>
      <w:lvlText w:val="(%1)"/>
      <w:numFmt w:val="lowerLetter"/>
      <w:start w:val="4"/>
    </w:lvl>
  </w:abstractNum>
  <w:abstractNum w:abstractNumId="371">
    <w:nsid w:val="70BA39EB"/>
    <w:multiLevelType w:val="hybridMultilevel"/>
    <w:lvl w:ilvl="0">
      <w:lvlJc w:val="left"/>
      <w:lvlText w:val="%1."/>
      <w:numFmt w:val="decimal"/>
      <w:start w:val="21"/>
    </w:lvl>
    <w:lvl w:ilvl="1">
      <w:lvlJc w:val="left"/>
      <w:lvlText w:val="(%2)"/>
      <w:numFmt w:val="lowerLetter"/>
      <w:start w:val="1"/>
    </w:lvl>
  </w:abstractNum>
  <w:abstractNum w:abstractNumId="372">
    <w:nsid w:val="4A8DB59C"/>
    <w:multiLevelType w:val="hybridMultilevel"/>
    <w:lvl w:ilvl="0">
      <w:lvlJc w:val="left"/>
      <w:lvlText w:val="%1"/>
      <w:numFmt w:val="lowerRoman"/>
      <w:start w:val="1"/>
    </w:lvl>
    <w:lvl w:ilvl="1">
      <w:lvlJc w:val="left"/>
      <w:lvlText w:val="(%2)"/>
      <w:numFmt w:val="lowerLetter"/>
      <w:start w:val="3"/>
    </w:lvl>
  </w:abstractNum>
  <w:abstractNum w:abstractNumId="373">
    <w:nsid w:val="1AFD9053"/>
    <w:multiLevelType w:val="hybridMultilevel"/>
    <w:lvl w:ilvl="0">
      <w:lvlJc w:val="left"/>
      <w:lvlText w:val="(%1)"/>
      <w:numFmt w:val="lowerRoman"/>
      <w:start w:val="1"/>
    </w:lvl>
    <w:lvl w:ilvl="1">
      <w:lvlJc w:val="left"/>
      <w:lvlText w:val="%2"/>
      <w:numFmt w:val="lowerLetter"/>
      <w:start w:val="1"/>
    </w:lvl>
  </w:abstractNum>
  <w:abstractNum w:abstractNumId="374">
    <w:nsid w:val="558BB10D"/>
    <w:multiLevelType w:val="hybridMultilevel"/>
    <w:lvl w:ilvl="0">
      <w:lvlJc w:val="left"/>
      <w:lvlText w:val="(%1)"/>
      <w:numFmt w:val="lowerRoman"/>
      <w:start w:val="5"/>
    </w:lvl>
    <w:lvl w:ilvl="1">
      <w:lvlJc w:val="left"/>
      <w:lvlText w:val="(%2)"/>
      <w:numFmt w:val="upperLetter"/>
      <w:start w:val="1"/>
    </w:lvl>
  </w:abstractNum>
  <w:abstractNum w:abstractNumId="375">
    <w:nsid w:val="43B27FA7"/>
    <w:multiLevelType w:val="hybridMultilevel"/>
    <w:lvl w:ilvl="0">
      <w:lvlJc w:val="left"/>
      <w:lvlText w:val="(%1)"/>
      <w:numFmt w:val="lowerRoman"/>
      <w:start w:val="6"/>
    </w:lvl>
  </w:abstractNum>
  <w:abstractNum w:abstractNumId="376">
    <w:nsid w:val="27FADEFA"/>
    <w:multiLevelType w:val="hybridMultilevel"/>
    <w:lvl w:ilvl="0">
      <w:lvlJc w:val="left"/>
      <w:lvlText w:val="%1"/>
      <w:numFmt w:val="decimal"/>
      <w:start w:val="1"/>
    </w:lvl>
    <w:lvl w:ilvl="1">
      <w:lvlJc w:val="left"/>
      <w:lvlText w:val="(%2)"/>
      <w:numFmt w:val="lowerRoman"/>
      <w:start w:val="11"/>
    </w:lvl>
    <w:lvl w:ilvl="2">
      <w:lvlJc w:val="left"/>
      <w:lvlText w:val="%3"/>
      <w:numFmt w:val="lowerLetter"/>
      <w:start w:val="1"/>
    </w:lvl>
  </w:abstractNum>
  <w:abstractNum w:abstractNumId="377">
    <w:nsid w:val="78BB805A"/>
    <w:multiLevelType w:val="hybridMultilevel"/>
    <w:lvl w:ilvl="0">
      <w:lvlJc w:val="left"/>
      <w:lvlText w:val="%1."/>
      <w:numFmt w:val="decimal"/>
      <w:start w:val="22"/>
    </w:lvl>
    <w:lvl w:ilvl="1">
      <w:lvlJc w:val="left"/>
      <w:lvlText w:val="%2"/>
      <w:numFmt w:val="lowerRoman"/>
      <w:start w:val="1"/>
    </w:lvl>
    <w:lvl w:ilvl="2">
      <w:lvlJc w:val="left"/>
      <w:lvlText w:val="(%3)"/>
      <w:numFmt w:val="lowerLetter"/>
      <w:start w:val="1"/>
    </w:lvl>
  </w:abstractNum>
  <w:abstractNum w:abstractNumId="378">
    <w:nsid w:val="62548FD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379">
    <w:nsid w:val="FA085B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80">
    <w:nsid w:val="4E5DCB5"/>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381">
    <w:nsid w:val="41E96BDB"/>
    <w:multiLevelType w:val="hybridMultilevel"/>
    <w:lvl w:ilvl="0">
      <w:lvlJc w:val="left"/>
      <w:lvlText w:val="(%1)"/>
      <w:numFmt w:val="lowerRoman"/>
      <w:start w:val="1"/>
    </w:lvl>
    <w:lvl w:ilvl="1">
      <w:lvlJc w:val="left"/>
      <w:lvlText w:val="(%2)"/>
      <w:numFmt w:val="lowerLetter"/>
      <w:start w:val="4"/>
    </w:lvl>
  </w:abstractNum>
  <w:abstractNum w:abstractNumId="382">
    <w:nsid w:val="331C4250"/>
    <w:multiLevelType w:val="hybridMultilevel"/>
    <w:lvl w:ilvl="0">
      <w:lvlJc w:val="left"/>
      <w:lvlText w:val="%1."/>
      <w:numFmt w:val="decimal"/>
      <w:start w:val="23"/>
    </w:lvl>
  </w:abstractNum>
  <w:abstractNum w:abstractNumId="383">
    <w:nsid w:val="1B1493C2"/>
    <w:multiLevelType w:val="hybridMultilevel"/>
    <w:lvl w:ilvl="0">
      <w:lvlJc w:val="left"/>
      <w:lvlText w:val="%1."/>
      <w:numFmt w:val="decimal"/>
      <w:start w:val="29"/>
    </w:lvl>
    <w:lvl w:ilvl="1">
      <w:lvlJc w:val="left"/>
      <w:lvlText w:val="(%2)"/>
      <w:numFmt w:val="lowerLetter"/>
      <w:start w:val="1"/>
    </w:lvl>
  </w:abstractNum>
  <w:abstractNum w:abstractNumId="384">
    <w:nsid w:val="39F06DFD"/>
    <w:multiLevelType w:val="hybridMultilevel"/>
    <w:lvl w:ilvl="0">
      <w:lvlJc w:val="left"/>
      <w:lvlText w:val="(%1)"/>
      <w:numFmt w:val="lowerLetter"/>
      <w:start w:val="9"/>
    </w:lvl>
    <w:lvl w:ilvl="1">
      <w:lvlJc w:val="left"/>
      <w:lvlText w:val="(%2)"/>
      <w:numFmt w:val="lowerLetter"/>
      <w:start w:val="3"/>
    </w:lvl>
  </w:abstractNum>
  <w:abstractNum w:abstractNumId="385">
    <w:nsid w:val="14802F5D"/>
    <w:multiLevelType w:val="hybridMultilevel"/>
    <w:lvl w:ilvl="0">
      <w:lvlJc w:val="left"/>
      <w:lvlText w:val="%1"/>
      <w:numFmt w:val="lowerRoman"/>
      <w:start w:val="1"/>
    </w:lvl>
    <w:lvl w:ilvl="1">
      <w:lvlJc w:val="left"/>
      <w:lvlText w:val="(%2)"/>
      <w:numFmt w:val="lowerLetter"/>
      <w:start w:val="5"/>
    </w:lvl>
  </w:abstractNum>
  <w:abstractNum w:abstractNumId="386">
    <w:nsid w:val="2774A209"/>
    <w:multiLevelType w:val="hybridMultilevel"/>
    <w:lvl w:ilvl="0">
      <w:lvlJc w:val="left"/>
      <w:lvlText w:val="(%1)"/>
      <w:numFmt w:val="lowerRoman"/>
      <w:start w:val="1"/>
    </w:lvl>
    <w:lvl w:ilvl="1">
      <w:lvlJc w:val="left"/>
      <w:lvlText w:val="%2"/>
      <w:numFmt w:val="lowerLetter"/>
      <w:start w:val="1"/>
    </w:lvl>
  </w:abstractNum>
  <w:abstractNum w:abstractNumId="387">
    <w:nsid w:val="3785655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88">
    <w:nsid w:val="B2172A"/>
    <w:multiLevelType w:val="hybridMultilevel"/>
    <w:lvl w:ilvl="0">
      <w:lvlJc w:val="left"/>
      <w:lvlText w:val="%1."/>
      <w:numFmt w:val="decimal"/>
      <w:start w:val="31"/>
    </w:lvl>
    <w:lvl w:ilvl="1">
      <w:lvlJc w:val="left"/>
      <w:lvlText w:val="%2"/>
      <w:numFmt w:val="lowerRoman"/>
      <w:start w:val="1"/>
    </w:lvl>
    <w:lvl w:ilvl="2">
      <w:lvlJc w:val="left"/>
      <w:lvlText w:val="%3"/>
      <w:numFmt w:val="upperLetter"/>
      <w:start w:val="1"/>
    </w:lvl>
  </w:abstractNum>
  <w:abstractNum w:abstractNumId="389">
    <w:nsid w:val="532C34A5"/>
    <w:multiLevelType w:val="hybridMultilevel"/>
    <w:lvl w:ilvl="0">
      <w:lvlJc w:val="left"/>
      <w:lvlText w:val="%1."/>
      <w:numFmt w:val="decimal"/>
      <w:start w:val="32"/>
    </w:lvl>
  </w:abstractNum>
  <w:abstractNum w:abstractNumId="390">
    <w:nsid w:val="102809E2"/>
    <w:multiLevelType w:val="hybridMultilevel"/>
    <w:lvl w:ilvl="0">
      <w:lvlJc w:val="left"/>
      <w:lvlText w:val="%1."/>
      <w:numFmt w:val="decimal"/>
      <w:start w:val="36"/>
    </w:lvl>
    <w:lvl w:ilvl="1">
      <w:lvlJc w:val="left"/>
      <w:lvlText w:val="(%2)"/>
      <w:numFmt w:val="lowerLetter"/>
      <w:start w:val="1"/>
    </w:lvl>
  </w:abstractNum>
  <w:abstractNum w:abstractNumId="391">
    <w:nsid w:val="3B2125A3"/>
    <w:multiLevelType w:val="hybridMultilevel"/>
    <w:lvl w:ilvl="0">
      <w:lvlJc w:val="left"/>
      <w:lvlText w:val="%1"/>
      <w:numFmt w:val="lowerLetter"/>
      <w:start w:val="1"/>
    </w:lvl>
    <w:lvl w:ilvl="1">
      <w:lvlJc w:val="left"/>
      <w:lvlText w:val="(%2)"/>
      <w:numFmt w:val="lowerLetter"/>
      <w:start w:val="2"/>
    </w:lvl>
  </w:abstractNum>
  <w:abstractNum w:abstractNumId="392">
    <w:nsid w:val="AC68FFB"/>
    <w:multiLevelType w:val="hybridMultilevel"/>
    <w:lvl w:ilvl="0">
      <w:lvlJc w:val="left"/>
      <w:lvlText w:val="(%1)"/>
      <w:numFmt w:val="lowerLetter"/>
      <w:start w:val="35"/>
    </w:lvl>
    <w:lvl w:ilvl="1">
      <w:lvlJc w:val="left"/>
      <w:lvlText w:val="(%2)"/>
      <w:numFmt w:val="lowerLetter"/>
      <w:start w:val="4"/>
    </w:lvl>
  </w:abstractNum>
  <w:abstractNum w:abstractNumId="393">
    <w:nsid w:val="63DF3FB7"/>
    <w:multiLevelType w:val="hybridMultilevel"/>
    <w:lvl w:ilvl="0">
      <w:lvlJc w:val="left"/>
      <w:lvlText w:val="(%1)"/>
      <w:numFmt w:val="lowerLetter"/>
      <w:start w:val="11"/>
    </w:lvl>
  </w:abstractNum>
  <w:abstractNum w:abstractNumId="394">
    <w:nsid w:val="64996E13"/>
    <w:multiLevelType w:val="hybridMultilevel"/>
    <w:lvl w:ilvl="0">
      <w:lvlJc w:val="left"/>
      <w:lvlText w:val="%1."/>
      <w:numFmt w:val="decimal"/>
      <w:start w:val="1"/>
    </w:lvl>
  </w:abstractNum>
  <w:abstractNum w:abstractNumId="395">
    <w:nsid w:val="57A37D47"/>
    <w:multiLevelType w:val="hybridMultilevel"/>
    <w:lvl w:ilvl="0">
      <w:lvlJc w:val="left"/>
      <w:lvlText w:val="%1"/>
      <w:numFmt w:val="decimal"/>
      <w:start w:val="1"/>
    </w:lvl>
    <w:lvl w:ilvl="1">
      <w:lvlJc w:val="left"/>
      <w:lvlText w:val="(%2)"/>
      <w:numFmt w:val="lowerLetter"/>
      <w:start w:val="2"/>
    </w:lvl>
  </w:abstractNum>
  <w:abstractNum w:abstractNumId="396">
    <w:nsid w:val="74824D54"/>
    <w:multiLevelType w:val="hybridMultilevel"/>
    <w:lvl w:ilvl="0">
      <w:lvlJc w:val="left"/>
      <w:lvlText w:val="%1."/>
      <w:numFmt w:val="decimal"/>
      <w:start w:val="2"/>
    </w:lvl>
    <w:lvl w:ilvl="1">
      <w:lvlJc w:val="left"/>
      <w:lvlText w:val="(%2)"/>
      <w:numFmt w:val="lowerLetter"/>
      <w:start w:val="1"/>
    </w:lvl>
  </w:abstractNum>
  <w:abstractNum w:abstractNumId="397">
    <w:nsid w:val="6F00529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98">
    <w:nsid w:val="805B33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99">
    <w:nsid w:val="60A146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400">
    <w:nsid w:val="43773132"/>
    <w:multiLevelType w:val="hybridMultilevel"/>
    <w:lvl w:ilvl="0">
      <w:lvlJc w:val="left"/>
      <w:lvlText w:val="(%1)"/>
      <w:numFmt w:val="lowerRoman"/>
      <w:start w:val="1"/>
    </w:lvl>
    <w:lvl w:ilvl="1">
      <w:lvlJc w:val="left"/>
      <w:lvlText w:val="%2"/>
      <w:numFmt w:val="lowerLetter"/>
      <w:start w:val="1"/>
    </w:lvl>
  </w:abstractNum>
  <w:abstractNum w:abstractNumId="401">
    <w:nsid w:val="16AC4B23"/>
    <w:multiLevelType w:val="hybridMultilevel"/>
    <w:lvl w:ilvl="0">
      <w:lvlJc w:val="left"/>
      <w:lvlText w:val="(%1)"/>
      <w:numFmt w:val="lowerRoman"/>
      <w:start w:val="4"/>
    </w:lvl>
    <w:lvl w:ilvl="1">
      <w:lvlJc w:val="left"/>
      <w:lvlText w:val="(%2)"/>
      <w:numFmt w:val="lowerLetter"/>
      <w:start w:val="4"/>
    </w:lvl>
  </w:abstractNum>
  <w:abstractNum w:abstractNumId="402">
    <w:nsid w:val="76C44E4E"/>
    <w:multiLevelType w:val="hybridMultilevel"/>
    <w:lvl w:ilvl="0">
      <w:lvlJc w:val="left"/>
      <w:lvlText w:val="%1"/>
      <w:numFmt w:val="lowerRoman"/>
      <w:start w:val="1"/>
    </w:lvl>
    <w:lvl w:ilvl="1">
      <w:lvlJc w:val="left"/>
      <w:lvlText w:val="(%2)"/>
      <w:numFmt w:val="lowerLetter"/>
      <w:start w:val="6"/>
    </w:lvl>
  </w:abstractNum>
  <w:abstractNum w:abstractNumId="403">
    <w:nsid w:val="E04E6CE"/>
    <w:multiLevelType w:val="hybridMultilevel"/>
    <w:lvl w:ilvl="0">
      <w:lvlJc w:val="left"/>
      <w:lvlText w:val="(%1)"/>
      <w:numFmt w:val="lowerRoman"/>
      <w:start w:val="1"/>
    </w:lvl>
    <w:lvl w:ilvl="1">
      <w:lvlJc w:val="left"/>
      <w:lvlText w:val="%2"/>
      <w:numFmt w:val="lowerLetter"/>
      <w:start w:val="1"/>
    </w:lvl>
  </w:abstractNum>
  <w:abstractNum w:abstractNumId="404">
    <w:nsid w:val="31A9DB76"/>
    <w:multiLevelType w:val="hybridMultilevel"/>
    <w:lvl w:ilvl="0">
      <w:lvlJc w:val="left"/>
      <w:lvlText w:val="(%1)"/>
      <w:numFmt w:val="lowerRoman"/>
      <w:start w:val="4"/>
    </w:lvl>
  </w:abstractNum>
  <w:abstractNum w:abstractNumId="405">
    <w:nsid w:val="4C4FFF5B"/>
    <w:multiLevelType w:val="hybridMultilevel"/>
    <w:lvl w:ilvl="0">
      <w:lvlJc w:val="left"/>
      <w:lvlText w:val="%1."/>
      <w:numFmt w:val="decimal"/>
      <w:start w:val="4"/>
    </w:lvl>
    <w:lvl w:ilvl="1">
      <w:lvlJc w:val="left"/>
      <w:lvlText w:val="(%2)"/>
      <w:numFmt w:val="lowerLetter"/>
      <w:start w:val="1"/>
    </w:lvl>
  </w:abstractNum>
  <w:abstractNum w:abstractNumId="406">
    <w:nsid w:val="51B76675"/>
    <w:multiLevelType w:val="hybridMultilevel"/>
    <w:lvl w:ilvl="0">
      <w:lvlJc w:val="left"/>
      <w:lvlText w:val="%1."/>
      <w:numFmt w:val="decimal"/>
      <w:start w:val="5"/>
    </w:lvl>
    <w:lvl w:ilvl="1">
      <w:lvlJc w:val="left"/>
      <w:lvlText w:val="(%2)"/>
      <w:numFmt w:val="lowerLetter"/>
      <w:start w:val="1"/>
    </w:lvl>
  </w:abstractNum>
  <w:abstractNum w:abstractNumId="407">
    <w:nsid w:val="59A4BA71"/>
    <w:multiLevelType w:val="hybridMultilevel"/>
    <w:lvl w:ilvl="0">
      <w:lvlJc w:val="left"/>
      <w:lvlText w:val="(%1)"/>
      <w:numFmt w:val="lowerLetter"/>
      <w:start w:val="3"/>
    </w:lvl>
  </w:abstractNum>
  <w:abstractNum w:abstractNumId="408">
    <w:nsid w:val="450B7FB6"/>
    <w:multiLevelType w:val="hybridMultilevel"/>
    <w:lvl w:ilvl="0">
      <w:lvlJc w:val="left"/>
      <w:lvlText w:val="%1."/>
      <w:numFmt w:val="decimal"/>
      <w:start w:val="6"/>
    </w:lvl>
    <w:lvl w:ilvl="1">
      <w:lvlJc w:val="left"/>
      <w:lvlText w:val="(%2)"/>
      <w:numFmt w:val="lowerLetter"/>
      <w:start w:val="1"/>
    </w:lvl>
  </w:abstractNum>
  <w:abstractNum w:abstractNumId="409">
    <w:nsid w:val="340BF64D"/>
    <w:multiLevelType w:val="hybridMultilevel"/>
    <w:lvl w:ilvl="0">
      <w:lvlJc w:val="left"/>
      <w:lvlText w:val="%1."/>
      <w:numFmt w:val="decimal"/>
      <w:start w:val="1"/>
    </w:lvl>
  </w:abstractNum>
  <w:abstractNum w:abstractNumId="410">
    <w:nsid w:val="69454021"/>
    <w:multiLevelType w:val="hybridMultilevel"/>
    <w:lvl w:ilvl="0">
      <w:lvlJc w:val="left"/>
      <w:lvlText w:val="%1."/>
      <w:numFmt w:val="decimal"/>
      <w:start w:val="13"/>
    </w:lvl>
  </w:abstractNum>
  <w:abstractNum w:abstractNumId="411">
    <w:nsid w:val="49F15C6B"/>
    <w:multiLevelType w:val="hybridMultilevel"/>
    <w:lvl w:ilvl="0">
      <w:lvlJc w:val="left"/>
      <w:lvlText w:val="%1."/>
      <w:numFmt w:val="decimal"/>
      <w:start w:val="1"/>
    </w:lvl>
  </w:abstractNum>
  <w:abstractNum w:abstractNumId="412">
    <w:nsid w:val="75F56228"/>
    <w:multiLevelType w:val="hybridMultilevel"/>
    <w:lvl w:ilvl="0">
      <w:lvlJc w:val="left"/>
      <w:lvlText w:val="%1."/>
      <w:numFmt w:val="decimal"/>
      <w:start w:val="2"/>
    </w:lvl>
  </w:abstractNum>
  <w:abstractNum w:abstractNumId="413">
    <w:nsid w:val="1C618271"/>
    <w:multiLevelType w:val="hybridMultilevel"/>
    <w:lvl w:ilvl="0">
      <w:lvlJc w:val="left"/>
      <w:lvlText w:val="%1"/>
      <w:numFmt w:val="decimal"/>
      <w:start w:val="1"/>
    </w:lvl>
    <w:lvl w:ilvl="1">
      <w:lvlJc w:val="left"/>
      <w:lvlText w:val="(%2)"/>
      <w:numFmt w:val="lowerLetter"/>
      <w:start w:val="1"/>
    </w:lvl>
  </w:abstractNum>
  <w:abstractNum w:abstractNumId="414">
    <w:nsid w:val="6505F02E"/>
    <w:multiLevelType w:val="hybridMultilevel"/>
    <w:lvl w:ilvl="0">
      <w:lvlJc w:val="left"/>
      <w:lvlText w:val="(%1)"/>
      <w:numFmt w:val="decimal"/>
      <w:start w:val="10"/>
    </w:lvl>
    <w:lvl w:ilvl="1">
      <w:lvlJc w:val="left"/>
      <w:lvlText w:val="%2"/>
      <w:numFmt w:val="lowerLetter"/>
      <w:start w:val="1"/>
    </w:lvl>
  </w:abstractNum>
  <w:abstractNum w:abstractNumId="415">
    <w:nsid w:val="2FE5D025"/>
    <w:multiLevelType w:val="hybridMultilevel"/>
    <w:lvl w:ilvl="0">
      <w:lvlJc w:val="left"/>
      <w:lvlText w:val="(%1)"/>
      <w:numFmt w:val="lowerLetter"/>
      <w:start w:val="5"/>
    </w:lvl>
  </w:abstractNum>
  <w:abstractNum w:abstractNumId="416">
    <w:nsid w:val="30E1B1CF"/>
    <w:multiLevelType w:val="hybridMultilevel"/>
    <w:lvl w:ilvl="0">
      <w:lvlJc w:val="left"/>
      <w:lvlText w:val="(%1)"/>
      <w:numFmt w:val="lowerLetter"/>
      <w:start w:val="1"/>
    </w:lvl>
  </w:abstractNum>
  <w:abstractNum w:abstractNumId="417">
    <w:nsid w:val="C7A9237"/>
    <w:multiLevelType w:val="hybridMultilevel"/>
    <w:lvl w:ilvl="0">
      <w:lvlJc w:val="left"/>
      <w:lvlText w:val="(%1)"/>
      <w:numFmt w:val="lowerLetter"/>
      <w:start w:val="1"/>
    </w:lvl>
  </w:abstractNum>
  <w:abstractNum w:abstractNumId="418">
    <w:nsid w:val="676B3580"/>
    <w:multiLevelType w:val="hybridMultilevel"/>
    <w:lvl w:ilvl="0">
      <w:lvlJc w:val="left"/>
      <w:lvlText w:val="(%1)"/>
      <w:numFmt w:val="lowerLetter"/>
      <w:start w:val="1"/>
    </w:lvl>
  </w:abstractNum>
  <w:abstractNum w:abstractNumId="419">
    <w:nsid w:val="3193C8F9"/>
    <w:multiLevelType w:val="hybridMultilevel"/>
    <w:lvl w:ilvl="0">
      <w:lvlJc w:val="left"/>
      <w:lvlText w:val="%1."/>
      <w:numFmt w:val="decimal"/>
      <w:start w:val="3"/>
    </w:lvl>
  </w:abstractNum>
  <w:abstractNum w:abstractNumId="420">
    <w:nsid w:val="5FA6C6DC"/>
    <w:multiLevelType w:val="hybridMultilevel"/>
    <w:lvl w:ilvl="0">
      <w:lvlJc w:val="left"/>
      <w:lvlText w:val="(%1)"/>
      <w:numFmt w:val="lowerLetter"/>
      <w:start w:val="1"/>
    </w:lvl>
  </w:abstractNum>
  <w:abstractNum w:abstractNumId="421">
    <w:nsid w:val="77933F62"/>
    <w:multiLevelType w:val="hybridMultilevel"/>
    <w:lvl w:ilvl="0">
      <w:lvlJc w:val="left"/>
      <w:lvlText w:val="(%1)"/>
      <w:numFmt w:val="lowerLetter"/>
      <w:start w:val="1"/>
    </w:lvl>
  </w:abstractNum>
  <w:abstractNum w:abstractNumId="422">
    <w:nsid w:val="6CB4EE9C"/>
    <w:multiLevelType w:val="hybridMultilevel"/>
    <w:lvl w:ilvl="0">
      <w:lvlJc w:val="left"/>
      <w:lvlText w:val="%1."/>
      <w:numFmt w:val="decimal"/>
      <w:start w:val="4"/>
    </w:lvl>
  </w:abstractNum>
  <w:abstractNum w:abstractNumId="423">
    <w:nsid w:val="6A6D56D7"/>
    <w:multiLevelType w:val="hybridMultilevel"/>
    <w:lvl w:ilvl="0">
      <w:lvlJc w:val="left"/>
      <w:lvlText w:val="%1."/>
      <w:numFmt w:val="decimal"/>
      <w:start w:val="5"/>
    </w:lvl>
  </w:abstractNum>
  <w:abstractNum w:abstractNumId="424">
    <w:nsid w:val="5B727F19"/>
    <w:multiLevelType w:val="hybridMultilevel"/>
    <w:lvl w:ilvl="0">
      <w:lvlJc w:val="left"/>
      <w:lvlText w:val="(%1)"/>
      <w:numFmt w:val="lowerRoman"/>
      <w:start w:val="3"/>
    </w:lvl>
  </w:abstractNum>
  <w:abstractNum w:abstractNumId="425">
    <w:nsid w:val="514E5CB0"/>
    <w:multiLevelType w:val="hybridMultilevel"/>
    <w:lvl w:ilvl="0">
      <w:lvlJc w:val="left"/>
      <w:lvlText w:val="%1."/>
      <w:numFmt w:val="decimal"/>
      <w:start w:val="6"/>
    </w:lvl>
  </w:abstractNum>
  <w:abstractNum w:abstractNumId="426">
    <w:nsid w:val="4210D41E"/>
    <w:multiLevelType w:val="hybridMultilevel"/>
    <w:lvl w:ilvl="0">
      <w:lvlJc w:val="left"/>
      <w:lvlText w:val="(%1)"/>
      <w:numFmt w:val="lowerLetter"/>
      <w:start w:val="1"/>
    </w:lvl>
  </w:abstractNum>
  <w:abstractNum w:abstractNumId="427">
    <w:nsid w:val="4FF4CC6D"/>
    <w:multiLevelType w:val="hybridMultilevel"/>
    <w:lvl w:ilvl="0">
      <w:lvlJc w:val="left"/>
      <w:lvlText w:val="(%1)"/>
      <w:numFmt w:val="lowerLetter"/>
      <w:start w:val="2"/>
    </w:lvl>
  </w:abstractNum>
  <w:abstractNum w:abstractNumId="428">
    <w:nsid w:val="404EAF4A"/>
    <w:multiLevelType w:val="hybridMultilevel"/>
    <w:lvl w:ilvl="0">
      <w:lvlJc w:val="left"/>
      <w:lvlText w:val="(%1)"/>
      <w:numFmt w:val="lowerLetter"/>
      <w:start w:val="1"/>
    </w:lvl>
  </w:abstractNum>
  <w:abstractNum w:abstractNumId="429">
    <w:nsid w:val="4A16874F"/>
    <w:multiLevelType w:val="hybridMultilevel"/>
    <w:lvl w:ilvl="0">
      <w:lvlJc w:val="left"/>
      <w:lvlText w:val="(%1)"/>
      <w:numFmt w:val="lowerLetter"/>
      <w:start w:val="1"/>
    </w:lvl>
  </w:abstractNum>
  <w:abstractNum w:abstractNumId="430">
    <w:nsid w:val="55FEE0D1"/>
    <w:multiLevelType w:val="hybridMultilevel"/>
    <w:lvl w:ilvl="0">
      <w:lvlJc w:val="left"/>
      <w:lvlText w:val="(%1)"/>
      <w:numFmt w:val="lowerLetter"/>
      <w:start w:val="1"/>
    </w:lvl>
  </w:abstractNum>
  <w:abstractNum w:abstractNumId="431">
    <w:nsid w:val="3C5E07C"/>
    <w:multiLevelType w:val="hybridMultilevel"/>
    <w:lvl w:ilvl="0">
      <w:lvlJc w:val="left"/>
      <w:lvlText w:val="(%1)"/>
      <w:numFmt w:val="lowerLetter"/>
      <w:start w:val="1"/>
    </w:lvl>
  </w:abstractNum>
  <w:abstractNum w:abstractNumId="432">
    <w:nsid w:val="60C2D273"/>
    <w:multiLevelType w:val="hybridMultilevel"/>
    <w:lvl w:ilvl="0">
      <w:lvlJc w:val="left"/>
      <w:lvlText w:val="(%1)"/>
      <w:numFmt w:val="lowerLetter"/>
      <w:start w:val="2"/>
    </w:lvl>
  </w:abstractNum>
  <w:abstractNum w:abstractNumId="433">
    <w:nsid w:val="4CC32F1F"/>
    <w:multiLevelType w:val="hybridMultilevel"/>
    <w:lvl w:ilvl="0">
      <w:lvlJc w:val="left"/>
      <w:lvlText w:val="%1."/>
      <w:numFmt w:val="decimal"/>
      <w:start w:val="7"/>
    </w:lvl>
  </w:abstractNum>
  <w:abstractNum w:abstractNumId="434">
    <w:nsid w:val="11CAC74A"/>
    <w:multiLevelType w:val="hybridMultilevel"/>
    <w:lvl w:ilvl="0">
      <w:lvlJc w:val="left"/>
      <w:lvlText w:val="(%1)"/>
      <w:numFmt w:val="lowerLetter"/>
      <w:start w:val="3"/>
    </w:lvl>
  </w:abstractNum>
  <w:abstractNum w:abstractNumId="435">
    <w:nsid w:val="126CADE9"/>
    <w:multiLevelType w:val="hybridMultilevel"/>
    <w:lvl w:ilvl="0">
      <w:lvlJc w:val="left"/>
      <w:lvlText w:val="(%1)"/>
      <w:numFmt w:val="lowerLetter"/>
      <w:start w:val="3"/>
    </w:lvl>
  </w:abstractNum>
  <w:abstractNum w:abstractNumId="436">
    <w:nsid w:val="19132E7B"/>
    <w:multiLevelType w:val="hybridMultilevel"/>
    <w:lvl w:ilvl="0">
      <w:lvlJc w:val="left"/>
      <w:lvlText w:val="(%1)"/>
      <w:numFmt w:val="lowerLetter"/>
      <w:start w:val="2"/>
    </w:lvl>
  </w:abstractNum>
  <w:abstractNum w:abstractNumId="437">
    <w:nsid w:val="63822DC0"/>
    <w:multiLevelType w:val="hybridMultilevel"/>
    <w:lvl w:ilvl="0">
      <w:lvlJc w:val="left"/>
      <w:lvlText w:val="(%1)"/>
      <w:numFmt w:val="lowerLetter"/>
      <w:start w:val="1"/>
    </w:lvl>
  </w:abstractNum>
  <w:abstractNum w:abstractNumId="438">
    <w:nsid w:val="6C11685A"/>
    <w:multiLevelType w:val="hybridMultilevel"/>
    <w:lvl w:ilvl="0">
      <w:lvlJc w:val="left"/>
      <w:lvlText w:val="%1."/>
      <w:numFmt w:val="decimal"/>
      <w:start w:val="8"/>
    </w:lvl>
  </w:abstractNum>
  <w:abstractNum w:abstractNumId="439">
    <w:nsid w:val="5E1EAE31"/>
    <w:multiLevelType w:val="hybridMultilevel"/>
    <w:lvl w:ilvl="0">
      <w:lvlJc w:val="left"/>
      <w:lvlText w:val="(%1)"/>
      <w:numFmt w:val="lowerLetter"/>
      <w:start w:val="1"/>
    </w:lvl>
  </w:abstractNum>
  <w:abstractNum w:abstractNumId="440">
    <w:nsid w:val="178E240D"/>
    <w:multiLevelType w:val="hybridMultilevel"/>
    <w:lvl w:ilvl="0">
      <w:lvlJc w:val="left"/>
      <w:lvlText w:val="(%1)"/>
      <w:numFmt w:val="lowerLetter"/>
      <w:start w:val="1"/>
    </w:lvl>
  </w:abstractNum>
  <w:abstractNum w:abstractNumId="441">
    <w:nsid w:val="5556A87B"/>
    <w:multiLevelType w:val="hybridMultilevel"/>
    <w:lvl w:ilvl="0">
      <w:lvlJc w:val="left"/>
      <w:lvlText w:val="%1."/>
      <w:numFmt w:val="decimal"/>
      <w:start w:val="9"/>
    </w:lvl>
  </w:abstractNum>
  <w:abstractNum w:abstractNumId="442">
    <w:nsid w:val="28100A9C"/>
    <w:multiLevelType w:val="hybridMultilevel"/>
    <w:lvl w:ilvl="0">
      <w:lvlJc w:val="left"/>
      <w:lvlText w:val="(%1)"/>
      <w:numFmt w:val="lowerLetter"/>
      <w:start w:val="1"/>
    </w:lvl>
  </w:abstractNum>
  <w:abstractNum w:abstractNumId="443">
    <w:nsid w:val="D838636"/>
    <w:multiLevelType w:val="hybridMultilevel"/>
    <w:lvl w:ilvl="0">
      <w:lvlJc w:val="left"/>
      <w:lvlText w:val="(%1)"/>
      <w:numFmt w:val="lowerLetter"/>
      <w:start w:val="4"/>
    </w:lvl>
  </w:abstractNum>
  <w:abstractNum w:abstractNumId="444">
    <w:nsid w:val="71B82AED"/>
    <w:multiLevelType w:val="hybridMultilevel"/>
    <w:lvl w:ilvl="0">
      <w:lvlJc w:val="left"/>
      <w:lvlText w:val="%1."/>
      <w:numFmt w:val="decimal"/>
      <w:start w:val="10"/>
    </w:lvl>
  </w:abstractNum>
  <w:abstractNum w:abstractNumId="445">
    <w:nsid w:val="D15FACA"/>
    <w:multiLevelType w:val="hybridMultilevel"/>
    <w:lvl w:ilvl="0">
      <w:lvlJc w:val="left"/>
      <w:lvlText w:val="%1."/>
      <w:numFmt w:val="decimal"/>
      <w:start w:val="11"/>
    </w:lvl>
  </w:abstractNum>
  <w:abstractNum w:abstractNumId="446">
    <w:nsid w:val="3D69565B"/>
    <w:multiLevelType w:val="hybridMultilevel"/>
    <w:lvl w:ilvl="0">
      <w:lvlJc w:val="left"/>
      <w:lvlText w:val="%1."/>
      <w:numFmt w:val="decimal"/>
      <w:start w:val="12"/>
    </w:lvl>
  </w:abstractNum>
  <w:abstractNum w:abstractNumId="447">
    <w:nsid w:val="2299DCBC"/>
    <w:multiLevelType w:val="hybridMultilevel"/>
    <w:lvl w:ilvl="0">
      <w:lvlJc w:val="left"/>
      <w:lvlText w:val="%1."/>
      <w:numFmt w:val="decimal"/>
      <w:start w:val="13"/>
    </w:lvl>
  </w:abstractNum>
  <w:abstractNum w:abstractNumId="448">
    <w:nsid w:val="19908D02"/>
    <w:multiLevelType w:val="hybridMultilevel"/>
    <w:lvl w:ilvl="0">
      <w:lvlJc w:val="left"/>
      <w:lvlText w:val="(%1)"/>
      <w:numFmt w:val="lowerLetter"/>
      <w:start w:val="1"/>
    </w:lvl>
  </w:abstractNum>
  <w:abstractNum w:abstractNumId="449">
    <w:nsid w:val="24D48BDB"/>
    <w:multiLevelType w:val="hybridMultilevel"/>
    <w:lvl w:ilvl="0">
      <w:lvlJc w:val="left"/>
      <w:lvlText w:val="(%1)"/>
      <w:numFmt w:val="lowerLetter"/>
      <w:start w:val="3"/>
    </w:lvl>
  </w:abstractNum>
  <w:abstractNum w:abstractNumId="450">
    <w:nsid w:val="542DA5B5"/>
    <w:multiLevelType w:val="hybridMultilevel"/>
    <w:lvl w:ilvl="0">
      <w:lvlJc w:val="left"/>
      <w:lvlText w:val="(%1)"/>
      <w:numFmt w:val="lowerLetter"/>
      <w:start w:val="2"/>
    </w:lvl>
  </w:abstractNum>
  <w:abstractNum w:abstractNumId="451">
    <w:nsid w:val="793753DE"/>
    <w:multiLevelType w:val="hybridMultilevel"/>
    <w:lvl w:ilvl="0">
      <w:lvlJc w:val="left"/>
      <w:lvlText w:val="(%1)"/>
      <w:numFmt w:val="lowerLetter"/>
      <w:start w:val="1"/>
    </w:lvl>
  </w:abstractNum>
  <w:abstractNum w:abstractNumId="452">
    <w:nsid w:val="1C67CB3D"/>
    <w:multiLevelType w:val="hybridMultilevel"/>
    <w:lvl w:ilvl="0">
      <w:lvlJc w:val="left"/>
      <w:lvlText w:val="%1"/>
      <w:numFmt w:val="decimal"/>
      <w:start w:val="1"/>
    </w:lvl>
    <w:lvl w:ilvl="1">
      <w:lvlJc w:val="left"/>
      <w:lvlText w:val="(%2)"/>
      <w:numFmt w:val="lowerLetter"/>
      <w:start w:val="1"/>
    </w:lvl>
  </w:abstractNum>
  <w:abstractNum w:abstractNumId="453">
    <w:nsid w:val="40E29452"/>
    <w:multiLevelType w:val="hybridMultilevel"/>
    <w:lvl w:ilvl="0">
      <w:lvlJc w:val="left"/>
      <w:lvlText w:val="(%1)"/>
      <w:numFmt w:val="decimal"/>
      <w:start w:val="12"/>
    </w:lvl>
    <w:lvl w:ilvl="1">
      <w:lvlJc w:val="left"/>
      <w:lvlText w:val="(%2)"/>
      <w:numFmt w:val="lowerLetter"/>
      <w:start w:val="4"/>
    </w:lvl>
  </w:abstractNum>
  <w:abstractNum w:abstractNumId="454">
    <w:nsid w:val="63A4AAB6"/>
    <w:multiLevelType w:val="hybridMultilevel"/>
    <w:lvl w:ilvl="0">
      <w:lvlJc w:val="left"/>
      <w:lvlText w:val="(%1)"/>
      <w:numFmt w:val="lowerLetter"/>
      <w:start w:val="7"/>
    </w:lvl>
  </w:abstractNum>
  <w:abstractNum w:abstractNumId="455">
    <w:nsid w:val="77DA4A57"/>
    <w:multiLevelType w:val="hybridMultilevel"/>
    <w:lvl w:ilvl="0">
      <w:lvlJc w:val="left"/>
      <w:lvlText w:val="(%1)"/>
      <w:numFmt w:val="lowerLetter"/>
      <w:start w:val="1"/>
    </w:lvl>
  </w:abstractNum>
  <w:abstractNum w:abstractNumId="456">
    <w:nsid w:val="1230F102"/>
    <w:multiLevelType w:val="hybridMultilevel"/>
    <w:lvl w:ilvl="0">
      <w:lvlJc w:val="left"/>
      <w:lvlText w:val="(%1)"/>
      <w:numFmt w:val="lowerLetter"/>
      <w:start w:val="1"/>
    </w:lvl>
  </w:abstractNum>
  <w:abstractNum w:abstractNumId="457">
    <w:nsid w:val="25B57E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2019-12-23T16:45:48Z</dcterms:created>
  <dcterms:modified xsi:type="dcterms:W3CDTF">2019-12-23T16:45:48Z</dcterms:modified>
</cp:coreProperties>
</file>