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218440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247015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2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3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Date of Report (Date of earliest event reported): June 9,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93"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AVROBIO,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210185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35" w:right="3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91" w:lineRule="exact"/>
        <w:rPr>
          <w:sz w:val="24"/>
          <w:szCs w:val="24"/>
          <w:color w:val="auto"/>
        </w:rPr>
      </w:pPr>
    </w:p>
    <w:p>
      <w:pPr>
        <w:jc w:val="center"/>
        <w:ind w:right="14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140"/>
        <w:spacing w:after="0"/>
        <w:rPr>
          <w:sz w:val="20"/>
          <w:szCs w:val="20"/>
          <w:color w:val="auto"/>
        </w:rPr>
      </w:pPr>
      <w:r>
        <w:rPr>
          <w:rFonts w:ascii="Arial" w:cs="Arial" w:eastAsia="Arial" w:hAnsi="Arial"/>
          <w:sz w:val="16"/>
          <w:szCs w:val="16"/>
          <w:b w:val="1"/>
          <w:bCs w:val="1"/>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71" w:lineRule="exact"/>
        <w:rPr>
          <w:sz w:val="24"/>
          <w:szCs w:val="24"/>
          <w:color w:val="auto"/>
        </w:rPr>
      </w:pPr>
    </w:p>
    <w:p>
      <w:pPr>
        <w:jc w:val="center"/>
        <w:ind w:right="640"/>
        <w:spacing w:after="0"/>
        <w:rPr>
          <w:sz w:val="20"/>
          <w:szCs w:val="20"/>
          <w:color w:val="auto"/>
        </w:rPr>
      </w:pPr>
      <w:r>
        <w:rPr>
          <w:rFonts w:ascii="Arial" w:cs="Arial" w:eastAsia="Arial" w:hAnsi="Arial"/>
          <w:sz w:val="18"/>
          <w:szCs w:val="18"/>
          <w:b w:val="1"/>
          <w:bCs w:val="1"/>
          <w:color w:val="auto"/>
        </w:rPr>
        <w:t>001-38537</w:t>
      </w:r>
    </w:p>
    <w:p>
      <w:pPr>
        <w:spacing w:after="0" w:line="27" w:lineRule="exact"/>
        <w:rPr>
          <w:sz w:val="24"/>
          <w:szCs w:val="24"/>
          <w:color w:val="auto"/>
        </w:rPr>
      </w:pPr>
    </w:p>
    <w:p>
      <w:pPr>
        <w:jc w:val="center"/>
        <w:ind w:right="640"/>
        <w:spacing w:after="0"/>
        <w:rPr>
          <w:sz w:val="20"/>
          <w:szCs w:val="20"/>
          <w:color w:val="auto"/>
        </w:rPr>
      </w:pPr>
      <w:r>
        <w:rPr>
          <w:rFonts w:ascii="Arial" w:cs="Arial" w:eastAsia="Arial" w:hAnsi="Arial"/>
          <w:sz w:val="16"/>
          <w:szCs w:val="16"/>
          <w:b w:val="1"/>
          <w:bCs w:val="1"/>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71" w:lineRule="exact"/>
        <w:rPr>
          <w:sz w:val="24"/>
          <w:szCs w:val="24"/>
          <w:color w:val="auto"/>
        </w:rPr>
      </w:pPr>
    </w:p>
    <w:p>
      <w:pPr>
        <w:jc w:val="center"/>
        <w:ind w:right="480"/>
        <w:spacing w:after="0"/>
        <w:rPr>
          <w:sz w:val="20"/>
          <w:szCs w:val="20"/>
          <w:color w:val="auto"/>
        </w:rPr>
      </w:pPr>
      <w:r>
        <w:rPr>
          <w:rFonts w:ascii="Arial" w:cs="Arial" w:eastAsia="Arial" w:hAnsi="Arial"/>
          <w:sz w:val="18"/>
          <w:szCs w:val="18"/>
          <w:b w:val="1"/>
          <w:bCs w:val="1"/>
          <w:color w:val="auto"/>
        </w:rPr>
        <w:t>81-0710585</w:t>
      </w:r>
    </w:p>
    <w:p>
      <w:pPr>
        <w:spacing w:after="0" w:line="27" w:lineRule="exact"/>
        <w:rPr>
          <w:sz w:val="24"/>
          <w:szCs w:val="24"/>
          <w:color w:val="auto"/>
        </w:rPr>
      </w:pPr>
    </w:p>
    <w:p>
      <w:pPr>
        <w:jc w:val="center"/>
        <w:ind w:right="480"/>
        <w:spacing w:after="0"/>
        <w:rPr>
          <w:sz w:val="20"/>
          <w:szCs w:val="20"/>
          <w:color w:val="auto"/>
        </w:rPr>
      </w:pPr>
      <w:r>
        <w:rPr>
          <w:rFonts w:ascii="Arial" w:cs="Arial" w:eastAsia="Arial" w:hAnsi="Arial"/>
          <w:sz w:val="16"/>
          <w:szCs w:val="16"/>
          <w:b w:val="1"/>
          <w:bCs w:val="1"/>
          <w:color w:val="auto"/>
        </w:rPr>
        <w:t>(I.R.S. Employer Identification No.)</w:t>
      </w:r>
    </w:p>
    <w:p>
      <w:pPr>
        <w:spacing w:after="0" w:line="200" w:lineRule="exact"/>
        <w:rPr>
          <w:sz w:val="24"/>
          <w:szCs w:val="24"/>
          <w:color w:val="auto"/>
        </w:rPr>
      </w:pPr>
    </w:p>
    <w:p>
      <w:pPr>
        <w:sectPr>
          <w:pgSz w:w="11900" w:h="16838" w:orient="portrait"/>
          <w:cols w:equalWidth="0" w:num="3">
            <w:col w:w="3860" w:space="720"/>
            <w:col w:w="2720" w:space="720"/>
            <w:col w:w="3220"/>
          </w:cols>
          <w:pgMar w:left="320" w:top="535" w:right="339" w:bottom="1440" w:gutter="0" w:footer="0" w:header="0"/>
          <w:type w:val="continuous"/>
        </w:sectPr>
      </w:pPr>
    </w:p>
    <w:p>
      <w:pPr>
        <w:spacing w:after="0" w:line="5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100 Technology Square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Sixth Floor</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Cambridge, MA 02139</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(Address of principal executive offices, including zip code)</w:t>
      </w:r>
    </w:p>
    <w:p>
      <w:pPr>
        <w:spacing w:after="0" w:line="23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(617) 914-8420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w:t>
      </w:r>
    </w:p>
    <w:p>
      <w:pPr>
        <w:spacing w:after="0" w:line="23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04"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97"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36"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5880" w:type="dxa"/>
            <w:vAlign w:val="bottom"/>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40" w:type="dxa"/>
            <w:vAlign w:val="bottom"/>
          </w:tcPr>
          <w:p>
            <w:pPr>
              <w:spacing w:after="0"/>
              <w:rPr>
                <w:sz w:val="20"/>
                <w:szCs w:val="20"/>
                <w:color w:val="auto"/>
              </w:rPr>
            </w:pPr>
          </w:p>
        </w:tc>
      </w:tr>
      <w:tr>
        <w:trPr>
          <w:trHeight w:val="441"/>
        </w:trPr>
        <w:tc>
          <w:tcPr>
            <w:tcW w:w="5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jc w:val="center"/>
              <w:spacing w:after="0"/>
              <w:rPr>
                <w:sz w:val="20"/>
                <w:szCs w:val="20"/>
                <w:color w:val="auto"/>
              </w:rPr>
            </w:pPr>
            <w:r>
              <w:rPr>
                <w:rFonts w:ascii="Arial" w:cs="Arial" w:eastAsia="Arial" w:hAnsi="Arial"/>
                <w:sz w:val="18"/>
                <w:szCs w:val="18"/>
                <w:b w:val="1"/>
                <w:bCs w:val="1"/>
                <w:color w:val="auto"/>
                <w:w w:val="90"/>
              </w:rPr>
              <w:t>Trading</w:t>
            </w:r>
          </w:p>
        </w:tc>
        <w:tc>
          <w:tcPr>
            <w:tcW w:w="120" w:type="dxa"/>
            <w:vAlign w:val="bottom"/>
          </w:tcPr>
          <w:p>
            <w:pPr>
              <w:spacing w:after="0"/>
              <w:rPr>
                <w:sz w:val="24"/>
                <w:szCs w:val="24"/>
                <w:color w:val="auto"/>
              </w:rPr>
            </w:pPr>
          </w:p>
        </w:tc>
        <w:tc>
          <w:tcPr>
            <w:tcW w:w="384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w:t>
            </w:r>
          </w:p>
        </w:tc>
      </w:tr>
      <w:tr>
        <w:trPr>
          <w:trHeight w:val="241"/>
        </w:trPr>
        <w:tc>
          <w:tcPr>
            <w:tcW w:w="58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Title of each class</w:t>
            </w:r>
          </w:p>
        </w:tc>
        <w:tc>
          <w:tcPr>
            <w:tcW w:w="100" w:type="dxa"/>
            <w:vAlign w:val="bottom"/>
          </w:tcPr>
          <w:p>
            <w:pPr>
              <w:spacing w:after="0"/>
              <w:rPr>
                <w:sz w:val="20"/>
                <w:szCs w:val="20"/>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symbol(s)</w:t>
            </w:r>
          </w:p>
        </w:tc>
        <w:tc>
          <w:tcPr>
            <w:tcW w:w="120" w:type="dxa"/>
            <w:vAlign w:val="bottom"/>
          </w:tcPr>
          <w:p>
            <w:pPr>
              <w:spacing w:after="0"/>
              <w:rPr>
                <w:sz w:val="20"/>
                <w:szCs w:val="20"/>
                <w:color w:val="auto"/>
              </w:rPr>
            </w:pPr>
          </w:p>
        </w:tc>
        <w:tc>
          <w:tcPr>
            <w:tcW w:w="38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on which registered</w:t>
            </w:r>
          </w:p>
        </w:tc>
      </w:tr>
      <w:tr>
        <w:trPr>
          <w:trHeight w:val="234"/>
        </w:trPr>
        <w:tc>
          <w:tcPr>
            <w:tcW w:w="5880" w:type="dxa"/>
            <w:vAlign w:val="bottom"/>
          </w:tcPr>
          <w:p>
            <w:pPr>
              <w:jc w:val="center"/>
              <w:spacing w:after="0"/>
              <w:rPr>
                <w:sz w:val="20"/>
                <w:szCs w:val="20"/>
                <w:color w:val="auto"/>
              </w:rPr>
            </w:pPr>
            <w:r>
              <w:rPr>
                <w:rFonts w:ascii="Arial" w:cs="Arial" w:eastAsia="Arial" w:hAnsi="Arial"/>
                <w:sz w:val="18"/>
                <w:szCs w:val="18"/>
                <w:b w:val="1"/>
                <w:bCs w:val="1"/>
                <w:color w:val="auto"/>
                <w:w w:val="90"/>
              </w:rPr>
              <w:t>Common Stock, $0.0001 par value per share</w:t>
            </w:r>
          </w:p>
        </w:tc>
        <w:tc>
          <w:tcPr>
            <w:tcW w:w="100" w:type="dxa"/>
            <w:vAlign w:val="bottom"/>
          </w:tcPr>
          <w:p>
            <w:pPr>
              <w:spacing w:after="0"/>
              <w:rPr>
                <w:sz w:val="20"/>
                <w:szCs w:val="20"/>
                <w:color w:val="auto"/>
              </w:rPr>
            </w:pPr>
          </w:p>
        </w:tc>
        <w:tc>
          <w:tcPr>
            <w:tcW w:w="1300" w:type="dxa"/>
            <w:vAlign w:val="bottom"/>
          </w:tcPr>
          <w:p>
            <w:pPr>
              <w:jc w:val="center"/>
              <w:spacing w:after="0"/>
              <w:rPr>
                <w:sz w:val="20"/>
                <w:szCs w:val="20"/>
                <w:color w:val="auto"/>
              </w:rPr>
            </w:pPr>
            <w:r>
              <w:rPr>
                <w:rFonts w:ascii="Arial" w:cs="Arial" w:eastAsia="Arial" w:hAnsi="Arial"/>
                <w:sz w:val="18"/>
                <w:szCs w:val="18"/>
                <w:b w:val="1"/>
                <w:bCs w:val="1"/>
                <w:color w:val="auto"/>
                <w:w w:val="99"/>
              </w:rPr>
              <w:t>AVRO</w:t>
            </w:r>
          </w:p>
        </w:tc>
        <w:tc>
          <w:tcPr>
            <w:tcW w:w="120" w:type="dxa"/>
            <w:vAlign w:val="bottom"/>
          </w:tcPr>
          <w:p>
            <w:pPr>
              <w:spacing w:after="0"/>
              <w:rPr>
                <w:sz w:val="20"/>
                <w:szCs w:val="20"/>
                <w:color w:val="auto"/>
              </w:rPr>
            </w:pPr>
          </w:p>
        </w:tc>
        <w:tc>
          <w:tcPr>
            <w:tcW w:w="3840" w:type="dxa"/>
            <w:vAlign w:val="bottom"/>
          </w:tcPr>
          <w:p>
            <w:pPr>
              <w:jc w:val="center"/>
              <w:spacing w:after="0"/>
              <w:rPr>
                <w:sz w:val="20"/>
                <w:szCs w:val="20"/>
                <w:color w:val="auto"/>
              </w:rPr>
            </w:pPr>
            <w:r>
              <w:rPr>
                <w:rFonts w:ascii="Arial" w:cs="Arial" w:eastAsia="Arial" w:hAnsi="Arial"/>
                <w:sz w:val="18"/>
                <w:szCs w:val="18"/>
                <w:b w:val="1"/>
                <w:bCs w:val="1"/>
                <w:color w:val="auto"/>
                <w:w w:val="92"/>
              </w:rPr>
              <w:t>Nasdaq Global Select Market</w:t>
            </w:r>
          </w:p>
        </w:tc>
      </w:tr>
    </w:tbl>
    <w:p>
      <w:pPr>
        <w:spacing w:after="0" w:line="210" w:lineRule="exact"/>
        <w:rPr>
          <w:sz w:val="24"/>
          <w:szCs w:val="24"/>
          <w:color w:val="auto"/>
        </w:rPr>
      </w:pPr>
    </w:p>
    <w:p>
      <w:pPr>
        <w:ind w:right="48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53"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97" w:lineRule="exact"/>
        <w:rPr>
          <w:sz w:val="24"/>
          <w:szCs w:val="24"/>
          <w:color w:val="auto"/>
        </w:rPr>
      </w:pPr>
    </w:p>
    <w:p>
      <w:pPr>
        <w:ind w:right="160"/>
        <w:spacing w:after="0" w:line="23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187960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282575</wp:posOffset>
            </wp:positionV>
            <wp:extent cx="71323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427990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35" w:right="339" w:bottom="1440" w:gutter="0" w:footer="0" w:header="0"/>
          <w:type w:val="continuous"/>
        </w:sectPr>
      </w:pPr>
    </w:p>
    <w:bookmarkStart w:id="1" w:name="page2"/>
    <w:bookmarkEnd w:id="1"/>
    <w:p>
      <w:pPr>
        <w:spacing w:after="0"/>
        <w:tabs>
          <w:tab w:leader="none" w:pos="1280" w:val="left"/>
        </w:tabs>
        <w:rPr>
          <w:sz w:val="20"/>
          <w:szCs w:val="20"/>
          <w:color w:val="auto"/>
        </w:rPr>
      </w:pPr>
      <w:r>
        <w:rPr>
          <w:rFonts w:ascii="Arial" w:cs="Arial" w:eastAsia="Arial" w:hAnsi="Arial"/>
          <w:sz w:val="18"/>
          <w:szCs w:val="18"/>
          <w:b w:val="1"/>
          <w:bCs w:val="1"/>
          <w:color w:val="auto"/>
        </w:rPr>
        <w:t>Item 1.02</w:t>
      </w:r>
      <w:r>
        <w:rPr>
          <w:sz w:val="20"/>
          <w:szCs w:val="20"/>
          <w:color w:val="auto"/>
        </w:rPr>
        <w:tab/>
      </w:r>
      <w:r>
        <w:rPr>
          <w:rFonts w:ascii="Arial" w:cs="Arial" w:eastAsia="Arial" w:hAnsi="Arial"/>
          <w:sz w:val="16"/>
          <w:szCs w:val="16"/>
          <w:b w:val="1"/>
          <w:bCs w:val="1"/>
          <w:color w:val="auto"/>
        </w:rPr>
        <w:t>Termination of a Material Definitive Agreement.</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June 9, 2023, upon the closing of the Asset Sale (as defined below), all outstanding amounts due and owed, including principal, interest, and other charges, under the Loan and Security Agreement (the "</w:t>
      </w:r>
      <w:r>
        <w:rPr>
          <w:rFonts w:ascii="Arial" w:cs="Arial" w:eastAsia="Arial" w:hAnsi="Arial"/>
          <w:sz w:val="18"/>
          <w:szCs w:val="18"/>
          <w:u w:val="single" w:color="auto"/>
          <w:color w:val="auto"/>
        </w:rPr>
        <w:t>Term Loan Facility</w:t>
      </w:r>
      <w:r>
        <w:rPr>
          <w:rFonts w:ascii="Arial" w:cs="Arial" w:eastAsia="Arial" w:hAnsi="Arial"/>
          <w:sz w:val="18"/>
          <w:szCs w:val="18"/>
          <w:color w:val="auto"/>
        </w:rPr>
        <w:t>"), dated as of November 2, 2021, by and among AVROBIO, Inc. (the “</w:t>
      </w:r>
      <w:r>
        <w:rPr>
          <w:rFonts w:ascii="Arial" w:cs="Arial" w:eastAsia="Arial" w:hAnsi="Arial"/>
          <w:sz w:val="18"/>
          <w:szCs w:val="18"/>
          <w:u w:val="single" w:color="auto"/>
          <w:color w:val="auto"/>
        </w:rPr>
        <w:t>Company</w:t>
      </w:r>
      <w:r>
        <w:rPr>
          <w:rFonts w:ascii="Arial" w:cs="Arial" w:eastAsia="Arial" w:hAnsi="Arial"/>
          <w:sz w:val="18"/>
          <w:szCs w:val="18"/>
          <w:color w:val="auto"/>
        </w:rPr>
        <w:t>”), Silicon Valley Bank, a division of First-Citizens Bank &amp; Trust and the other parties thereto, were repaid in full and the Term Loan Facility was terminated.</w:t>
      </w:r>
    </w:p>
    <w:p>
      <w:pPr>
        <w:spacing w:after="0" w:line="21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Upon repayment, the obligations of the Company under the Term Loan Facility were satisfied in full, the Term Loan Facility and all related loan documents were terminated and all liens and security interests granted thereunder were released and terminated (excluding certain indemnification obligations that expressly survive termination of the Term Loan Facility).</w:t>
      </w:r>
    </w:p>
    <w:p>
      <w:pPr>
        <w:spacing w:after="0" w:line="20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2.01</w:t>
      </w:r>
      <w:r>
        <w:rPr>
          <w:sz w:val="20"/>
          <w:szCs w:val="20"/>
          <w:color w:val="auto"/>
        </w:rPr>
        <w:tab/>
      </w:r>
      <w:r>
        <w:rPr>
          <w:rFonts w:ascii="Arial" w:cs="Arial" w:eastAsia="Arial" w:hAnsi="Arial"/>
          <w:sz w:val="15"/>
          <w:szCs w:val="15"/>
          <w:b w:val="1"/>
          <w:bCs w:val="1"/>
          <w:color w:val="auto"/>
        </w:rPr>
        <w:t>Completion of Acquisition or Disposition of Assets.</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previously disclosed in the Company’s Current Report on Form 8-K filed with the Securities and Exchange Commission (the “</w:t>
      </w:r>
      <w:r>
        <w:rPr>
          <w:rFonts w:ascii="Arial" w:cs="Arial" w:eastAsia="Arial" w:hAnsi="Arial"/>
          <w:sz w:val="18"/>
          <w:szCs w:val="18"/>
          <w:u w:val="single" w:color="auto"/>
          <w:color w:val="auto"/>
        </w:rPr>
        <w:t>SEC</w:t>
      </w:r>
      <w:r>
        <w:rPr>
          <w:rFonts w:ascii="Arial" w:cs="Arial" w:eastAsia="Arial" w:hAnsi="Arial"/>
          <w:sz w:val="18"/>
          <w:szCs w:val="18"/>
          <w:color w:val="auto"/>
        </w:rPr>
        <w:t>”) on May 22, 2023, the Company entered into an Asset Purchase Agreement (the “</w:t>
      </w:r>
      <w:r>
        <w:rPr>
          <w:rFonts w:ascii="Arial" w:cs="Arial" w:eastAsia="Arial" w:hAnsi="Arial"/>
          <w:sz w:val="18"/>
          <w:szCs w:val="18"/>
          <w:u w:val="single" w:color="auto"/>
          <w:color w:val="auto"/>
        </w:rPr>
        <w:t>Asset Purchase Agreement</w:t>
      </w:r>
      <w:r>
        <w:rPr>
          <w:rFonts w:ascii="Arial" w:cs="Arial" w:eastAsia="Arial" w:hAnsi="Arial"/>
          <w:sz w:val="18"/>
          <w:szCs w:val="18"/>
          <w:color w:val="auto"/>
        </w:rPr>
        <w:t>”) with Novartis Pharma AG and Novartis Pharmaceuticals Corporation (collectively, the “</w:t>
      </w:r>
      <w:r>
        <w:rPr>
          <w:rFonts w:ascii="Arial" w:cs="Arial" w:eastAsia="Arial" w:hAnsi="Arial"/>
          <w:sz w:val="18"/>
          <w:szCs w:val="18"/>
          <w:u w:val="single" w:color="auto"/>
          <w:color w:val="auto"/>
        </w:rPr>
        <w:t>Purchaser</w:t>
      </w:r>
      <w:r>
        <w:rPr>
          <w:rFonts w:ascii="Arial" w:cs="Arial" w:eastAsia="Arial" w:hAnsi="Arial"/>
          <w:sz w:val="18"/>
          <w:szCs w:val="18"/>
          <w:color w:val="auto"/>
        </w:rPr>
        <w:t>”) on May 19, 2023 (the transactions contemplated by the Asset Purchase Agreement, the “</w:t>
      </w:r>
      <w:r>
        <w:rPr>
          <w:rFonts w:ascii="Arial" w:cs="Arial" w:eastAsia="Arial" w:hAnsi="Arial"/>
          <w:sz w:val="18"/>
          <w:szCs w:val="18"/>
          <w:u w:val="single" w:color="auto"/>
          <w:color w:val="auto"/>
        </w:rPr>
        <w:t>Asset Sale</w:t>
      </w:r>
      <w:r>
        <w:rPr>
          <w:rFonts w:ascii="Arial" w:cs="Arial" w:eastAsia="Arial" w:hAnsi="Arial"/>
          <w:sz w:val="18"/>
          <w:szCs w:val="18"/>
          <w:color w:val="auto"/>
        </w:rPr>
        <w:t>”). On June 9, 2023, the Company completed the Asset Sale.</w:t>
      </w:r>
    </w:p>
    <w:p>
      <w:pPr>
        <w:spacing w:after="0" w:line="2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 copy of the unaudited pro forma financial statements of the Company, giving effect to the Asset Sale, are attached as Exhibit 99.1 to this Current Report on Form 8-K and are incorporated herein by reference.</w:t>
      </w:r>
    </w:p>
    <w:p>
      <w:pPr>
        <w:sectPr>
          <w:pgSz w:w="11900" w:h="16838" w:orient="portrait"/>
          <w:cols w:equalWidth="0" w:num="1">
            <w:col w:w="11240"/>
          </w:cols>
          <w:pgMar w:left="320" w:top="121" w:right="339" w:bottom="1440" w:gutter="0" w:footer="0" w:header="0"/>
        </w:sectPr>
      </w:pP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5.02</w:t>
      </w:r>
    </w:p>
    <w:p>
      <w:pPr>
        <w:spacing w:after="0" w:line="20" w:lineRule="exact"/>
        <w:rPr>
          <w:sz w:val="20"/>
          <w:szCs w:val="20"/>
          <w:color w:val="auto"/>
        </w:rPr>
      </w:pPr>
      <w:r>
        <w:rPr>
          <w:sz w:val="20"/>
          <w:szCs w:val="20"/>
          <w:color w:val="auto"/>
        </w:rPr>
        <w:br w:type="column"/>
      </w:r>
    </w:p>
    <w:p>
      <w:pPr>
        <w:spacing w:after="0" w:line="173" w:lineRule="exact"/>
        <w:rPr>
          <w:sz w:val="20"/>
          <w:szCs w:val="20"/>
          <w:color w:val="auto"/>
        </w:rPr>
      </w:pPr>
    </w:p>
    <w:p>
      <w:pPr>
        <w:ind w:right="1140"/>
        <w:spacing w:after="0" w:line="282" w:lineRule="auto"/>
        <w:rPr>
          <w:sz w:val="20"/>
          <w:szCs w:val="20"/>
          <w:color w:val="auto"/>
        </w:rPr>
      </w:pPr>
      <w:r>
        <w:rPr>
          <w:rFonts w:ascii="Arial" w:cs="Arial" w:eastAsia="Arial" w:hAnsi="Arial"/>
          <w:sz w:val="18"/>
          <w:szCs w:val="18"/>
          <w:b w:val="1"/>
          <w:bCs w:val="1"/>
          <w:color w:val="auto"/>
        </w:rPr>
        <w:t>Departure of Directors or Certain Officers; Election of Directors; Appointment of Certain Officers; Compensatory Arrangements of Certain Officers.</w:t>
      </w:r>
    </w:p>
    <w:p>
      <w:pPr>
        <w:spacing w:after="0" w:line="193" w:lineRule="exact"/>
        <w:rPr>
          <w:sz w:val="20"/>
          <w:szCs w:val="20"/>
          <w:color w:val="auto"/>
        </w:rPr>
      </w:pPr>
    </w:p>
    <w:p>
      <w:pPr>
        <w:sectPr>
          <w:pgSz w:w="11900" w:h="16838" w:orient="portrait"/>
          <w:cols w:equalWidth="0" w:num="2">
            <w:col w:w="720" w:space="580"/>
            <w:col w:w="9940"/>
          </w:cols>
          <w:pgMar w:left="320" w:top="121" w:right="339" w:bottom="1440" w:gutter="0" w:footer="0" w:header="0"/>
          <w:type w:val="continuous"/>
        </w:sectPr>
      </w:pPr>
    </w:p>
    <w:p>
      <w:pPr>
        <w:spacing w:after="0"/>
        <w:rPr>
          <w:sz w:val="20"/>
          <w:szCs w:val="20"/>
          <w:color w:val="auto"/>
        </w:rPr>
      </w:pPr>
      <w:r>
        <w:rPr>
          <w:rFonts w:ascii="Arial" w:cs="Arial" w:eastAsia="Arial" w:hAnsi="Arial"/>
          <w:sz w:val="18"/>
          <w:szCs w:val="18"/>
          <w:b w:val="1"/>
          <w:bCs w:val="1"/>
          <w:i w:val="1"/>
          <w:iCs w:val="1"/>
          <w:color w:val="auto"/>
        </w:rPr>
        <w:t>Compensation of Interim Chief Executive Officer</w:t>
      </w:r>
    </w:p>
    <w:p>
      <w:pPr>
        <w:spacing w:after="0" w:line="252"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On June 9, 2023, the Compensation Committee (the “</w:t>
      </w:r>
      <w:r>
        <w:rPr>
          <w:rFonts w:ascii="Arial" w:cs="Arial" w:eastAsia="Arial" w:hAnsi="Arial"/>
          <w:sz w:val="18"/>
          <w:szCs w:val="18"/>
          <w:u w:val="single" w:color="auto"/>
          <w:color w:val="auto"/>
        </w:rPr>
        <w:t>Compensation Committee</w:t>
      </w:r>
      <w:r>
        <w:rPr>
          <w:rFonts w:ascii="Arial" w:cs="Arial" w:eastAsia="Arial" w:hAnsi="Arial"/>
          <w:sz w:val="18"/>
          <w:szCs w:val="18"/>
          <w:color w:val="auto"/>
        </w:rPr>
        <w:t>”) of the Board of Directors of AVROBIO, Inc. (the “</w:t>
      </w:r>
      <w:r>
        <w:rPr>
          <w:rFonts w:ascii="Arial" w:cs="Arial" w:eastAsia="Arial" w:hAnsi="Arial"/>
          <w:sz w:val="18"/>
          <w:szCs w:val="18"/>
          <w:u w:val="single" w:color="auto"/>
          <w:color w:val="auto"/>
        </w:rPr>
        <w:t>Company</w:t>
      </w:r>
      <w:r>
        <w:rPr>
          <w:rFonts w:ascii="Arial" w:cs="Arial" w:eastAsia="Arial" w:hAnsi="Arial"/>
          <w:sz w:val="18"/>
          <w:szCs w:val="18"/>
          <w:color w:val="auto"/>
        </w:rPr>
        <w:t>”) approved adjusted terms of compensation for Erik Ostrowski, the Company’s President, Interim Chief Executive Officer, Chief Financial Officer and Treasurer, in consideration of his service in such role. Effective July 1, 2023, (i) Mr. Ostrowski’s base salary shall be adjusted to be $535,000 and (ii) Mr. Ostrowski’s 2023 target bonus, commencing on July 1, 2023, shall be increased to 55% (which shall be applied against the base salary in effect for such period). For the six month period ending June 30, 2023, Mr. Ostrowski’s 2023 target bonus shall remain at 40% (to be applied against the base salary in effect for such period).</w:t>
      </w:r>
    </w:p>
    <w:p>
      <w:pPr>
        <w:spacing w:after="0" w:line="219"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Additionally, pursuant to the Company’s 2018 Stock Option and Incentive Plan, as amended, the Compensation Committee granted Mr. Ostrowski 70,000 restricted stock units (“</w:t>
      </w:r>
      <w:r>
        <w:rPr>
          <w:rFonts w:ascii="Arial" w:cs="Arial" w:eastAsia="Arial" w:hAnsi="Arial"/>
          <w:sz w:val="18"/>
          <w:szCs w:val="18"/>
          <w:u w:val="single" w:color="auto"/>
          <w:color w:val="auto"/>
        </w:rPr>
        <w:t>RSUs</w:t>
      </w:r>
      <w:r>
        <w:rPr>
          <w:rFonts w:ascii="Arial" w:cs="Arial" w:eastAsia="Arial" w:hAnsi="Arial"/>
          <w:sz w:val="18"/>
          <w:szCs w:val="18"/>
          <w:color w:val="auto"/>
        </w:rPr>
        <w:t>”). The RSUs shall vest over four years, with 25% vesting annually on July 1 of each following year, subject to continued employment through the applicable vesting date.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Retention Bonuses</w:t>
      </w:r>
    </w:p>
    <w:p>
      <w:pPr>
        <w:spacing w:after="0" w:line="252"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Also on June 9, 2023, the Compensation Committee approved cash retention bonuses (the “</w:t>
      </w:r>
      <w:r>
        <w:rPr>
          <w:rFonts w:ascii="Arial" w:cs="Arial" w:eastAsia="Arial" w:hAnsi="Arial"/>
          <w:sz w:val="16"/>
          <w:szCs w:val="16"/>
          <w:u w:val="single" w:color="auto"/>
          <w:color w:val="auto"/>
        </w:rPr>
        <w:t>Retention Bonuses</w:t>
      </w:r>
      <w:r>
        <w:rPr>
          <w:rFonts w:ascii="Arial" w:cs="Arial" w:eastAsia="Arial" w:hAnsi="Arial"/>
          <w:sz w:val="16"/>
          <w:szCs w:val="16"/>
          <w:color w:val="auto"/>
        </w:rPr>
        <w:t>”) for each of Mr. Ostrowski and Azadeh Golipour, the Company’s Chief Technology Officer, (each, an “</w:t>
      </w:r>
      <w:r>
        <w:rPr>
          <w:rFonts w:ascii="Arial" w:cs="Arial" w:eastAsia="Arial" w:hAnsi="Arial"/>
          <w:sz w:val="16"/>
          <w:szCs w:val="16"/>
          <w:u w:val="single" w:color="auto"/>
          <w:color w:val="auto"/>
        </w:rPr>
        <w:t>Executive</w:t>
      </w:r>
      <w:r>
        <w:rPr>
          <w:rFonts w:ascii="Arial" w:cs="Arial" w:eastAsia="Arial" w:hAnsi="Arial"/>
          <w:sz w:val="16"/>
          <w:szCs w:val="16"/>
          <w:color w:val="auto"/>
        </w:rPr>
        <w:t>”). The Retention Bonuses will be payable to each Executive, in each case subject to such Executive continuing to be employed by the Company as of December 31, 2023 (the “</w:t>
      </w:r>
      <w:r>
        <w:rPr>
          <w:rFonts w:ascii="Arial" w:cs="Arial" w:eastAsia="Arial" w:hAnsi="Arial"/>
          <w:sz w:val="16"/>
          <w:szCs w:val="16"/>
          <w:u w:val="single" w:color="auto"/>
          <w:color w:val="auto"/>
        </w:rPr>
        <w:t>Effective Date</w:t>
      </w:r>
      <w:r>
        <w:rPr>
          <w:rFonts w:ascii="Arial" w:cs="Arial" w:eastAsia="Arial" w:hAnsi="Arial"/>
          <w:sz w:val="16"/>
          <w:szCs w:val="16"/>
          <w:color w:val="auto"/>
        </w:rPr>
        <w:t>”). The amount of the Retention Bonuses payable to each Executive shall be equal to (i) 125% of each Executive’s base salary for calendar year 2023 as in effect on June 9, 2023 (except that, in the case of Mr. Ostrowski, such calculation shall be based on his base salary in effect as of July 1, 2023), plus (ii) 125% of each Executive’s target 2023 annual bonus as in effect on June 9, 2023 (except that, in the case of Mr. Ostrowski, such calculation shall be based on his target 2023 annual bonus in effect for the six month period commencing July 1, 2023), in each case pro-rated for the period of time from June 9, 2023 to the Effective Date. If the Company undergoes a Change in Control, the Company terminates the Executive without Cause or the Executive terminates his or her employment for Good Reason (each term as defined in each Executive’s respective employment agreement with the Company), the applicable Retention Bonuses shall be payable in full immediately prior to the consummation of such Change in Control or termination.</w:t>
      </w:r>
    </w:p>
    <w:p>
      <w:pPr>
        <w:spacing w:after="0" w:line="19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6"/>
          <w:szCs w:val="16"/>
          <w:b w:val="1"/>
          <w:bCs w:val="1"/>
          <w:color w:val="auto"/>
        </w:rPr>
        <w:t>Regulation FD Disclosure.</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June 12, 2023, the Company issued a press release titled “AVROBIO Completes Sale of Cystinosis Gene Therapy Program for $87.5 Million.” A copy of the press release is furnished as Exhibit 99.2 to this Current Report on Form 8-K.</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information in Item 7.01 of this Current Report on Form 8-K, including Exhibit 99.2 attached hereto, shall not be deemed “filed” for purposes of the Securities Exchange Act of 1934, as amended (the “</w:t>
      </w:r>
      <w:r>
        <w:rPr>
          <w:rFonts w:ascii="Arial" w:cs="Arial" w:eastAsia="Arial" w:hAnsi="Arial"/>
          <w:sz w:val="18"/>
          <w:szCs w:val="18"/>
          <w:u w:val="single" w:color="auto"/>
          <w:color w:val="auto"/>
        </w:rPr>
        <w:t>Exchange Act</w:t>
      </w:r>
      <w:r>
        <w:rPr>
          <w:rFonts w:ascii="Arial" w:cs="Arial" w:eastAsia="Arial" w:hAnsi="Arial"/>
          <w:sz w:val="18"/>
          <w:szCs w:val="18"/>
          <w:color w:val="auto"/>
        </w:rPr>
        <w:t>”), or otherwise subject to the liabilities of that section, nor shall it be deemed incorporated by reference in any filing under the Securities Act of 1933, as amended, or the Exchange Act, except as expressly set forth by specific reference in such a filing.</w:t>
      </w:r>
    </w:p>
    <w:p>
      <w:pPr>
        <w:spacing w:after="0" w:line="21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(b) Pro forma financial information.</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unaudited pro forma condensed combined financial information of the Company as of and for the three months ended March 31, 2023 and the year ended December 31, 2022 and the notes related thereto, in each case giving effect to the Asset Sale, are filed as Exhibit 99.1 to this Current Report on Form 8-K and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 w:name="page3"/>
    <w:bookmarkEnd w:id="2"/>
    <w:p>
      <w:pPr>
        <w:spacing w:after="0"/>
        <w:rPr>
          <w:sz w:val="20"/>
          <w:szCs w:val="20"/>
          <w:color w:val="auto"/>
        </w:rPr>
      </w:pPr>
      <w:r>
        <w:rPr>
          <w:rFonts w:ascii="Arial" w:cs="Arial" w:eastAsia="Arial" w:hAnsi="Arial"/>
          <w:sz w:val="18"/>
          <w:szCs w:val="18"/>
          <w:color w:val="auto"/>
        </w:rPr>
        <w:t>(d) Exhibits</w:t>
      </w:r>
    </w:p>
    <w:p>
      <w:pPr>
        <w:spacing w:after="0" w:line="252" w:lineRule="exact"/>
        <w:rPr>
          <w:sz w:val="20"/>
          <w:szCs w:val="20"/>
          <w:color w:val="auto"/>
        </w:rPr>
      </w:pPr>
    </w:p>
    <w:p>
      <w:pPr>
        <w:ind w:left="560" w:hanging="561"/>
        <w:spacing w:after="0" w:line="277" w:lineRule="auto"/>
        <w:tabs>
          <w:tab w:leader="none" w:pos="540" w:val="left"/>
        </w:tabs>
        <w:rPr>
          <w:sz w:val="20"/>
          <w:szCs w:val="20"/>
          <w:color w:val="auto"/>
        </w:rPr>
      </w:pPr>
      <w:r>
        <w:rPr>
          <w:rFonts w:ascii="Arial" w:cs="Arial" w:eastAsia="Arial" w:hAnsi="Arial"/>
          <w:sz w:val="18"/>
          <w:szCs w:val="18"/>
          <w:u w:val="single" w:color="auto"/>
          <w:color w:val="0000EE"/>
        </w:rPr>
        <w:t>99.1</w:t>
      </w:r>
      <w:r>
        <w:rPr>
          <w:sz w:val="20"/>
          <w:szCs w:val="20"/>
          <w:color w:val="auto"/>
        </w:rPr>
        <w:tab/>
      </w:r>
      <w:r>
        <w:rPr>
          <w:rFonts w:ascii="Arial" w:cs="Arial" w:eastAsia="Arial" w:hAnsi="Arial"/>
          <w:sz w:val="18"/>
          <w:szCs w:val="18"/>
          <w:color w:val="auto"/>
        </w:rPr>
        <w:t>Unaudited pro forma condensed combined financial information of AVROBIO, Inc. (giving effect to the Asset Sale) as of and for the three months ended March 31, 2023 and for the year ended December 31, 2022 and the notes related thereto.</w:t>
      </w:r>
    </w:p>
    <w:p>
      <w:pPr>
        <w:spacing w:after="0" w:line="170"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u w:val="single" w:color="auto"/>
          <w:color w:val="0000EE"/>
        </w:rPr>
        <w:t>99.2</w:t>
      </w:r>
      <w:r>
        <w:rPr>
          <w:sz w:val="20"/>
          <w:szCs w:val="20"/>
          <w:color w:val="auto"/>
        </w:rPr>
        <w:tab/>
      </w:r>
      <w:r>
        <w:rPr>
          <w:rFonts w:ascii="Arial" w:cs="Arial" w:eastAsia="Arial" w:hAnsi="Arial"/>
          <w:sz w:val="16"/>
          <w:szCs w:val="16"/>
          <w:color w:val="auto"/>
        </w:rPr>
        <w:t>Press Release issued by AVROBIO, Inc., dated June 12, 2023.</w:t>
      </w:r>
    </w:p>
    <w:p>
      <w:pPr>
        <w:spacing w:after="0" w:line="225"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104</w:t>
        <w:tab/>
        <w:t>The cover page from this Current Report on Form 8-K, formatted in Inline XBRL.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280670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AVROBIO, INC.</w:t>
      </w:r>
    </w:p>
    <w:p>
      <w:pPr>
        <w:spacing w:after="0" w:line="225" w:lineRule="exact"/>
        <w:rPr>
          <w:sz w:val="20"/>
          <w:szCs w:val="20"/>
          <w:color w:val="auto"/>
        </w:rPr>
      </w:pPr>
    </w:p>
    <w:p>
      <w:pPr>
        <w:spacing w:after="0"/>
        <w:tabs>
          <w:tab w:leader="none" w:pos="5600" w:val="left"/>
        </w:tabs>
        <w:rPr>
          <w:sz w:val="20"/>
          <w:szCs w:val="20"/>
          <w:color w:val="auto"/>
        </w:rPr>
      </w:pPr>
      <w:r>
        <w:rPr>
          <w:rFonts w:ascii="Arial" w:cs="Arial" w:eastAsia="Arial" w:hAnsi="Arial"/>
          <w:sz w:val="18"/>
          <w:szCs w:val="18"/>
          <w:color w:val="auto"/>
        </w:rPr>
        <w:t>Date: June 12, 2023</w:t>
      </w:r>
      <w:r>
        <w:rPr>
          <w:sz w:val="20"/>
          <w:szCs w:val="20"/>
          <w:color w:val="auto"/>
        </w:rPr>
        <w:tab/>
      </w:r>
      <w:r>
        <w:rPr>
          <w:rFonts w:ascii="Arial" w:cs="Arial" w:eastAsia="Arial" w:hAnsi="Arial"/>
          <w:sz w:val="17"/>
          <w:szCs w:val="17"/>
          <w:color w:val="auto"/>
        </w:rPr>
        <w:t>By: /s/ Erik Ostrowski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216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52165" cy="17145"/>
                    </a:xfrm>
                    <a:prstGeom prst="rect">
                      <a:avLst/>
                    </a:prstGeom>
                    <a:noFill/>
                  </pic:spPr>
                </pic:pic>
              </a:graphicData>
            </a:graphic>
          </wp:anchor>
        </w:drawing>
      </w:r>
    </w:p>
    <w:p>
      <w:pPr>
        <w:spacing w:after="0" w:line="17"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Erik Ostrowski</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7"/>
          <w:szCs w:val="17"/>
          <w:color w:val="auto"/>
        </w:rPr>
        <w:t>President, Interim Chief Executive Officer, Chief Financial Officer and</w:t>
      </w:r>
    </w:p>
    <w:p>
      <w:pPr>
        <w:spacing w:after="0" w:line="21"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382905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99.1</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PRO FORMA FINANCIAL INFORMATION</w:t>
      </w:r>
    </w:p>
    <w:p>
      <w:pPr>
        <w:spacing w:after="0" w:line="256"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On May 19, 2023, AVROBIO, Inc., a Delaware corporation (the “Company”), entered into an Asset Purchase Agreement (the “Asset Purchase Agreement”) with Novartis Pharma AG and Novartis Pharmaceuticals Corporation (collectively, the “Purchaser”), providing for the sale of the Company’s cystinosis gene therapy program (designated AVR-RD-04) and all other assets of the Company specifically related to this program. In addition, pursuant to the Asset Purchase Agreement, the Company has granted an exclusive license to the Purchaser to use certain intellectual property of the Company, which consists of certain proprietary elements of the Company’s plato® gene therapy platform technology specifically within the field of cystinosis. The foregoing transactions contemplated by the Asset Purchase Agreement are referred to as the “Asset Sale”. The Company has also agreed not to assert claims against the Purchaser for violations of certain other Company intellectual property rights in connection with the Purchaser’s exercise of the exclusive license granted to it under the Asset Purchase Agreement, and for violations of the licensed intellectual property, except in connection with activities by the Purchaser in the fields of Gaucher disease, Pompe disease, Hunter syndrome and Fabry disease, or indemnification claims under the Asset Purchase Agreement. The aggregate consideration to the Company consists of a cash payment of $87.5 million upon closing of the transaction on June 9, 2023 (the “Closing Date”).</w:t>
      </w:r>
    </w:p>
    <w:p>
      <w:pPr>
        <w:spacing w:after="0" w:line="209"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The Asset Purchase Agreement contains certain customary representations, warranties and covenants. The Asset Purchase Agreement also contains customary indemnification provisions pursuant to which the parties agree to indemnify each other for certain matters, including, among other things, breaches of certain representations, warranties and covenants in connection with the Asset Sale, subject to specified caps and limitations. The Company has also agreed to a covenant that would prohibit the Company from engaging in specified activities that would compete with the cystinosis business, for a period of 5 years, subject to certain limitations and exceptions. Completion of the Asset Sale was subject to the satisfaction or waiver of customary closing conditions, including a requirement to obtain third party consents from certain of the Company’s key suppliers and licensors, and a requirement to terminate any liens, including those imposed under the Company’s Loan and Security Agreement (the “Term Loan Facility”), dated as of November 2, 2021, with Silicon Valley Bank, a division of First-Citizens Bank &amp; Trust and the other parties thereto. Upon closing, the Company utilized a portion of the transaction proceeds to pay off its outstanding balance under the Term Loan Facility.</w:t>
      </w:r>
    </w:p>
    <w:p>
      <w:pPr>
        <w:spacing w:after="0" w:line="208"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The following unaudited pro forma condensed consolidated financial statements are intended to show how the Asset Sale might have affected the historical financial statements of the Company if the Asset Sale had been completed at an earlier time as indicated therein, and such unaudited pro forma consolidated financial statements are derived from, and should be read in conjunction with, the Company’s historical condensed consolidated financial statements and notes thereto, as presented in the Company’s Quarterly Report on Form 10-Q for the three months ended March 31, 2023 filed with the Securities and Exchange Commission (“SEC”) on May 11, 2023 (the “Form 10-Q”) and the Company’s historical financial statements and notes thereto, as presented in the Company’s Annual Report on Form 10-K for the fiscal year ended December 31, 2022 filed with the SEC on March 23, 2023 (the “Form 10-K”).</w:t>
      </w:r>
    </w:p>
    <w:p>
      <w:pPr>
        <w:spacing w:after="0" w:line="191" w:lineRule="exact"/>
        <w:rPr>
          <w:sz w:val="20"/>
          <w:szCs w:val="20"/>
          <w:color w:val="auto"/>
        </w:rPr>
      </w:pPr>
    </w:p>
    <w:p>
      <w:pPr>
        <w:jc w:val="both"/>
        <w:ind w:right="380"/>
        <w:spacing w:after="0" w:line="259" w:lineRule="auto"/>
        <w:rPr>
          <w:sz w:val="20"/>
          <w:szCs w:val="20"/>
          <w:color w:val="auto"/>
        </w:rPr>
      </w:pPr>
      <w:r>
        <w:rPr>
          <w:rFonts w:ascii="Arial" w:cs="Arial" w:eastAsia="Arial" w:hAnsi="Arial"/>
          <w:sz w:val="18"/>
          <w:szCs w:val="18"/>
          <w:color w:val="auto"/>
        </w:rPr>
        <w:t>The unaudited pro forma condensed combined financial information was prepared in accordance with Article 11 of Regulation S-X. The unaudited pro forma condensed consolidated balance sheet as of March 31, 2023 assumes the transaction had occurred on March 31, 2023. The unaudited pro forma condensed consolidated statements of operations for the three months ended March 31, 2023 and the year ended December 31, 2022 give effect to the transaction as if it had occurred as of January 1, 2022.</w:t>
      </w:r>
    </w:p>
    <w:p>
      <w:pPr>
        <w:spacing w:after="0" w:line="214" w:lineRule="exact"/>
        <w:rPr>
          <w:sz w:val="20"/>
          <w:szCs w:val="20"/>
          <w:color w:val="auto"/>
        </w:rPr>
      </w:pPr>
    </w:p>
    <w:p>
      <w:pPr>
        <w:jc w:val="both"/>
        <w:ind w:right="120"/>
        <w:spacing w:after="0" w:line="311" w:lineRule="auto"/>
        <w:rPr>
          <w:sz w:val="20"/>
          <w:szCs w:val="20"/>
          <w:color w:val="auto"/>
        </w:rPr>
      </w:pPr>
      <w:r>
        <w:rPr>
          <w:rFonts w:ascii="Arial" w:cs="Arial" w:eastAsia="Arial" w:hAnsi="Arial"/>
          <w:sz w:val="16"/>
          <w:szCs w:val="16"/>
          <w:color w:val="auto"/>
        </w:rPr>
        <w:t>In addition, Regulation S-X permits registrants to reflect adjustments that depict synergies and dis-synergies of the acquisitions and dispositions for which pro forma effect is being given in the Company’s disclosures as management adjustments. The Company has determined not to disclose such adjustments because it does not believe that presentation of such adjustments would enhance an understanding of the pro forma effects of the Asset Sale.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The accounting adjustments to reflect the Asset Sale in the unaudited pro forma consolidated financial statements include:</w:t>
      </w:r>
    </w:p>
    <w:p>
      <w:pPr>
        <w:spacing w:after="0" w:line="252" w:lineRule="exact"/>
        <w:rPr>
          <w:sz w:val="20"/>
          <w:szCs w:val="20"/>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sale of the assets related to the AVR-RD-04 program pursuant to the Asset Purchase Agreement;</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cash repayment of the Term Loan Facility;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271780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5" w:name="page6"/>
    <w:bookmarkEnd w:id="5"/>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receipt of the cash proceeds that were payable on the Closing Date in connection with the Asset Sale.</w:t>
      </w:r>
    </w:p>
    <w:p>
      <w:pPr>
        <w:spacing w:after="0" w:line="252"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The unaudited pro forma consolidated financial statement information is presented for informational purposes only and is based upon estimates by the Company’s management, which are based upon available information and certain assumptions that the Company’s management believes are reasonable as of the date of this filing. The unaudited pro forma consolidated financial statements are not intended to be indicative of the actual financial position or results of operations that would have been achieved had the Asset Sale been consummated as of the periods indicated, nor does it purport to indicate results which may be attained in the future. Actual amounts could differ materially from these estimates.</w:t>
      </w:r>
    </w:p>
    <w:p>
      <w:pPr>
        <w:spacing w:after="0" w:line="203" w:lineRule="exact"/>
        <w:rPr>
          <w:sz w:val="20"/>
          <w:szCs w:val="20"/>
          <w:color w:val="auto"/>
        </w:rPr>
      </w:pPr>
    </w:p>
    <w:p>
      <w:pPr>
        <w:ind w:right="360"/>
        <w:spacing w:after="0" w:line="308" w:lineRule="auto"/>
        <w:rPr>
          <w:sz w:val="20"/>
          <w:szCs w:val="20"/>
          <w:color w:val="auto"/>
        </w:rPr>
      </w:pPr>
      <w:r>
        <w:rPr>
          <w:rFonts w:ascii="Arial" w:cs="Arial" w:eastAsia="Arial" w:hAnsi="Arial"/>
          <w:sz w:val="17"/>
          <w:szCs w:val="17"/>
          <w:color w:val="auto"/>
        </w:rPr>
        <w:t>The unaudited pro forma consolidated balance sheet as of March 31, 2023 and the unaudited pro forma consolidated statements of operations for three months ended March 31, 2023 and the year ended December 31, 2022 should be read in conjunction with the notes thereto.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230505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AVROBIO,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Pro Forma Condensed Consolidated Balance Sheet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March 31, 2023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500" w:type="dxa"/>
            <w:vAlign w:val="bottom"/>
            <w:gridSpan w:val="8"/>
          </w:tcPr>
          <w:p>
            <w:pPr>
              <w:ind w:left="80"/>
              <w:spacing w:after="0"/>
              <w:rPr>
                <w:sz w:val="20"/>
                <w:szCs w:val="20"/>
                <w:color w:val="auto"/>
              </w:rPr>
            </w:pPr>
            <w:r>
              <w:rPr>
                <w:rFonts w:ascii="Arial" w:cs="Arial" w:eastAsia="Arial" w:hAnsi="Arial"/>
                <w:sz w:val="18"/>
                <w:szCs w:val="18"/>
                <w:b w:val="1"/>
                <w:bCs w:val="1"/>
                <w:color w:val="auto"/>
              </w:rPr>
              <w:t>Transaction Accounting Adjustments</w:t>
            </w: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198"/>
        </w:trPr>
        <w:tc>
          <w:tcPr>
            <w:tcW w:w="5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2"/>
          </w:tcPr>
          <w:p>
            <w:pPr>
              <w:jc w:val="center"/>
              <w:ind w:right="220"/>
              <w:spacing w:after="0" w:line="198" w:lineRule="exact"/>
              <w:rPr>
                <w:sz w:val="20"/>
                <w:szCs w:val="20"/>
                <w:color w:val="auto"/>
              </w:rPr>
            </w:pPr>
            <w:r>
              <w:rPr>
                <w:rFonts w:ascii="Arial" w:cs="Arial" w:eastAsia="Arial" w:hAnsi="Arial"/>
                <w:sz w:val="18"/>
                <w:szCs w:val="18"/>
                <w:b w:val="1"/>
                <w:bCs w:val="1"/>
                <w:color w:val="auto"/>
                <w:w w:val="92"/>
              </w:rPr>
              <w:t>Historical</w:t>
            </w:r>
          </w:p>
        </w:tc>
        <w:tc>
          <w:tcPr>
            <w:tcW w:w="8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5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7"/>
              </w:rPr>
              <w:t>AVROBIO</w:t>
            </w:r>
          </w:p>
        </w:tc>
        <w:tc>
          <w:tcPr>
            <w:tcW w:w="80" w:type="dxa"/>
            <w:vAlign w:val="bottom"/>
          </w:tcPr>
          <w:p>
            <w:pPr>
              <w:spacing w:after="0"/>
              <w:rPr>
                <w:sz w:val="18"/>
                <w:szCs w:val="18"/>
                <w:color w:val="auto"/>
              </w:rPr>
            </w:pPr>
          </w:p>
        </w:tc>
        <w:tc>
          <w:tcPr>
            <w:tcW w:w="122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w w:val="90"/>
              </w:rPr>
              <w:t>Operations of</w:t>
            </w: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40" w:type="dxa"/>
            <w:vAlign w:val="bottom"/>
            <w:gridSpan w:val="2"/>
          </w:tcPr>
          <w:p>
            <w:pPr>
              <w:jc w:val="right"/>
              <w:ind w:right="700"/>
              <w:spacing w:after="0"/>
              <w:rPr>
                <w:sz w:val="20"/>
                <w:szCs w:val="20"/>
                <w:color w:val="auto"/>
              </w:rPr>
            </w:pPr>
            <w:r>
              <w:rPr>
                <w:rFonts w:ascii="Arial" w:cs="Arial" w:eastAsia="Arial" w:hAnsi="Arial"/>
                <w:sz w:val="18"/>
                <w:szCs w:val="18"/>
                <w:b w:val="1"/>
                <w:bCs w:val="1"/>
                <w:color w:val="auto"/>
              </w:rPr>
              <w:t>Pro Forma</w:t>
            </w:r>
          </w:p>
        </w:tc>
        <w:tc>
          <w:tcPr>
            <w:tcW w:w="10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3"/>
              </w:rPr>
              <w:t>Pro Forma</w:t>
            </w:r>
          </w:p>
        </w:tc>
      </w:tr>
      <w:tr>
        <w:trPr>
          <w:trHeight w:val="241"/>
        </w:trPr>
        <w:tc>
          <w:tcPr>
            <w:tcW w:w="5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9"/>
              </w:rPr>
              <w:t>(a)</w:t>
            </w:r>
          </w:p>
        </w:tc>
        <w:tc>
          <w:tcPr>
            <w:tcW w:w="1300" w:type="dxa"/>
            <w:vAlign w:val="bottom"/>
            <w:gridSpan w:val="4"/>
          </w:tcPr>
          <w:p>
            <w:pPr>
              <w:ind w:left="80"/>
              <w:spacing w:after="0"/>
              <w:rPr>
                <w:sz w:val="20"/>
                <w:szCs w:val="20"/>
                <w:color w:val="auto"/>
              </w:rPr>
            </w:pPr>
            <w:r>
              <w:rPr>
                <w:rFonts w:ascii="Arial" w:cs="Arial" w:eastAsia="Arial" w:hAnsi="Arial"/>
                <w:sz w:val="18"/>
                <w:szCs w:val="18"/>
                <w:b w:val="1"/>
                <w:bCs w:val="1"/>
                <w:color w:val="auto"/>
                <w:w w:val="91"/>
              </w:rPr>
              <w:t>Sold Assets (b)</w:t>
            </w:r>
          </w:p>
        </w:tc>
        <w:tc>
          <w:tcPr>
            <w:tcW w:w="360" w:type="dxa"/>
            <w:vAlign w:val="bottom"/>
          </w:tcPr>
          <w:p>
            <w:pPr>
              <w:spacing w:after="0"/>
              <w:rPr>
                <w:sz w:val="20"/>
                <w:szCs w:val="20"/>
                <w:color w:val="auto"/>
              </w:rPr>
            </w:pPr>
          </w:p>
        </w:tc>
        <w:tc>
          <w:tcPr>
            <w:tcW w:w="1840" w:type="dxa"/>
            <w:vAlign w:val="bottom"/>
            <w:gridSpan w:val="3"/>
          </w:tcPr>
          <w:p>
            <w:pPr>
              <w:jc w:val="right"/>
              <w:ind w:right="520"/>
              <w:spacing w:after="0"/>
              <w:rPr>
                <w:sz w:val="20"/>
                <w:szCs w:val="20"/>
                <w:color w:val="auto"/>
              </w:rPr>
            </w:pPr>
            <w:r>
              <w:rPr>
                <w:rFonts w:ascii="Arial" w:cs="Arial" w:eastAsia="Arial" w:hAnsi="Arial"/>
                <w:sz w:val="18"/>
                <w:szCs w:val="18"/>
                <w:b w:val="1"/>
                <w:bCs w:val="1"/>
                <w:color w:val="auto"/>
                <w:w w:val="95"/>
              </w:rPr>
              <w:t>Adjustments (c)</w:t>
            </w:r>
          </w:p>
        </w:tc>
        <w:tc>
          <w:tcPr>
            <w:tcW w:w="10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9"/>
              </w:rPr>
              <w:t>AVROBIO</w:t>
            </w:r>
          </w:p>
        </w:tc>
      </w:tr>
      <w:tr>
        <w:trPr>
          <w:trHeight w:val="216"/>
        </w:trPr>
        <w:tc>
          <w:tcPr>
            <w:tcW w:w="5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42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280" w:type="dxa"/>
            <w:vAlign w:val="bottom"/>
          </w:tcPr>
          <w:p>
            <w:pPr>
              <w:spacing w:after="0"/>
              <w:rPr>
                <w:sz w:val="20"/>
                <w:szCs w:val="20"/>
                <w:color w:val="auto"/>
              </w:rPr>
            </w:pPr>
            <w:r>
              <w:rPr>
                <w:rFonts w:ascii="Arial" w:cs="Arial" w:eastAsia="Arial" w:hAnsi="Arial"/>
                <w:sz w:val="18"/>
                <w:szCs w:val="18"/>
                <w:color w:val="auto"/>
              </w:rPr>
              <w:t>Current assets: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72,326</w:t>
            </w:r>
          </w:p>
        </w:tc>
        <w:tc>
          <w:tcPr>
            <w:tcW w:w="1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58"/>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(16,403)</w:t>
            </w:r>
          </w:p>
        </w:tc>
        <w:tc>
          <w:tcPr>
            <w:tcW w:w="360" w:type="dxa"/>
            <w:vAlign w:val="bottom"/>
            <w:shd w:val="clear" w:color="auto" w:fill="CCEEFF"/>
          </w:tcPr>
          <w:p>
            <w:pPr>
              <w:ind w:left="40"/>
              <w:spacing w:after="0"/>
              <w:rPr>
                <w:sz w:val="20"/>
                <w:szCs w:val="20"/>
                <w:color w:val="auto"/>
              </w:rPr>
            </w:pPr>
            <w:r>
              <w:rPr>
                <w:rFonts w:ascii="Arial" w:cs="Arial" w:eastAsia="Arial" w:hAnsi="Arial"/>
                <w:sz w:val="18"/>
                <w:szCs w:val="18"/>
                <w:color w:val="auto"/>
              </w:rPr>
              <w:t>(d)</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64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84,024  (f)</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139,947</w:t>
            </w:r>
          </w:p>
        </w:tc>
      </w:tr>
      <w:tr>
        <w:trPr>
          <w:trHeight w:val="223"/>
        </w:trPr>
        <w:tc>
          <w:tcPr>
            <w:tcW w:w="5280" w:type="dxa"/>
            <w:vAlign w:val="bottom"/>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4,925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(714)</w:t>
            </w:r>
          </w:p>
        </w:tc>
        <w:tc>
          <w:tcPr>
            <w:tcW w:w="360" w:type="dxa"/>
            <w:vAlign w:val="bottom"/>
          </w:tcPr>
          <w:p>
            <w:pPr>
              <w:ind w:left="40"/>
              <w:spacing w:after="0"/>
              <w:rPr>
                <w:sz w:val="20"/>
                <w:szCs w:val="20"/>
                <w:color w:val="auto"/>
              </w:rPr>
            </w:pPr>
            <w:r>
              <w:rPr>
                <w:rFonts w:ascii="Arial" w:cs="Arial" w:eastAsia="Arial" w:hAnsi="Arial"/>
                <w:sz w:val="18"/>
                <w:szCs w:val="18"/>
                <w:color w:val="auto"/>
              </w:rPr>
              <w:t>(e)</w:t>
            </w:r>
          </w:p>
        </w:tc>
        <w:tc>
          <w:tcPr>
            <w:tcW w:w="200" w:type="dxa"/>
            <w:vAlign w:val="bottom"/>
          </w:tcPr>
          <w:p>
            <w:pPr>
              <w:spacing w:after="0"/>
              <w:rPr>
                <w:sz w:val="19"/>
                <w:szCs w:val="19"/>
                <w:color w:val="auto"/>
              </w:rPr>
            </w:pPr>
          </w:p>
        </w:tc>
        <w:tc>
          <w:tcPr>
            <w:tcW w:w="164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4,211</w:t>
            </w:r>
          </w:p>
        </w:tc>
      </w:tr>
      <w:tr>
        <w:trPr>
          <w:trHeight w:val="216"/>
        </w:trPr>
        <w:tc>
          <w:tcPr>
            <w:tcW w:w="5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current assets</w:t>
            </w:r>
          </w:p>
        </w:tc>
        <w:tc>
          <w:tcPr>
            <w:tcW w:w="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77,251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(17,117)</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84,024</w:t>
            </w:r>
          </w:p>
        </w:tc>
        <w:tc>
          <w:tcPr>
            <w:tcW w:w="42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144,158</w:t>
            </w:r>
          </w:p>
        </w:tc>
        <w:tc>
          <w:tcPr>
            <w:tcW w:w="100" w:type="dxa"/>
            <w:vAlign w:val="bottom"/>
            <w:shd w:val="clear" w:color="auto" w:fill="CCEEFF"/>
          </w:tcPr>
          <w:p>
            <w:pPr>
              <w:spacing w:after="0"/>
              <w:rPr>
                <w:sz w:val="18"/>
                <w:szCs w:val="18"/>
                <w:color w:val="auto"/>
              </w:rPr>
            </w:pPr>
          </w:p>
        </w:tc>
      </w:tr>
      <w:tr>
        <w:trPr>
          <w:trHeight w:val="216"/>
        </w:trPr>
        <w:tc>
          <w:tcPr>
            <w:tcW w:w="5280" w:type="dxa"/>
            <w:vAlign w:val="bottom"/>
          </w:tcPr>
          <w:p>
            <w:pPr>
              <w:spacing w:after="0"/>
              <w:rPr>
                <w:sz w:val="20"/>
                <w:szCs w:val="20"/>
                <w:color w:val="auto"/>
              </w:rPr>
            </w:pPr>
            <w:r>
              <w:rPr>
                <w:rFonts w:ascii="Arial" w:cs="Arial" w:eastAsia="Arial" w:hAnsi="Arial"/>
                <w:sz w:val="18"/>
                <w:szCs w:val="18"/>
                <w:color w:val="auto"/>
              </w:rPr>
              <w:t>Operating lease assets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2,857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4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2,857</w:t>
            </w:r>
          </w:p>
        </w:tc>
      </w:tr>
      <w:tr>
        <w:trPr>
          <w:trHeight w:val="216"/>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40" w:type="dxa"/>
            <w:vAlign w:val="bottom"/>
            <w:tcBorders>
              <w:right w:val="single" w:sz="8" w:color="CCEEFF"/>
            </w:tcBorders>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2,574</w:t>
            </w:r>
          </w:p>
        </w:tc>
      </w:tr>
      <w:tr>
        <w:trPr>
          <w:trHeight w:val="216"/>
        </w:trPr>
        <w:tc>
          <w:tcPr>
            <w:tcW w:w="5280" w:type="dxa"/>
            <w:vAlign w:val="bottom"/>
          </w:tcPr>
          <w:p>
            <w:pPr>
              <w:spacing w:after="0"/>
              <w:rPr>
                <w:sz w:val="20"/>
                <w:szCs w:val="20"/>
                <w:color w:val="auto"/>
              </w:rPr>
            </w:pPr>
            <w:r>
              <w:rPr>
                <w:rFonts w:ascii="Arial" w:cs="Arial" w:eastAsia="Arial" w:hAnsi="Arial"/>
                <w:sz w:val="18"/>
                <w:szCs w:val="18"/>
                <w:color w:val="auto"/>
              </w:rPr>
              <w:t>Restricted cash, net of current portion</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283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4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283</w:t>
            </w:r>
          </w:p>
        </w:tc>
      </w:tr>
      <w:tr>
        <w:trPr>
          <w:trHeight w:val="223"/>
        </w:trPr>
        <w:tc>
          <w:tcPr>
            <w:tcW w:w="5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assets</w:t>
            </w: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right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5280" w:type="dxa"/>
            <w:vAlign w:val="bottom"/>
          </w:tcPr>
          <w:p>
            <w:pPr>
              <w:ind w:left="340"/>
              <w:spacing w:after="0"/>
              <w:rPr>
                <w:sz w:val="20"/>
                <w:szCs w:val="20"/>
                <w:color w:val="auto"/>
              </w:rPr>
            </w:pPr>
            <w:r>
              <w:rPr>
                <w:rFonts w:ascii="Arial" w:cs="Arial" w:eastAsia="Arial" w:hAnsi="Arial"/>
                <w:sz w:val="18"/>
                <w:szCs w:val="18"/>
                <w:color w:val="auto"/>
              </w:rPr>
              <w:t>Total assets</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83,005</w:t>
            </w:r>
          </w:p>
        </w:tc>
        <w:tc>
          <w:tcPr>
            <w:tcW w:w="140" w:type="dxa"/>
            <w:vAlign w:val="bottom"/>
          </w:tcPr>
          <w:p>
            <w:pPr>
              <w:spacing w:after="0"/>
              <w:rPr>
                <w:sz w:val="18"/>
                <w:szCs w:val="18"/>
                <w:color w:val="auto"/>
              </w:rPr>
            </w:pPr>
          </w:p>
        </w:tc>
        <w:tc>
          <w:tcPr>
            <w:tcW w:w="400" w:type="dxa"/>
            <w:vAlign w:val="bottom"/>
            <w:gridSpan w:val="2"/>
          </w:tcPr>
          <w:p>
            <w:pPr>
              <w:jc w:val="right"/>
              <w:ind w:right="158"/>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(17,117)</w:t>
            </w:r>
          </w:p>
        </w:tc>
        <w:tc>
          <w:tcPr>
            <w:tcW w:w="36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640" w:type="dxa"/>
            <w:vAlign w:val="bottom"/>
            <w:gridSpan w:val="2"/>
          </w:tcPr>
          <w:p>
            <w:pPr>
              <w:jc w:val="right"/>
              <w:ind w:right="420"/>
              <w:spacing w:after="0"/>
              <w:rPr>
                <w:sz w:val="20"/>
                <w:szCs w:val="20"/>
                <w:color w:val="auto"/>
              </w:rPr>
            </w:pPr>
            <w:r>
              <w:rPr>
                <w:rFonts w:ascii="Arial" w:cs="Arial" w:eastAsia="Arial" w:hAnsi="Arial"/>
                <w:sz w:val="18"/>
                <w:szCs w:val="18"/>
                <w:color w:val="auto"/>
              </w:rPr>
              <w:t>84,024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149,912</w:t>
            </w:r>
          </w:p>
        </w:tc>
      </w:tr>
      <w:tr>
        <w:trPr>
          <w:trHeight w:val="20"/>
        </w:trPr>
        <w:tc>
          <w:tcPr>
            <w:tcW w:w="5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5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4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280" w:type="dxa"/>
            <w:vAlign w:val="bottom"/>
          </w:tcPr>
          <w:p>
            <w:pPr>
              <w:spacing w:after="0"/>
              <w:rPr>
                <w:sz w:val="20"/>
                <w:szCs w:val="20"/>
                <w:color w:val="auto"/>
              </w:rPr>
            </w:pPr>
            <w:r>
              <w:rPr>
                <w:rFonts w:ascii="Arial" w:cs="Arial" w:eastAsia="Arial" w:hAnsi="Arial"/>
                <w:sz w:val="18"/>
                <w:szCs w:val="18"/>
                <w:color w:val="auto"/>
              </w:rPr>
              <w:t>Current liabilities: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Accounts payable</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591</w:t>
            </w:r>
          </w:p>
        </w:tc>
        <w:tc>
          <w:tcPr>
            <w:tcW w:w="1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58"/>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640" w:type="dxa"/>
            <w:vAlign w:val="bottom"/>
            <w:tcBorders>
              <w:right w:val="single" w:sz="8" w:color="CCEEFF"/>
            </w:tcBorders>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591</w:t>
            </w:r>
          </w:p>
        </w:tc>
      </w:tr>
      <w:tr>
        <w:trPr>
          <w:trHeight w:val="216"/>
        </w:trPr>
        <w:tc>
          <w:tcPr>
            <w:tcW w:w="5280" w:type="dxa"/>
            <w:vAlign w:val="bottom"/>
          </w:tcPr>
          <w:p>
            <w:pPr>
              <w:ind w:left="180"/>
              <w:spacing w:after="0"/>
              <w:rPr>
                <w:sz w:val="20"/>
                <w:szCs w:val="20"/>
                <w:color w:val="auto"/>
              </w:rPr>
            </w:pPr>
            <w:r>
              <w:rPr>
                <w:rFonts w:ascii="Arial" w:cs="Arial" w:eastAsia="Arial" w:hAnsi="Arial"/>
                <w:sz w:val="18"/>
                <w:szCs w:val="18"/>
                <w:color w:val="auto"/>
              </w:rPr>
              <w:t>Accrued expenses and other current liabilities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11,081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(553)</w:t>
            </w:r>
          </w:p>
        </w:tc>
        <w:tc>
          <w:tcPr>
            <w:tcW w:w="360" w:type="dxa"/>
            <w:vAlign w:val="bottom"/>
          </w:tcPr>
          <w:p>
            <w:pPr>
              <w:ind w:left="40"/>
              <w:spacing w:after="0"/>
              <w:rPr>
                <w:sz w:val="20"/>
                <w:szCs w:val="20"/>
                <w:color w:val="auto"/>
              </w:rPr>
            </w:pPr>
            <w:r>
              <w:rPr>
                <w:rFonts w:ascii="Arial" w:cs="Arial" w:eastAsia="Arial" w:hAnsi="Arial"/>
                <w:sz w:val="18"/>
                <w:szCs w:val="18"/>
                <w:color w:val="auto"/>
              </w:rPr>
              <w:t>(e)</w:t>
            </w:r>
          </w:p>
        </w:tc>
        <w:tc>
          <w:tcPr>
            <w:tcW w:w="200" w:type="dxa"/>
            <w:vAlign w:val="bottom"/>
          </w:tcPr>
          <w:p>
            <w:pPr>
              <w:spacing w:after="0"/>
              <w:rPr>
                <w:sz w:val="18"/>
                <w:szCs w:val="18"/>
                <w:color w:val="auto"/>
              </w:rPr>
            </w:pPr>
          </w:p>
        </w:tc>
        <w:tc>
          <w:tcPr>
            <w:tcW w:w="1640" w:type="dxa"/>
            <w:vAlign w:val="bottom"/>
            <w:gridSpan w:val="2"/>
          </w:tcPr>
          <w:p>
            <w:pPr>
              <w:jc w:val="right"/>
              <w:ind w:right="360"/>
              <w:spacing w:after="0"/>
              <w:rPr>
                <w:sz w:val="20"/>
                <w:szCs w:val="20"/>
                <w:color w:val="auto"/>
              </w:rPr>
            </w:pPr>
            <w:r>
              <w:rPr>
                <w:rFonts w:ascii="Arial" w:cs="Arial" w:eastAsia="Arial" w:hAnsi="Arial"/>
                <w:sz w:val="18"/>
                <w:szCs w:val="18"/>
                <w:color w:val="auto"/>
              </w:rPr>
              <w:t>(286)</w:t>
            </w:r>
          </w:p>
        </w:tc>
        <w:tc>
          <w:tcPr>
            <w:tcW w:w="10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10,242</w:t>
            </w:r>
          </w:p>
        </w:tc>
      </w:tr>
      <w:tr>
        <w:trPr>
          <w:trHeight w:val="223"/>
        </w:trPr>
        <w:tc>
          <w:tcPr>
            <w:tcW w:w="5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Operating lease liabilities, current</w:t>
            </w: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2,627</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right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2,627</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5280" w:type="dxa"/>
            <w:vAlign w:val="bottom"/>
          </w:tcPr>
          <w:p>
            <w:pPr>
              <w:ind w:left="340"/>
              <w:spacing w:after="0"/>
              <w:rPr>
                <w:sz w:val="20"/>
                <w:szCs w:val="20"/>
                <w:color w:val="auto"/>
              </w:rPr>
            </w:pPr>
            <w:r>
              <w:rPr>
                <w:rFonts w:ascii="Arial" w:cs="Arial" w:eastAsia="Arial" w:hAnsi="Arial"/>
                <w:sz w:val="18"/>
                <w:szCs w:val="18"/>
                <w:color w:val="auto"/>
              </w:rPr>
              <w:t>Total current liabilities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14,299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(553)</w:t>
            </w: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40" w:type="dxa"/>
            <w:vAlign w:val="bottom"/>
            <w:gridSpan w:val="2"/>
          </w:tcPr>
          <w:p>
            <w:pPr>
              <w:jc w:val="right"/>
              <w:ind w:right="360"/>
              <w:spacing w:after="0"/>
              <w:rPr>
                <w:sz w:val="20"/>
                <w:szCs w:val="20"/>
                <w:color w:val="auto"/>
              </w:rPr>
            </w:pPr>
            <w:r>
              <w:rPr>
                <w:rFonts w:ascii="Arial" w:cs="Arial" w:eastAsia="Arial" w:hAnsi="Arial"/>
                <w:sz w:val="18"/>
                <w:szCs w:val="18"/>
                <w:color w:val="auto"/>
              </w:rPr>
              <w:t>(286)</w:t>
            </w:r>
          </w:p>
        </w:tc>
        <w:tc>
          <w:tcPr>
            <w:tcW w:w="10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13,460</w:t>
            </w:r>
          </w:p>
        </w:tc>
      </w:tr>
      <w:tr>
        <w:trPr>
          <w:trHeight w:val="216"/>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Note payable, net of discount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15,356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(15,356)</w:t>
            </w:r>
          </w:p>
        </w:tc>
        <w:tc>
          <w:tcPr>
            <w:tcW w:w="360" w:type="dxa"/>
            <w:vAlign w:val="bottom"/>
            <w:shd w:val="clear" w:color="auto" w:fill="CCEEFF"/>
          </w:tcPr>
          <w:p>
            <w:pPr>
              <w:ind w:left="40"/>
              <w:spacing w:after="0"/>
              <w:rPr>
                <w:sz w:val="20"/>
                <w:szCs w:val="20"/>
                <w:color w:val="auto"/>
              </w:rPr>
            </w:pPr>
            <w:r>
              <w:rPr>
                <w:rFonts w:ascii="Arial" w:cs="Arial" w:eastAsia="Arial" w:hAnsi="Arial"/>
                <w:sz w:val="18"/>
                <w:szCs w:val="18"/>
                <w:color w:val="auto"/>
              </w:rPr>
              <w:t>(d)</w:t>
            </w:r>
          </w:p>
        </w:tc>
        <w:tc>
          <w:tcPr>
            <w:tcW w:w="200" w:type="dxa"/>
            <w:vAlign w:val="bottom"/>
            <w:shd w:val="clear" w:color="auto" w:fill="CCEEFF"/>
          </w:tcPr>
          <w:p>
            <w:pPr>
              <w:spacing w:after="0"/>
              <w:rPr>
                <w:sz w:val="18"/>
                <w:szCs w:val="18"/>
                <w:color w:val="auto"/>
              </w:rPr>
            </w:pPr>
          </w:p>
        </w:tc>
        <w:tc>
          <w:tcPr>
            <w:tcW w:w="1640" w:type="dxa"/>
            <w:vAlign w:val="bottom"/>
            <w:tcBorders>
              <w:right w:val="single" w:sz="8" w:color="CCEEFF"/>
            </w:tcBorders>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5280" w:type="dxa"/>
            <w:vAlign w:val="bottom"/>
          </w:tcPr>
          <w:p>
            <w:pPr>
              <w:spacing w:after="0"/>
              <w:rPr>
                <w:sz w:val="20"/>
                <w:szCs w:val="20"/>
                <w:color w:val="auto"/>
              </w:rPr>
            </w:pPr>
            <w:r>
              <w:rPr>
                <w:rFonts w:ascii="Arial" w:cs="Arial" w:eastAsia="Arial" w:hAnsi="Arial"/>
                <w:sz w:val="18"/>
                <w:szCs w:val="18"/>
                <w:color w:val="auto"/>
              </w:rPr>
              <w:t>Operating lease liabilities, net of current portion</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352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4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352</w:t>
            </w:r>
          </w:p>
        </w:tc>
      </w:tr>
      <w:tr>
        <w:trPr>
          <w:trHeight w:val="216"/>
        </w:trPr>
        <w:tc>
          <w:tcPr>
            <w:tcW w:w="5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liabilities</w:t>
            </w:r>
          </w:p>
        </w:tc>
        <w:tc>
          <w:tcPr>
            <w:tcW w:w="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30,007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(15,909)</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w:t>
            </w:r>
          </w:p>
        </w:tc>
        <w:tc>
          <w:tcPr>
            <w:tcW w:w="42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13,812</w:t>
            </w:r>
          </w:p>
        </w:tc>
        <w:tc>
          <w:tcPr>
            <w:tcW w:w="100" w:type="dxa"/>
            <w:vAlign w:val="bottom"/>
            <w:shd w:val="clear" w:color="auto" w:fill="CCEEFF"/>
          </w:tcPr>
          <w:p>
            <w:pPr>
              <w:spacing w:after="0"/>
              <w:rPr>
                <w:sz w:val="18"/>
                <w:szCs w:val="18"/>
                <w:color w:val="auto"/>
              </w:rPr>
            </w:pPr>
          </w:p>
        </w:tc>
      </w:tr>
      <w:tr>
        <w:trPr>
          <w:trHeight w:val="216"/>
        </w:trPr>
        <w:tc>
          <w:tcPr>
            <w:tcW w:w="5280" w:type="dxa"/>
            <w:vAlign w:val="bottom"/>
          </w:tcPr>
          <w:p>
            <w:pPr>
              <w:spacing w:after="0"/>
              <w:rPr>
                <w:sz w:val="20"/>
                <w:szCs w:val="20"/>
                <w:color w:val="auto"/>
              </w:rPr>
            </w:pPr>
            <w:r>
              <w:rPr>
                <w:rFonts w:ascii="Arial" w:cs="Arial" w:eastAsia="Arial" w:hAnsi="Arial"/>
                <w:sz w:val="18"/>
                <w:szCs w:val="18"/>
                <w:color w:val="auto"/>
              </w:rPr>
              <w:t>Stockholders’ equity</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528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w w:val="90"/>
              </w:rPr>
              <w:t>Common stock, $0.0001 par value; 150,000 shares authorized; 44,088</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42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5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shares issued and outstanding as of March 31, 2023</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640" w:type="dxa"/>
            <w:vAlign w:val="bottom"/>
            <w:tcBorders>
              <w:right w:val="single" w:sz="8" w:color="CCEEFF"/>
            </w:tcBorders>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w:t>
            </w:r>
          </w:p>
        </w:tc>
      </w:tr>
      <w:tr>
        <w:trPr>
          <w:trHeight w:val="216"/>
        </w:trPr>
        <w:tc>
          <w:tcPr>
            <w:tcW w:w="5280" w:type="dxa"/>
            <w:vAlign w:val="bottom"/>
          </w:tcPr>
          <w:p>
            <w:pPr>
              <w:ind w:left="180"/>
              <w:spacing w:after="0"/>
              <w:rPr>
                <w:sz w:val="20"/>
                <w:szCs w:val="20"/>
                <w:color w:val="auto"/>
              </w:rPr>
            </w:pPr>
            <w:r>
              <w:rPr>
                <w:rFonts w:ascii="Arial" w:cs="Arial" w:eastAsia="Arial" w:hAnsi="Arial"/>
                <w:sz w:val="18"/>
                <w:szCs w:val="18"/>
                <w:color w:val="auto"/>
              </w:rPr>
              <w:t>Additional paid-in capital</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567,383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4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567,383</w:t>
            </w:r>
          </w:p>
        </w:tc>
      </w:tr>
      <w:tr>
        <w:trPr>
          <w:trHeight w:val="216"/>
        </w:trPr>
        <w:tc>
          <w:tcPr>
            <w:tcW w:w="5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Accumulated deficit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(514,389)</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(1,208)</w:t>
            </w: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40" w:type="dxa"/>
            <w:vAlign w:val="bottom"/>
            <w:tcBorders>
              <w:right w:val="single" w:sz="8" w:color="CCEEFF"/>
            </w:tcBorders>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84,310</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(431,287)</w:t>
            </w:r>
          </w:p>
        </w:tc>
      </w:tr>
      <w:tr>
        <w:trPr>
          <w:trHeight w:val="27"/>
        </w:trPr>
        <w:tc>
          <w:tcPr>
            <w:tcW w:w="52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420" w:type="dxa"/>
            <w:vAlign w:val="bottom"/>
            <w:tcBorders>
              <w:right w:val="single" w:sz="8" w:color="CCEEFF"/>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3"/>
        </w:trPr>
        <w:tc>
          <w:tcPr>
            <w:tcW w:w="5280" w:type="dxa"/>
            <w:vAlign w:val="bottom"/>
          </w:tcPr>
          <w:p>
            <w:pPr>
              <w:ind w:left="180"/>
              <w:spacing w:after="0"/>
              <w:rPr>
                <w:sz w:val="20"/>
                <w:szCs w:val="20"/>
                <w:color w:val="auto"/>
              </w:rPr>
            </w:pPr>
            <w:r>
              <w:rPr>
                <w:rFonts w:ascii="Arial" w:cs="Arial" w:eastAsia="Arial" w:hAnsi="Arial"/>
                <w:sz w:val="18"/>
                <w:szCs w:val="18"/>
                <w:color w:val="auto"/>
              </w:rPr>
              <w:t>Total stockholders’ equity</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52,998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(1,208)</w:t>
            </w: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40" w:type="dxa"/>
            <w:vAlign w:val="bottom"/>
            <w:gridSpan w:val="2"/>
          </w:tcPr>
          <w:p>
            <w:pPr>
              <w:jc w:val="right"/>
              <w:ind w:right="420"/>
              <w:spacing w:after="0"/>
              <w:rPr>
                <w:sz w:val="20"/>
                <w:szCs w:val="20"/>
                <w:color w:val="auto"/>
              </w:rPr>
            </w:pPr>
            <w:r>
              <w:rPr>
                <w:rFonts w:ascii="Arial" w:cs="Arial" w:eastAsia="Arial" w:hAnsi="Arial"/>
                <w:sz w:val="18"/>
                <w:szCs w:val="18"/>
                <w:color w:val="auto"/>
              </w:rPr>
              <w:t>84,310</w:t>
            </w:r>
          </w:p>
        </w:tc>
        <w:tc>
          <w:tcPr>
            <w:tcW w:w="10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136,100</w:t>
            </w:r>
          </w:p>
        </w:tc>
      </w:tr>
      <w:tr>
        <w:trPr>
          <w:trHeight w:val="257"/>
        </w:trPr>
        <w:tc>
          <w:tcPr>
            <w:tcW w:w="52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liabilities and stockholders’ equity</w:t>
            </w: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83,005</w:t>
            </w: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top w:val="single" w:sz="8" w:color="auto"/>
              <w:bottom w:val="single" w:sz="8" w:color="auto"/>
            </w:tcBorders>
            <w:shd w:val="clear" w:color="auto" w:fill="CCEEFF"/>
          </w:tcPr>
          <w:p>
            <w:pPr>
              <w:jc w:val="right"/>
              <w:ind w:right="158"/>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(17,117)</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84,024</w:t>
            </w:r>
          </w:p>
        </w:tc>
        <w:tc>
          <w:tcPr>
            <w:tcW w:w="420" w:type="dxa"/>
            <w:vAlign w:val="bottom"/>
            <w:tcBorders>
              <w:bottom w:val="single" w:sz="8" w:color="CCEEFF"/>
              <w:right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149,912</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the pro forma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AVROBIO,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Pro Forma Condensed Consolidated Statement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March 31, 2023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120" w:type="dxa"/>
            <w:vAlign w:val="bottom"/>
            <w:gridSpan w:val="4"/>
          </w:tcPr>
          <w:p>
            <w:pPr>
              <w:jc w:val="center"/>
              <w:ind w:left="10"/>
              <w:spacing w:after="0"/>
              <w:rPr>
                <w:sz w:val="20"/>
                <w:szCs w:val="20"/>
                <w:color w:val="auto"/>
              </w:rPr>
            </w:pPr>
            <w:r>
              <w:rPr>
                <w:rFonts w:ascii="Arial" w:cs="Arial" w:eastAsia="Arial" w:hAnsi="Arial"/>
                <w:sz w:val="18"/>
                <w:szCs w:val="18"/>
                <w:b w:val="1"/>
                <w:bCs w:val="1"/>
                <w:color w:val="auto"/>
                <w:w w:val="88"/>
              </w:rPr>
              <w:t>Transaction Accounting</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5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120" w:type="dxa"/>
            <w:vAlign w:val="bottom"/>
            <w:tcBorders>
              <w:bottom w:val="single" w:sz="8" w:color="auto"/>
            </w:tcBorders>
            <w:gridSpan w:val="4"/>
          </w:tcPr>
          <w:p>
            <w:pPr>
              <w:jc w:val="center"/>
              <w:ind w:left="10"/>
              <w:spacing w:after="0"/>
              <w:rPr>
                <w:sz w:val="20"/>
                <w:szCs w:val="20"/>
                <w:color w:val="auto"/>
              </w:rPr>
            </w:pPr>
            <w:r>
              <w:rPr>
                <w:rFonts w:ascii="Arial" w:cs="Arial" w:eastAsia="Arial" w:hAnsi="Arial"/>
                <w:sz w:val="18"/>
                <w:szCs w:val="18"/>
                <w:b w:val="1"/>
                <w:bCs w:val="1"/>
                <w:color w:val="auto"/>
                <w:w w:val="89"/>
              </w:rPr>
              <w:t>Adjustments</w:t>
            </w:r>
          </w:p>
        </w:tc>
        <w:tc>
          <w:tcPr>
            <w:tcW w:w="40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198"/>
        </w:trPr>
        <w:tc>
          <w:tcPr>
            <w:tcW w:w="5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gridSpan w:val="2"/>
          </w:tcPr>
          <w:p>
            <w:pPr>
              <w:jc w:val="center"/>
              <w:ind w:right="300"/>
              <w:spacing w:after="0" w:line="198" w:lineRule="exact"/>
              <w:rPr>
                <w:sz w:val="20"/>
                <w:szCs w:val="20"/>
                <w:color w:val="auto"/>
              </w:rPr>
            </w:pPr>
            <w:r>
              <w:rPr>
                <w:rFonts w:ascii="Arial" w:cs="Arial" w:eastAsia="Arial" w:hAnsi="Arial"/>
                <w:sz w:val="18"/>
                <w:szCs w:val="18"/>
                <w:b w:val="1"/>
                <w:bCs w:val="1"/>
                <w:color w:val="auto"/>
                <w:w w:val="92"/>
              </w:rPr>
              <w:t>Historical</w:t>
            </w: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5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9"/>
              </w:rPr>
              <w:t>AVROBIO</w:t>
            </w:r>
          </w:p>
        </w:tc>
        <w:tc>
          <w:tcPr>
            <w:tcW w:w="1260" w:type="dxa"/>
            <w:vAlign w:val="bottom"/>
            <w:gridSpan w:val="3"/>
          </w:tcPr>
          <w:p>
            <w:pPr>
              <w:ind w:left="40"/>
              <w:spacing w:after="0"/>
              <w:rPr>
                <w:sz w:val="20"/>
                <w:szCs w:val="20"/>
                <w:color w:val="auto"/>
              </w:rPr>
            </w:pPr>
            <w:r>
              <w:rPr>
                <w:rFonts w:ascii="Arial" w:cs="Arial" w:eastAsia="Arial" w:hAnsi="Arial"/>
                <w:sz w:val="18"/>
                <w:szCs w:val="18"/>
                <w:b w:val="1"/>
                <w:bCs w:val="1"/>
                <w:color w:val="auto"/>
              </w:rPr>
              <w:t>Operations of</w:t>
            </w:r>
          </w:p>
        </w:tc>
        <w:tc>
          <w:tcPr>
            <w:tcW w:w="340" w:type="dxa"/>
            <w:vAlign w:val="bottom"/>
          </w:tcPr>
          <w:p>
            <w:pPr>
              <w:spacing w:after="0"/>
              <w:rPr>
                <w:sz w:val="18"/>
                <w:szCs w:val="18"/>
                <w:color w:val="auto"/>
              </w:rPr>
            </w:pPr>
          </w:p>
        </w:tc>
        <w:tc>
          <w:tcPr>
            <w:tcW w:w="1400" w:type="dxa"/>
            <w:vAlign w:val="bottom"/>
            <w:gridSpan w:val="3"/>
          </w:tcPr>
          <w:p>
            <w:pPr>
              <w:jc w:val="right"/>
              <w:ind w:right="360"/>
              <w:spacing w:after="0"/>
              <w:rPr>
                <w:sz w:val="20"/>
                <w:szCs w:val="20"/>
                <w:color w:val="auto"/>
              </w:rPr>
            </w:pPr>
            <w:r>
              <w:rPr>
                <w:rFonts w:ascii="Arial" w:cs="Arial" w:eastAsia="Arial" w:hAnsi="Arial"/>
                <w:sz w:val="18"/>
                <w:szCs w:val="18"/>
                <w:b w:val="1"/>
                <w:bCs w:val="1"/>
                <w:color w:val="auto"/>
              </w:rPr>
              <w:t>Pro Forma</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93"/>
              </w:rPr>
              <w:t>Pro Forma</w:t>
            </w:r>
          </w:p>
        </w:tc>
      </w:tr>
      <w:tr>
        <w:trPr>
          <w:trHeight w:val="241"/>
        </w:trPr>
        <w:tc>
          <w:tcPr>
            <w:tcW w:w="5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(a)</w:t>
            </w:r>
          </w:p>
        </w:tc>
        <w:tc>
          <w:tcPr>
            <w:tcW w:w="1260" w:type="dxa"/>
            <w:vAlign w:val="bottom"/>
            <w:gridSpan w:val="3"/>
          </w:tcPr>
          <w:p>
            <w:pPr>
              <w:ind w:left="20"/>
              <w:spacing w:after="0"/>
              <w:rPr>
                <w:sz w:val="20"/>
                <w:szCs w:val="20"/>
                <w:color w:val="auto"/>
              </w:rPr>
            </w:pPr>
            <w:r>
              <w:rPr>
                <w:rFonts w:ascii="Arial" w:cs="Arial" w:eastAsia="Arial" w:hAnsi="Arial"/>
                <w:sz w:val="18"/>
                <w:szCs w:val="18"/>
                <w:b w:val="1"/>
                <w:bCs w:val="1"/>
                <w:color w:val="auto"/>
                <w:w w:val="93"/>
              </w:rPr>
              <w:t>Sold Assets (b)</w:t>
            </w:r>
          </w:p>
        </w:tc>
        <w:tc>
          <w:tcPr>
            <w:tcW w:w="340" w:type="dxa"/>
            <w:vAlign w:val="bottom"/>
          </w:tcPr>
          <w:p>
            <w:pPr>
              <w:spacing w:after="0"/>
              <w:rPr>
                <w:sz w:val="20"/>
                <w:szCs w:val="20"/>
                <w:color w:val="auto"/>
              </w:rPr>
            </w:pPr>
          </w:p>
        </w:tc>
        <w:tc>
          <w:tcPr>
            <w:tcW w:w="1400" w:type="dxa"/>
            <w:vAlign w:val="bottom"/>
            <w:gridSpan w:val="3"/>
          </w:tcPr>
          <w:p>
            <w:pPr>
              <w:spacing w:after="0"/>
              <w:rPr>
                <w:sz w:val="20"/>
                <w:szCs w:val="20"/>
                <w:color w:val="auto"/>
              </w:rPr>
            </w:pPr>
            <w:r>
              <w:rPr>
                <w:rFonts w:ascii="Arial" w:cs="Arial" w:eastAsia="Arial" w:hAnsi="Arial"/>
                <w:sz w:val="18"/>
                <w:szCs w:val="18"/>
                <w:b w:val="1"/>
                <w:bCs w:val="1"/>
                <w:color w:val="auto"/>
              </w:rPr>
              <w:t>Adjustments (c)</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99"/>
              </w:rPr>
              <w:t>AVROBIO</w:t>
            </w:r>
          </w:p>
        </w:tc>
      </w:tr>
      <w:tr>
        <w:trPr>
          <w:trHeight w:val="216"/>
        </w:trPr>
        <w:tc>
          <w:tcPr>
            <w:tcW w:w="57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760" w:type="dxa"/>
            <w:vAlign w:val="bottom"/>
          </w:tcPr>
          <w:p>
            <w:pPr>
              <w:ind w:left="180"/>
              <w:spacing w:after="0"/>
              <w:rPr>
                <w:sz w:val="20"/>
                <w:szCs w:val="20"/>
                <w:color w:val="auto"/>
              </w:rPr>
            </w:pPr>
            <w:r>
              <w:rPr>
                <w:rFonts w:ascii="Arial" w:cs="Arial" w:eastAsia="Arial" w:hAnsi="Arial"/>
                <w:sz w:val="18"/>
                <w:szCs w:val="18"/>
                <w:color w:val="auto"/>
              </w:rPr>
              <w:t>Research and development</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17,333</w:t>
            </w:r>
          </w:p>
        </w:tc>
        <w:tc>
          <w:tcPr>
            <w:tcW w:w="180" w:type="dxa"/>
            <w:vAlign w:val="bottom"/>
          </w:tcPr>
          <w:p>
            <w:pPr>
              <w:spacing w:after="0"/>
              <w:rPr>
                <w:sz w:val="18"/>
                <w:szCs w:val="18"/>
                <w:color w:val="auto"/>
              </w:rPr>
            </w:pPr>
          </w:p>
        </w:tc>
        <w:tc>
          <w:tcPr>
            <w:tcW w:w="300" w:type="dxa"/>
            <w:vAlign w:val="bottom"/>
          </w:tcPr>
          <w:p>
            <w:pPr>
              <w:spacing w:after="0"/>
              <w:rPr>
                <w:sz w:val="20"/>
                <w:szCs w:val="20"/>
                <w:color w:val="auto"/>
              </w:rPr>
            </w:pPr>
            <w:r>
              <w:rPr>
                <w:rFonts w:ascii="Arial" w:cs="Arial" w:eastAsia="Arial" w:hAnsi="Arial"/>
                <w:sz w:val="18"/>
                <w:szCs w:val="18"/>
                <w:color w:val="auto"/>
              </w:rPr>
              <w:t>$</w:t>
            </w:r>
          </w:p>
        </w:tc>
        <w:tc>
          <w:tcPr>
            <w:tcW w:w="1300" w:type="dxa"/>
            <w:vAlign w:val="bottom"/>
            <w:gridSpan w:val="3"/>
          </w:tcPr>
          <w:p>
            <w:pPr>
              <w:ind w:left="520"/>
              <w:spacing w:after="0"/>
              <w:rPr>
                <w:sz w:val="20"/>
                <w:szCs w:val="20"/>
                <w:color w:val="auto"/>
              </w:rPr>
            </w:pPr>
            <w:r>
              <w:rPr>
                <w:rFonts w:ascii="Arial" w:cs="Arial" w:eastAsia="Arial" w:hAnsi="Arial"/>
                <w:sz w:val="18"/>
                <w:szCs w:val="18"/>
                <w:color w:val="auto"/>
              </w:rPr>
              <w:t>(456) (e)</w:t>
            </w:r>
          </w:p>
        </w:tc>
        <w:tc>
          <w:tcPr>
            <w:tcW w:w="820" w:type="dxa"/>
            <w:vAlign w:val="bottom"/>
          </w:tcPr>
          <w:p>
            <w:pPr>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16,877</w:t>
            </w:r>
          </w:p>
        </w:tc>
        <w:tc>
          <w:tcPr>
            <w:tcW w:w="100" w:type="dxa"/>
            <w:vAlign w:val="bottom"/>
          </w:tcPr>
          <w:p>
            <w:pPr>
              <w:spacing w:after="0"/>
              <w:rPr>
                <w:sz w:val="18"/>
                <w:szCs w:val="18"/>
                <w:color w:val="auto"/>
              </w:rPr>
            </w:pPr>
          </w:p>
        </w:tc>
      </w:tr>
      <w:tr>
        <w:trPr>
          <w:trHeight w:val="216"/>
        </w:trPr>
        <w:tc>
          <w:tcPr>
            <w:tcW w:w="576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General and administrative</w:t>
            </w:r>
          </w:p>
        </w:tc>
        <w:tc>
          <w:tcPr>
            <w:tcW w:w="8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7,887</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(286)</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7,601</w:t>
            </w:r>
          </w:p>
        </w:tc>
        <w:tc>
          <w:tcPr>
            <w:tcW w:w="100" w:type="dxa"/>
            <w:vAlign w:val="bottom"/>
            <w:shd w:val="clear" w:color="auto" w:fill="CCEEFF"/>
          </w:tcPr>
          <w:p>
            <w:pPr>
              <w:spacing w:after="0"/>
              <w:rPr>
                <w:sz w:val="18"/>
                <w:szCs w:val="18"/>
                <w:color w:val="auto"/>
              </w:rPr>
            </w:pPr>
          </w:p>
        </w:tc>
      </w:tr>
      <w:tr>
        <w:trPr>
          <w:trHeight w:val="27"/>
        </w:trPr>
        <w:tc>
          <w:tcPr>
            <w:tcW w:w="5760" w:type="dxa"/>
            <w:vAlign w:val="bottom"/>
            <w:tcBorders>
              <w:right w:val="single" w:sz="8" w:color="CCEEFF"/>
            </w:tcBorders>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60" w:type="dxa"/>
            <w:vAlign w:val="bottom"/>
            <w:tcBorders>
              <w:right w:val="single" w:sz="8" w:color="CCEEFF"/>
            </w:tcBorders>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tcBorders>
              <w:right w:val="single" w:sz="8" w:color="CCEEFF"/>
            </w:tcBorders>
            <w:shd w:val="clear" w:color="auto" w:fill="CCEEFF"/>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3"/>
        </w:trPr>
        <w:tc>
          <w:tcPr>
            <w:tcW w:w="5760" w:type="dxa"/>
            <w:vAlign w:val="bottom"/>
          </w:tcPr>
          <w:p>
            <w:pPr>
              <w:ind w:left="340"/>
              <w:spacing w:after="0"/>
              <w:rPr>
                <w:sz w:val="20"/>
                <w:szCs w:val="20"/>
                <w:color w:val="auto"/>
              </w:rPr>
            </w:pPr>
            <w:r>
              <w:rPr>
                <w:rFonts w:ascii="Arial" w:cs="Arial" w:eastAsia="Arial" w:hAnsi="Arial"/>
                <w:sz w:val="18"/>
                <w:szCs w:val="18"/>
                <w:color w:val="auto"/>
              </w:rPr>
              <w:t>Total operating expenses</w:t>
            </w:r>
          </w:p>
        </w:tc>
        <w:tc>
          <w:tcPr>
            <w:tcW w:w="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25,220</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(456)</w:t>
            </w:r>
          </w:p>
        </w:tc>
        <w:tc>
          <w:tcPr>
            <w:tcW w:w="3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rPr>
              <w:t>(286)</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24,478</w:t>
            </w:r>
          </w:p>
        </w:tc>
        <w:tc>
          <w:tcPr>
            <w:tcW w:w="100" w:type="dxa"/>
            <w:vAlign w:val="bottom"/>
          </w:tcPr>
          <w:p>
            <w:pPr>
              <w:spacing w:after="0"/>
              <w:rPr>
                <w:sz w:val="19"/>
                <w:szCs w:val="19"/>
                <w:color w:val="auto"/>
              </w:rPr>
            </w:pPr>
          </w:p>
        </w:tc>
      </w:tr>
      <w:tr>
        <w:trPr>
          <w:trHeight w:val="223"/>
        </w:trPr>
        <w:tc>
          <w:tcPr>
            <w:tcW w:w="57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8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(25,220)</w:t>
            </w:r>
          </w:p>
        </w:tc>
        <w:tc>
          <w:tcPr>
            <w:tcW w:w="180" w:type="dxa"/>
            <w:vAlign w:val="bottom"/>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456</w:t>
            </w:r>
          </w:p>
        </w:tc>
        <w:tc>
          <w:tcPr>
            <w:tcW w:w="100" w:type="dxa"/>
            <w:vAlign w:val="bottom"/>
            <w:shd w:val="clear" w:color="auto" w:fill="CCEEFF"/>
          </w:tcPr>
          <w:p>
            <w:pPr>
              <w:spacing w:after="0"/>
              <w:rPr>
                <w:sz w:val="19"/>
                <w:szCs w:val="19"/>
                <w:color w:val="auto"/>
              </w:rPr>
            </w:pPr>
          </w:p>
        </w:tc>
        <w:tc>
          <w:tcPr>
            <w:tcW w:w="340" w:type="dxa"/>
            <w:vAlign w:val="bottom"/>
            <w:tcBorders>
              <w:right w:val="single" w:sz="8" w:color="CCEEFF"/>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(24,478)</w:t>
            </w:r>
          </w:p>
        </w:tc>
        <w:tc>
          <w:tcPr>
            <w:tcW w:w="100" w:type="dxa"/>
            <w:vAlign w:val="bottom"/>
            <w:shd w:val="clear" w:color="auto" w:fill="CCEEFF"/>
          </w:tcPr>
          <w:p>
            <w:pPr>
              <w:spacing w:after="0"/>
              <w:rPr>
                <w:sz w:val="19"/>
                <w:szCs w:val="19"/>
                <w:color w:val="auto"/>
              </w:rPr>
            </w:pPr>
          </w:p>
        </w:tc>
      </w:tr>
      <w:tr>
        <w:trPr>
          <w:trHeight w:val="216"/>
        </w:trPr>
        <w:tc>
          <w:tcPr>
            <w:tcW w:w="576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Other income:</w:t>
            </w:r>
          </w:p>
        </w:tc>
        <w:tc>
          <w:tcPr>
            <w:tcW w:w="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576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income, net</w:t>
            </w:r>
          </w:p>
        </w:tc>
        <w:tc>
          <w:tcPr>
            <w:tcW w:w="8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248</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w:t>
            </w:r>
          </w:p>
        </w:tc>
        <w:tc>
          <w:tcPr>
            <w:tcW w:w="100" w:type="dxa"/>
            <w:vAlign w:val="bottom"/>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(d)</w:t>
            </w:r>
          </w:p>
        </w:tc>
        <w:tc>
          <w:tcPr>
            <w:tcW w:w="8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798</w:t>
            </w:r>
          </w:p>
        </w:tc>
        <w:tc>
          <w:tcPr>
            <w:tcW w:w="100" w:type="dxa"/>
            <w:vAlign w:val="bottom"/>
            <w:shd w:val="clear" w:color="auto" w:fill="CCEEFF"/>
          </w:tcPr>
          <w:p>
            <w:pPr>
              <w:spacing w:after="0"/>
              <w:rPr>
                <w:sz w:val="18"/>
                <w:szCs w:val="18"/>
                <w:color w:val="auto"/>
              </w:rPr>
            </w:pPr>
          </w:p>
        </w:tc>
      </w:tr>
      <w:tr>
        <w:trPr>
          <w:trHeight w:val="223"/>
        </w:trPr>
        <w:tc>
          <w:tcPr>
            <w:tcW w:w="5760" w:type="dxa"/>
            <w:vAlign w:val="bottom"/>
          </w:tcPr>
          <w:p>
            <w:pPr>
              <w:ind w:left="180"/>
              <w:spacing w:after="0"/>
              <w:rPr>
                <w:sz w:val="20"/>
                <w:szCs w:val="20"/>
                <w:color w:val="auto"/>
              </w:rPr>
            </w:pPr>
            <w:r>
              <w:rPr>
                <w:rFonts w:ascii="Arial" w:cs="Arial" w:eastAsia="Arial" w:hAnsi="Arial"/>
                <w:sz w:val="18"/>
                <w:szCs w:val="18"/>
                <w:color w:val="auto"/>
              </w:rPr>
              <w:t>Other income, net</w:t>
            </w:r>
          </w:p>
        </w:tc>
        <w:tc>
          <w:tcPr>
            <w:tcW w:w="80" w:type="dxa"/>
            <w:vAlign w:val="bottom"/>
          </w:tcPr>
          <w:p>
            <w:pPr>
              <w:spacing w:after="0"/>
              <w:rPr>
                <w:sz w:val="19"/>
                <w:szCs w:val="19"/>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15</w:t>
            </w:r>
          </w:p>
        </w:tc>
        <w:tc>
          <w:tcPr>
            <w:tcW w:w="30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9"/>
                <w:szCs w:val="19"/>
                <w:color w:val="auto"/>
              </w:rPr>
            </w:pPr>
          </w:p>
        </w:tc>
      </w:tr>
      <w:tr>
        <w:trPr>
          <w:trHeight w:val="223"/>
        </w:trPr>
        <w:tc>
          <w:tcPr>
            <w:tcW w:w="5760" w:type="dxa"/>
            <w:vAlign w:val="bottom"/>
            <w:tcBorders>
              <w:bottom w:val="single" w:sz="8" w:color="CCEEFF"/>
              <w:right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other income, net</w:t>
            </w:r>
          </w:p>
        </w:tc>
        <w:tc>
          <w:tcPr>
            <w:tcW w:w="8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263</w:t>
            </w:r>
          </w:p>
        </w:tc>
        <w:tc>
          <w:tcPr>
            <w:tcW w:w="18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550</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right w:val="single" w:sz="8" w:color="CCEEFF"/>
            </w:tcBorders>
            <w:shd w:val="clear" w:color="auto" w:fill="CCEEFF"/>
          </w:tcPr>
          <w:p>
            <w:pPr>
              <w:spacing w:after="0"/>
              <w:rPr>
                <w:sz w:val="19"/>
                <w:szCs w:val="19"/>
                <w:color w:val="auto"/>
              </w:rPr>
            </w:pPr>
          </w:p>
        </w:tc>
        <w:tc>
          <w:tcPr>
            <w:tcW w:w="820" w:type="dxa"/>
            <w:vAlign w:val="bottom"/>
            <w:tcBorders>
              <w:top w:val="single" w:sz="8" w:color="auto"/>
              <w:bottom w:val="single" w:sz="8" w:color="auto"/>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813</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5760" w:type="dxa"/>
            <w:vAlign w:val="bottom"/>
          </w:tcPr>
          <w:p>
            <w:pPr>
              <w:spacing w:after="0"/>
              <w:rPr>
                <w:sz w:val="20"/>
                <w:szCs w:val="20"/>
                <w:color w:val="auto"/>
              </w:rPr>
            </w:pPr>
            <w:r>
              <w:rPr>
                <w:rFonts w:ascii="Arial" w:cs="Arial" w:eastAsia="Arial" w:hAnsi="Arial"/>
                <w:sz w:val="18"/>
                <w:szCs w:val="18"/>
                <w:color w:val="auto"/>
              </w:rPr>
              <w:t>Net loss and comprehensive loss</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(24,957)</w:t>
            </w:r>
          </w:p>
        </w:tc>
        <w:tc>
          <w:tcPr>
            <w:tcW w:w="300" w:type="dxa"/>
            <w:vAlign w:val="bottom"/>
          </w:tcPr>
          <w:p>
            <w:pPr>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1,006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286</w:t>
            </w:r>
          </w:p>
        </w:tc>
        <w:tc>
          <w:tcPr>
            <w:tcW w:w="18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(23,665)</w:t>
            </w:r>
          </w:p>
        </w:tc>
      </w:tr>
      <w:tr>
        <w:trPr>
          <w:trHeight w:val="21"/>
        </w:trPr>
        <w:tc>
          <w:tcPr>
            <w:tcW w:w="57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57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 per share—basic and diluted</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(0.57)</w:t>
            </w: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spacing w:after="0"/>
              <w:rPr>
                <w:sz w:val="18"/>
                <w:szCs w:val="18"/>
                <w:color w:val="auto"/>
              </w:rPr>
            </w:pPr>
          </w:p>
        </w:tc>
        <w:tc>
          <w:tcPr>
            <w:tcW w:w="8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(0.54)</w:t>
            </w:r>
          </w:p>
        </w:tc>
        <w:tc>
          <w:tcPr>
            <w:tcW w:w="100" w:type="dxa"/>
            <w:vAlign w:val="bottom"/>
            <w:shd w:val="clear" w:color="auto" w:fill="CCEEFF"/>
          </w:tcPr>
          <w:p>
            <w:pPr>
              <w:spacing w:after="0"/>
              <w:rPr>
                <w:sz w:val="18"/>
                <w:szCs w:val="18"/>
                <w:color w:val="auto"/>
              </w:rPr>
            </w:pPr>
          </w:p>
        </w:tc>
      </w:tr>
      <w:tr>
        <w:trPr>
          <w:trHeight w:val="230"/>
        </w:trPr>
        <w:tc>
          <w:tcPr>
            <w:tcW w:w="5760" w:type="dxa"/>
            <w:vAlign w:val="bottom"/>
          </w:tcPr>
          <w:p>
            <w:pPr>
              <w:spacing w:after="0"/>
              <w:rPr>
                <w:sz w:val="20"/>
                <w:szCs w:val="20"/>
                <w:color w:val="auto"/>
              </w:rPr>
            </w:pPr>
            <w:r>
              <w:rPr>
                <w:rFonts w:ascii="Arial" w:cs="Arial" w:eastAsia="Arial" w:hAnsi="Arial"/>
                <w:sz w:val="18"/>
                <w:szCs w:val="18"/>
                <w:color w:val="auto"/>
                <w:w w:val="91"/>
              </w:rPr>
              <w:t>Weighted-average number of common shares outstanding — basic and diluted</w:t>
            </w:r>
          </w:p>
        </w:tc>
        <w:tc>
          <w:tcPr>
            <w:tcW w:w="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44,037</w:t>
            </w: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44,037</w:t>
            </w:r>
          </w:p>
        </w:tc>
        <w:tc>
          <w:tcPr>
            <w:tcW w:w="100" w:type="dxa"/>
            <w:vAlign w:val="bottom"/>
          </w:tcPr>
          <w:p>
            <w:pPr>
              <w:spacing w:after="0"/>
              <w:rPr>
                <w:sz w:val="20"/>
                <w:szCs w:val="20"/>
                <w:color w:val="auto"/>
              </w:rPr>
            </w:pPr>
          </w:p>
        </w:tc>
      </w:tr>
    </w:tbl>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the pro forma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AVROBIO,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Pro Forma Condensed Consolidated Statement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 Ended December 31, 2022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40" w:type="dxa"/>
            <w:vAlign w:val="bottom"/>
            <w:gridSpan w:val="4"/>
          </w:tcPr>
          <w:p>
            <w:pPr>
              <w:jc w:val="center"/>
              <w:ind w:left="130"/>
              <w:spacing w:after="0"/>
              <w:rPr>
                <w:sz w:val="20"/>
                <w:szCs w:val="20"/>
                <w:color w:val="auto"/>
              </w:rPr>
            </w:pPr>
            <w:r>
              <w:rPr>
                <w:rFonts w:ascii="Arial" w:cs="Arial" w:eastAsia="Arial" w:hAnsi="Arial"/>
                <w:sz w:val="18"/>
                <w:szCs w:val="18"/>
                <w:b w:val="1"/>
                <w:bCs w:val="1"/>
                <w:color w:val="auto"/>
                <w:w w:val="88"/>
              </w:rPr>
              <w:t>Transaction Accounting</w:t>
            </w: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5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040" w:type="dxa"/>
            <w:vAlign w:val="bottom"/>
            <w:tcBorders>
              <w:bottom w:val="single" w:sz="8" w:color="auto"/>
            </w:tcBorders>
            <w:gridSpan w:val="4"/>
          </w:tcPr>
          <w:p>
            <w:pPr>
              <w:jc w:val="center"/>
              <w:ind w:left="130"/>
              <w:spacing w:after="0"/>
              <w:rPr>
                <w:sz w:val="20"/>
                <w:szCs w:val="20"/>
                <w:color w:val="auto"/>
              </w:rPr>
            </w:pPr>
            <w:r>
              <w:rPr>
                <w:rFonts w:ascii="Arial" w:cs="Arial" w:eastAsia="Arial" w:hAnsi="Arial"/>
                <w:sz w:val="18"/>
                <w:szCs w:val="18"/>
                <w:b w:val="1"/>
                <w:bCs w:val="1"/>
                <w:color w:val="auto"/>
                <w:w w:val="89"/>
              </w:rPr>
              <w:t>Adjustments</w:t>
            </w:r>
          </w:p>
        </w:tc>
        <w:tc>
          <w:tcPr>
            <w:tcW w:w="54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198"/>
        </w:trPr>
        <w:tc>
          <w:tcPr>
            <w:tcW w:w="5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gridSpan w:val="2"/>
          </w:tcPr>
          <w:p>
            <w:pPr>
              <w:jc w:val="center"/>
              <w:ind w:right="280"/>
              <w:spacing w:after="0" w:line="198" w:lineRule="exact"/>
              <w:rPr>
                <w:sz w:val="20"/>
                <w:szCs w:val="20"/>
                <w:color w:val="auto"/>
              </w:rPr>
            </w:pPr>
            <w:r>
              <w:rPr>
                <w:rFonts w:ascii="Arial" w:cs="Arial" w:eastAsia="Arial" w:hAnsi="Arial"/>
                <w:sz w:val="18"/>
                <w:szCs w:val="18"/>
                <w:b w:val="1"/>
                <w:bCs w:val="1"/>
                <w:color w:val="auto"/>
                <w:w w:val="92"/>
              </w:rPr>
              <w:t>Historical</w:t>
            </w: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5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9"/>
              </w:rPr>
              <w:t>AVROBIO</w:t>
            </w:r>
          </w:p>
        </w:tc>
        <w:tc>
          <w:tcPr>
            <w:tcW w:w="124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w w:val="92"/>
              </w:rPr>
              <w:t>Operations of</w:t>
            </w:r>
          </w:p>
        </w:tc>
        <w:tc>
          <w:tcPr>
            <w:tcW w:w="360" w:type="dxa"/>
            <w:vAlign w:val="bottom"/>
          </w:tcPr>
          <w:p>
            <w:pPr>
              <w:spacing w:after="0"/>
              <w:rPr>
                <w:sz w:val="18"/>
                <w:szCs w:val="18"/>
                <w:color w:val="auto"/>
              </w:rPr>
            </w:pPr>
          </w:p>
        </w:tc>
        <w:tc>
          <w:tcPr>
            <w:tcW w:w="1260" w:type="dxa"/>
            <w:vAlign w:val="bottom"/>
            <w:gridSpan w:val="2"/>
          </w:tcPr>
          <w:p>
            <w:pPr>
              <w:jc w:val="right"/>
              <w:ind w:right="150"/>
              <w:spacing w:after="0"/>
              <w:rPr>
                <w:sz w:val="20"/>
                <w:szCs w:val="20"/>
                <w:color w:val="auto"/>
              </w:rPr>
            </w:pPr>
            <w:r>
              <w:rPr>
                <w:rFonts w:ascii="Arial" w:cs="Arial" w:eastAsia="Arial" w:hAnsi="Arial"/>
                <w:sz w:val="18"/>
                <w:szCs w:val="18"/>
                <w:b w:val="1"/>
                <w:bCs w:val="1"/>
                <w:color w:val="auto"/>
              </w:rPr>
              <w:t>Pro Forma</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93"/>
              </w:rPr>
              <w:t>Pro Forma</w:t>
            </w:r>
          </w:p>
        </w:tc>
      </w:tr>
      <w:tr>
        <w:trPr>
          <w:trHeight w:val="241"/>
        </w:trPr>
        <w:tc>
          <w:tcPr>
            <w:tcW w:w="5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(a)</w:t>
            </w:r>
          </w:p>
        </w:tc>
        <w:tc>
          <w:tcPr>
            <w:tcW w:w="1240" w:type="dxa"/>
            <w:vAlign w:val="bottom"/>
            <w:gridSpan w:val="3"/>
          </w:tcPr>
          <w:p>
            <w:pPr>
              <w:ind w:left="20"/>
              <w:spacing w:after="0"/>
              <w:rPr>
                <w:sz w:val="20"/>
                <w:szCs w:val="20"/>
                <w:color w:val="auto"/>
              </w:rPr>
            </w:pPr>
            <w:r>
              <w:rPr>
                <w:rFonts w:ascii="Arial" w:cs="Arial" w:eastAsia="Arial" w:hAnsi="Arial"/>
                <w:sz w:val="18"/>
                <w:szCs w:val="18"/>
                <w:b w:val="1"/>
                <w:bCs w:val="1"/>
                <w:color w:val="auto"/>
                <w:w w:val="91"/>
              </w:rPr>
              <w:t>Sold Assets (b)</w:t>
            </w:r>
          </w:p>
        </w:tc>
        <w:tc>
          <w:tcPr>
            <w:tcW w:w="360" w:type="dxa"/>
            <w:vAlign w:val="bottom"/>
          </w:tcPr>
          <w:p>
            <w:pPr>
              <w:spacing w:after="0"/>
              <w:rPr>
                <w:sz w:val="20"/>
                <w:szCs w:val="20"/>
                <w:color w:val="auto"/>
              </w:rPr>
            </w:pPr>
          </w:p>
        </w:tc>
        <w:tc>
          <w:tcPr>
            <w:tcW w:w="1260" w:type="dxa"/>
            <w:vAlign w:val="bottom"/>
            <w:gridSpan w:val="2"/>
          </w:tcPr>
          <w:p>
            <w:pPr>
              <w:spacing w:after="0"/>
              <w:rPr>
                <w:sz w:val="20"/>
                <w:szCs w:val="20"/>
                <w:color w:val="auto"/>
              </w:rPr>
            </w:pPr>
            <w:r>
              <w:rPr>
                <w:rFonts w:ascii="Arial" w:cs="Arial" w:eastAsia="Arial" w:hAnsi="Arial"/>
                <w:sz w:val="18"/>
                <w:szCs w:val="18"/>
                <w:b w:val="1"/>
                <w:bCs w:val="1"/>
                <w:color w:val="auto"/>
                <w:w w:val="89"/>
              </w:rPr>
              <w:t>Adjustments (c)</w:t>
            </w: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99"/>
              </w:rPr>
              <w:t>AVROBIO</w:t>
            </w:r>
          </w:p>
        </w:tc>
      </w:tr>
      <w:tr>
        <w:trPr>
          <w:trHeight w:val="216"/>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tcBorders>
              <w:right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right w:val="single" w:sz="8" w:color="CCEEFF"/>
            </w:tcBorders>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660" w:type="dxa"/>
            <w:vAlign w:val="bottom"/>
          </w:tcPr>
          <w:p>
            <w:pPr>
              <w:ind w:left="180"/>
              <w:spacing w:after="0"/>
              <w:rPr>
                <w:sz w:val="20"/>
                <w:szCs w:val="20"/>
                <w:color w:val="auto"/>
              </w:rPr>
            </w:pPr>
            <w:r>
              <w:rPr>
                <w:rFonts w:ascii="Arial" w:cs="Arial" w:eastAsia="Arial" w:hAnsi="Arial"/>
                <w:sz w:val="18"/>
                <w:szCs w:val="18"/>
                <w:color w:val="auto"/>
              </w:rPr>
              <w:t>Research and development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72,186</w:t>
            </w:r>
          </w:p>
        </w:tc>
        <w:tc>
          <w:tcPr>
            <w:tcW w:w="180" w:type="dxa"/>
            <w:vAlign w:val="bottom"/>
          </w:tcPr>
          <w:p>
            <w:pPr>
              <w:spacing w:after="0"/>
              <w:rPr>
                <w:sz w:val="18"/>
                <w:szCs w:val="18"/>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1320" w:type="dxa"/>
            <w:vAlign w:val="bottom"/>
            <w:gridSpan w:val="3"/>
          </w:tcPr>
          <w:p>
            <w:pPr>
              <w:ind w:left="400"/>
              <w:spacing w:after="0"/>
              <w:rPr>
                <w:sz w:val="20"/>
                <w:szCs w:val="20"/>
                <w:color w:val="auto"/>
              </w:rPr>
            </w:pPr>
            <w:r>
              <w:rPr>
                <w:rFonts w:ascii="Arial" w:cs="Arial" w:eastAsia="Arial" w:hAnsi="Arial"/>
                <w:sz w:val="18"/>
                <w:szCs w:val="18"/>
                <w:color w:val="auto"/>
              </w:rPr>
              <w:t>(4,615) (e)</w:t>
            </w:r>
          </w:p>
        </w:tc>
        <w:tc>
          <w:tcPr>
            <w:tcW w:w="720" w:type="dxa"/>
            <w:vAlign w:val="bottom"/>
          </w:tcPr>
          <w:p>
            <w:pPr>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67,571</w:t>
            </w:r>
          </w:p>
        </w:tc>
        <w:tc>
          <w:tcPr>
            <w:tcW w:w="100" w:type="dxa"/>
            <w:vAlign w:val="bottom"/>
          </w:tcPr>
          <w:p>
            <w:pPr>
              <w:spacing w:after="0"/>
              <w:rPr>
                <w:sz w:val="18"/>
                <w:szCs w:val="18"/>
                <w:color w:val="auto"/>
              </w:rPr>
            </w:pPr>
          </w:p>
        </w:tc>
      </w:tr>
      <w:tr>
        <w:trPr>
          <w:trHeight w:val="216"/>
        </w:trPr>
        <w:tc>
          <w:tcPr>
            <w:tcW w:w="5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General and administrative</w:t>
            </w:r>
          </w:p>
        </w:tc>
        <w:tc>
          <w:tcPr>
            <w:tcW w:w="8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33,248</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60" w:type="dxa"/>
            <w:vAlign w:val="bottom"/>
            <w:tcBorders>
              <w:right w:val="single" w:sz="8" w:color="CCEEFF"/>
            </w:tcBorders>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33,248</w:t>
            </w:r>
          </w:p>
        </w:tc>
        <w:tc>
          <w:tcPr>
            <w:tcW w:w="100" w:type="dxa"/>
            <w:vAlign w:val="bottom"/>
            <w:shd w:val="clear" w:color="auto" w:fill="CCEEFF"/>
          </w:tcPr>
          <w:p>
            <w:pPr>
              <w:spacing w:after="0"/>
              <w:rPr>
                <w:sz w:val="18"/>
                <w:szCs w:val="18"/>
                <w:color w:val="auto"/>
              </w:rPr>
            </w:pPr>
          </w:p>
        </w:tc>
      </w:tr>
      <w:tr>
        <w:trPr>
          <w:trHeight w:val="27"/>
        </w:trPr>
        <w:tc>
          <w:tcPr>
            <w:tcW w:w="566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80" w:type="dxa"/>
            <w:vAlign w:val="bottom"/>
            <w:tcBorders>
              <w:right w:val="single" w:sz="8" w:color="auto"/>
            </w:tcBorders>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tcBorders>
              <w:right w:val="single" w:sz="8" w:color="CCEEFF"/>
            </w:tcBorders>
            <w:shd w:val="clear" w:color="auto" w:fill="CCEEFF"/>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540" w:type="dxa"/>
            <w:vAlign w:val="bottom"/>
            <w:tcBorders>
              <w:right w:val="single" w:sz="8" w:color="CCEEFF"/>
            </w:tcBorders>
            <w:shd w:val="clear" w:color="auto" w:fill="000000"/>
          </w:tcPr>
          <w:p>
            <w:pPr>
              <w:spacing w:after="0"/>
              <w:rPr>
                <w:sz w:val="2"/>
                <w:szCs w:val="2"/>
                <w:color w:val="auto"/>
              </w:rPr>
            </w:pPr>
          </w:p>
        </w:tc>
        <w:tc>
          <w:tcPr>
            <w:tcW w:w="340" w:type="dxa"/>
            <w:vAlign w:val="bottom"/>
            <w:tcBorders>
              <w:right w:val="single" w:sz="8" w:color="CCEEFF"/>
            </w:tcBorders>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5660" w:type="dxa"/>
            <w:vAlign w:val="bottom"/>
          </w:tcPr>
          <w:p>
            <w:pPr>
              <w:ind w:left="340"/>
              <w:spacing w:after="0"/>
              <w:rPr>
                <w:sz w:val="20"/>
                <w:szCs w:val="20"/>
                <w:color w:val="auto"/>
              </w:rPr>
            </w:pPr>
            <w:r>
              <w:rPr>
                <w:rFonts w:ascii="Arial" w:cs="Arial" w:eastAsia="Arial" w:hAnsi="Arial"/>
                <w:sz w:val="18"/>
                <w:szCs w:val="18"/>
                <w:color w:val="auto"/>
              </w:rPr>
              <w:t>Total operating expenses</w:t>
            </w: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105,434</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(4,615)</w:t>
            </w:r>
          </w:p>
        </w:tc>
        <w:tc>
          <w:tcPr>
            <w:tcW w:w="3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100,819</w:t>
            </w:r>
          </w:p>
        </w:tc>
        <w:tc>
          <w:tcPr>
            <w:tcW w:w="100" w:type="dxa"/>
            <w:vAlign w:val="bottom"/>
          </w:tcPr>
          <w:p>
            <w:pPr>
              <w:spacing w:after="0"/>
              <w:rPr>
                <w:sz w:val="18"/>
                <w:szCs w:val="18"/>
                <w:color w:val="auto"/>
              </w:rPr>
            </w:pPr>
          </w:p>
        </w:tc>
      </w:tr>
      <w:tr>
        <w:trPr>
          <w:trHeight w:val="216"/>
        </w:trPr>
        <w:tc>
          <w:tcPr>
            <w:tcW w:w="5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Gain on Asset Sale</w:t>
            </w:r>
          </w:p>
        </w:tc>
        <w:tc>
          <w:tcPr>
            <w:tcW w:w="8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60" w:type="dxa"/>
            <w:vAlign w:val="bottom"/>
            <w:tcBorders>
              <w:right w:val="single" w:sz="8" w:color="CCEEFF"/>
            </w:tcBorders>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84,024</w:t>
            </w:r>
          </w:p>
        </w:tc>
        <w:tc>
          <w:tcPr>
            <w:tcW w:w="340" w:type="dxa"/>
            <w:vAlign w:val="bottom"/>
            <w:tcBorders>
              <w:right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(f)</w:t>
            </w: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84,024</w:t>
            </w:r>
          </w:p>
        </w:tc>
        <w:tc>
          <w:tcPr>
            <w:tcW w:w="100" w:type="dxa"/>
            <w:vAlign w:val="bottom"/>
            <w:shd w:val="clear" w:color="auto" w:fill="CCEEFF"/>
          </w:tcPr>
          <w:p>
            <w:pPr>
              <w:spacing w:after="0"/>
              <w:rPr>
                <w:sz w:val="18"/>
                <w:szCs w:val="18"/>
                <w:color w:val="auto"/>
              </w:rPr>
            </w:pPr>
          </w:p>
        </w:tc>
      </w:tr>
      <w:tr>
        <w:trPr>
          <w:trHeight w:val="27"/>
        </w:trPr>
        <w:tc>
          <w:tcPr>
            <w:tcW w:w="566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80" w:type="dxa"/>
            <w:vAlign w:val="bottom"/>
            <w:tcBorders>
              <w:right w:val="single" w:sz="8" w:color="auto"/>
            </w:tcBorders>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tcBorders>
              <w:right w:val="single" w:sz="8" w:color="CCEEFF"/>
            </w:tcBorders>
            <w:shd w:val="clear" w:color="auto" w:fill="CCEEFF"/>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540" w:type="dxa"/>
            <w:vAlign w:val="bottom"/>
            <w:tcBorders>
              <w:right w:val="single" w:sz="8" w:color="CCEEFF"/>
            </w:tcBorders>
            <w:shd w:val="clear" w:color="auto" w:fill="000000"/>
          </w:tcPr>
          <w:p>
            <w:pPr>
              <w:spacing w:after="0"/>
              <w:rPr>
                <w:sz w:val="2"/>
                <w:szCs w:val="2"/>
                <w:color w:val="auto"/>
              </w:rPr>
            </w:pPr>
          </w:p>
        </w:tc>
        <w:tc>
          <w:tcPr>
            <w:tcW w:w="340" w:type="dxa"/>
            <w:vAlign w:val="bottom"/>
            <w:tcBorders>
              <w:right w:val="single" w:sz="8" w:color="CCEEFF"/>
            </w:tcBorders>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5660" w:type="dxa"/>
            <w:vAlign w:val="bottom"/>
          </w:tcPr>
          <w:p>
            <w:pPr>
              <w:spacing w:after="0"/>
              <w:rPr>
                <w:sz w:val="20"/>
                <w:szCs w:val="20"/>
                <w:color w:val="auto"/>
              </w:rPr>
            </w:pPr>
            <w:r>
              <w:rPr>
                <w:rFonts w:ascii="Arial" w:cs="Arial" w:eastAsia="Arial" w:hAnsi="Arial"/>
                <w:sz w:val="18"/>
                <w:szCs w:val="18"/>
                <w:color w:val="auto"/>
              </w:rPr>
              <w:t>Loss from operations</w:t>
            </w:r>
          </w:p>
        </w:tc>
        <w:tc>
          <w:tcPr>
            <w:tcW w:w="8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(105,434)</w:t>
            </w:r>
          </w:p>
        </w:tc>
        <w:tc>
          <w:tcPr>
            <w:tcW w:w="2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4,615</w:t>
            </w:r>
          </w:p>
        </w:tc>
        <w:tc>
          <w:tcPr>
            <w:tcW w:w="3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87"/>
              </w:rPr>
              <w:t>84,024</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(16,795)</w:t>
            </w:r>
          </w:p>
        </w:tc>
      </w:tr>
      <w:tr>
        <w:trPr>
          <w:trHeight w:val="216"/>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8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tcBorders>
              <w:right w:val="single" w:sz="8" w:color="CCEEFF"/>
            </w:tcBorders>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40" w:type="dxa"/>
            <w:vAlign w:val="bottom"/>
            <w:tcBorders>
              <w:right w:val="single" w:sz="8" w:color="CCEEFF"/>
            </w:tcBorders>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660" w:type="dxa"/>
            <w:vAlign w:val="bottom"/>
          </w:tcPr>
          <w:p>
            <w:pPr>
              <w:ind w:left="180"/>
              <w:spacing w:after="0"/>
              <w:rPr>
                <w:sz w:val="20"/>
                <w:szCs w:val="20"/>
                <w:color w:val="auto"/>
              </w:rPr>
            </w:pPr>
            <w:r>
              <w:rPr>
                <w:rFonts w:ascii="Arial" w:cs="Arial" w:eastAsia="Arial" w:hAnsi="Arial"/>
                <w:sz w:val="18"/>
                <w:szCs w:val="18"/>
                <w:color w:val="auto"/>
              </w:rPr>
              <w:t>Interest income (expense), net</w:t>
            </w:r>
          </w:p>
        </w:tc>
        <w:tc>
          <w:tcPr>
            <w:tcW w:w="8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(299)</w:t>
            </w:r>
          </w:p>
        </w:tc>
        <w:tc>
          <w:tcPr>
            <w:tcW w:w="2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1,808</w:t>
            </w:r>
          </w:p>
        </w:tc>
        <w:tc>
          <w:tcPr>
            <w:tcW w:w="360" w:type="dxa"/>
            <w:vAlign w:val="bottom"/>
          </w:tcPr>
          <w:p>
            <w:pPr>
              <w:jc w:val="center"/>
              <w:spacing w:after="0"/>
              <w:rPr>
                <w:sz w:val="20"/>
                <w:szCs w:val="20"/>
                <w:color w:val="auto"/>
              </w:rPr>
            </w:pPr>
            <w:r>
              <w:rPr>
                <w:rFonts w:ascii="Arial" w:cs="Arial" w:eastAsia="Arial" w:hAnsi="Arial"/>
                <w:sz w:val="18"/>
                <w:szCs w:val="18"/>
                <w:color w:val="auto"/>
                <w:w w:val="99"/>
              </w:rPr>
              <w:t>(d)</w:t>
            </w:r>
          </w:p>
        </w:tc>
        <w:tc>
          <w:tcPr>
            <w:tcW w:w="7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1,509</w:t>
            </w:r>
          </w:p>
        </w:tc>
        <w:tc>
          <w:tcPr>
            <w:tcW w:w="100" w:type="dxa"/>
            <w:vAlign w:val="bottom"/>
          </w:tcPr>
          <w:p>
            <w:pPr>
              <w:spacing w:after="0"/>
              <w:rPr>
                <w:sz w:val="18"/>
                <w:szCs w:val="18"/>
                <w:color w:val="auto"/>
              </w:rPr>
            </w:pPr>
          </w:p>
        </w:tc>
      </w:tr>
      <w:tr>
        <w:trPr>
          <w:trHeight w:val="216"/>
        </w:trPr>
        <w:tc>
          <w:tcPr>
            <w:tcW w:w="5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Loss on extinguishment of debt</w:t>
            </w: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320" w:type="dxa"/>
            <w:vAlign w:val="bottom"/>
            <w:tcBorders>
              <w:right w:val="single" w:sz="8" w:color="CCEEFF"/>
            </w:tcBorders>
            <w:gridSpan w:val="3"/>
            <w:shd w:val="clear" w:color="auto" w:fill="CCEEFF"/>
          </w:tcPr>
          <w:p>
            <w:pPr>
              <w:ind w:left="400"/>
              <w:spacing w:after="0"/>
              <w:rPr>
                <w:sz w:val="20"/>
                <w:szCs w:val="20"/>
                <w:color w:val="auto"/>
              </w:rPr>
            </w:pPr>
            <w:r>
              <w:rPr>
                <w:rFonts w:ascii="Arial" w:cs="Arial" w:eastAsia="Arial" w:hAnsi="Arial"/>
                <w:sz w:val="18"/>
                <w:szCs w:val="18"/>
                <w:color w:val="auto"/>
              </w:rPr>
              <w:t>(1,405) (d)</w:t>
            </w:r>
          </w:p>
        </w:tc>
        <w:tc>
          <w:tcPr>
            <w:tcW w:w="720" w:type="dxa"/>
            <w:vAlign w:val="bottom"/>
            <w:shd w:val="clear" w:color="auto" w:fill="CCEEFF"/>
          </w:tcPr>
          <w:p>
            <w:pPr>
              <w:spacing w:after="0"/>
              <w:rPr>
                <w:sz w:val="18"/>
                <w:szCs w:val="18"/>
                <w:color w:val="auto"/>
              </w:rPr>
            </w:pPr>
          </w:p>
        </w:tc>
        <w:tc>
          <w:tcPr>
            <w:tcW w:w="5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(1,405)</w:t>
            </w:r>
          </w:p>
        </w:tc>
      </w:tr>
      <w:tr>
        <w:trPr>
          <w:trHeight w:val="223"/>
        </w:trPr>
        <w:tc>
          <w:tcPr>
            <w:tcW w:w="5660" w:type="dxa"/>
            <w:vAlign w:val="bottom"/>
          </w:tcPr>
          <w:p>
            <w:pPr>
              <w:ind w:left="180"/>
              <w:spacing w:after="0"/>
              <w:rPr>
                <w:sz w:val="20"/>
                <w:szCs w:val="20"/>
                <w:color w:val="auto"/>
              </w:rPr>
            </w:pPr>
            <w:r>
              <w:rPr>
                <w:rFonts w:ascii="Arial" w:cs="Arial" w:eastAsia="Arial" w:hAnsi="Arial"/>
                <w:sz w:val="18"/>
                <w:szCs w:val="18"/>
                <w:color w:val="auto"/>
              </w:rPr>
              <w:t>Other expense, net</w:t>
            </w:r>
          </w:p>
        </w:tc>
        <w:tc>
          <w:tcPr>
            <w:tcW w:w="80" w:type="dxa"/>
            <w:vAlign w:val="bottom"/>
          </w:tcPr>
          <w:p>
            <w:pPr>
              <w:spacing w:after="0"/>
              <w:rPr>
                <w:sz w:val="19"/>
                <w:szCs w:val="19"/>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(157)</w:t>
            </w:r>
          </w:p>
        </w:tc>
        <w:tc>
          <w:tcPr>
            <w:tcW w:w="28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(157)</w:t>
            </w:r>
          </w:p>
        </w:tc>
      </w:tr>
      <w:tr>
        <w:trPr>
          <w:trHeight w:val="223"/>
        </w:trPr>
        <w:tc>
          <w:tcPr>
            <w:tcW w:w="56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other income (expense), net</w:t>
            </w:r>
          </w:p>
        </w:tc>
        <w:tc>
          <w:tcPr>
            <w:tcW w:w="8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(456)</w:t>
            </w:r>
          </w:p>
        </w:tc>
        <w:tc>
          <w:tcPr>
            <w:tcW w:w="18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403</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right w:val="single" w:sz="8" w:color="CCEEFF"/>
            </w:tcBorders>
            <w:shd w:val="clear" w:color="auto" w:fill="CCEEFF"/>
          </w:tcPr>
          <w:p>
            <w:pPr>
              <w:spacing w:after="0"/>
              <w:rPr>
                <w:sz w:val="19"/>
                <w:szCs w:val="19"/>
                <w:color w:val="auto"/>
              </w:rPr>
            </w:pPr>
          </w:p>
        </w:tc>
        <w:tc>
          <w:tcPr>
            <w:tcW w:w="720" w:type="dxa"/>
            <w:vAlign w:val="bottom"/>
            <w:tcBorders>
              <w:top w:val="single" w:sz="8" w:color="auto"/>
              <w:bottom w:val="single" w:sz="8" w:color="auto"/>
            </w:tcBorders>
            <w:shd w:val="clear" w:color="auto" w:fill="CCEEFF"/>
          </w:tcPr>
          <w:p>
            <w:pPr>
              <w:spacing w:after="0"/>
              <w:rPr>
                <w:sz w:val="19"/>
                <w:szCs w:val="19"/>
                <w:color w:val="auto"/>
              </w:rPr>
            </w:pPr>
          </w:p>
        </w:tc>
        <w:tc>
          <w:tcPr>
            <w:tcW w:w="54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right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23"/>
        </w:trPr>
        <w:tc>
          <w:tcPr>
            <w:tcW w:w="5660" w:type="dxa"/>
            <w:vAlign w:val="bottom"/>
          </w:tcPr>
          <w:p>
            <w:pPr>
              <w:spacing w:after="0"/>
              <w:rPr>
                <w:sz w:val="20"/>
                <w:szCs w:val="20"/>
                <w:color w:val="auto"/>
              </w:rPr>
            </w:pPr>
            <w:r>
              <w:rPr>
                <w:rFonts w:ascii="Arial" w:cs="Arial" w:eastAsia="Arial" w:hAnsi="Arial"/>
                <w:sz w:val="18"/>
                <w:szCs w:val="18"/>
                <w:color w:val="auto"/>
              </w:rPr>
              <w:t>Net loss and comprehensive loss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(105,890)</w:t>
            </w: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5,018</w:t>
            </w:r>
          </w:p>
        </w:tc>
        <w:tc>
          <w:tcPr>
            <w:tcW w:w="360" w:type="dxa"/>
            <w:vAlign w:val="bottom"/>
          </w:tcPr>
          <w:p>
            <w:pPr>
              <w:spacing w:after="0"/>
              <w:rPr>
                <w:sz w:val="19"/>
                <w:szCs w:val="19"/>
                <w:color w:val="auto"/>
              </w:rPr>
            </w:pPr>
          </w:p>
        </w:tc>
        <w:tc>
          <w:tcPr>
            <w:tcW w:w="720" w:type="dxa"/>
            <w:vAlign w:val="bottom"/>
          </w:tcPr>
          <w:p>
            <w:pPr>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87"/>
              </w:rPr>
              <w:t>84,024</w:t>
            </w:r>
          </w:p>
        </w:tc>
        <w:tc>
          <w:tcPr>
            <w:tcW w:w="34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(16,848)</w:t>
            </w:r>
          </w:p>
        </w:tc>
      </w:tr>
      <w:tr>
        <w:trPr>
          <w:trHeight w:val="216"/>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w w:val="95"/>
              </w:rPr>
              <w:t>Net loss per share attributable to ordinary shareholders—basic and diluted</w:t>
            </w: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(2.42)</w:t>
            </w:r>
          </w:p>
        </w:tc>
        <w:tc>
          <w:tcPr>
            <w:tcW w:w="18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360" w:type="dxa"/>
            <w:vAlign w:val="bottom"/>
            <w:tcBorders>
              <w:right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right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(0.39)</w:t>
            </w:r>
          </w:p>
        </w:tc>
        <w:tc>
          <w:tcPr>
            <w:tcW w:w="100" w:type="dxa"/>
            <w:vAlign w:val="bottom"/>
            <w:shd w:val="clear" w:color="auto" w:fill="CCEEFF"/>
          </w:tcPr>
          <w:p>
            <w:pPr>
              <w:spacing w:after="0"/>
              <w:rPr>
                <w:sz w:val="18"/>
                <w:szCs w:val="18"/>
                <w:color w:val="auto"/>
              </w:rPr>
            </w:pPr>
          </w:p>
        </w:tc>
      </w:tr>
      <w:tr>
        <w:trPr>
          <w:trHeight w:val="230"/>
        </w:trPr>
        <w:tc>
          <w:tcPr>
            <w:tcW w:w="5660" w:type="dxa"/>
            <w:vAlign w:val="bottom"/>
          </w:tcPr>
          <w:p>
            <w:pPr>
              <w:spacing w:after="0"/>
              <w:rPr>
                <w:sz w:val="20"/>
                <w:szCs w:val="20"/>
                <w:color w:val="auto"/>
              </w:rPr>
            </w:pPr>
            <w:r>
              <w:rPr>
                <w:rFonts w:ascii="Arial" w:cs="Arial" w:eastAsia="Arial" w:hAnsi="Arial"/>
                <w:sz w:val="18"/>
                <w:szCs w:val="18"/>
                <w:color w:val="auto"/>
              </w:rPr>
              <w:t>Weighted average ordinary shares outstanding—basic and diluted</w:t>
            </w:r>
          </w:p>
        </w:tc>
        <w:tc>
          <w:tcPr>
            <w:tcW w:w="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43,739</w:t>
            </w: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43,739</w:t>
            </w:r>
          </w:p>
        </w:tc>
        <w:tc>
          <w:tcPr>
            <w:tcW w:w="100" w:type="dxa"/>
            <w:vAlign w:val="bottom"/>
          </w:tcPr>
          <w:p>
            <w:pPr>
              <w:spacing w:after="0"/>
              <w:rPr>
                <w:sz w:val="20"/>
                <w:szCs w:val="20"/>
                <w:color w:val="auto"/>
              </w:rPr>
            </w:pPr>
          </w:p>
        </w:tc>
      </w:tr>
    </w:tbl>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the pro forma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ind w:left="2500"/>
        <w:spacing w:after="0"/>
        <w:rPr>
          <w:sz w:val="20"/>
          <w:szCs w:val="20"/>
          <w:color w:val="auto"/>
        </w:rPr>
      </w:pPr>
      <w:r>
        <w:rPr>
          <w:rFonts w:ascii="Arial" w:cs="Arial" w:eastAsia="Arial" w:hAnsi="Arial"/>
          <w:sz w:val="18"/>
          <w:szCs w:val="18"/>
          <w:b w:val="1"/>
          <w:bCs w:val="1"/>
          <w:color w:val="auto"/>
        </w:rPr>
        <w:t>Notes to the Unaudited Pro Forma Condensed Consolidated Financial Statements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unaudited pro forma condensed consolidated financial statements reflect the following notes and adjustments:</w:t>
      </w:r>
    </w:p>
    <w:p>
      <w:pPr>
        <w:spacing w:after="0" w:line="252" w:lineRule="exact"/>
        <w:rPr>
          <w:sz w:val="20"/>
          <w:szCs w:val="20"/>
          <w:color w:val="auto"/>
        </w:rPr>
      </w:pPr>
    </w:p>
    <w:p>
      <w:pPr>
        <w:ind w:left="340" w:right="360" w:hanging="332"/>
        <w:spacing w:after="0" w:line="342" w:lineRule="auto"/>
        <w:tabs>
          <w:tab w:leader="none" w:pos="340" w:val="left"/>
        </w:tabs>
        <w:numPr>
          <w:ilvl w:val="0"/>
          <w:numId w:val="4"/>
        </w:numPr>
        <w:rPr>
          <w:rFonts w:ascii="Arial" w:cs="Arial" w:eastAsia="Arial" w:hAnsi="Arial"/>
          <w:sz w:val="16"/>
          <w:szCs w:val="16"/>
          <w:color w:val="auto"/>
        </w:rPr>
      </w:pPr>
      <w:r>
        <w:rPr>
          <w:rFonts w:ascii="Arial" w:cs="Arial" w:eastAsia="Arial" w:hAnsi="Arial"/>
          <w:sz w:val="16"/>
          <w:szCs w:val="16"/>
          <w:color w:val="auto"/>
        </w:rPr>
        <w:t>Reflects the condensed consolidated balance sheet as of March 31, 2023 and condensed consolidated statement of operations for the three months ended March 31, 2023 in the Form 10-Q and the consolidated statement of operations for the year ended December 31, 2022 in the Form 10-K.</w:t>
      </w:r>
    </w:p>
    <w:p>
      <w:pPr>
        <w:spacing w:after="0" w:line="150" w:lineRule="exact"/>
        <w:rPr>
          <w:rFonts w:ascii="Arial" w:cs="Arial" w:eastAsia="Arial" w:hAnsi="Arial"/>
          <w:sz w:val="16"/>
          <w:szCs w:val="16"/>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Reflects the consummation of the Asset Sale in accordance with the terms of the Asset Purchase Agreement.</w:t>
      </w:r>
    </w:p>
    <w:p>
      <w:pPr>
        <w:spacing w:after="0" w:line="252" w:lineRule="exact"/>
        <w:rPr>
          <w:rFonts w:ascii="Arial" w:cs="Arial" w:eastAsia="Arial" w:hAnsi="Arial"/>
          <w:sz w:val="18"/>
          <w:szCs w:val="18"/>
          <w:color w:val="auto"/>
        </w:rPr>
      </w:pPr>
    </w:p>
    <w:p>
      <w:pPr>
        <w:ind w:left="340" w:right="340" w:hanging="332"/>
        <w:spacing w:after="0" w:line="277"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Reflects the additional transaction accounting adjustments which show how the Asset Sale might have affected the Company’s historical financial statements if the sale had been completed on January 1, 2022.</w:t>
      </w:r>
    </w:p>
    <w:p>
      <w:pPr>
        <w:spacing w:after="0" w:line="197" w:lineRule="exact"/>
        <w:rPr>
          <w:rFonts w:ascii="Arial" w:cs="Arial" w:eastAsia="Arial" w:hAnsi="Arial"/>
          <w:sz w:val="18"/>
          <w:szCs w:val="18"/>
          <w:color w:val="auto"/>
        </w:rPr>
      </w:pPr>
    </w:p>
    <w:p>
      <w:pPr>
        <w:ind w:left="340" w:hanging="332"/>
        <w:spacing w:after="0" w:line="259"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notes payable is secured by substantially all of the Company’s assets, other than the Company’s intellectual property. The adjustments represent the 1) repayment of the notes payable to facilitate the Asset Sale per the covenants in our debt arrangement; 2) elimination of interest expense incurred for the year ended December 31, 2022 and three months ended March 31, 2023; and 3) pro-forma accounting for the extinguishment loss upon prepayment during the year ended December 31, 2022.</w:t>
      </w:r>
    </w:p>
    <w:p>
      <w:pPr>
        <w:spacing w:after="0" w:line="213" w:lineRule="exact"/>
        <w:rPr>
          <w:rFonts w:ascii="Arial" w:cs="Arial" w:eastAsia="Arial" w:hAnsi="Arial"/>
          <w:sz w:val="18"/>
          <w:szCs w:val="18"/>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Adjustments represent the elimination of assets and liabilities to the Asset Sale and the disposed operations.</w:t>
      </w:r>
    </w:p>
    <w:p>
      <w:pPr>
        <w:spacing w:after="0" w:line="252" w:lineRule="exact"/>
        <w:rPr>
          <w:rFonts w:ascii="Arial" w:cs="Arial" w:eastAsia="Arial" w:hAnsi="Arial"/>
          <w:sz w:val="18"/>
          <w:szCs w:val="18"/>
          <w:color w:val="auto"/>
        </w:rPr>
      </w:pPr>
    </w:p>
    <w:p>
      <w:pPr>
        <w:ind w:left="340" w:right="320" w:hanging="332"/>
        <w:spacing w:after="0" w:line="277"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record the net cash proceeds from the Asset Sale paid on the Closing Date of $87.5 million, less estimated closing costs of $3.5 million that are expected to be incurred as part of the consummation of the Asset Sale.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357505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10" w:name="page11"/>
    <w:bookmarkEnd w:id="10"/>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99.2</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AVROBIO Completes Sale of Cystinosis Gene Therapy Program</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$87.5 Million</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All-cash transaction, full $87.5 million paid at closing</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Proceeds expected to extend cash runway into Q4 2024</w:t>
      </w:r>
    </w:p>
    <w:p>
      <w:pPr>
        <w:spacing w:after="0" w:line="252"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CAMBRIDGE, Mass.--(BUSINESS WIRE)—June 12, 2023 -- AVROBIO, Inc. (Nasdaq: AVRO), a leading clinical-stage gene therapy company working to free people from a lifetime of genetic disease, today announced the closing of the previously announced agreement to sell its investigational hematopoietic stem cell (HSC) gene therapy program for cystinosis to Novartis for $87.5 million in cash.</w:t>
      </w:r>
    </w:p>
    <w:p>
      <w:pPr>
        <w:spacing w:after="0" w:line="211" w:lineRule="exact"/>
        <w:rPr>
          <w:sz w:val="20"/>
          <w:szCs w:val="20"/>
          <w:color w:val="auto"/>
        </w:rPr>
      </w:pPr>
    </w:p>
    <w:p>
      <w:pPr>
        <w:ind w:right="520"/>
        <w:spacing w:after="0" w:line="308" w:lineRule="auto"/>
        <w:rPr>
          <w:sz w:val="20"/>
          <w:szCs w:val="20"/>
          <w:color w:val="auto"/>
        </w:rPr>
      </w:pPr>
      <w:r>
        <w:rPr>
          <w:rFonts w:ascii="Arial" w:cs="Arial" w:eastAsia="Arial" w:hAnsi="Arial"/>
          <w:sz w:val="17"/>
          <w:szCs w:val="17"/>
          <w:color w:val="auto"/>
        </w:rPr>
        <w:t>AVROBIO retains full rights to its portfolio of first-in-class HSC gene therapies for Gaucher disease type 1 and type 3, Hunter syndrome and Pompe disease. Proceeds from this transaction are expected to extend the Company’s cash runway into the fourth quarter of 2024.</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TD Cowen and Wells Fargo Securities, LLC acted as financial advisors to AVROBIO in the transaction.</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AVROBIO</w:t>
      </w:r>
    </w:p>
    <w:p>
      <w:pPr>
        <w:spacing w:after="0" w:line="256" w:lineRule="exact"/>
        <w:rPr>
          <w:sz w:val="20"/>
          <w:szCs w:val="20"/>
          <w:color w:val="auto"/>
        </w:rPr>
      </w:pPr>
    </w:p>
    <w:p>
      <w:pPr>
        <w:jc w:val="both"/>
        <w:ind w:right="240"/>
        <w:spacing w:after="0" w:line="237" w:lineRule="auto"/>
        <w:rPr>
          <w:sz w:val="20"/>
          <w:szCs w:val="20"/>
          <w:color w:val="auto"/>
        </w:rPr>
      </w:pPr>
      <w:r>
        <w:rPr>
          <w:rFonts w:ascii="Arial" w:cs="Arial" w:eastAsia="Arial" w:hAnsi="Arial"/>
          <w:sz w:val="17"/>
          <w:szCs w:val="17"/>
          <w:color w:val="auto"/>
        </w:rPr>
        <w:t>Our vision is to bring personalized gene therapy to the world. We target the root cause of genetic disease by introducing a functional copy of the affected gene into patients’ own hematopoietic stem cells (HSCs), with the goal of durably expressing the therapeutic protein throughout the body, including the central nervous system. Our first-in-class pipeline includes clinical programs for Gaucher disease and Hunter syndrome, as well as a preclinical program for Pompe disease. Our proprietary plato</w:t>
      </w:r>
      <w:r>
        <w:rPr>
          <w:rFonts w:ascii="Arial" w:cs="Arial" w:eastAsia="Arial" w:hAnsi="Arial"/>
          <w:sz w:val="28"/>
          <w:szCs w:val="28"/>
          <w:color w:val="auto"/>
          <w:vertAlign w:val="superscript"/>
        </w:rPr>
        <w:t>®</w:t>
      </w:r>
      <w:r>
        <w:rPr>
          <w:rFonts w:ascii="Arial" w:cs="Arial" w:eastAsia="Arial" w:hAnsi="Arial"/>
          <w:sz w:val="17"/>
          <w:szCs w:val="17"/>
          <w:color w:val="auto"/>
        </w:rPr>
        <w:t xml:space="preserve"> gene therapy platform is scalable for planned global commercialization. We are headquartered in Cambridge, Mass. For additional information, visit </w:t>
      </w:r>
      <w:r>
        <w:rPr>
          <w:rFonts w:ascii="Arial" w:cs="Arial" w:eastAsia="Arial" w:hAnsi="Arial"/>
          <w:sz w:val="17"/>
          <w:szCs w:val="17"/>
          <w:u w:val="single" w:color="auto"/>
          <w:color w:val="auto"/>
        </w:rPr>
        <w:t>avrobio.com</w:t>
      </w:r>
      <w:r>
        <w:rPr>
          <w:rFonts w:ascii="Arial" w:cs="Arial" w:eastAsia="Arial" w:hAnsi="Arial"/>
          <w:sz w:val="17"/>
          <w:szCs w:val="17"/>
          <w:color w:val="auto"/>
        </w:rPr>
        <w:t xml:space="preserve">, and follow us on </w:t>
      </w:r>
      <w:r>
        <w:rPr>
          <w:rFonts w:ascii="Arial" w:cs="Arial" w:eastAsia="Arial" w:hAnsi="Arial"/>
          <w:sz w:val="17"/>
          <w:szCs w:val="17"/>
          <w:u w:val="single" w:color="auto"/>
          <w:color w:val="auto"/>
        </w:rPr>
        <w:t>Twitter</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LinkedIn</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91"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Forward-Looking Statements</w:t>
      </w:r>
    </w:p>
    <w:p>
      <w:pPr>
        <w:spacing w:after="0" w:line="256"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This press release contains forward-looking statements, including statements made pursuant to the safe harbor provisions of the Private Securities Litigation Reform Act of 1995. These statements may be identified by forward-looking terminology such as “aims,” “anticipates,” “believes,” “continue,” “could,” “designed to,” “estimates,” “expects,” “forecasts,” “goal,” “intends,” “may,” “plans,” “possible,” “potential,” “predicts,” “projects,” “seeks,” “strives,” “should,” “will,” and similar expressions or the negative of these terms. These forward-looking statements include, without limitation, statements regarding our business strategy for and the potential therapeutic benefits of our current and prospective preclinical and clinical product candidates, statements regarding our financial and cash position and expected cash runway following the closing of the sale of our cystinosis program to Novartis. Any such statements in this press release that are not statements of historical fact may be deemed to be forward-looking statements. Results in preclinical or early-stage clinical trials may not be indicative of results from later stage or larger scale clinical trials and do not ensure regulatory approval. You should not place undue reliance on these statements, or the scientific data presented.</w:t>
      </w:r>
    </w:p>
    <w:p>
      <w:pPr>
        <w:spacing w:after="0" w:line="208" w:lineRule="exact"/>
        <w:rPr>
          <w:sz w:val="20"/>
          <w:szCs w:val="20"/>
          <w:color w:val="auto"/>
        </w:rPr>
      </w:pPr>
    </w:p>
    <w:p>
      <w:pPr>
        <w:spacing w:after="0" w:line="269" w:lineRule="auto"/>
        <w:rPr>
          <w:sz w:val="20"/>
          <w:szCs w:val="20"/>
          <w:color w:val="auto"/>
        </w:rPr>
      </w:pPr>
      <w:r>
        <w:rPr>
          <w:rFonts w:ascii="Arial" w:cs="Arial" w:eastAsia="Arial" w:hAnsi="Arial"/>
          <w:sz w:val="16"/>
          <w:szCs w:val="16"/>
          <w:color w:val="auto"/>
        </w:rPr>
        <w:t>Any forward-looking statements in this press release are based on AVROBIO’s current expectations, estimates and projections about our industry as well as management’s current beliefs and expectations of future events only as of today and are subject to a number of risks and uncertainties that could cause actual results to differ materially and adversely from those set forth in or implied by such forward-looking statements. These risks and uncertainties include, but are not limited to, the risk that we may not realize the intended benefits of the sale of our cystinosis program to Novartis, the risk that any one or more of AVROBIO’s product candidates will not be successfully developed or commercialized, the risk of cessation or delay of any ongoing or planned clinical trials of AVROBIO or our collaborators, the risk that AVROBIO may not successfully recruit or enroll a sufficient number of patients for our clinical trials, the risk that AVROBIO may not realize the intended benefits of our gene therapy platform, including the features of our plato</w:t>
      </w:r>
      <w:r>
        <w:rPr>
          <w:rFonts w:ascii="Arial" w:cs="Arial" w:eastAsia="Arial" w:hAnsi="Arial"/>
          <w:sz w:val="26"/>
          <w:szCs w:val="26"/>
          <w:color w:val="auto"/>
          <w:vertAlign w:val="superscript"/>
        </w:rPr>
        <w:t>®</w:t>
      </w:r>
      <w:r>
        <w:rPr>
          <w:rFonts w:ascii="Arial" w:cs="Arial" w:eastAsia="Arial" w:hAnsi="Arial"/>
          <w:sz w:val="16"/>
          <w:szCs w:val="16"/>
          <w:color w:val="auto"/>
        </w:rPr>
        <w:t xml:space="preserve"> platform, the risk that our product candidates or procedures in connection with the administration thereof will not have the safety or efficacy profile that we anticipate, the risk that prior results, such as signals of safety, activity or durability of effect, observed from preclinical or clinical trials, will not be replicated or will not continue in ongoing or future studies or trials involving AVROBIO’s product candidates, the risk that we will be unable to obtain and maintain regulatory approval for our product candidates, the risk that we may be unable to realize the potential benefits associated with rare pediatric disease designation, the Innovative Licensing and Access Pathway, or any other regulatory strategy, the risk that the size and growth potential of the market for our product candidates will not materialize as expected, risks associated with our dependence on third-party suppliers and manufacturers, including sole source suppliers, risks regarding the accuracy of our estimates of expenses and future revenue, risks relating to our capital requirements, needs for additional financing, and ability to continue as a going concern including the risk that additional funding may not be available on acceptable terms or at all and that failure to obtain capital when needed may force us to delay, limit or terminate our product development efforts or other operations, risks relating to our identification and pursuit of any strategic opportunities with respect to one or more of our programs, our technology or our plato</w:t>
      </w:r>
      <w:r>
        <w:rPr>
          <w:rFonts w:ascii="Arial" w:cs="Arial" w:eastAsia="Arial" w:hAnsi="Arial"/>
          <w:sz w:val="26"/>
          <w:szCs w:val="26"/>
          <w:color w:val="auto"/>
          <w:vertAlign w:val="superscript"/>
        </w:rPr>
        <w:t>®</w:t>
      </w:r>
      <w:r>
        <w:rPr>
          <w:rFonts w:ascii="Arial" w:cs="Arial" w:eastAsia="Arial" w:hAnsi="Arial"/>
          <w:sz w:val="16"/>
          <w:szCs w:val="16"/>
          <w:color w:val="auto"/>
        </w:rPr>
        <w:t xml:space="preserve"> platform, risks relating to clinical trial and business interruptions resulting from the COVID-19 outbreak or similar public health crises, including that such interruptions may materially delay our enrollment and development timelines and/or increase our development costs or that data collection efforts may be impaired or otherwise impacted by such crises, and risks relating to our ability to obtain and maintain intellectual property protection for our product candidates. For a discussion of these and other risks and uncertainties, and other important factors, any of which could cause AVROBIO’s actual results to differ materially and adversely from those contained in the forward-looking statements, see the section entitled “Risk Factors” in AVROBIO’s most recent Annual or Quarterly Report, as well as discussions of potential risks, uncertainties and other important factors in AVROBIO’s subsequent filings with the Securities and Exchange Commission. AVROBIO explicitly disclaims any obligation to update any forward-looking statements except to the extent required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Investor Contact:</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Christopher F. Brinzey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Westwicke, an ICR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339-970-2843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chris.brinzey@westwicke.com</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Contact:</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Kit Rodophele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Ten Bridge Communications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617-999-9620</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krodophele@tenbridgecommunications.com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397510</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0139"/>
      </w:cols>
      <w:pgMar w:left="320" w:top="29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2023-06-12T06:25:37Z</dcterms:created>
  <dcterms:modified xsi:type="dcterms:W3CDTF">2023-06-12T06:25:37Z</dcterms:modified>
</cp:coreProperties>
</file>