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45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4507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Lochner Daniel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TECTONIC THERAPEUTIC,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490 ARSENAL WAY,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22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Tectonic Therapeutic,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TECX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02/04/2025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9"/>
          </w:tcPr>
          <w:p>
            <w:pPr>
              <w:jc w:val="center"/>
              <w:ind w:right="34"/>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WATERTOWN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02472</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02/04/2025</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18,074</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18,074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w w:val="94"/>
              </w:rPr>
              <w:t>32,862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48.01</w:t>
            </w: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02/04/2025</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32,862</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0000FF"/>
              </w:rPr>
              <w:t>02/03/2035</w:t>
            </w:r>
          </w:p>
        </w:tc>
        <w:tc>
          <w:tcPr>
            <w:tcW w:w="6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32,862</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6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Each restricted stock unit represents a contingent right to receive one share of common stock of the Issuer. The shares shall vest in 3 equal annual installments on each of February 4, 2026, February 4, 2027 and February 4, 2028, subject to the Reporting Person's continued service to the Issuer on each such vesting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48 equal monthly installments beginning on March 4, 2025, subject to the Reporting Person's continued service to the Issuer on each such vesting date.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Daniel Lochner</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02/06/2025</w:t>
            </w: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91187"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2025-02-06T15:11:03Z</dcterms:created>
  <dcterms:modified xsi:type="dcterms:W3CDTF">2025-02-06T15:11:03Z</dcterms:modified>
</cp:coreProperties>
</file>