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192"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(Amendment No. )  </w:t>
      </w:r>
      <w:r>
        <w:rPr>
          <w:rFonts w:ascii="Times New Roman" w:cs="Times New Roman" w:eastAsia="Times New Roman" w:hAnsi="Times New Roman"/>
          <w:sz w:val="28"/>
          <w:szCs w:val="28"/>
          <w:b w:val="1"/>
          <w:bCs w:val="1"/>
          <w:color w:val="auto"/>
          <w:vertAlign w:val="superscript"/>
        </w:rPr>
        <w:t>*</w:t>
      </w: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(Name of Issuer)</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(Title of Class of Securities)</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(Cusip Number)</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February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color w:val="auto"/>
        </w:rPr>
        <w:t>(Date of Event which Requires Filing of this Statement)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1" w:lineRule="exact"/>
        <w:rPr>
          <w:sz w:val="24"/>
          <w:szCs w:val="24"/>
          <w:color w:val="auto"/>
        </w:rPr>
      </w:pPr>
    </w:p>
    <w:p>
      <w:pPr>
        <w:jc w:val="both"/>
        <w:ind w:left="520" w:right="8980" w:firstLine="1"/>
        <w:spacing w:after="0" w:line="253" w:lineRule="auto"/>
        <w:tabs>
          <w:tab w:leader="none" w:pos="1033" w:val="left"/>
        </w:tabs>
        <w:numPr>
          <w:ilvl w:val="1"/>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Rule 13d-1(b) S Rule 13d-1(c)</w:t>
      </w:r>
    </w:p>
    <w:p>
      <w:pPr>
        <w:ind w:left="1040" w:hanging="519"/>
        <w:spacing w:after="0"/>
        <w:tabs>
          <w:tab w:leader="none" w:pos="10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192" w:lineRule="exact"/>
        <w:rPr>
          <w:rFonts w:ascii="MS PGothic" w:cs="MS PGothic" w:eastAsia="MS PGothic" w:hAnsi="MS PGothic"/>
          <w:sz w:val="22"/>
          <w:szCs w:val="22"/>
          <w:color w:val="auto"/>
        </w:rPr>
      </w:pPr>
    </w:p>
    <w:p>
      <w:pPr>
        <w:spacing w:after="0" w:line="198" w:lineRule="auto"/>
        <w:rPr>
          <w:rFonts w:ascii="MS PGothic" w:cs="MS PGothic" w:eastAsia="MS PGothic" w:hAnsi="MS PGothic"/>
          <w:sz w:val="22"/>
          <w:szCs w:val="22"/>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 on following pages)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1 of 36 Pages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Index Found on Page 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Capital Partners, L.P.</w:t>
            </w: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vMerge w:val="continue"/>
          </w:tcPr>
          <w:p>
            <w:pPr>
              <w:spacing w:after="0"/>
              <w:rPr>
                <w:sz w:val="8"/>
                <w:szCs w:val="8"/>
                <w:color w:val="auto"/>
              </w:rPr>
            </w:pPr>
          </w:p>
        </w:tc>
        <w:tc>
          <w:tcPr>
            <w:tcW w:w="7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480" w:type="dxa"/>
            <w:vAlign w:val="bottom"/>
            <w:gridSpan w:val="2"/>
          </w:tcPr>
          <w:p>
            <w:pPr>
              <w:ind w:left="358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760" w:type="dxa"/>
            <w:vAlign w:val="bottom"/>
          </w:tcPr>
          <w:p>
            <w:pPr>
              <w:spacing w:after="0"/>
              <w:rPr>
                <w:sz w:val="18"/>
                <w:szCs w:val="18"/>
                <w:color w:val="auto"/>
              </w:rPr>
            </w:pPr>
          </w:p>
        </w:tc>
        <w:tc>
          <w:tcPr>
            <w:tcW w:w="7480" w:type="dxa"/>
            <w:vAlign w:val="bottom"/>
            <w:gridSpan w:val="2"/>
          </w:tcPr>
          <w:p>
            <w:pPr>
              <w:ind w:left="358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76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w:t>
            </w:r>
          </w:p>
        </w:tc>
        <w:tc>
          <w:tcPr>
            <w:tcW w:w="7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48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563,900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563,900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563,900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 L.P.</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3"/>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672,300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672,300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672,300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6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Page 3 of 36 Pages</w:t>
            </w:r>
          </w:p>
        </w:tc>
        <w:tc>
          <w:tcPr>
            <w:tcW w:w="0" w:type="dxa"/>
            <w:vAlign w:val="bottom"/>
          </w:tcPr>
          <w:p>
            <w:pPr>
              <w:spacing w:after="0"/>
              <w:rPr>
                <w:sz w:val="1"/>
                <w:szCs w:val="1"/>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 II, L.P.</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205,900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205,900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205,900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0.5%</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 III, L.P.</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112,700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112,700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112,700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0.3%</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Four Crossings Institutional Partners V, L.P.</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6"/>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140,100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140,100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140,100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0.3%</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51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1517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Capital Offshore Investors II, L.P.</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7"/>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2"/>
            <w:vMerge w:val="continue"/>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400" w:type="dxa"/>
            <w:vAlign w:val="bottom"/>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1,103,683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7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240" w:type="dxa"/>
            <w:vAlign w:val="bottom"/>
            <w:tcBorders>
              <w:right w:val="single" w:sz="8" w:color="auto"/>
            </w:tcBorders>
            <w:gridSpan w:val="3"/>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EACH REPORTING PERSON</w:t>
            </w:r>
          </w:p>
        </w:tc>
        <w:tc>
          <w:tcPr>
            <w:tcW w:w="400" w:type="dxa"/>
            <w:vAlign w:val="bottom"/>
          </w:tcPr>
          <w:p>
            <w:pPr>
              <w:spacing w:after="0"/>
              <w:rPr>
                <w:sz w:val="12"/>
                <w:szCs w:val="12"/>
                <w:color w:val="auto"/>
              </w:rPr>
            </w:pPr>
          </w:p>
        </w:tc>
        <w:tc>
          <w:tcPr>
            <w:tcW w:w="900" w:type="dxa"/>
            <w:vAlign w:val="bottom"/>
            <w:tcBorders>
              <w:right w:val="single" w:sz="8" w:color="auto"/>
            </w:tcBorders>
            <w:vMerge w:val="restart"/>
          </w:tcPr>
          <w:p>
            <w:pPr>
              <w:jc w:val="right"/>
              <w:ind w:right="418"/>
              <w:spacing w:after="0" w:line="310"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SOLE DISPOSITIVE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400" w:type="dxa"/>
            <w:vAlign w:val="bottom"/>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1,103,683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1,103,683</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51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1517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Capital (AM) Investors, L.P.</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8"/>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64,200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bottom w:val="single" w:sz="8" w:color="auto"/>
              <w:right w:val="single" w:sz="8" w:color="auto"/>
            </w:tcBorders>
          </w:tcPr>
          <w:p>
            <w:pPr>
              <w:spacing w:after="0"/>
              <w:rPr>
                <w:sz w:val="18"/>
                <w:szCs w:val="18"/>
                <w:color w:val="auto"/>
              </w:rPr>
            </w:pPr>
          </w:p>
        </w:tc>
        <w:tc>
          <w:tcPr>
            <w:tcW w:w="7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240" w:type="dxa"/>
            <w:vAlign w:val="bottom"/>
            <w:tcBorders>
              <w:right w:val="single" w:sz="8" w:color="auto"/>
            </w:tcBorders>
            <w:gridSpan w:val="3"/>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right w:val="single" w:sz="8" w:color="auto"/>
            </w:tcBorders>
            <w:vMerge w:val="restart"/>
          </w:tcPr>
          <w:p>
            <w:pPr>
              <w:jc w:val="right"/>
              <w:ind w:right="418"/>
              <w:spacing w:after="0" w:line="310"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SOLE DISPOSITIVE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64,200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64,200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0.1%</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51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51517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Capital F5 Master I, L.P.</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9"/>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2"/>
            <w:vMerge w:val="continue"/>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400" w:type="dxa"/>
            <w:vAlign w:val="bottom"/>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253,217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7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240" w:type="dxa"/>
            <w:vAlign w:val="bottom"/>
            <w:tcBorders>
              <w:right w:val="single" w:sz="8" w:color="auto"/>
            </w:tcBorders>
            <w:gridSpan w:val="3"/>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EACH REPORTING PERSON</w:t>
            </w:r>
          </w:p>
        </w:tc>
        <w:tc>
          <w:tcPr>
            <w:tcW w:w="400" w:type="dxa"/>
            <w:vAlign w:val="bottom"/>
          </w:tcPr>
          <w:p>
            <w:pPr>
              <w:spacing w:after="0"/>
              <w:rPr>
                <w:sz w:val="12"/>
                <w:szCs w:val="12"/>
                <w:color w:val="auto"/>
              </w:rPr>
            </w:pPr>
          </w:p>
        </w:tc>
        <w:tc>
          <w:tcPr>
            <w:tcW w:w="900" w:type="dxa"/>
            <w:vAlign w:val="bottom"/>
            <w:tcBorders>
              <w:right w:val="single" w:sz="8" w:color="auto"/>
            </w:tcBorders>
            <w:vMerge w:val="restart"/>
          </w:tcPr>
          <w:p>
            <w:pPr>
              <w:jc w:val="right"/>
              <w:ind w:right="418"/>
              <w:spacing w:after="0" w:line="310"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SOLE DISPOSITIVE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400" w:type="dxa"/>
            <w:vAlign w:val="bottom"/>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253,217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253,217</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0.6%</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PN</w:t>
            </w: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5143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Partners, L.L.C.</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620" w:type="dxa"/>
            <w:vAlign w:val="bottom"/>
            <w:gridSpan w:val="2"/>
          </w:tcPr>
          <w:p>
            <w:pPr>
              <w:ind w:left="3720"/>
              <w:spacing w:after="0" w:line="169"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0"/>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6"/>
                <w:szCs w:val="16"/>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2,862,783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5"/>
                <w:szCs w:val="15"/>
                <w:color w:val="auto"/>
              </w:rPr>
            </w:pPr>
          </w:p>
        </w:tc>
        <w:tc>
          <w:tcPr>
            <w:tcW w:w="7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2,862,783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2,862,783</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994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5"/>
                <w:szCs w:val="15"/>
                <w:color w:val="auto"/>
              </w:rPr>
            </w:pPr>
          </w:p>
        </w:tc>
        <w:tc>
          <w:tcPr>
            <w:tcW w:w="99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6.5%</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OO</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10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Institutional (GP) V, L.L.C.</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200" w:type="dxa"/>
            <w:vAlign w:val="bottom"/>
            <w:tcBorders>
              <w:top w:val="single" w:sz="8" w:color="auto"/>
            </w:tcBorders>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1"/>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140,100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140,100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140,100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0.3%</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OO</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4"/>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6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Page 11 of 36 Pages</w:t>
            </w:r>
          </w:p>
        </w:tc>
        <w:tc>
          <w:tcPr>
            <w:tcW w:w="0" w:type="dxa"/>
            <w:vAlign w:val="bottom"/>
          </w:tcPr>
          <w:p>
            <w:pPr>
              <w:spacing w:after="0"/>
              <w:rPr>
                <w:sz w:val="1"/>
                <w:szCs w:val="1"/>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Farallon F5 (GP), L.L.C.</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2"/>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253,217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253,217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253,217</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0.6%</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OO</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6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Page 12 of 36 Pages</w:t>
            </w:r>
          </w:p>
        </w:tc>
        <w:tc>
          <w:tcPr>
            <w:tcW w:w="0" w:type="dxa"/>
            <w:vAlign w:val="bottom"/>
          </w:tcPr>
          <w:p>
            <w:pPr>
              <w:spacing w:after="0"/>
              <w:rPr>
                <w:sz w:val="1"/>
                <w:szCs w:val="1"/>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Joshua J. Dapice</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3"/>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13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Philip D. Dreyfuss</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14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Hannah E. Dunn</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15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Michael B. Fisch</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6"/>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4"/>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6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Page 16 of 36 Pages</w:t>
            </w:r>
          </w:p>
        </w:tc>
        <w:tc>
          <w:tcPr>
            <w:tcW w:w="0" w:type="dxa"/>
            <w:vAlign w:val="bottom"/>
          </w:tcPr>
          <w:p>
            <w:pPr>
              <w:spacing w:after="0"/>
              <w:rPr>
                <w:sz w:val="1"/>
                <w:szCs w:val="1"/>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Richard B. Fried</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7"/>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6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Page 17 of 36 Pages</w:t>
            </w:r>
          </w:p>
        </w:tc>
        <w:tc>
          <w:tcPr>
            <w:tcW w:w="0" w:type="dxa"/>
            <w:vAlign w:val="bottom"/>
          </w:tcPr>
          <w:p>
            <w:pPr>
              <w:spacing w:after="0"/>
              <w:rPr>
                <w:sz w:val="1"/>
                <w:szCs w:val="1"/>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Varun N. Gehani</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8"/>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18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Nicolas Giauque</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19"/>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13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130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130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130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19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4140" w:type="dxa"/>
            <w:vAlign w:val="bottom"/>
            <w:tcBorders>
              <w:top w:val="single" w:sz="8" w:color="auto"/>
              <w:bottom w:val="single" w:sz="8" w:color="auto"/>
            </w:tcBorders>
          </w:tcPr>
          <w:p>
            <w:pPr>
              <w:spacing w:after="0"/>
              <w:rPr>
                <w:sz w:val="3"/>
                <w:szCs w:val="3"/>
                <w:color w:val="auto"/>
              </w:rPr>
            </w:pPr>
          </w:p>
        </w:tc>
        <w:tc>
          <w:tcPr>
            <w:tcW w:w="348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60" w:type="dxa"/>
            <w:vAlign w:val="bottom"/>
            <w:tcBorders>
              <w:left w:val="single" w:sz="8" w:color="auto"/>
              <w:right w:val="single" w:sz="8" w:color="auto"/>
            </w:tcBorders>
          </w:tcPr>
          <w:p>
            <w:pPr>
              <w:spacing w:after="0"/>
              <w:rPr>
                <w:sz w:val="17"/>
                <w:szCs w:val="17"/>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rPr>
              <w:t>1</w:t>
            </w:r>
          </w:p>
        </w:tc>
        <w:tc>
          <w:tcPr>
            <w:tcW w:w="400" w:type="dxa"/>
            <w:vAlign w:val="bottom"/>
            <w:tcBorders>
              <w:right w:val="single" w:sz="8" w:color="auto"/>
            </w:tcBorders>
          </w:tcPr>
          <w:p>
            <w:pPr>
              <w:spacing w:after="0"/>
              <w:rPr>
                <w:sz w:val="17"/>
                <w:szCs w:val="17"/>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3480" w:type="dxa"/>
            <w:vAlign w:val="bottom"/>
            <w:tcBorders>
              <w:righ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80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David T. Kim</w:t>
            </w:r>
          </w:p>
        </w:tc>
        <w:tc>
          <w:tcPr>
            <w:tcW w:w="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left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gridSpan w:val="2"/>
            <w:vMerge w:val="continue"/>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60" w:type="dxa"/>
            <w:vAlign w:val="bottom"/>
            <w:tcBorders>
              <w:left w:val="single" w:sz="8" w:color="auto"/>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46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348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140" w:type="dxa"/>
            <w:vAlign w:val="bottom"/>
          </w:tcPr>
          <w:p>
            <w:pPr>
              <w:ind w:left="3760"/>
              <w:spacing w:after="0" w:line="183" w:lineRule="exact"/>
              <w:rPr>
                <w:sz w:val="20"/>
                <w:szCs w:val="20"/>
                <w:color w:val="auto"/>
              </w:rPr>
            </w:pPr>
            <w:r>
              <w:rPr>
                <w:rFonts w:ascii="Times New Roman" w:cs="Times New Roman" w:eastAsia="Times New Roman" w:hAnsi="Times New Roman"/>
                <w:sz w:val="16"/>
                <w:szCs w:val="16"/>
                <w:b w:val="1"/>
                <w:bCs w:val="1"/>
                <w:color w:val="auto"/>
              </w:rPr>
              <w:t>(a) [</w:t>
            </w:r>
          </w:p>
        </w:tc>
        <w:tc>
          <w:tcPr>
            <w:tcW w:w="3480" w:type="dxa"/>
            <w:vAlign w:val="bottom"/>
            <w:tcBorders>
              <w:right w:val="single" w:sz="8" w:color="auto"/>
            </w:tcBorders>
          </w:tcPr>
          <w:p>
            <w:pPr>
              <w:jc w:val="right"/>
              <w:ind w:right="323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rPr>
              <w:t>2</w:t>
            </w:r>
          </w:p>
        </w:tc>
        <w:tc>
          <w:tcPr>
            <w:tcW w:w="4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20" w:type="dxa"/>
            <w:vAlign w:val="bottom"/>
            <w:tcBorders>
              <w:right w:val="single" w:sz="8" w:color="auto"/>
            </w:tcBorders>
            <w:gridSpan w:val="2"/>
          </w:tcPr>
          <w:p>
            <w:pPr>
              <w:ind w:left="376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 w:type="dxa"/>
            <w:vAlign w:val="bottom"/>
            <w:tcBorders>
              <w:left w:val="single" w:sz="8" w:color="auto"/>
              <w:right w:val="single" w:sz="8" w:color="auto"/>
            </w:tcBorders>
          </w:tcPr>
          <w:p>
            <w:pPr>
              <w:spacing w:after="0"/>
              <w:rPr>
                <w:sz w:val="22"/>
                <w:szCs w:val="22"/>
                <w:color w:val="auto"/>
              </w:rPr>
            </w:pPr>
          </w:p>
        </w:tc>
        <w:tc>
          <w:tcPr>
            <w:tcW w:w="800" w:type="dxa"/>
            <w:vAlign w:val="bottom"/>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20" w:type="dxa"/>
            <w:vAlign w:val="bottom"/>
            <w:tcBorders>
              <w:right w:val="single" w:sz="8" w:color="auto"/>
            </w:tcBorders>
            <w:gridSpan w:val="2"/>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0" w:type="dxa"/>
            <w:vAlign w:val="bottom"/>
            <w:tcBorders>
              <w:left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6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rPr>
              <w:t>3</w:t>
            </w:r>
          </w:p>
        </w:tc>
        <w:tc>
          <w:tcPr>
            <w:tcW w:w="400" w:type="dxa"/>
            <w:vAlign w:val="bottom"/>
            <w:tcBorders>
              <w:right w:val="single" w:sz="8" w:color="auto"/>
            </w:tcBorders>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 USE ONLY</w:t>
            </w:r>
          </w:p>
        </w:tc>
        <w:tc>
          <w:tcPr>
            <w:tcW w:w="9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Borders>
              <w:left w:val="single" w:sz="8" w:color="auto"/>
              <w:right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right w:val="single" w:sz="8" w:color="auto"/>
            </w:tcBorders>
          </w:tcPr>
          <w:p>
            <w:pPr>
              <w:spacing w:after="0"/>
              <w:rPr>
                <w:sz w:val="18"/>
                <w:szCs w:val="18"/>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34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80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left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gridSpan w:val="2"/>
            <w:vMerge w:val="continue"/>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32"/>
                <w:szCs w:val="32"/>
                <w:b w:val="1"/>
                <w:bCs w:val="1"/>
                <w:color w:val="auto"/>
              </w:rPr>
              <w:t>5</w:t>
            </w:r>
          </w:p>
        </w:tc>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34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Borders>
              <w:right w:val="single" w:sz="8" w:color="auto"/>
            </w:tcBorders>
            <w:vMerge w:val="continue"/>
          </w:tcPr>
          <w:p>
            <w:pPr>
              <w:spacing w:after="0"/>
              <w:rPr>
                <w:sz w:val="24"/>
                <w:szCs w:val="24"/>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3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left w:val="single" w:sz="8" w:color="auto"/>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tcBorders>
            <w:vMerge w:val="continue"/>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vMerge w:val="restart"/>
          </w:tcPr>
          <w:p>
            <w:pPr>
              <w:jc w:val="right"/>
              <w:ind w:right="432"/>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34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Borders>
              <w:left w:val="single" w:sz="8" w:color="auto"/>
              <w:right w:val="single" w:sz="8" w:color="auto"/>
            </w:tcBorders>
          </w:tcPr>
          <w:p>
            <w:pPr>
              <w:spacing w:after="0"/>
              <w:rPr>
                <w:sz w:val="15"/>
                <w:szCs w:val="15"/>
                <w:color w:val="auto"/>
              </w:rPr>
            </w:pPr>
          </w:p>
        </w:tc>
        <w:tc>
          <w:tcPr>
            <w:tcW w:w="222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360" w:type="dxa"/>
            <w:vAlign w:val="bottom"/>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348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140" w:type="dxa"/>
            <w:vAlign w:val="bottom"/>
            <w:vMerge w:val="continue"/>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0" w:type="dxa"/>
            <w:vAlign w:val="bottom"/>
            <w:tcBorders>
              <w:left w:val="single" w:sz="8" w:color="auto"/>
              <w:right w:val="single" w:sz="8" w:color="auto"/>
            </w:tcBorders>
          </w:tcPr>
          <w:p>
            <w:pPr>
              <w:spacing w:after="0"/>
              <w:rPr>
                <w:sz w:val="3"/>
                <w:szCs w:val="3"/>
                <w:color w:val="auto"/>
              </w:rPr>
            </w:pPr>
          </w:p>
        </w:tc>
        <w:tc>
          <w:tcPr>
            <w:tcW w:w="22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0" w:type="dxa"/>
            <w:vAlign w:val="bottom"/>
            <w:tcBorders>
              <w:left w:val="single" w:sz="8" w:color="auto"/>
              <w:right w:val="single" w:sz="8" w:color="auto"/>
            </w:tcBorders>
          </w:tcPr>
          <w:p>
            <w:pPr>
              <w:spacing w:after="0"/>
              <w:rPr>
                <w:sz w:val="11"/>
                <w:szCs w:val="11"/>
                <w:color w:val="auto"/>
              </w:rPr>
            </w:pPr>
          </w:p>
        </w:tc>
        <w:tc>
          <w:tcPr>
            <w:tcW w:w="2220" w:type="dxa"/>
            <w:vAlign w:val="bottom"/>
            <w:tcBorders>
              <w:right w:val="single" w:sz="8" w:color="auto"/>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Borders>
              <w:right w:val="single" w:sz="8" w:color="auto"/>
            </w:tcBorders>
            <w:vMerge w:val="restart"/>
          </w:tcPr>
          <w:p>
            <w:pPr>
              <w:jc w:val="right"/>
              <w:ind w:right="432"/>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414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348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 w:type="dxa"/>
            <w:vAlign w:val="bottom"/>
            <w:tcBorders>
              <w:left w:val="single" w:sz="8" w:color="auto"/>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6"/>
              <w:spacing w:after="0"/>
              <w:rPr>
                <w:sz w:val="20"/>
                <w:szCs w:val="20"/>
                <w:color w:val="auto"/>
              </w:rPr>
            </w:pPr>
            <w:r>
              <w:rPr>
                <w:rFonts w:ascii="Times New Roman" w:cs="Times New Roman" w:eastAsia="Times New Roman" w:hAnsi="Times New Roman"/>
                <w:sz w:val="16"/>
                <w:szCs w:val="16"/>
                <w:b w:val="1"/>
                <w:bCs w:val="1"/>
                <w:color w:val="auto"/>
              </w:rPr>
              <w:t>WITH</w:t>
            </w:r>
          </w:p>
        </w:tc>
        <w:tc>
          <w:tcPr>
            <w:tcW w:w="360" w:type="dxa"/>
            <w:vAlign w:val="bottom"/>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3480" w:type="dxa"/>
            <w:vAlign w:val="bottom"/>
            <w:tcBorders>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righ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4140" w:type="dxa"/>
            <w:vAlign w:val="bottom"/>
            <w:vMerge w:val="continue"/>
          </w:tcPr>
          <w:p>
            <w:pPr>
              <w:spacing w:after="0"/>
              <w:rPr>
                <w:sz w:val="4"/>
                <w:szCs w:val="4"/>
                <w:color w:val="auto"/>
              </w:rPr>
            </w:pPr>
          </w:p>
        </w:tc>
        <w:tc>
          <w:tcPr>
            <w:tcW w:w="3480" w:type="dxa"/>
            <w:vAlign w:val="bottom"/>
            <w:tcBorders>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60" w:type="dxa"/>
            <w:vAlign w:val="bottom"/>
            <w:tcBorders>
              <w:left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vMerge w:val="continue"/>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32"/>
                <w:szCs w:val="32"/>
                <w:b w:val="1"/>
                <w:bCs w:val="1"/>
                <w:color w:val="auto"/>
              </w:rPr>
              <w:t>8</w:t>
            </w:r>
          </w:p>
        </w:tc>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34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Borders>
              <w:right w:val="single" w:sz="8" w:color="auto"/>
            </w:tcBorders>
            <w:vMerge w:val="continue"/>
          </w:tcPr>
          <w:p>
            <w:pPr>
              <w:spacing w:after="0"/>
              <w:rPr>
                <w:sz w:val="24"/>
                <w:szCs w:val="24"/>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3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left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tcBorders>
            <w:vMerge w:val="continue"/>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34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80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left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60" w:type="dxa"/>
            <w:vAlign w:val="bottom"/>
            <w:tcBorders>
              <w:left w:val="single" w:sz="8" w:color="auto"/>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46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348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auto"/>
              <w:right w:val="single" w:sz="8" w:color="auto"/>
            </w:tcBorders>
          </w:tcPr>
          <w:p>
            <w:pPr>
              <w:spacing w:after="0"/>
              <w:rPr>
                <w:sz w:val="16"/>
                <w:szCs w:val="16"/>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34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0" w:type="dxa"/>
            <w:vAlign w:val="bottom"/>
            <w:tcBorders>
              <w:left w:val="single" w:sz="8" w:color="auto"/>
              <w:right w:val="single" w:sz="8" w:color="auto"/>
            </w:tcBorders>
          </w:tcPr>
          <w:p>
            <w:pPr>
              <w:spacing w:after="0"/>
              <w:rPr>
                <w:sz w:val="22"/>
                <w:szCs w:val="22"/>
                <w:color w:val="auto"/>
              </w:rPr>
            </w:pPr>
          </w:p>
        </w:tc>
        <w:tc>
          <w:tcPr>
            <w:tcW w:w="800" w:type="dxa"/>
            <w:vAlign w:val="bottom"/>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14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w:t>
            </w:r>
          </w:p>
        </w:tc>
        <w:tc>
          <w:tcPr>
            <w:tcW w:w="3480" w:type="dxa"/>
            <w:vAlign w:val="bottom"/>
            <w:tcBorders>
              <w:right w:val="single" w:sz="8" w:color="auto"/>
            </w:tcBorders>
          </w:tcPr>
          <w:p>
            <w:pPr>
              <w:jc w:val="right"/>
              <w:ind w:right="321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0" w:type="dxa"/>
            <w:vAlign w:val="bottom"/>
            <w:tcBorders>
              <w:left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4140" w:type="dxa"/>
            <w:vAlign w:val="bottom"/>
            <w:tcBorders>
              <w:bottom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34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80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left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34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80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 w:type="dxa"/>
            <w:vAlign w:val="bottom"/>
            <w:tcBorders>
              <w:left w:val="single" w:sz="8" w:color="auto"/>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34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20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Michael G. Linn</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0"/>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21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Rajiv A. Patel</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1"/>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22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51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51517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Thomas G. Roberts, Jr.</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2"/>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7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240" w:type="dxa"/>
            <w:vAlign w:val="bottom"/>
            <w:tcBorders>
              <w:right w:val="single" w:sz="8" w:color="auto"/>
            </w:tcBorders>
            <w:gridSpan w:val="3"/>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Pr>
          <w:p>
            <w:pPr>
              <w:spacing w:after="0"/>
              <w:rPr>
                <w:sz w:val="12"/>
                <w:szCs w:val="12"/>
                <w:color w:val="auto"/>
              </w:rPr>
            </w:pPr>
          </w:p>
        </w:tc>
        <w:tc>
          <w:tcPr>
            <w:tcW w:w="1020" w:type="dxa"/>
            <w:vAlign w:val="bottom"/>
            <w:tcBorders>
              <w:right w:val="single" w:sz="8" w:color="auto"/>
            </w:tcBorders>
            <w:vMerge w:val="restart"/>
          </w:tcPr>
          <w:p>
            <w:pPr>
              <w:jc w:val="right"/>
              <w:ind w:right="418"/>
              <w:spacing w:after="0" w:line="310"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SOLE DISPOSITIVE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23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517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51517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Edric C. Saito</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3"/>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7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240" w:type="dxa"/>
            <w:vAlign w:val="bottom"/>
            <w:tcBorders>
              <w:right w:val="single" w:sz="8" w:color="auto"/>
            </w:tcBorders>
            <w:gridSpan w:val="3"/>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Pr>
          <w:p>
            <w:pPr>
              <w:spacing w:after="0"/>
              <w:rPr>
                <w:sz w:val="12"/>
                <w:szCs w:val="12"/>
                <w:color w:val="auto"/>
              </w:rPr>
            </w:pPr>
          </w:p>
        </w:tc>
        <w:tc>
          <w:tcPr>
            <w:tcW w:w="1020" w:type="dxa"/>
            <w:vAlign w:val="bottom"/>
            <w:tcBorders>
              <w:right w:val="single" w:sz="8" w:color="auto"/>
            </w:tcBorders>
            <w:vMerge w:val="restart"/>
          </w:tcPr>
          <w:p>
            <w:pPr>
              <w:jc w:val="right"/>
              <w:ind w:right="418"/>
              <w:spacing w:after="0" w:line="310"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SOLE DISPOSITIVE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24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William Seybold</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25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51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51517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Daniel S. Short</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7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240" w:type="dxa"/>
            <w:vAlign w:val="bottom"/>
            <w:tcBorders>
              <w:right w:val="single" w:sz="8" w:color="auto"/>
            </w:tcBorders>
            <w:gridSpan w:val="3"/>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Pr>
          <w:p>
            <w:pPr>
              <w:spacing w:after="0"/>
              <w:rPr>
                <w:sz w:val="12"/>
                <w:szCs w:val="12"/>
                <w:color w:val="auto"/>
              </w:rPr>
            </w:pPr>
          </w:p>
        </w:tc>
        <w:tc>
          <w:tcPr>
            <w:tcW w:w="1020" w:type="dxa"/>
            <w:vAlign w:val="bottom"/>
            <w:tcBorders>
              <w:right w:val="single" w:sz="8" w:color="auto"/>
            </w:tcBorders>
            <w:vMerge w:val="restart"/>
          </w:tcPr>
          <w:p>
            <w:pPr>
              <w:jc w:val="right"/>
              <w:ind w:right="418"/>
              <w:spacing w:after="0" w:line="310"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SOLE DISPOSITIVE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26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545715"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00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00025"/>
                    </a:xfrm>
                    <a:prstGeom prst="rect">
                      <a:avLst/>
                    </a:prstGeom>
                    <a:noFill/>
                    <a:ln>
                      <a:noFill/>
                    </a:ln>
                  </pic:spPr>
                </pic:pic>
              </a:graphicData>
            </a:graphic>
          </wp:inline>
        </w:drawing>
        <w:drawing>
          <wp:inline distT="0" distB="0" distL="0" distR="0">
            <wp:extent cx="8255" cy="2000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20002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1435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Andrew J. M. Spokes</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6"/>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2"/>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420" w:type="dxa"/>
            <w:vAlign w:val="bottom"/>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4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420" w:type="dxa"/>
            <w:vAlign w:val="bottom"/>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tcBorders>
            <w:gridSpan w:val="2"/>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27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John R. Warren</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7"/>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28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5715"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5715" cy="2228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8890" cy="2095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209550"/>
                    </a:xfrm>
                    <a:prstGeom prst="rect">
                      <a:avLst/>
                    </a:prstGeom>
                    <a:noFill/>
                    <a:ln>
                      <a:noFill/>
                    </a:ln>
                  </pic:spPr>
                </pic:pic>
              </a:graphicData>
            </a:graphic>
          </wp:inline>
        </w:drawing>
        <w:drawing>
          <wp:inline distT="0" distB="0" distL="0" distR="0">
            <wp:extent cx="8255" cy="2095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20955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51435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1</w:t>
            </w:r>
          </w:p>
        </w:tc>
        <w:tc>
          <w:tcPr>
            <w:tcW w:w="102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0" w:type="dxa"/>
            <w:vAlign w:val="bottom"/>
          </w:tcPr>
          <w:p>
            <w:pPr>
              <w:spacing w:after="0"/>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Mark C. Wehrly</w:t>
            </w: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vMerge w:val="continue"/>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6"/>
                <w:szCs w:val="16"/>
                <w:b w:val="1"/>
                <w:bCs w:val="1"/>
                <w:color w:val="auto"/>
              </w:rPr>
              <w:t>CHECK THE APPROPRIATE BOX IF A MEMBER OF A GROUP (See Instructions)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20" w:type="dxa"/>
            <w:vAlign w:val="bottom"/>
            <w:gridSpan w:val="2"/>
          </w:tcPr>
          <w:p>
            <w:pPr>
              <w:ind w:left="3720"/>
              <w:spacing w:after="0" w:line="183" w:lineRule="exact"/>
              <w:rPr>
                <w:sz w:val="20"/>
                <w:szCs w:val="20"/>
                <w:color w:val="auto"/>
              </w:rPr>
            </w:pPr>
            <w:r>
              <w:rPr>
                <w:rFonts w:ascii="Times New Roman" w:cs="Times New Roman" w:eastAsia="Times New Roman" w:hAnsi="Times New Roman"/>
                <w:sz w:val="16"/>
                <w:szCs w:val="16"/>
                <w:b w:val="1"/>
                <w:bCs w:val="1"/>
                <w:color w:val="auto"/>
              </w:rPr>
              <w:t>(a) [  ]</w:t>
            </w:r>
          </w:p>
        </w:tc>
        <w:tc>
          <w:tcPr>
            <w:tcW w:w="0" w:type="dxa"/>
            <w:vAlign w:val="bottom"/>
          </w:tcPr>
          <w:p>
            <w:pPr>
              <w:spacing w:after="0"/>
              <w:rPr>
                <w:sz w:val="1"/>
                <w:szCs w:val="1"/>
                <w:color w:val="auto"/>
              </w:rPr>
            </w:pPr>
          </w:p>
        </w:tc>
      </w:tr>
      <w:tr>
        <w:trPr>
          <w:trHeight w:val="216"/>
        </w:trPr>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2</w:t>
            </w:r>
          </w:p>
        </w:tc>
        <w:tc>
          <w:tcPr>
            <w:tcW w:w="2620" w:type="dxa"/>
            <w:vAlign w:val="bottom"/>
          </w:tcPr>
          <w:p>
            <w:pPr>
              <w:spacing w:after="0"/>
              <w:rPr>
                <w:sz w:val="18"/>
                <w:szCs w:val="18"/>
                <w:color w:val="auto"/>
              </w:rPr>
            </w:pPr>
          </w:p>
        </w:tc>
        <w:tc>
          <w:tcPr>
            <w:tcW w:w="7620" w:type="dxa"/>
            <w:vAlign w:val="bottom"/>
            <w:gridSpan w:val="2"/>
          </w:tcPr>
          <w:p>
            <w:pPr>
              <w:ind w:left="3720"/>
              <w:spacing w:after="0"/>
              <w:rPr>
                <w:sz w:val="20"/>
                <w:szCs w:val="20"/>
                <w:color w:val="auto"/>
              </w:rPr>
            </w:pPr>
            <w:r>
              <w:rPr>
                <w:rFonts w:ascii="Times New Roman" w:cs="Times New Roman" w:eastAsia="Times New Roman" w:hAnsi="Times New Roman"/>
                <w:sz w:val="16"/>
                <w:szCs w:val="16"/>
                <w:b w:val="1"/>
                <w:bCs w:val="1"/>
                <w:color w:val="auto"/>
              </w:rPr>
              <w:t>(b) [ X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1000" w:type="dxa"/>
            <w:vAlign w:val="bottom"/>
            <w:gridSpan w:val="2"/>
            <w:vMerge w:val="continue"/>
          </w:tcPr>
          <w:p>
            <w:pPr>
              <w:spacing w:after="0"/>
              <w:rPr>
                <w:sz w:val="22"/>
                <w:szCs w:val="22"/>
                <w:color w:val="auto"/>
              </w:rPr>
            </w:pPr>
          </w:p>
        </w:tc>
        <w:tc>
          <w:tcPr>
            <w:tcW w:w="2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7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3,116,000 Shares, which is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7.1% of the class of securities. The reporting person on this cover page, however, is a beneficial</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260" w:hanging="692"/>
        <w:spacing w:after="0" w:line="182" w:lineRule="auto"/>
        <w:tabs>
          <w:tab w:leader="none" w:pos="1260" w:val="left"/>
        </w:tabs>
        <w:numPr>
          <w:ilvl w:val="0"/>
          <w:numId w:val="28"/>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b w:val="1"/>
          <w:bCs w:val="1"/>
          <w:color w:val="auto"/>
        </w:rPr>
        <w:t>SEC USE ONLY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vMerge w:val="restart"/>
          </w:tcPr>
          <w:p>
            <w:pPr>
              <w:spacing w:after="0"/>
              <w:rPr>
                <w:sz w:val="20"/>
                <w:szCs w:val="20"/>
                <w:color w:val="auto"/>
              </w:rPr>
            </w:pPr>
          </w:p>
        </w:tc>
        <w:tc>
          <w:tcPr>
            <w:tcW w:w="82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32"/>
                <w:szCs w:val="32"/>
                <w:b w:val="1"/>
                <w:bCs w:val="1"/>
                <w:color w:val="auto"/>
              </w:rPr>
              <w:t>4</w:t>
            </w:r>
          </w:p>
        </w:tc>
        <w:tc>
          <w:tcPr>
            <w:tcW w:w="400" w:type="dxa"/>
            <w:vAlign w:val="bottom"/>
            <w:tcBorders>
              <w:top w:val="single" w:sz="8" w:color="auto"/>
            </w:tcBorders>
          </w:tcPr>
          <w:p>
            <w:pPr>
              <w:spacing w:after="0"/>
              <w:rPr>
                <w:sz w:val="20"/>
                <w:szCs w:val="20"/>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418"/>
              <w:spacing w:after="0" w:line="365" w:lineRule="exact"/>
              <w:rPr>
                <w:sz w:val="20"/>
                <w:szCs w:val="20"/>
                <w:color w:val="auto"/>
              </w:rPr>
            </w:pPr>
            <w:r>
              <w:rPr>
                <w:rFonts w:ascii="Times New Roman" w:cs="Times New Roman" w:eastAsia="Times New Roman" w:hAnsi="Times New Roman"/>
                <w:sz w:val="32"/>
                <w:szCs w:val="32"/>
                <w:b w:val="1"/>
                <w:bCs w:val="1"/>
                <w:color w:val="auto"/>
              </w:rPr>
              <w:t>6</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BY</w:t>
            </w:r>
          </w:p>
        </w:tc>
        <w:tc>
          <w:tcPr>
            <w:tcW w:w="2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2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EACH REPORTING PERSON</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right w:val="single" w:sz="8" w:color="auto"/>
            </w:tcBorders>
            <w:vMerge w:val="restart"/>
          </w:tcPr>
          <w:p>
            <w:pPr>
              <w:jc w:val="right"/>
              <w:ind w:right="418"/>
              <w:spacing w:after="0" w:line="296" w:lineRule="exact"/>
              <w:rPr>
                <w:sz w:val="20"/>
                <w:szCs w:val="20"/>
                <w:color w:val="auto"/>
              </w:rPr>
            </w:pPr>
            <w:r>
              <w:rPr>
                <w:rFonts w:ascii="Times New Roman" w:cs="Times New Roman" w:eastAsia="Times New Roman" w:hAnsi="Times New Roman"/>
                <w:sz w:val="32"/>
                <w:szCs w:val="32"/>
                <w:b w:val="1"/>
                <w:bCs w:val="1"/>
                <w:color w:val="auto"/>
              </w:rPr>
              <w:t>7</w:t>
            </w:r>
          </w:p>
        </w:tc>
        <w:tc>
          <w:tcPr>
            <w:tcW w:w="76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SOLE DISPOSITIVE POWER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center"/>
              <w:ind w:right="755"/>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vMerge w:val="continue"/>
          </w:tcPr>
          <w:p>
            <w:pPr>
              <w:spacing w:after="0"/>
              <w:rPr>
                <w:sz w:val="24"/>
                <w:szCs w:val="24"/>
                <w:color w:val="auto"/>
              </w:rPr>
            </w:pPr>
          </w:p>
        </w:tc>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9</w:t>
            </w:r>
          </w:p>
        </w:tc>
        <w:tc>
          <w:tcPr>
            <w:tcW w:w="400" w:type="dxa"/>
            <w:vAlign w:val="bottom"/>
            <w:tcBorders>
              <w:right w:val="single" w:sz="8" w:color="auto"/>
            </w:tcBorders>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3,116,000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994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CHECK IF THE AGGREGATE AMOUNT IN ROW (9) EXCLUDES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10</w:t>
            </w:r>
          </w:p>
        </w:tc>
        <w:tc>
          <w:tcPr>
            <w:tcW w:w="400" w:type="dxa"/>
            <w:vAlign w:val="bottom"/>
            <w:tcBorders>
              <w:right w:val="single" w:sz="8" w:color="auto"/>
            </w:tcBorders>
          </w:tcPr>
          <w:p>
            <w:pPr>
              <w:spacing w:after="0"/>
              <w:rPr>
                <w:sz w:val="16"/>
                <w:szCs w:val="16"/>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CERTAIN SHARES (See Instructions)</w:t>
            </w:r>
          </w:p>
        </w:tc>
        <w:tc>
          <w:tcPr>
            <w:tcW w:w="0" w:type="dxa"/>
            <w:vAlign w:val="bottom"/>
          </w:tcPr>
          <w:p>
            <w:pPr>
              <w:spacing w:after="0"/>
              <w:rPr>
                <w:sz w:val="1"/>
                <w:szCs w:val="1"/>
                <w:color w:val="auto"/>
              </w:rPr>
            </w:pPr>
          </w:p>
        </w:tc>
      </w:tr>
      <w:tr>
        <w:trPr>
          <w:trHeight w:val="262"/>
        </w:trPr>
        <w:tc>
          <w:tcPr>
            <w:tcW w:w="860" w:type="dxa"/>
            <w:vAlign w:val="bottom"/>
            <w:gridSpan w:val="2"/>
            <w:vMerge w:val="continue"/>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2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60" w:type="dxa"/>
            <w:vAlign w:val="bottom"/>
            <w:gridSpan w:val="2"/>
            <w:vMerge w:val="restart"/>
          </w:tcPr>
          <w:p>
            <w:pPr>
              <w:jc w:val="center"/>
              <w:ind w:left="278"/>
              <w:spacing w:after="0"/>
              <w:rPr>
                <w:sz w:val="20"/>
                <w:szCs w:val="20"/>
                <w:color w:val="auto"/>
              </w:rPr>
            </w:pPr>
            <w:r>
              <w:rPr>
                <w:rFonts w:ascii="Times New Roman" w:cs="Times New Roman" w:eastAsia="Times New Roman" w:hAnsi="Times New Roman"/>
                <w:sz w:val="32"/>
                <w:szCs w:val="32"/>
                <w:b w:val="1"/>
                <w:bCs w:val="1"/>
                <w:color w:val="auto"/>
              </w:rPr>
              <w:t>12</w:t>
            </w:r>
          </w:p>
        </w:tc>
        <w:tc>
          <w:tcPr>
            <w:tcW w:w="400" w:type="dxa"/>
            <w:vAlign w:val="bottom"/>
            <w:tcBorders>
              <w:right w:val="single" w:sz="8" w:color="auto"/>
            </w:tcBorders>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0" w:type="dxa"/>
            <w:vAlign w:val="bottom"/>
            <w:gridSpan w:val="2"/>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29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29" w:name="page30"/>
    <w:bookmarkEnd w:id="29"/>
    <w:p>
      <w:pPr>
        <w:spacing w:after="0"/>
        <w:tabs>
          <w:tab w:leader="none" w:pos="1900" w:val="left"/>
        </w:tabs>
        <w:rPr>
          <w:sz w:val="20"/>
          <w:szCs w:val="20"/>
          <w:color w:val="auto"/>
        </w:rPr>
      </w:pPr>
      <w:r>
        <w:rPr>
          <w:rFonts w:ascii="Times New Roman" w:cs="Times New Roman" w:eastAsia="Times New Roman" w:hAnsi="Times New Roman"/>
          <w:sz w:val="22"/>
          <w:szCs w:val="22"/>
          <w:u w:val="single" w:color="auto"/>
          <w:color w:val="auto"/>
        </w:rPr>
        <w:t>Item 1</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Issuer</w:t>
      </w:r>
    </w:p>
    <w:p>
      <w:pPr>
        <w:spacing w:after="0" w:line="314" w:lineRule="exact"/>
        <w:rPr>
          <w:sz w:val="20"/>
          <w:szCs w:val="20"/>
          <w:color w:val="auto"/>
        </w:rPr>
      </w:pPr>
    </w:p>
    <w:p>
      <w:pPr>
        <w:ind w:left="1540" w:hanging="884"/>
        <w:spacing w:after="0"/>
        <w:tabs>
          <w:tab w:leader="none" w:pos="15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Name of Issuer</w:t>
      </w:r>
      <w:r>
        <w:rPr>
          <w:rFonts w:ascii="Times New Roman" w:cs="Times New Roman" w:eastAsia="Times New Roman" w:hAnsi="Times New Roman"/>
          <w:sz w:val="22"/>
          <w:szCs w:val="22"/>
          <w:color w:val="auto"/>
        </w:rPr>
        <w:t>:</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AVROBIO,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560" w:hanging="904"/>
        <w:spacing w:after="0"/>
        <w:tabs>
          <w:tab w:leader="none" w:pos="15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of Issuer’s Principal Executive Offices</w:t>
      </w:r>
      <w:r>
        <w:rPr>
          <w:rFonts w:ascii="Times New Roman" w:cs="Times New Roman" w:eastAsia="Times New Roman" w:hAnsi="Times New Roman"/>
          <w:sz w:val="22"/>
          <w:szCs w:val="22"/>
          <w:color w:val="auto"/>
        </w:rPr>
        <w:t>:</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Technology Square, Sixth Floor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u w:val="single" w:color="auto"/>
          <w:color w:val="auto"/>
        </w:rPr>
        <w:t>Item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Identity and Background</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Title of Class of Securities and CUSIP Number (Items 2(d) and (e)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statement relates to shares of Common Stock, par value $0.0001 per share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 The CUSIP number of the Shares is 05455M100.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Name of Persons Filing, Address of Principal Business Office and Citizenship (Items 2(a), (b) and (c))</w:t>
      </w:r>
    </w:p>
    <w:p>
      <w:pPr>
        <w:spacing w:after="0" w:line="2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statement is filed by the entities and persons listed below, all of whom together are referred to herein as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Farallon Funds</w:t>
      </w:r>
    </w:p>
    <w:p>
      <w:pPr>
        <w:spacing w:after="0" w:line="247" w:lineRule="exact"/>
        <w:rPr>
          <w:sz w:val="20"/>
          <w:szCs w:val="20"/>
          <w:color w:val="auto"/>
        </w:rPr>
      </w:pPr>
    </w:p>
    <w:p>
      <w:pPr>
        <w:ind w:left="1960" w:hanging="332"/>
        <w:spacing w:after="0" w:line="258" w:lineRule="auto"/>
        <w:tabs>
          <w:tab w:leader="none" w:pos="1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Partners, L.P., a California limited partnership (“</w:t>
      </w:r>
      <w:r>
        <w:rPr>
          <w:rFonts w:ascii="Times New Roman" w:cs="Times New Roman" w:eastAsia="Times New Roman" w:hAnsi="Times New Roman"/>
          <w:sz w:val="22"/>
          <w:szCs w:val="22"/>
          <w:u w:val="single" w:color="auto"/>
          <w:color w:val="auto"/>
        </w:rPr>
        <w:t>FCP</w:t>
      </w:r>
      <w:r>
        <w:rPr>
          <w:rFonts w:ascii="Times New Roman" w:cs="Times New Roman" w:eastAsia="Times New Roman" w:hAnsi="Times New Roman"/>
          <w:sz w:val="22"/>
          <w:szCs w:val="22"/>
          <w:color w:val="auto"/>
        </w:rPr>
        <w:t>”), with respect to the Shares held by it;</w:t>
      </w:r>
    </w:p>
    <w:p>
      <w:pPr>
        <w:spacing w:after="0" w:line="198" w:lineRule="exact"/>
        <w:rPr>
          <w:rFonts w:ascii="Times New Roman" w:cs="Times New Roman" w:eastAsia="Times New Roman" w:hAnsi="Times New Roman"/>
          <w:sz w:val="22"/>
          <w:szCs w:val="22"/>
          <w:color w:val="auto"/>
        </w:rPr>
      </w:pPr>
    </w:p>
    <w:p>
      <w:pPr>
        <w:ind w:left="1960" w:hanging="332"/>
        <w:spacing w:after="0" w:line="258" w:lineRule="auto"/>
        <w:tabs>
          <w:tab w:leader="none" w:pos="1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Institutional Partners, L.P., a California limited partnership (“</w:t>
      </w:r>
      <w:r>
        <w:rPr>
          <w:rFonts w:ascii="Times New Roman" w:cs="Times New Roman" w:eastAsia="Times New Roman" w:hAnsi="Times New Roman"/>
          <w:sz w:val="22"/>
          <w:szCs w:val="22"/>
          <w:u w:val="single" w:color="auto"/>
          <w:color w:val="auto"/>
        </w:rPr>
        <w:t>FCIP</w:t>
      </w:r>
      <w:r>
        <w:rPr>
          <w:rFonts w:ascii="Times New Roman" w:cs="Times New Roman" w:eastAsia="Times New Roman" w:hAnsi="Times New Roman"/>
          <w:sz w:val="22"/>
          <w:szCs w:val="22"/>
          <w:color w:val="auto"/>
        </w:rPr>
        <w:t>”), with respect to the Shares held by it;</w:t>
      </w:r>
    </w:p>
    <w:p>
      <w:pPr>
        <w:spacing w:after="0" w:line="198" w:lineRule="exact"/>
        <w:rPr>
          <w:rFonts w:ascii="Times New Roman" w:cs="Times New Roman" w:eastAsia="Times New Roman" w:hAnsi="Times New Roman"/>
          <w:sz w:val="22"/>
          <w:szCs w:val="22"/>
          <w:color w:val="auto"/>
        </w:rPr>
      </w:pPr>
    </w:p>
    <w:p>
      <w:pPr>
        <w:ind w:left="1960" w:hanging="332"/>
        <w:spacing w:after="0" w:line="271" w:lineRule="auto"/>
        <w:tabs>
          <w:tab w:leader="none" w:pos="26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Institutional Partners II, L.P., a California limited partnership (“</w:t>
      </w:r>
      <w:r>
        <w:rPr>
          <w:rFonts w:ascii="Times New Roman" w:cs="Times New Roman" w:eastAsia="Times New Roman" w:hAnsi="Times New Roman"/>
          <w:sz w:val="22"/>
          <w:szCs w:val="22"/>
          <w:u w:val="single" w:color="auto"/>
          <w:color w:val="auto"/>
        </w:rPr>
        <w:t>FCIP II</w:t>
      </w:r>
      <w:r>
        <w:rPr>
          <w:rFonts w:ascii="Times New Roman" w:cs="Times New Roman" w:eastAsia="Times New Roman" w:hAnsi="Times New Roman"/>
          <w:sz w:val="22"/>
          <w:szCs w:val="22"/>
          <w:color w:val="auto"/>
        </w:rPr>
        <w:t>”), with respect to the Shares held by it;</w:t>
      </w:r>
    </w:p>
    <w:p>
      <w:pPr>
        <w:spacing w:after="0" w:line="184" w:lineRule="exact"/>
        <w:rPr>
          <w:rFonts w:ascii="Times New Roman" w:cs="Times New Roman" w:eastAsia="Times New Roman" w:hAnsi="Times New Roman"/>
          <w:sz w:val="22"/>
          <w:szCs w:val="22"/>
          <w:color w:val="auto"/>
        </w:rPr>
      </w:pPr>
    </w:p>
    <w:p>
      <w:pPr>
        <w:ind w:left="1960" w:hanging="332"/>
        <w:spacing w:after="0" w:line="258" w:lineRule="auto"/>
        <w:tabs>
          <w:tab w:leader="none" w:pos="26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Institutional Partners III, L.P., a Delaware limited partnership (“</w:t>
      </w:r>
      <w:r>
        <w:rPr>
          <w:rFonts w:ascii="Times New Roman" w:cs="Times New Roman" w:eastAsia="Times New Roman" w:hAnsi="Times New Roman"/>
          <w:sz w:val="22"/>
          <w:szCs w:val="22"/>
          <w:u w:val="single" w:color="auto"/>
          <w:color w:val="auto"/>
        </w:rPr>
        <w:t>FCIP III</w:t>
      </w:r>
      <w:r>
        <w:rPr>
          <w:rFonts w:ascii="Times New Roman" w:cs="Times New Roman" w:eastAsia="Times New Roman" w:hAnsi="Times New Roman"/>
          <w:sz w:val="22"/>
          <w:szCs w:val="22"/>
          <w:color w:val="auto"/>
        </w:rPr>
        <w:t>”), with respect to the Shares held by it;</w:t>
      </w:r>
    </w:p>
    <w:p>
      <w:pPr>
        <w:spacing w:after="0" w:line="198" w:lineRule="exact"/>
        <w:rPr>
          <w:rFonts w:ascii="Times New Roman" w:cs="Times New Roman" w:eastAsia="Times New Roman" w:hAnsi="Times New Roman"/>
          <w:sz w:val="22"/>
          <w:szCs w:val="22"/>
          <w:color w:val="auto"/>
        </w:rPr>
      </w:pPr>
    </w:p>
    <w:p>
      <w:pPr>
        <w:ind w:left="1960" w:hanging="332"/>
        <w:spacing w:after="0" w:line="258" w:lineRule="auto"/>
        <w:tabs>
          <w:tab w:leader="none" w:pos="1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Crossings Institutional Partners V, L.P., a Delaware limited partnership (“</w:t>
      </w:r>
      <w:r>
        <w:rPr>
          <w:rFonts w:ascii="Times New Roman" w:cs="Times New Roman" w:eastAsia="Times New Roman" w:hAnsi="Times New Roman"/>
          <w:sz w:val="22"/>
          <w:szCs w:val="22"/>
          <w:u w:val="single" w:color="auto"/>
          <w:color w:val="auto"/>
        </w:rPr>
        <w:t>FCIP V</w:t>
      </w:r>
      <w:r>
        <w:rPr>
          <w:rFonts w:ascii="Times New Roman" w:cs="Times New Roman" w:eastAsia="Times New Roman" w:hAnsi="Times New Roman"/>
          <w:sz w:val="22"/>
          <w:szCs w:val="22"/>
          <w:color w:val="auto"/>
        </w:rPr>
        <w:t>”), with respect to the Shares held by it;</w:t>
      </w:r>
    </w:p>
    <w:p>
      <w:pPr>
        <w:spacing w:after="0" w:line="198" w:lineRule="exact"/>
        <w:rPr>
          <w:rFonts w:ascii="Times New Roman" w:cs="Times New Roman" w:eastAsia="Times New Roman" w:hAnsi="Times New Roman"/>
          <w:sz w:val="22"/>
          <w:szCs w:val="22"/>
          <w:color w:val="auto"/>
        </w:rPr>
      </w:pPr>
    </w:p>
    <w:p>
      <w:pPr>
        <w:ind w:left="1960" w:hanging="332"/>
        <w:spacing w:after="0" w:line="271" w:lineRule="auto"/>
        <w:tabs>
          <w:tab w:leader="none" w:pos="26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Offshore Investors II, L.P., a Cayman Islands exempted limited partnership (“</w:t>
      </w:r>
      <w:r>
        <w:rPr>
          <w:rFonts w:ascii="Times New Roman" w:cs="Times New Roman" w:eastAsia="Times New Roman" w:hAnsi="Times New Roman"/>
          <w:sz w:val="22"/>
          <w:szCs w:val="22"/>
          <w:u w:val="single" w:color="auto"/>
          <w:color w:val="auto"/>
        </w:rPr>
        <w:t>FCOI II</w:t>
      </w:r>
      <w:r>
        <w:rPr>
          <w:rFonts w:ascii="Times New Roman" w:cs="Times New Roman" w:eastAsia="Times New Roman" w:hAnsi="Times New Roman"/>
          <w:sz w:val="22"/>
          <w:szCs w:val="22"/>
          <w:color w:val="auto"/>
        </w:rPr>
        <w:t>”), with respect to the Shares held by it;</w:t>
      </w:r>
    </w:p>
    <w:p>
      <w:pPr>
        <w:spacing w:after="0" w:line="184" w:lineRule="exact"/>
        <w:rPr>
          <w:rFonts w:ascii="Times New Roman" w:cs="Times New Roman" w:eastAsia="Times New Roman" w:hAnsi="Times New Roman"/>
          <w:sz w:val="22"/>
          <w:szCs w:val="22"/>
          <w:color w:val="auto"/>
        </w:rPr>
      </w:pPr>
    </w:p>
    <w:p>
      <w:pPr>
        <w:ind w:left="2000" w:hanging="372"/>
        <w:spacing w:after="0" w:line="258" w:lineRule="auto"/>
        <w:tabs>
          <w:tab w:leader="none" w:pos="2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(AM) Investors, L.P., a Delaware limited partnership (“</w:t>
      </w:r>
      <w:r>
        <w:rPr>
          <w:rFonts w:ascii="Times New Roman" w:cs="Times New Roman" w:eastAsia="Times New Roman" w:hAnsi="Times New Roman"/>
          <w:sz w:val="22"/>
          <w:szCs w:val="22"/>
          <w:u w:val="single" w:color="auto"/>
          <w:color w:val="auto"/>
        </w:rPr>
        <w:t>FCAMI</w:t>
      </w:r>
      <w:r>
        <w:rPr>
          <w:rFonts w:ascii="Times New Roman" w:cs="Times New Roman" w:eastAsia="Times New Roman" w:hAnsi="Times New Roman"/>
          <w:sz w:val="22"/>
          <w:szCs w:val="22"/>
          <w:color w:val="auto"/>
        </w:rPr>
        <w:t>”), with respect to the Shares held by it;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30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ind w:left="2060" w:right="20" w:hanging="432"/>
        <w:spacing w:after="0" w:line="258" w:lineRule="auto"/>
        <w:tabs>
          <w:tab w:leader="none" w:pos="270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F5 Master I, L.P., a Cayman Islands exempted limited partnership (“</w:t>
      </w:r>
      <w:r>
        <w:rPr>
          <w:rFonts w:ascii="Times New Roman" w:cs="Times New Roman" w:eastAsia="Times New Roman" w:hAnsi="Times New Roman"/>
          <w:sz w:val="22"/>
          <w:szCs w:val="22"/>
          <w:u w:val="single" w:color="auto"/>
          <w:color w:val="auto"/>
        </w:rPr>
        <w:t>F5MI</w:t>
      </w:r>
      <w:r>
        <w:rPr>
          <w:rFonts w:ascii="Times New Roman" w:cs="Times New Roman" w:eastAsia="Times New Roman" w:hAnsi="Times New Roman"/>
          <w:sz w:val="22"/>
          <w:szCs w:val="22"/>
          <w:color w:val="auto"/>
        </w:rPr>
        <w:t>”), with respect to the Shares held by it.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FCP, FCIP, FCIP II, FCIP III, FCIP V, FCOI II, FCAMI and F5MI are together referred to herein as the “</w:t>
      </w:r>
      <w:r>
        <w:rPr>
          <w:rFonts w:ascii="Times New Roman" w:cs="Times New Roman" w:eastAsia="Times New Roman" w:hAnsi="Times New Roman"/>
          <w:sz w:val="21"/>
          <w:szCs w:val="21"/>
          <w:u w:val="single" w:color="auto"/>
          <w:color w:val="auto"/>
        </w:rPr>
        <w:t>Farallon Funds</w:t>
      </w:r>
      <w:r>
        <w:rPr>
          <w:rFonts w:ascii="Times New Roman" w:cs="Times New Roman" w:eastAsia="Times New Roman" w:hAnsi="Times New Roman"/>
          <w:sz w:val="21"/>
          <w:szCs w:val="21"/>
          <w:color w:val="auto"/>
        </w:rPr>
        <w:t>.”</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Farallon General Partner</w:t>
      </w:r>
    </w:p>
    <w:p>
      <w:pPr>
        <w:spacing w:after="0" w:line="233" w:lineRule="exact"/>
        <w:rPr>
          <w:sz w:val="20"/>
          <w:szCs w:val="20"/>
          <w:color w:val="auto"/>
        </w:rPr>
      </w:pPr>
    </w:p>
    <w:p>
      <w:pPr>
        <w:jc w:val="both"/>
        <w:ind w:left="1960" w:hanging="332"/>
        <w:spacing w:after="0" w:line="244" w:lineRule="auto"/>
        <w:tabs>
          <w:tab w:leader="none" w:pos="260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Partners, L.L.C., a Delaware limited liability company (the “</w:t>
      </w:r>
      <w:r>
        <w:rPr>
          <w:rFonts w:ascii="Times New Roman" w:cs="Times New Roman" w:eastAsia="Times New Roman" w:hAnsi="Times New Roman"/>
          <w:sz w:val="22"/>
          <w:szCs w:val="22"/>
          <w:u w:val="single" w:color="auto"/>
          <w:color w:val="auto"/>
        </w:rPr>
        <w:t>Farallon General Partner</w:t>
      </w:r>
      <w:r>
        <w:rPr>
          <w:rFonts w:ascii="Times New Roman" w:cs="Times New Roman" w:eastAsia="Times New Roman" w:hAnsi="Times New Roman"/>
          <w:sz w:val="22"/>
          <w:szCs w:val="22"/>
          <w:color w:val="auto"/>
        </w:rPr>
        <w:t>”), which is the general partner of each of FCP, FCIP, FCIP II, FCIP III, FCOI II and FCAMI and the sole member of the FCIP V General Partner (as defined below), with respect to the Shares held by each of the Farallon Funds other than F5MI.</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FCIP V General Partner</w:t>
      </w:r>
    </w:p>
    <w:p>
      <w:pPr>
        <w:spacing w:after="0" w:line="233" w:lineRule="exact"/>
        <w:rPr>
          <w:sz w:val="20"/>
          <w:szCs w:val="20"/>
          <w:color w:val="auto"/>
        </w:rPr>
      </w:pPr>
    </w:p>
    <w:p>
      <w:pPr>
        <w:ind w:left="1960" w:hanging="332"/>
        <w:spacing w:after="0" w:line="258" w:lineRule="auto"/>
        <w:tabs>
          <w:tab w:leader="none" w:pos="1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Institutional (GP) V, L.L.C., a Delaware limited liability company (the “</w:t>
      </w:r>
      <w:r>
        <w:rPr>
          <w:rFonts w:ascii="Times New Roman" w:cs="Times New Roman" w:eastAsia="Times New Roman" w:hAnsi="Times New Roman"/>
          <w:sz w:val="22"/>
          <w:szCs w:val="22"/>
          <w:u w:val="single" w:color="auto"/>
          <w:color w:val="auto"/>
        </w:rPr>
        <w:t>FCIP V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w:t>
      </w:r>
      <w:r>
        <w:rPr>
          <w:rFonts w:ascii="Times New Roman" w:cs="Times New Roman" w:eastAsia="Times New Roman" w:hAnsi="Times New Roman"/>
          <w:sz w:val="22"/>
          <w:szCs w:val="22"/>
          <w:color w:val="auto"/>
        </w:rPr>
        <w:t>”), which is the general partner of FCIP V, with respect to the Shares held by FCIP V.</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F5MI General Partner</w:t>
      </w:r>
    </w:p>
    <w:p>
      <w:pPr>
        <w:spacing w:after="0" w:line="247" w:lineRule="exact"/>
        <w:rPr>
          <w:sz w:val="20"/>
          <w:szCs w:val="20"/>
          <w:color w:val="auto"/>
        </w:rPr>
      </w:pPr>
    </w:p>
    <w:p>
      <w:pPr>
        <w:ind w:left="1960" w:hanging="332"/>
        <w:spacing w:after="0" w:line="258" w:lineRule="auto"/>
        <w:tabs>
          <w:tab w:leader="none" w:pos="260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F5 (GP), L.L.C., a Delaware limited liability company (the “</w:t>
      </w:r>
      <w:r>
        <w:rPr>
          <w:rFonts w:ascii="Times New Roman" w:cs="Times New Roman" w:eastAsia="Times New Roman" w:hAnsi="Times New Roman"/>
          <w:sz w:val="22"/>
          <w:szCs w:val="22"/>
          <w:u w:val="single" w:color="auto"/>
          <w:color w:val="auto"/>
        </w:rPr>
        <w:t>F5MI General Partner</w:t>
      </w:r>
      <w:r>
        <w:rPr>
          <w:rFonts w:ascii="Times New Roman" w:cs="Times New Roman" w:eastAsia="Times New Roman" w:hAnsi="Times New Roman"/>
          <w:sz w:val="22"/>
          <w:szCs w:val="22"/>
          <w:color w:val="auto"/>
        </w:rPr>
        <w:t>”), which is the general partner of F5MI, with respect to the Shares held by F5MI.</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Farallon Individual Reporting Persons</w:t>
      </w:r>
    </w:p>
    <w:p>
      <w:pPr>
        <w:spacing w:after="0" w:line="247" w:lineRule="exact"/>
        <w:rPr>
          <w:sz w:val="20"/>
          <w:szCs w:val="20"/>
          <w:color w:val="auto"/>
        </w:rPr>
      </w:pPr>
    </w:p>
    <w:p>
      <w:pPr>
        <w:jc w:val="both"/>
        <w:ind w:left="2000" w:hanging="372"/>
        <w:spacing w:after="0" w:line="251" w:lineRule="auto"/>
        <w:tabs>
          <w:tab w:leader="none" w:pos="264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persons, each of whom is a managing member or senior managing member, as the case may be, of the Farallon General Partner and a manager or senior manager, as the case may be, of the FCIP V General Partner and the F5MI General Partner, with respect to the Shares held by the Farallon Funds: Joshua J. Dapice (“</w:t>
      </w:r>
      <w:r>
        <w:rPr>
          <w:rFonts w:ascii="Times New Roman" w:cs="Times New Roman" w:eastAsia="Times New Roman" w:hAnsi="Times New Roman"/>
          <w:sz w:val="21"/>
          <w:szCs w:val="21"/>
          <w:u w:val="single" w:color="auto"/>
          <w:color w:val="auto"/>
        </w:rPr>
        <w:t>Dapice</w:t>
      </w:r>
      <w:r>
        <w:rPr>
          <w:rFonts w:ascii="Times New Roman" w:cs="Times New Roman" w:eastAsia="Times New Roman" w:hAnsi="Times New Roman"/>
          <w:sz w:val="21"/>
          <w:szCs w:val="21"/>
          <w:color w:val="auto"/>
        </w:rPr>
        <w:t>”); Philip D. Dreyfuss (“</w:t>
      </w:r>
      <w:r>
        <w:rPr>
          <w:rFonts w:ascii="Times New Roman" w:cs="Times New Roman" w:eastAsia="Times New Roman" w:hAnsi="Times New Roman"/>
          <w:sz w:val="21"/>
          <w:szCs w:val="21"/>
          <w:u w:val="single" w:color="auto"/>
          <w:color w:val="auto"/>
        </w:rPr>
        <w:t>Dreyfuss</w:t>
      </w:r>
      <w:r>
        <w:rPr>
          <w:rFonts w:ascii="Times New Roman" w:cs="Times New Roman" w:eastAsia="Times New Roman" w:hAnsi="Times New Roman"/>
          <w:sz w:val="21"/>
          <w:szCs w:val="21"/>
          <w:color w:val="auto"/>
        </w:rPr>
        <w:t>”); Hannah E. Dunn (“</w:t>
      </w:r>
      <w:r>
        <w:rPr>
          <w:rFonts w:ascii="Times New Roman" w:cs="Times New Roman" w:eastAsia="Times New Roman" w:hAnsi="Times New Roman"/>
          <w:sz w:val="21"/>
          <w:szCs w:val="21"/>
          <w:u w:val="single" w:color="auto"/>
          <w:color w:val="auto"/>
        </w:rPr>
        <w:t>Dunn</w:t>
      </w:r>
      <w:r>
        <w:rPr>
          <w:rFonts w:ascii="Times New Roman" w:cs="Times New Roman" w:eastAsia="Times New Roman" w:hAnsi="Times New Roman"/>
          <w:sz w:val="21"/>
          <w:szCs w:val="21"/>
          <w:color w:val="auto"/>
        </w:rPr>
        <w:t>”); Michael B. Fisch (“</w:t>
      </w:r>
      <w:r>
        <w:rPr>
          <w:rFonts w:ascii="Times New Roman" w:cs="Times New Roman" w:eastAsia="Times New Roman" w:hAnsi="Times New Roman"/>
          <w:sz w:val="21"/>
          <w:szCs w:val="21"/>
          <w:u w:val="single" w:color="auto"/>
          <w:color w:val="auto"/>
        </w:rPr>
        <w:t>Fisch</w:t>
      </w:r>
      <w:r>
        <w:rPr>
          <w:rFonts w:ascii="Times New Roman" w:cs="Times New Roman" w:eastAsia="Times New Roman" w:hAnsi="Times New Roman"/>
          <w:sz w:val="21"/>
          <w:szCs w:val="21"/>
          <w:color w:val="auto"/>
        </w:rPr>
        <w:t>”); Richard B. Fried (“</w:t>
      </w:r>
      <w:r>
        <w:rPr>
          <w:rFonts w:ascii="Times New Roman" w:cs="Times New Roman" w:eastAsia="Times New Roman" w:hAnsi="Times New Roman"/>
          <w:sz w:val="21"/>
          <w:szCs w:val="21"/>
          <w:u w:val="single" w:color="auto"/>
          <w:color w:val="auto"/>
        </w:rPr>
        <w:t>Fried</w:t>
      </w:r>
      <w:r>
        <w:rPr>
          <w:rFonts w:ascii="Times New Roman" w:cs="Times New Roman" w:eastAsia="Times New Roman" w:hAnsi="Times New Roman"/>
          <w:sz w:val="21"/>
          <w:szCs w:val="21"/>
          <w:color w:val="auto"/>
        </w:rPr>
        <w:t>”); Varun N. Gehani (“</w:t>
      </w:r>
      <w:r>
        <w:rPr>
          <w:rFonts w:ascii="Times New Roman" w:cs="Times New Roman" w:eastAsia="Times New Roman" w:hAnsi="Times New Roman"/>
          <w:sz w:val="21"/>
          <w:szCs w:val="21"/>
          <w:u w:val="single" w:color="auto"/>
          <w:color w:val="auto"/>
        </w:rPr>
        <w:t>Gehani</w:t>
      </w:r>
      <w:r>
        <w:rPr>
          <w:rFonts w:ascii="Times New Roman" w:cs="Times New Roman" w:eastAsia="Times New Roman" w:hAnsi="Times New Roman"/>
          <w:sz w:val="21"/>
          <w:szCs w:val="21"/>
          <w:color w:val="auto"/>
        </w:rPr>
        <w:t>”); Nicolas Giauque (“</w:t>
      </w:r>
      <w:r>
        <w:rPr>
          <w:rFonts w:ascii="Times New Roman" w:cs="Times New Roman" w:eastAsia="Times New Roman" w:hAnsi="Times New Roman"/>
          <w:sz w:val="21"/>
          <w:szCs w:val="21"/>
          <w:u w:val="single" w:color="auto"/>
          <w:color w:val="auto"/>
        </w:rPr>
        <w:t>Giauque</w:t>
      </w:r>
      <w:r>
        <w:rPr>
          <w:rFonts w:ascii="Times New Roman" w:cs="Times New Roman" w:eastAsia="Times New Roman" w:hAnsi="Times New Roman"/>
          <w:sz w:val="21"/>
          <w:szCs w:val="21"/>
          <w:color w:val="auto"/>
        </w:rPr>
        <w:t>”); David T. Kim (“</w:t>
      </w:r>
      <w:r>
        <w:rPr>
          <w:rFonts w:ascii="Times New Roman" w:cs="Times New Roman" w:eastAsia="Times New Roman" w:hAnsi="Times New Roman"/>
          <w:sz w:val="21"/>
          <w:szCs w:val="21"/>
          <w:u w:val="single" w:color="auto"/>
          <w:color w:val="auto"/>
        </w:rPr>
        <w:t>Kim</w:t>
      </w:r>
      <w:r>
        <w:rPr>
          <w:rFonts w:ascii="Times New Roman" w:cs="Times New Roman" w:eastAsia="Times New Roman" w:hAnsi="Times New Roman"/>
          <w:sz w:val="21"/>
          <w:szCs w:val="21"/>
          <w:color w:val="auto"/>
        </w:rPr>
        <w:t>”); Michael G. Linn (“</w:t>
      </w:r>
      <w:r>
        <w:rPr>
          <w:rFonts w:ascii="Times New Roman" w:cs="Times New Roman" w:eastAsia="Times New Roman" w:hAnsi="Times New Roman"/>
          <w:sz w:val="21"/>
          <w:szCs w:val="21"/>
          <w:u w:val="single" w:color="auto"/>
          <w:color w:val="auto"/>
        </w:rPr>
        <w:t>Linn</w:t>
      </w:r>
      <w:r>
        <w:rPr>
          <w:rFonts w:ascii="Times New Roman" w:cs="Times New Roman" w:eastAsia="Times New Roman" w:hAnsi="Times New Roman"/>
          <w:sz w:val="21"/>
          <w:szCs w:val="21"/>
          <w:color w:val="auto"/>
        </w:rPr>
        <w:t>”); Rajiv A. Patel (“</w:t>
      </w:r>
      <w:r>
        <w:rPr>
          <w:rFonts w:ascii="Times New Roman" w:cs="Times New Roman" w:eastAsia="Times New Roman" w:hAnsi="Times New Roman"/>
          <w:sz w:val="21"/>
          <w:szCs w:val="21"/>
          <w:u w:val="single" w:color="auto"/>
          <w:color w:val="auto"/>
        </w:rPr>
        <w:t>Patel</w:t>
      </w:r>
      <w:r>
        <w:rPr>
          <w:rFonts w:ascii="Times New Roman" w:cs="Times New Roman" w:eastAsia="Times New Roman" w:hAnsi="Times New Roman"/>
          <w:sz w:val="21"/>
          <w:szCs w:val="21"/>
          <w:color w:val="auto"/>
        </w:rPr>
        <w:t>”); Thomas G. Roberts, Jr. (“</w:t>
      </w:r>
      <w:r>
        <w:rPr>
          <w:rFonts w:ascii="Times New Roman" w:cs="Times New Roman" w:eastAsia="Times New Roman" w:hAnsi="Times New Roman"/>
          <w:sz w:val="21"/>
          <w:szCs w:val="21"/>
          <w:u w:val="single" w:color="auto"/>
          <w:color w:val="auto"/>
        </w:rPr>
        <w:t>Roberts</w:t>
      </w:r>
      <w:r>
        <w:rPr>
          <w:rFonts w:ascii="Times New Roman" w:cs="Times New Roman" w:eastAsia="Times New Roman" w:hAnsi="Times New Roman"/>
          <w:sz w:val="21"/>
          <w:szCs w:val="21"/>
          <w:color w:val="auto"/>
        </w:rPr>
        <w:t>”); Edric C. Saito (“</w:t>
      </w:r>
      <w:r>
        <w:rPr>
          <w:rFonts w:ascii="Times New Roman" w:cs="Times New Roman" w:eastAsia="Times New Roman" w:hAnsi="Times New Roman"/>
          <w:sz w:val="21"/>
          <w:szCs w:val="21"/>
          <w:u w:val="single" w:color="auto"/>
          <w:color w:val="auto"/>
        </w:rPr>
        <w:t>Saito</w:t>
      </w:r>
      <w:r>
        <w:rPr>
          <w:rFonts w:ascii="Times New Roman" w:cs="Times New Roman" w:eastAsia="Times New Roman" w:hAnsi="Times New Roman"/>
          <w:sz w:val="21"/>
          <w:szCs w:val="21"/>
          <w:color w:val="auto"/>
        </w:rPr>
        <w:t>”); William Seybold (“</w:t>
      </w:r>
      <w:r>
        <w:rPr>
          <w:rFonts w:ascii="Times New Roman" w:cs="Times New Roman" w:eastAsia="Times New Roman" w:hAnsi="Times New Roman"/>
          <w:sz w:val="21"/>
          <w:szCs w:val="21"/>
          <w:u w:val="single" w:color="auto"/>
          <w:color w:val="auto"/>
        </w:rPr>
        <w:t>Seybold</w:t>
      </w:r>
      <w:r>
        <w:rPr>
          <w:rFonts w:ascii="Times New Roman" w:cs="Times New Roman" w:eastAsia="Times New Roman" w:hAnsi="Times New Roman"/>
          <w:sz w:val="21"/>
          <w:szCs w:val="21"/>
          <w:color w:val="auto"/>
        </w:rPr>
        <w:t>”); Daniel S. Short (“</w:t>
      </w:r>
      <w:r>
        <w:rPr>
          <w:rFonts w:ascii="Times New Roman" w:cs="Times New Roman" w:eastAsia="Times New Roman" w:hAnsi="Times New Roman"/>
          <w:sz w:val="21"/>
          <w:szCs w:val="21"/>
          <w:u w:val="single" w:color="auto"/>
          <w:color w:val="auto"/>
        </w:rPr>
        <w:t>Short</w:t>
      </w:r>
      <w:r>
        <w:rPr>
          <w:rFonts w:ascii="Times New Roman" w:cs="Times New Roman" w:eastAsia="Times New Roman" w:hAnsi="Times New Roman"/>
          <w:sz w:val="21"/>
          <w:szCs w:val="21"/>
          <w:color w:val="auto"/>
        </w:rPr>
        <w:t>”); Andrew J. M. Spokes (“</w:t>
      </w:r>
      <w:r>
        <w:rPr>
          <w:rFonts w:ascii="Times New Roman" w:cs="Times New Roman" w:eastAsia="Times New Roman" w:hAnsi="Times New Roman"/>
          <w:sz w:val="21"/>
          <w:szCs w:val="21"/>
          <w:u w:val="single" w:color="auto"/>
          <w:color w:val="auto"/>
        </w:rPr>
        <w:t>Spokes</w:t>
      </w:r>
      <w:r>
        <w:rPr>
          <w:rFonts w:ascii="Times New Roman" w:cs="Times New Roman" w:eastAsia="Times New Roman" w:hAnsi="Times New Roman"/>
          <w:sz w:val="21"/>
          <w:szCs w:val="21"/>
          <w:color w:val="auto"/>
        </w:rPr>
        <w:t>”); John R. Warren (“</w:t>
      </w:r>
      <w:r>
        <w:rPr>
          <w:rFonts w:ascii="Times New Roman" w:cs="Times New Roman" w:eastAsia="Times New Roman" w:hAnsi="Times New Roman"/>
          <w:sz w:val="21"/>
          <w:szCs w:val="21"/>
          <w:u w:val="single" w:color="auto"/>
          <w:color w:val="auto"/>
        </w:rPr>
        <w:t>Warren</w:t>
      </w:r>
      <w:r>
        <w:rPr>
          <w:rFonts w:ascii="Times New Roman" w:cs="Times New Roman" w:eastAsia="Times New Roman" w:hAnsi="Times New Roman"/>
          <w:sz w:val="21"/>
          <w:szCs w:val="21"/>
          <w:color w:val="auto"/>
        </w:rPr>
        <w:t>”); and Mark C. Wehrly (“</w:t>
      </w:r>
      <w:r>
        <w:rPr>
          <w:rFonts w:ascii="Times New Roman" w:cs="Times New Roman" w:eastAsia="Times New Roman" w:hAnsi="Times New Roman"/>
          <w:sz w:val="21"/>
          <w:szCs w:val="21"/>
          <w:u w:val="single" w:color="auto"/>
          <w:color w:val="auto"/>
        </w:rPr>
        <w:t>Wehrly</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Dapice, Dreyfuss, Dunn, Fisch, Fried, Gehani, Giauque, Kim, Linn, Patel, Roberts, Saito, Seybold, Short, Spokes, Warren and Wehrly are together referred to herein as the “</w:t>
      </w:r>
      <w:r>
        <w:rPr>
          <w:rFonts w:ascii="Times New Roman" w:cs="Times New Roman" w:eastAsia="Times New Roman" w:hAnsi="Times New Roman"/>
          <w:sz w:val="22"/>
          <w:szCs w:val="22"/>
          <w:u w:val="single" w:color="auto"/>
          <w:color w:val="auto"/>
        </w:rPr>
        <w:t>Farallon Individual Reporting Persons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31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both"/>
        <w:ind w:firstLine="648"/>
        <w:spacing w:after="0"/>
        <w:rPr>
          <w:sz w:val="20"/>
          <w:szCs w:val="20"/>
          <w:color w:val="auto"/>
        </w:rPr>
      </w:pPr>
      <w:r>
        <w:rPr>
          <w:rFonts w:ascii="Times New Roman" w:cs="Times New Roman" w:eastAsia="Times New Roman" w:hAnsi="Times New Roman"/>
          <w:sz w:val="22"/>
          <w:szCs w:val="22"/>
          <w:color w:val="auto"/>
        </w:rPr>
        <w:t>The citizenship of each of the Farallon Funds, the Farallon General Partner, the FCIP V General Partner and the F5MI General Partner is set forth above. Each of the Farallon Individual Reporting Persons, other than Giauque and Spokes, is a citizen of the United States. Giauque is a citizen of France. Spokes is a citizen of the United Kingdom. The address of the principal business office of each of the Reporting Persons is c/o Farallon Capital Management, L.L.C., One Maritime Plaza, Suite 2100, San Francisco, California 94111.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Item 3.</w:t>
            </w:r>
          </w:p>
        </w:tc>
        <w:tc>
          <w:tcPr>
            <w:tcW w:w="660" w:type="dxa"/>
            <w:vAlign w:val="bottom"/>
          </w:tcPr>
          <w:p>
            <w:pPr>
              <w:spacing w:after="0"/>
              <w:rPr>
                <w:sz w:val="22"/>
                <w:szCs w:val="22"/>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If This Statement Is Filed Pursuant to Sections 240.13d-1(b) or 240.13d-2(b) or (c),</w:t>
            </w:r>
          </w:p>
        </w:tc>
        <w:tc>
          <w:tcPr>
            <w:tcW w:w="20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Check Whether the</w:t>
            </w:r>
          </w:p>
        </w:tc>
      </w:tr>
      <w:tr>
        <w:trPr>
          <w:trHeight w:val="223"/>
        </w:trPr>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6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rPr>
              <w:t>Person Filing Is an Entity Specified in (a) - (k):</w:t>
            </w:r>
          </w:p>
        </w:tc>
        <w:tc>
          <w:tcPr>
            <w:tcW w:w="2060" w:type="dxa"/>
            <w:vAlign w:val="bottom"/>
            <w:tcBorders>
              <w:top w:val="single" w:sz="8" w:color="auto"/>
            </w:tcBorders>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1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Not applicable.</w:t>
            </w:r>
          </w:p>
        </w:tc>
        <w:tc>
          <w:tcPr>
            <w:tcW w:w="2060" w:type="dxa"/>
            <w:vAlign w:val="bottom"/>
          </w:tcPr>
          <w:p>
            <w:pPr>
              <w:spacing w:after="0"/>
              <w:rPr>
                <w:sz w:val="24"/>
                <w:szCs w:val="24"/>
                <w:color w:val="auto"/>
              </w:rPr>
            </w:pPr>
          </w:p>
        </w:tc>
      </w:tr>
      <w:tr>
        <w:trPr>
          <w:trHeight w:val="447"/>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Item 4.</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Ownership</w:t>
            </w:r>
          </w:p>
        </w:tc>
        <w:tc>
          <w:tcPr>
            <w:tcW w:w="20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 xml:space="preserve">The Shares reported hereby for the Farallon Funds are owned directly by the Farallon Funds. The Farallon General Partner, as general partner of FCP, FCIP, FCIP II, FCIP III, FCOI II and FCAMI and the sole member of the FCIP V General Partner, may be deemed to be a beneficial owner of all such Shares owned by the Farallon Funds other than F5MI. The FCIP V General Partner, as general partner of FCIP V, may be deemed to be a beneficial owner of all such Shares owned by FCIP V. The F5MI General Partner, as general partner of F5MI, may be deemed to be a beneficial owner of all such Shares owned by F5MI. Each of the Farallon Individual Reporting Persons, as a managing member or senior managing member, as the case may be, of the Farallon General Partner and a manager or senior manager, as the case may be, of the FCIP V General Partner and the F5MI General Partner, in each case with the power to exercise investment discretion, may be deemed to be a beneficial owner of all such Shares owned by the Farallon Funds. </w:t>
      </w:r>
      <w:r>
        <w:rPr>
          <w:rFonts w:ascii="Times New Roman" w:cs="Times New Roman" w:eastAsia="Times New Roman" w:hAnsi="Times New Roman"/>
          <w:sz w:val="21"/>
          <w:szCs w:val="21"/>
          <w:b w:val="1"/>
          <w:bCs w:val="1"/>
          <w:color w:val="auto"/>
        </w:rPr>
        <w:t>Each of the Farallon General Partner, the FCIP V General Partner, the F5MI</w:t>
      </w:r>
    </w:p>
    <w:p>
      <w:pPr>
        <w:spacing w:after="0" w:line="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b w:val="1"/>
          <w:bCs w:val="1"/>
          <w:color w:val="auto"/>
        </w:rPr>
        <w:t>General Partner and the Farallon Individual Reporting Persons hereby disclaims any beneficial ownership of any such Shares.</w:t>
      </w:r>
    </w:p>
    <w:p>
      <w:pPr>
        <w:spacing w:after="0" w:line="196"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u w:val="single" w:color="auto"/>
          <w:color w:val="auto"/>
        </w:rPr>
        <w:t>Item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Ownership of Five Percent or Less of a Class</w:t>
      </w:r>
    </w:p>
    <w:p>
      <w:pPr>
        <w:spacing w:after="0" w:line="31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each of the Reporting Persons has ceased to be a beneficial owner of more than five percent of the class of securities, check the following:</w:t>
      </w:r>
    </w:p>
    <w:p>
      <w:pPr>
        <w:spacing w:after="0" w:line="19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u w:val="single" w:color="auto"/>
          <w:color w:val="auto"/>
        </w:rPr>
        <w:t>Item 6</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Ownership of More than Five Percent on Behalf of Another Person</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32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ind w:left="1300" w:right="180" w:hanging="1295"/>
        <w:spacing w:after="0" w:line="258" w:lineRule="auto"/>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7</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u w:val="single" w:color="auto"/>
          <w:color w:val="auto"/>
        </w:rPr>
        <w:t>Identification and Classification of the Subsidiary Which Acquired the Security Being Reported on by the Parent Holding Company or Control Person</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8</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Identification and Classification of Members of the Group</w:t>
      </w:r>
    </w:p>
    <w:p>
      <w:pPr>
        <w:spacing w:after="0" w:line="23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The Reporting Persons are filing this Schedule 13G pursuant to Section 240.13d-1(c). Consistent with Item 2 of the cover page for each Reporting Person above, the Reporting Persons neither disclaim nor affirm the existence of a group among them.</w:t>
      </w:r>
    </w:p>
    <w:p>
      <w:pPr>
        <w:spacing w:after="0" w:line="14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u w:val="single" w:color="auto"/>
          <w:color w:val="auto"/>
        </w:rPr>
        <w:t>Item 9</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Notice of Dissolution of Group</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Item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Certification</w:t>
      </w:r>
    </w:p>
    <w:p>
      <w:pPr>
        <w:spacing w:after="0" w:line="24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33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u w:val="single" w:color="auto"/>
          <w:color w:val="auto"/>
        </w:rPr>
        <w:t>SIGNATURES</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our knowledge and belief,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17, 2023</w:t>
      </w: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FARALLON CAPITAL PARTNERS,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II,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III, L.P.,</w:t>
      </w:r>
    </w:p>
    <w:p>
      <w:pPr>
        <w:ind w:left="1740"/>
        <w:spacing w:after="0"/>
        <w:rPr>
          <w:sz w:val="20"/>
          <w:szCs w:val="20"/>
          <w:color w:val="auto"/>
        </w:rPr>
      </w:pPr>
      <w:r>
        <w:rPr>
          <w:rFonts w:ascii="Times New Roman" w:cs="Times New Roman" w:eastAsia="Times New Roman" w:hAnsi="Times New Roman"/>
          <w:sz w:val="20"/>
          <w:szCs w:val="20"/>
          <w:color w:val="auto"/>
        </w:rPr>
        <w:t>FARALLON CAPITAL OFFSHORE INVESTORS II, L.P. and</w:t>
      </w:r>
    </w:p>
    <w:p>
      <w:pPr>
        <w:ind w:left="1740"/>
        <w:spacing w:after="0"/>
        <w:rPr>
          <w:sz w:val="20"/>
          <w:szCs w:val="20"/>
          <w:color w:val="auto"/>
        </w:rPr>
      </w:pPr>
      <w:r>
        <w:rPr>
          <w:rFonts w:ascii="Times New Roman" w:cs="Times New Roman" w:eastAsia="Times New Roman" w:hAnsi="Times New Roman"/>
          <w:sz w:val="20"/>
          <w:szCs w:val="20"/>
          <w:color w:val="auto"/>
        </w:rPr>
        <w:t>FARALLON CAPITAL (AM) INVESTORS, L.P.</w:t>
      </w:r>
    </w:p>
    <w:p>
      <w:pPr>
        <w:ind w:left="1740"/>
        <w:spacing w:after="0"/>
        <w:rPr>
          <w:sz w:val="20"/>
          <w:szCs w:val="20"/>
          <w:color w:val="auto"/>
        </w:rPr>
      </w:pPr>
      <w:r>
        <w:rPr>
          <w:rFonts w:ascii="Times New Roman" w:cs="Times New Roman" w:eastAsia="Times New Roman" w:hAnsi="Times New Roman"/>
          <w:sz w:val="20"/>
          <w:szCs w:val="20"/>
          <w:color w:val="auto"/>
        </w:rPr>
        <w:t>By John R. Warren, Managing Member</w:t>
      </w:r>
    </w:p>
    <w:p>
      <w:pPr>
        <w:spacing w:after="0" w:line="1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INSTITUTIONAL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FOUR CROSSINGS INSTITUTIONAL PARTNERS V, L.P.</w:t>
      </w:r>
    </w:p>
    <w:p>
      <w:pPr>
        <w:ind w:left="1740"/>
        <w:spacing w:after="0"/>
        <w:rPr>
          <w:sz w:val="20"/>
          <w:szCs w:val="20"/>
          <w:color w:val="auto"/>
        </w:rPr>
      </w:pPr>
      <w:r>
        <w:rPr>
          <w:rFonts w:ascii="Times New Roman" w:cs="Times New Roman" w:eastAsia="Times New Roman" w:hAnsi="Times New Roman"/>
          <w:sz w:val="20"/>
          <w:szCs w:val="20"/>
          <w:color w:val="auto"/>
        </w:rPr>
        <w:t>By John R. Warren, Manager</w:t>
      </w:r>
    </w:p>
    <w:p>
      <w:pPr>
        <w:spacing w:after="0" w:line="1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F5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FARALLON CAPITAL F5 MASTER I, L.P.</w:t>
      </w:r>
    </w:p>
    <w:p>
      <w:pPr>
        <w:ind w:left="1740"/>
        <w:spacing w:after="0"/>
        <w:rPr>
          <w:sz w:val="20"/>
          <w:szCs w:val="20"/>
          <w:color w:val="auto"/>
        </w:rPr>
      </w:pPr>
      <w:r>
        <w:rPr>
          <w:rFonts w:ascii="Times New Roman" w:cs="Times New Roman" w:eastAsia="Times New Roman" w:hAnsi="Times New Roman"/>
          <w:sz w:val="20"/>
          <w:szCs w:val="20"/>
          <w:color w:val="auto"/>
        </w:rPr>
        <w:t>By John R. Warren, Manager</w:t>
      </w:r>
    </w:p>
    <w:p>
      <w:pPr>
        <w:spacing w:after="0" w:line="1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jc w:val="both"/>
        <w:ind w:left="1740"/>
        <w:spacing w:after="0" w:line="266" w:lineRule="auto"/>
        <w:rPr>
          <w:sz w:val="20"/>
          <w:szCs w:val="20"/>
          <w:color w:val="auto"/>
        </w:rPr>
      </w:pPr>
      <w:r>
        <w:rPr>
          <w:rFonts w:ascii="Times New Roman" w:cs="Times New Roman" w:eastAsia="Times New Roman" w:hAnsi="Times New Roman"/>
          <w:sz w:val="19"/>
          <w:szCs w:val="19"/>
          <w:color w:val="auto"/>
        </w:rPr>
        <w:t>John R. Warren, individually and as attorney-in-fact for each of Joshua J. Dapice, Philip D. Dreyfuss, Hannah E. Dunn, Michael B. Fisch, Richard B. Fried, Varun N. Gehani, Nicolas Giauque, David T. Kim, Michael G. Linn, Rajiv A. Patel, Thomas G. Roberts, Jr., Edric C. Saito, William Seybold, Daniel S. Short, Andrew J. M. Spokes and Mark C. Wehrly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-454660</wp:posOffset>
            </wp:positionV>
            <wp:extent cx="60350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58"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9"/>
          <w:szCs w:val="19"/>
          <w:color w:val="auto"/>
        </w:rPr>
        <w:t>The Powers of Attorney executed by each of Dapice, Dreyfuss, Dunn, Fisch, Fried, Gehani, Giauque, Kim, Linn, Patel, Roberts, Saito, Seybold, Short, Spokes and Wehrly authorizing Warren to sign and file this Schedule 13G on his or her behalf, which were filed as exhibits to the Schedule 13G filed with the Securities and Exchange Commission (the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on January 31, 2023 by such Reporting Persons with respect to the Class A Ordinary Shares of ARYA Sciences Acquisition Corp IV,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34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4" w:name="page35"/>
    <w:bookmarkEnd w:id="34"/>
    <w:p>
      <w:pPr>
        <w:ind w:left="4820"/>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90"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2"/>
          <w:szCs w:val="22"/>
          <w:color w:val="auto"/>
        </w:rPr>
        <w:t>EXHIBIT 1</w:t>
      </w:r>
      <w:r>
        <w:rPr>
          <w:sz w:val="20"/>
          <w:szCs w:val="20"/>
          <w:color w:val="auto"/>
        </w:rPr>
        <w:tab/>
      </w:r>
      <w:r>
        <w:rPr>
          <w:rFonts w:ascii="Times New Roman" w:cs="Times New Roman" w:eastAsia="Times New Roman" w:hAnsi="Times New Roman"/>
          <w:sz w:val="21"/>
          <w:szCs w:val="21"/>
          <w:color w:val="auto"/>
        </w:rPr>
        <w:t>Joint Acquisition Statement Pursuant to Section 240.13d-1(k)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Page 35 of 36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color w:val="auto"/>
        </w:rPr>
        <w:t>EXHIBIT 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w:t>
      </w:r>
    </w:p>
    <w:p>
      <w:pPr>
        <w:ind w:left="9820"/>
        <w:spacing w:after="0"/>
        <w:rPr>
          <w:sz w:val="20"/>
          <w:szCs w:val="20"/>
          <w:color w:val="auto"/>
        </w:rPr>
      </w:pPr>
      <w:r>
        <w:rPr>
          <w:rFonts w:ascii="Times New Roman" w:cs="Times New Roman" w:eastAsia="Times New Roman" w:hAnsi="Times New Roman"/>
          <w:sz w:val="19"/>
          <w:szCs w:val="19"/>
          <w:color w:val="auto"/>
        </w:rPr>
        <w:t>SCHEDULE 13G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PURSUANT TO SECTION 240.13d-1(k)</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17, 2023</w:t>
      </w: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FARALLON CAPITAL PARTNERS,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II,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III, L.P.,</w:t>
      </w:r>
    </w:p>
    <w:p>
      <w:pPr>
        <w:ind w:left="1740"/>
        <w:spacing w:after="0"/>
        <w:rPr>
          <w:sz w:val="20"/>
          <w:szCs w:val="20"/>
          <w:color w:val="auto"/>
        </w:rPr>
      </w:pPr>
      <w:r>
        <w:rPr>
          <w:rFonts w:ascii="Times New Roman" w:cs="Times New Roman" w:eastAsia="Times New Roman" w:hAnsi="Times New Roman"/>
          <w:sz w:val="20"/>
          <w:szCs w:val="20"/>
          <w:color w:val="auto"/>
        </w:rPr>
        <w:t>FARALLON CAPITAL OFFSHORE INVESTORS II, L.P. and</w:t>
      </w:r>
    </w:p>
    <w:p>
      <w:pPr>
        <w:ind w:left="1740"/>
        <w:spacing w:after="0"/>
        <w:rPr>
          <w:sz w:val="20"/>
          <w:szCs w:val="20"/>
          <w:color w:val="auto"/>
        </w:rPr>
      </w:pPr>
      <w:r>
        <w:rPr>
          <w:rFonts w:ascii="Times New Roman" w:cs="Times New Roman" w:eastAsia="Times New Roman" w:hAnsi="Times New Roman"/>
          <w:sz w:val="20"/>
          <w:szCs w:val="20"/>
          <w:color w:val="auto"/>
        </w:rPr>
        <w:t>FARALLON CAPITAL (AM) INVESTORS, L.P.</w:t>
      </w:r>
    </w:p>
    <w:p>
      <w:pPr>
        <w:ind w:left="1740"/>
        <w:spacing w:after="0"/>
        <w:rPr>
          <w:sz w:val="20"/>
          <w:szCs w:val="20"/>
          <w:color w:val="auto"/>
        </w:rPr>
      </w:pPr>
      <w:r>
        <w:rPr>
          <w:rFonts w:ascii="Times New Roman" w:cs="Times New Roman" w:eastAsia="Times New Roman" w:hAnsi="Times New Roman"/>
          <w:sz w:val="20"/>
          <w:szCs w:val="20"/>
          <w:color w:val="auto"/>
        </w:rPr>
        <w:t>By John R. Warren, Managing Member</w:t>
      </w:r>
    </w:p>
    <w:p>
      <w:pPr>
        <w:spacing w:after="0" w:line="1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INSTITUTIONAL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FOUR CROSSINGS INSTITUTIONAL PARTNERS V, L.P.</w:t>
      </w:r>
    </w:p>
    <w:p>
      <w:pPr>
        <w:ind w:left="1740"/>
        <w:spacing w:after="0"/>
        <w:rPr>
          <w:sz w:val="20"/>
          <w:szCs w:val="20"/>
          <w:color w:val="auto"/>
        </w:rPr>
      </w:pPr>
      <w:r>
        <w:rPr>
          <w:rFonts w:ascii="Times New Roman" w:cs="Times New Roman" w:eastAsia="Times New Roman" w:hAnsi="Times New Roman"/>
          <w:sz w:val="20"/>
          <w:szCs w:val="20"/>
          <w:color w:val="auto"/>
        </w:rPr>
        <w:t>By John R. Warren, Manager</w:t>
      </w:r>
    </w:p>
    <w:p>
      <w:pPr>
        <w:spacing w:after="0" w:line="1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F5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FARALLON CAPITAL F5 MASTER I, L.P.</w:t>
      </w:r>
    </w:p>
    <w:p>
      <w:pPr>
        <w:ind w:left="1740"/>
        <w:spacing w:after="0"/>
        <w:rPr>
          <w:sz w:val="20"/>
          <w:szCs w:val="20"/>
          <w:color w:val="auto"/>
        </w:rPr>
      </w:pPr>
      <w:r>
        <w:rPr>
          <w:rFonts w:ascii="Times New Roman" w:cs="Times New Roman" w:eastAsia="Times New Roman" w:hAnsi="Times New Roman"/>
          <w:sz w:val="20"/>
          <w:szCs w:val="20"/>
          <w:color w:val="auto"/>
        </w:rPr>
        <w:t>By John R. Warren, Manager</w:t>
      </w:r>
    </w:p>
    <w:p>
      <w:pPr>
        <w:spacing w:after="0" w:line="1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John R.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34" w:lineRule="exact"/>
        <w:rPr>
          <w:sz w:val="20"/>
          <w:szCs w:val="20"/>
          <w:color w:val="auto"/>
        </w:rPr>
      </w:pPr>
    </w:p>
    <w:p>
      <w:pPr>
        <w:jc w:val="both"/>
        <w:ind w:left="1740"/>
        <w:spacing w:after="0" w:line="266" w:lineRule="auto"/>
        <w:rPr>
          <w:sz w:val="20"/>
          <w:szCs w:val="20"/>
          <w:color w:val="auto"/>
        </w:rPr>
      </w:pPr>
      <w:r>
        <w:rPr>
          <w:rFonts w:ascii="Times New Roman" w:cs="Times New Roman" w:eastAsia="Times New Roman" w:hAnsi="Times New Roman"/>
          <w:sz w:val="19"/>
          <w:szCs w:val="19"/>
          <w:color w:val="auto"/>
        </w:rPr>
        <w:t>John R. Warren, individually and as attorney-in-fact for each of Joshua J. Dapice, Philip D. Dreyfuss, Hannah E. Dunn, Michael B. Fisch, Richard B. Fried, Varun N. Gehani, Nicolas Giauque, David T. Kim, Michael G. Linn, Rajiv A. Patel, Thomas G. Roberts, Jr., Edric C. Saito, William Seybold, Daniel S. Short, Andrew J. M. Spokes and Mark C. Wehrly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-454660</wp:posOffset>
            </wp:positionV>
            <wp:extent cx="60350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36 of 36 Pages</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lvl w:ilvl="1">
      <w:lvlJc w:val="left"/>
      <w:lvlText w:val="☐"/>
      <w:numFmt w:val="bullet"/>
      <w:start w:val="1"/>
    </w:lvl>
  </w:abstractNum>
  <w:abstractNum w:abstractNumId="1">
    <w:nsid w:val="7C83E458"/>
    <w:multiLevelType w:val="hybridMultilevel"/>
    <w:lvl w:ilvl="0">
      <w:lvlJc w:val="left"/>
      <w:lvlText w:val="3"/>
      <w:numFmt w:val="bullet"/>
      <w:start w:val="1"/>
    </w:lvl>
  </w:abstractNum>
  <w:abstractNum w:abstractNumId="2">
    <w:nsid w:val="257130A3"/>
    <w:multiLevelType w:val="hybridMultilevel"/>
    <w:lvl w:ilvl="0">
      <w:lvlJc w:val="left"/>
      <w:lvlText w:val="3"/>
      <w:numFmt w:val="bullet"/>
      <w:start w:val="1"/>
    </w:lvl>
  </w:abstractNum>
  <w:abstractNum w:abstractNumId="3">
    <w:nsid w:val="62BBD95A"/>
    <w:multiLevelType w:val="hybridMultilevel"/>
    <w:lvl w:ilvl="0">
      <w:lvlJc w:val="left"/>
      <w:lvlText w:val="3"/>
      <w:numFmt w:val="bullet"/>
      <w:start w:val="1"/>
    </w:lvl>
  </w:abstractNum>
  <w:abstractNum w:abstractNumId="4">
    <w:nsid w:val="436C6125"/>
    <w:multiLevelType w:val="hybridMultilevel"/>
    <w:lvl w:ilvl="0">
      <w:lvlJc w:val="left"/>
      <w:lvlText w:val="3"/>
      <w:numFmt w:val="bullet"/>
      <w:start w:val="1"/>
    </w:lvl>
  </w:abstractNum>
  <w:abstractNum w:abstractNumId="5">
    <w:nsid w:val="628C895D"/>
    <w:multiLevelType w:val="hybridMultilevel"/>
    <w:lvl w:ilvl="0">
      <w:lvlJc w:val="left"/>
      <w:lvlText w:val="3"/>
      <w:numFmt w:val="bullet"/>
      <w:start w:val="1"/>
    </w:lvl>
  </w:abstractNum>
  <w:abstractNum w:abstractNumId="6">
    <w:nsid w:val="333AB105"/>
    <w:multiLevelType w:val="hybridMultilevel"/>
    <w:lvl w:ilvl="0">
      <w:lvlJc w:val="left"/>
      <w:lvlText w:val="3"/>
      <w:numFmt w:val="bullet"/>
      <w:start w:val="1"/>
    </w:lvl>
  </w:abstractNum>
  <w:abstractNum w:abstractNumId="7">
    <w:nsid w:val="721DA317"/>
    <w:multiLevelType w:val="hybridMultilevel"/>
    <w:lvl w:ilvl="0">
      <w:lvlJc w:val="left"/>
      <w:lvlText w:val="3"/>
      <w:numFmt w:val="bullet"/>
      <w:start w:val="1"/>
    </w:lvl>
  </w:abstractNum>
  <w:abstractNum w:abstractNumId="8">
    <w:nsid w:val="2443A858"/>
    <w:multiLevelType w:val="hybridMultilevel"/>
    <w:lvl w:ilvl="0">
      <w:lvlJc w:val="left"/>
      <w:lvlText w:val="3"/>
      <w:numFmt w:val="bullet"/>
      <w:start w:val="1"/>
    </w:lvl>
  </w:abstractNum>
  <w:abstractNum w:abstractNumId="9">
    <w:nsid w:val="2D1D5AE9"/>
    <w:multiLevelType w:val="hybridMultilevel"/>
    <w:lvl w:ilvl="0">
      <w:lvlJc w:val="left"/>
      <w:lvlText w:val="3"/>
      <w:numFmt w:val="bullet"/>
      <w:start w:val="1"/>
    </w:lvl>
  </w:abstractNum>
  <w:abstractNum w:abstractNumId="10">
    <w:nsid w:val="6763845E"/>
    <w:multiLevelType w:val="hybridMultilevel"/>
    <w:lvl w:ilvl="0">
      <w:lvlJc w:val="left"/>
      <w:lvlText w:val="3"/>
      <w:numFmt w:val="bullet"/>
      <w:start w:val="1"/>
    </w:lvl>
  </w:abstractNum>
  <w:abstractNum w:abstractNumId="11">
    <w:nsid w:val="75A2A8D4"/>
    <w:multiLevelType w:val="hybridMultilevel"/>
    <w:lvl w:ilvl="0">
      <w:lvlJc w:val="left"/>
      <w:lvlText w:val="3"/>
      <w:numFmt w:val="bullet"/>
      <w:start w:val="1"/>
    </w:lvl>
  </w:abstractNum>
  <w:abstractNum w:abstractNumId="12">
    <w:nsid w:val="8EDBDAB"/>
    <w:multiLevelType w:val="hybridMultilevel"/>
    <w:lvl w:ilvl="0">
      <w:lvlJc w:val="left"/>
      <w:lvlText w:val="3"/>
      <w:numFmt w:val="bullet"/>
      <w:start w:val="1"/>
    </w:lvl>
  </w:abstractNum>
  <w:abstractNum w:abstractNumId="13">
    <w:nsid w:val="79838CB2"/>
    <w:multiLevelType w:val="hybridMultilevel"/>
    <w:lvl w:ilvl="0">
      <w:lvlJc w:val="left"/>
      <w:lvlText w:val="3"/>
      <w:numFmt w:val="bullet"/>
      <w:start w:val="1"/>
    </w:lvl>
  </w:abstractNum>
  <w:abstractNum w:abstractNumId="14">
    <w:nsid w:val="4353D0CD"/>
    <w:multiLevelType w:val="hybridMultilevel"/>
    <w:lvl w:ilvl="0">
      <w:lvlJc w:val="left"/>
      <w:lvlText w:val="3"/>
      <w:numFmt w:val="bullet"/>
      <w:start w:val="1"/>
    </w:lvl>
  </w:abstractNum>
  <w:abstractNum w:abstractNumId="15">
    <w:nsid w:val="B03E0C6"/>
    <w:multiLevelType w:val="hybridMultilevel"/>
    <w:lvl w:ilvl="0">
      <w:lvlJc w:val="left"/>
      <w:lvlText w:val="3"/>
      <w:numFmt w:val="bullet"/>
      <w:start w:val="1"/>
    </w:lvl>
  </w:abstractNum>
  <w:abstractNum w:abstractNumId="16">
    <w:nsid w:val="189A769B"/>
    <w:multiLevelType w:val="hybridMultilevel"/>
    <w:lvl w:ilvl="0">
      <w:lvlJc w:val="left"/>
      <w:lvlText w:val="3"/>
      <w:numFmt w:val="bullet"/>
      <w:start w:val="1"/>
    </w:lvl>
  </w:abstractNum>
  <w:abstractNum w:abstractNumId="17">
    <w:nsid w:val="54E49EB4"/>
    <w:multiLevelType w:val="hybridMultilevel"/>
    <w:lvl w:ilvl="0">
      <w:lvlJc w:val="left"/>
      <w:lvlText w:val="3"/>
      <w:numFmt w:val="bullet"/>
      <w:start w:val="1"/>
    </w:lvl>
  </w:abstractNum>
  <w:abstractNum w:abstractNumId="18">
    <w:nsid w:val="71F32454"/>
    <w:multiLevelType w:val="hybridMultilevel"/>
    <w:lvl w:ilvl="0">
      <w:lvlJc w:val="left"/>
      <w:lvlText w:val="3"/>
      <w:numFmt w:val="bullet"/>
      <w:start w:val="1"/>
    </w:lvl>
  </w:abstractNum>
  <w:abstractNum w:abstractNumId="19">
    <w:nsid w:val="2CA88611"/>
    <w:multiLevelType w:val="hybridMultilevel"/>
    <w:lvl w:ilvl="0">
      <w:lvlJc w:val="left"/>
      <w:lvlText w:val="3"/>
      <w:numFmt w:val="bullet"/>
      <w:start w:val="1"/>
    </w:lvl>
  </w:abstractNum>
  <w:abstractNum w:abstractNumId="20">
    <w:nsid w:val="836C40E"/>
    <w:multiLevelType w:val="hybridMultilevel"/>
    <w:lvl w:ilvl="0">
      <w:lvlJc w:val="left"/>
      <w:lvlText w:val="3"/>
      <w:numFmt w:val="bullet"/>
      <w:start w:val="1"/>
    </w:lvl>
  </w:abstractNum>
  <w:abstractNum w:abstractNumId="21">
    <w:nsid w:val="2901D82"/>
    <w:multiLevelType w:val="hybridMultilevel"/>
    <w:lvl w:ilvl="0">
      <w:lvlJc w:val="left"/>
      <w:lvlText w:val="3"/>
      <w:numFmt w:val="bullet"/>
      <w:start w:val="1"/>
    </w:lvl>
  </w:abstractNum>
  <w:abstractNum w:abstractNumId="22">
    <w:nsid w:val="3A95F874"/>
    <w:multiLevelType w:val="hybridMultilevel"/>
    <w:lvl w:ilvl="0">
      <w:lvlJc w:val="left"/>
      <w:lvlText w:val="3"/>
      <w:numFmt w:val="bullet"/>
      <w:start w:val="1"/>
    </w:lvl>
  </w:abstractNum>
  <w:abstractNum w:abstractNumId="23">
    <w:nsid w:val="8138641"/>
    <w:multiLevelType w:val="hybridMultilevel"/>
    <w:lvl w:ilvl="0">
      <w:lvlJc w:val="left"/>
      <w:lvlText w:val="3"/>
      <w:numFmt w:val="bullet"/>
      <w:start w:val="1"/>
    </w:lvl>
  </w:abstractNum>
  <w:abstractNum w:abstractNumId="24">
    <w:nsid w:val="1E7FF521"/>
    <w:multiLevelType w:val="hybridMultilevel"/>
    <w:lvl w:ilvl="0">
      <w:lvlJc w:val="left"/>
      <w:lvlText w:val="3"/>
      <w:numFmt w:val="bullet"/>
      <w:start w:val="1"/>
    </w:lvl>
  </w:abstractNum>
  <w:abstractNum w:abstractNumId="25">
    <w:nsid w:val="7C3DBD3D"/>
    <w:multiLevelType w:val="hybridMultilevel"/>
    <w:lvl w:ilvl="0">
      <w:lvlJc w:val="left"/>
      <w:lvlText w:val="3"/>
      <w:numFmt w:val="bullet"/>
      <w:start w:val="1"/>
    </w:lvl>
  </w:abstractNum>
  <w:abstractNum w:abstractNumId="26">
    <w:nsid w:val="737B8DDC"/>
    <w:multiLevelType w:val="hybridMultilevel"/>
    <w:lvl w:ilvl="0">
      <w:lvlJc w:val="left"/>
      <w:lvlText w:val="3"/>
      <w:numFmt w:val="bullet"/>
      <w:start w:val="1"/>
    </w:lvl>
  </w:abstractNum>
  <w:abstractNum w:abstractNumId="27">
    <w:nsid w:val="6CEAF087"/>
    <w:multiLevelType w:val="hybridMultilevel"/>
    <w:lvl w:ilvl="0">
      <w:lvlJc w:val="left"/>
      <w:lvlText w:val="3"/>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1)"/>
      <w:numFmt w:val="lowerRoman"/>
      <w:start w:val="8"/>
    </w:lvl>
  </w:abstractNum>
  <w:abstractNum w:abstractNumId="32">
    <w:nsid w:val="419AC241"/>
    <w:multiLevelType w:val="hybridMultilevel"/>
    <w:lvl w:ilvl="0">
      <w:lvlJc w:val="left"/>
      <w:lvlText w:val="(%1)"/>
      <w:numFmt w:val="lowerRoman"/>
      <w:start w:val="9"/>
    </w:lvl>
  </w:abstractNum>
  <w:abstractNum w:abstractNumId="33">
    <w:nsid w:val="5577F8E1"/>
    <w:multiLevelType w:val="hybridMultilevel"/>
    <w:lvl w:ilvl="0">
      <w:lvlJc w:val="left"/>
      <w:lvlText w:val="(%1)"/>
      <w:numFmt w:val="lowerRoman"/>
      <w:start w:val="10"/>
    </w:lvl>
  </w:abstractNum>
  <w:abstractNum w:abstractNumId="34">
    <w:nsid w:val="440BADFC"/>
    <w:multiLevelType w:val="hybridMultilevel"/>
    <w:lvl w:ilvl="0">
      <w:lvlJc w:val="left"/>
      <w:lvlText w:val="(%1)"/>
      <w:numFmt w:val="lowerRoman"/>
      <w:start w:val="11"/>
    </w:lvl>
  </w:abstractNum>
  <w:abstractNum w:abstractNumId="35">
    <w:nsid w:val="5072367"/>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2023-02-17T14:22:57Z</dcterms:created>
  <dcterms:modified xsi:type="dcterms:W3CDTF">2023-02-17T14:22:57Z</dcterms:modified>
</cp:coreProperties>
</file>